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25336">
      <w:pPr>
        <w:spacing w:line="400" w:lineRule="exact"/>
        <w:rPr>
          <w:rFonts w:hint="eastAsia" w:ascii="仿宋_GB2312" w:eastAsia="仿宋_GB2312"/>
          <w:color w:val="auto"/>
          <w:sz w:val="32"/>
          <w:szCs w:val="32"/>
          <w:highlight w:val="none"/>
        </w:rPr>
      </w:pPr>
    </w:p>
    <w:p w14:paraId="1A1FEBBE">
      <w:pPr>
        <w:spacing w:line="400" w:lineRule="exact"/>
        <w:jc w:val="center"/>
        <w:rPr>
          <w:rFonts w:hint="eastAsia" w:ascii="仿宋_GB2312" w:eastAsia="仿宋_GB2312"/>
          <w:color w:val="auto"/>
          <w:sz w:val="72"/>
          <w:szCs w:val="72"/>
          <w:highlight w:val="none"/>
        </w:rPr>
      </w:pPr>
    </w:p>
    <w:p w14:paraId="3B5BAA3C">
      <w:pPr>
        <w:snapToGrid w:val="0"/>
        <w:spacing w:before="156" w:line="360" w:lineRule="auto"/>
        <w:jc w:val="center"/>
        <w:outlineLvl w:val="9"/>
        <w:rPr>
          <w:rFonts w:hint="eastAsia" w:ascii="宋体" w:eastAsia="宋体"/>
          <w:color w:val="auto"/>
          <w:sz w:val="52"/>
          <w:szCs w:val="52"/>
          <w:highlight w:val="none"/>
          <w:lang w:eastAsia="zh-CN"/>
        </w:rPr>
      </w:pPr>
      <w:r>
        <w:rPr>
          <w:rFonts w:hint="eastAsia" w:ascii="宋体"/>
          <w:b/>
          <w:color w:val="auto"/>
          <w:sz w:val="52"/>
          <w:szCs w:val="52"/>
          <w:highlight w:val="none"/>
          <w:lang w:eastAsia="zh-CN"/>
        </w:rPr>
        <w:t>广西国兴项目管理有限公司</w:t>
      </w:r>
    </w:p>
    <w:p w14:paraId="5AC5F888">
      <w:pPr>
        <w:pStyle w:val="12"/>
        <w:jc w:val="center"/>
        <w:rPr>
          <w:rFonts w:hint="eastAsia"/>
          <w:b/>
          <w:color w:val="auto"/>
          <w:spacing w:val="-18"/>
          <w:sz w:val="96"/>
          <w:highlight w:val="none"/>
        </w:rPr>
      </w:pPr>
    </w:p>
    <w:p w14:paraId="4541831A">
      <w:pPr>
        <w:pStyle w:val="12"/>
        <w:jc w:val="center"/>
        <w:rPr>
          <w:rFonts w:hint="eastAsia"/>
          <w:b/>
          <w:color w:val="auto"/>
          <w:spacing w:val="-18"/>
          <w:sz w:val="96"/>
          <w:highlight w:val="none"/>
        </w:rPr>
      </w:pPr>
    </w:p>
    <w:p w14:paraId="4D4E8A1F">
      <w:pPr>
        <w:pStyle w:val="12"/>
        <w:jc w:val="center"/>
        <w:outlineLvl w:val="9"/>
        <w:rPr>
          <w:rFonts w:hint="eastAsia"/>
          <w:b/>
          <w:color w:val="auto"/>
          <w:sz w:val="72"/>
          <w:szCs w:val="72"/>
          <w:highlight w:val="none"/>
        </w:rPr>
      </w:pPr>
      <w:r>
        <w:rPr>
          <w:rFonts w:hint="eastAsia"/>
          <w:b/>
          <w:color w:val="auto"/>
          <w:sz w:val="72"/>
          <w:szCs w:val="72"/>
          <w:highlight w:val="none"/>
        </w:rPr>
        <w:t>竞争性磋商文件</w:t>
      </w:r>
    </w:p>
    <w:p w14:paraId="6074775C">
      <w:pPr>
        <w:pStyle w:val="12"/>
        <w:rPr>
          <w:rFonts w:hint="eastAsia"/>
          <w:b/>
          <w:color w:val="auto"/>
          <w:highlight w:val="none"/>
        </w:rPr>
      </w:pPr>
    </w:p>
    <w:p w14:paraId="68768A8F">
      <w:pPr>
        <w:pStyle w:val="12"/>
        <w:rPr>
          <w:rFonts w:hint="eastAsia"/>
          <w:b/>
          <w:color w:val="auto"/>
          <w:highlight w:val="none"/>
        </w:rPr>
      </w:pPr>
    </w:p>
    <w:p w14:paraId="61D60502">
      <w:pPr>
        <w:pStyle w:val="12"/>
        <w:rPr>
          <w:b/>
          <w:color w:val="auto"/>
          <w:highlight w:val="none"/>
        </w:rPr>
      </w:pPr>
    </w:p>
    <w:p w14:paraId="140249FC">
      <w:pPr>
        <w:pStyle w:val="12"/>
        <w:rPr>
          <w:rFonts w:hint="eastAsia"/>
          <w:b/>
          <w:color w:val="auto"/>
          <w:highlight w:val="none"/>
        </w:rPr>
      </w:pPr>
    </w:p>
    <w:p w14:paraId="69CE809E">
      <w:pPr>
        <w:pStyle w:val="12"/>
        <w:rPr>
          <w:rFonts w:hint="eastAsia"/>
          <w:b/>
          <w:color w:val="auto"/>
          <w:highlight w:val="none"/>
        </w:rPr>
      </w:pPr>
    </w:p>
    <w:p w14:paraId="07BD05AD">
      <w:pPr>
        <w:pStyle w:val="12"/>
        <w:rPr>
          <w:rFonts w:hint="eastAsia"/>
          <w:b/>
          <w:color w:val="auto"/>
          <w:highlight w:val="none"/>
        </w:rPr>
      </w:pPr>
    </w:p>
    <w:p w14:paraId="6821F120">
      <w:pPr>
        <w:pStyle w:val="12"/>
        <w:rPr>
          <w:rFonts w:hint="eastAsia"/>
          <w:b/>
          <w:color w:val="auto"/>
          <w:highlight w:val="none"/>
        </w:rPr>
      </w:pPr>
    </w:p>
    <w:p w14:paraId="55B94221">
      <w:pPr>
        <w:pStyle w:val="12"/>
        <w:ind w:left="2991" w:leftChars="710" w:right="-386" w:rightChars="-184" w:hanging="1500" w:hangingChars="500"/>
        <w:rPr>
          <w:rFonts w:hint="eastAsia" w:eastAsia="宋体"/>
          <w:color w:val="auto"/>
          <w:sz w:val="28"/>
          <w:szCs w:val="28"/>
          <w:highlight w:val="none"/>
          <w:lang w:eastAsia="zh-CN"/>
        </w:rPr>
      </w:pPr>
      <w:r>
        <w:rPr>
          <w:rFonts w:hint="eastAsia"/>
          <w:color w:val="auto"/>
          <w:sz w:val="30"/>
          <w:szCs w:val="72"/>
          <w:highlight w:val="none"/>
        </w:rPr>
        <w:t>项目名称：</w:t>
      </w:r>
      <w:r>
        <w:rPr>
          <w:rFonts w:hint="eastAsia"/>
          <w:color w:val="auto"/>
          <w:sz w:val="30"/>
          <w:szCs w:val="72"/>
          <w:highlight w:val="none"/>
          <w:lang w:eastAsia="zh-CN"/>
        </w:rPr>
        <w:t>龙胜各族自治县平等镇平等小学塑胶操场</w:t>
      </w:r>
    </w:p>
    <w:p w14:paraId="1674D573">
      <w:pPr>
        <w:pStyle w:val="12"/>
        <w:ind w:firstLine="1500" w:firstLineChars="500"/>
        <w:rPr>
          <w:rFonts w:hint="eastAsia" w:eastAsia="宋体"/>
          <w:color w:val="auto"/>
          <w:sz w:val="30"/>
          <w:szCs w:val="72"/>
          <w:highlight w:val="none"/>
          <w:lang w:eastAsia="zh-CN"/>
        </w:rPr>
      </w:pPr>
      <w:r>
        <w:rPr>
          <w:rFonts w:hint="eastAsia"/>
          <w:color w:val="auto"/>
          <w:sz w:val="30"/>
          <w:szCs w:val="72"/>
          <w:highlight w:val="none"/>
        </w:rPr>
        <w:t>项目编号:</w:t>
      </w:r>
      <w:r>
        <w:rPr>
          <w:rFonts w:hint="eastAsia"/>
          <w:color w:val="auto"/>
          <w:sz w:val="30"/>
          <w:szCs w:val="72"/>
          <w:highlight w:val="none"/>
          <w:lang w:val="en-US" w:eastAsia="zh-CN"/>
        </w:rPr>
        <w:t>GLZC2026-C2-280033-GXGX</w:t>
      </w:r>
    </w:p>
    <w:p w14:paraId="3DE835FC">
      <w:pPr>
        <w:pStyle w:val="12"/>
        <w:rPr>
          <w:rFonts w:hint="eastAsia"/>
          <w:b/>
          <w:color w:val="auto"/>
          <w:highlight w:val="none"/>
        </w:rPr>
      </w:pPr>
    </w:p>
    <w:p w14:paraId="53CCDAA8">
      <w:pPr>
        <w:pStyle w:val="12"/>
        <w:rPr>
          <w:rFonts w:hint="eastAsia"/>
          <w:color w:val="auto"/>
          <w:sz w:val="30"/>
          <w:szCs w:val="72"/>
          <w:highlight w:val="none"/>
        </w:rPr>
      </w:pPr>
    </w:p>
    <w:p w14:paraId="0FB08741">
      <w:pPr>
        <w:pStyle w:val="12"/>
        <w:rPr>
          <w:rFonts w:hint="eastAsia"/>
          <w:color w:val="auto"/>
          <w:sz w:val="30"/>
          <w:szCs w:val="72"/>
          <w:highlight w:val="none"/>
        </w:rPr>
      </w:pPr>
    </w:p>
    <w:p w14:paraId="2644129F">
      <w:pPr>
        <w:pStyle w:val="12"/>
        <w:ind w:firstLine="1950" w:firstLineChars="650"/>
        <w:rPr>
          <w:rFonts w:hint="eastAsia"/>
          <w:color w:val="auto"/>
          <w:sz w:val="30"/>
          <w:szCs w:val="72"/>
          <w:highlight w:val="none"/>
        </w:rPr>
      </w:pPr>
    </w:p>
    <w:p w14:paraId="26B3A1BA">
      <w:pPr>
        <w:pStyle w:val="12"/>
        <w:ind w:firstLine="1800" w:firstLineChars="600"/>
        <w:rPr>
          <w:rFonts w:hint="eastAsia" w:eastAsia="宋体"/>
          <w:color w:val="auto"/>
          <w:sz w:val="30"/>
          <w:szCs w:val="72"/>
          <w:highlight w:val="none"/>
          <w:lang w:eastAsia="zh-CN"/>
        </w:rPr>
      </w:pPr>
      <w:r>
        <w:rPr>
          <w:rFonts w:hint="eastAsia"/>
          <w:color w:val="auto"/>
          <w:sz w:val="30"/>
          <w:szCs w:val="72"/>
          <w:highlight w:val="none"/>
        </w:rPr>
        <w:t>采购代理机构：</w:t>
      </w:r>
      <w:r>
        <w:rPr>
          <w:rFonts w:hint="eastAsia"/>
          <w:color w:val="auto"/>
          <w:sz w:val="30"/>
          <w:szCs w:val="72"/>
          <w:highlight w:val="none"/>
          <w:lang w:eastAsia="zh-CN"/>
        </w:rPr>
        <w:t>广西国兴项目管理有限公司</w:t>
      </w:r>
    </w:p>
    <w:p w14:paraId="682D87B6">
      <w:pPr>
        <w:pStyle w:val="12"/>
        <w:ind w:firstLine="3900" w:firstLineChars="1300"/>
        <w:rPr>
          <w:rFonts w:hint="eastAsia"/>
          <w:color w:val="auto"/>
          <w:sz w:val="30"/>
          <w:szCs w:val="72"/>
          <w:highlight w:val="none"/>
        </w:rPr>
      </w:pPr>
      <w:r>
        <w:rPr>
          <w:rFonts w:hint="eastAsia"/>
          <w:color w:val="auto"/>
          <w:sz w:val="30"/>
          <w:szCs w:val="72"/>
          <w:highlight w:val="none"/>
        </w:rPr>
        <w:t>20</w:t>
      </w:r>
      <w:r>
        <w:rPr>
          <w:color w:val="auto"/>
          <w:sz w:val="30"/>
          <w:szCs w:val="72"/>
          <w:highlight w:val="none"/>
        </w:rPr>
        <w:t>2</w:t>
      </w:r>
      <w:r>
        <w:rPr>
          <w:rFonts w:hint="eastAsia"/>
          <w:color w:val="auto"/>
          <w:sz w:val="30"/>
          <w:szCs w:val="72"/>
          <w:highlight w:val="none"/>
          <w:lang w:val="en-US" w:eastAsia="zh-CN"/>
        </w:rPr>
        <w:t>6</w:t>
      </w:r>
      <w:r>
        <w:rPr>
          <w:rFonts w:hint="eastAsia"/>
          <w:color w:val="auto"/>
          <w:sz w:val="30"/>
          <w:szCs w:val="72"/>
          <w:highlight w:val="none"/>
        </w:rPr>
        <w:t>年</w:t>
      </w:r>
      <w:r>
        <w:rPr>
          <w:rFonts w:hint="eastAsia"/>
          <w:color w:val="auto"/>
          <w:sz w:val="30"/>
          <w:szCs w:val="72"/>
          <w:highlight w:val="none"/>
          <w:lang w:val="en-US" w:eastAsia="zh-CN"/>
        </w:rPr>
        <w:t>07</w:t>
      </w:r>
      <w:r>
        <w:rPr>
          <w:rFonts w:hint="eastAsia"/>
          <w:color w:val="auto"/>
          <w:sz w:val="30"/>
          <w:szCs w:val="72"/>
          <w:highlight w:val="none"/>
        </w:rPr>
        <w:t>月</w:t>
      </w:r>
    </w:p>
    <w:p w14:paraId="220EF938">
      <w:pPr>
        <w:jc w:val="center"/>
        <w:rPr>
          <w:rFonts w:hint="eastAsia" w:ascii="宋体"/>
          <w:color w:val="auto"/>
          <w:highlight w:val="none"/>
        </w:rPr>
        <w:sectPr>
          <w:headerReference r:id="rId3" w:type="default"/>
          <w:footerReference r:id="rId5" w:type="default"/>
          <w:headerReference r:id="rId4" w:type="even"/>
          <w:footerReference r:id="rId6" w:type="even"/>
          <w:pgSz w:w="11906" w:h="16838"/>
          <w:pgMar w:top="1418" w:right="1416" w:bottom="1418" w:left="1418" w:header="720" w:footer="720" w:gutter="0"/>
          <w:pgNumType w:fmt="decimal" w:start="0"/>
          <w:cols w:space="720" w:num="1"/>
          <w:titlePg/>
          <w:docGrid w:type="lines" w:linePitch="312" w:charSpace="0"/>
        </w:sectPr>
      </w:pPr>
    </w:p>
    <w:p w14:paraId="216097AA">
      <w:pPr>
        <w:spacing w:before="0" w:beforeLines="0" w:after="0" w:afterLines="0" w:line="240" w:lineRule="auto"/>
        <w:ind w:left="0" w:leftChars="0" w:right="0" w:rightChars="0" w:firstLine="0" w:firstLineChars="0"/>
        <w:jc w:val="center"/>
        <w:rPr>
          <w:rFonts w:ascii="宋体" w:hAnsi="宋体" w:eastAsia="宋体"/>
          <w:color w:val="auto"/>
          <w:sz w:val="44"/>
          <w:szCs w:val="44"/>
          <w:highlight w:val="none"/>
        </w:rPr>
      </w:pPr>
      <w:r>
        <w:rPr>
          <w:rFonts w:ascii="宋体" w:hAnsi="宋体" w:eastAsia="宋体"/>
          <w:color w:val="auto"/>
          <w:sz w:val="44"/>
          <w:szCs w:val="44"/>
          <w:highlight w:val="none"/>
        </w:rPr>
        <w:t>目</w:t>
      </w:r>
      <w:r>
        <w:rPr>
          <w:rFonts w:hint="eastAsia" w:ascii="宋体" w:hAnsi="宋体"/>
          <w:color w:val="auto"/>
          <w:sz w:val="44"/>
          <w:szCs w:val="44"/>
          <w:highlight w:val="none"/>
          <w:lang w:val="en-US" w:eastAsia="zh-CN"/>
        </w:rPr>
        <w:t xml:space="preserve">  </w:t>
      </w:r>
      <w:r>
        <w:rPr>
          <w:rFonts w:ascii="宋体" w:hAnsi="宋体" w:eastAsia="宋体"/>
          <w:color w:val="auto"/>
          <w:sz w:val="44"/>
          <w:szCs w:val="44"/>
          <w:highlight w:val="none"/>
        </w:rPr>
        <w:t>录</w:t>
      </w:r>
    </w:p>
    <w:p w14:paraId="3116EBE2">
      <w:pPr>
        <w:pStyle w:val="5"/>
        <w:rPr>
          <w:color w:val="auto"/>
          <w:highlight w:val="none"/>
        </w:rPr>
      </w:pPr>
    </w:p>
    <w:p w14:paraId="62F572EA">
      <w:pPr>
        <w:pStyle w:val="16"/>
        <w:tabs>
          <w:tab w:val="right" w:leader="dot" w:pos="9638"/>
        </w:tabs>
        <w:rPr>
          <w:rFonts w:hint="eastAsia" w:ascii="宋体" w:hAnsi="宋体" w:eastAsia="宋体" w:cs="宋体"/>
          <w:color w:val="auto"/>
          <w:sz w:val="28"/>
          <w:szCs w:val="28"/>
          <w:highlight w:val="none"/>
        </w:rPr>
      </w:pPr>
      <w:r>
        <w:rPr>
          <w:rFonts w:hint="eastAsia"/>
          <w:color w:val="auto"/>
          <w:sz w:val="44"/>
          <w:highlight w:val="none"/>
        </w:rPr>
        <w:fldChar w:fldCharType="begin"/>
      </w:r>
      <w:r>
        <w:rPr>
          <w:rFonts w:hint="eastAsia"/>
          <w:color w:val="auto"/>
          <w:sz w:val="44"/>
          <w:highlight w:val="none"/>
        </w:rPr>
        <w:instrText xml:space="preserve">TOC \o "1-1" \h \u </w:instrText>
      </w:r>
      <w:r>
        <w:rPr>
          <w:rFonts w:hint="eastAsia"/>
          <w:color w:val="auto"/>
          <w:sz w:val="4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_Toc27756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_Toc27756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05257AC">
      <w:pPr>
        <w:pStyle w:val="16"/>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_Toc20648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磋商供应商须知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_Toc20648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EC9055">
      <w:pPr>
        <w:pStyle w:val="16"/>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_Toc14909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kern w:val="0"/>
          <w:sz w:val="28"/>
          <w:szCs w:val="28"/>
          <w:highlight w:val="none"/>
        </w:rPr>
        <w:t>评审方法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_Toc14909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84952D4">
      <w:pPr>
        <w:pStyle w:val="16"/>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_Toc10515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第四章  </w:t>
      </w:r>
      <w:r>
        <w:rPr>
          <w:rFonts w:hint="eastAsia" w:ascii="宋体" w:hAnsi="宋体" w:eastAsia="宋体" w:cs="宋体"/>
          <w:color w:val="auto"/>
          <w:kern w:val="0"/>
          <w:sz w:val="28"/>
          <w:szCs w:val="28"/>
          <w:highlight w:val="none"/>
        </w:rPr>
        <w:t>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_Toc10515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25B11D">
      <w:pPr>
        <w:pStyle w:val="16"/>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 xml:space="preserve">第五章  </w:t>
      </w:r>
      <w:r>
        <w:rPr>
          <w:rFonts w:hint="eastAsia" w:ascii="宋体" w:hAnsi="宋体" w:eastAsia="宋体" w:cs="宋体"/>
          <w:color w:val="auto"/>
          <w:sz w:val="28"/>
          <w:szCs w:val="28"/>
          <w:highlight w:val="none"/>
        </w:rPr>
        <w:t>工程量清单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_Toc3234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621DCD7">
      <w:pPr>
        <w:pStyle w:val="16"/>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_Toc13770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第六章 技术标准和要求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_Toc13770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EA250B4">
      <w:pPr>
        <w:pStyle w:val="16"/>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_Toc30186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w:t>
      </w:r>
      <w:r>
        <w:rPr>
          <w:rFonts w:hint="eastAsia" w:ascii="宋体" w:hAnsi="宋体" w:eastAsia="宋体" w:cs="宋体"/>
          <w:color w:val="auto"/>
          <w:kern w:val="0"/>
          <w:sz w:val="28"/>
          <w:szCs w:val="28"/>
          <w:highlight w:val="none"/>
          <w:lang w:eastAsia="zh-CN"/>
        </w:rPr>
        <w:t>七</w:t>
      </w:r>
      <w:r>
        <w:rPr>
          <w:rFonts w:hint="eastAsia" w:ascii="宋体" w:hAnsi="宋体" w:eastAsia="宋体" w:cs="宋体"/>
          <w:color w:val="auto"/>
          <w:kern w:val="0"/>
          <w:sz w:val="28"/>
          <w:szCs w:val="28"/>
          <w:highlight w:val="none"/>
        </w:rPr>
        <w:t xml:space="preserve">章 </w:t>
      </w:r>
      <w:r>
        <w:rPr>
          <w:rFonts w:hint="eastAsia" w:ascii="宋体" w:hAnsi="宋体" w:eastAsia="宋体" w:cs="宋体"/>
          <w:color w:val="auto"/>
          <w:sz w:val="28"/>
          <w:szCs w:val="28"/>
          <w:highlight w:val="none"/>
        </w:rPr>
        <w:t>竞争性磋商响应文件格式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_Toc30186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6BE608B">
      <w:pPr>
        <w:pStyle w:val="16"/>
        <w:tabs>
          <w:tab w:val="right" w:leader="dot" w:pos="9638"/>
        </w:tabs>
        <w:rPr>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_Toc32683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第</w:t>
      </w:r>
      <w:r>
        <w:rPr>
          <w:rFonts w:hint="eastAsia" w:ascii="宋体" w:hAnsi="宋体" w:eastAsia="宋体" w:cs="宋体"/>
          <w:color w:val="auto"/>
          <w:kern w:val="0"/>
          <w:sz w:val="28"/>
          <w:szCs w:val="28"/>
          <w:highlight w:val="none"/>
          <w:lang w:eastAsia="zh-CN"/>
        </w:rPr>
        <w:t>八</w:t>
      </w:r>
      <w:r>
        <w:rPr>
          <w:rFonts w:hint="eastAsia" w:ascii="宋体" w:hAnsi="宋体" w:eastAsia="宋体" w:cs="宋体"/>
          <w:color w:val="auto"/>
          <w:kern w:val="0"/>
          <w:sz w:val="28"/>
          <w:szCs w:val="28"/>
          <w:highlight w:val="none"/>
        </w:rPr>
        <w:t>章 图纸（自行下载）</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_Toc32683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56FF2D3">
      <w:pPr>
        <w:pStyle w:val="12"/>
        <w:spacing w:line="480" w:lineRule="auto"/>
        <w:ind w:left="412" w:leftChars="196"/>
        <w:rPr>
          <w:rFonts w:hint="eastAsia" w:eastAsia="宋体"/>
          <w:color w:val="auto"/>
          <w:sz w:val="28"/>
          <w:szCs w:val="28"/>
          <w:highlight w:val="none"/>
          <w:lang w:eastAsia="zh-CN"/>
        </w:rPr>
      </w:pPr>
      <w:r>
        <w:rPr>
          <w:rFonts w:hint="eastAsia"/>
          <w:color w:val="auto"/>
          <w:highlight w:val="none"/>
        </w:rPr>
        <w:fldChar w:fldCharType="end"/>
      </w:r>
    </w:p>
    <w:p w14:paraId="253F7C1E">
      <w:pPr>
        <w:pStyle w:val="12"/>
        <w:spacing w:line="480" w:lineRule="auto"/>
        <w:ind w:left="412" w:leftChars="196"/>
        <w:rPr>
          <w:color w:val="auto"/>
          <w:sz w:val="28"/>
          <w:szCs w:val="28"/>
          <w:highlight w:val="none"/>
        </w:rPr>
      </w:pPr>
    </w:p>
    <w:p w14:paraId="078D8A0A">
      <w:pPr>
        <w:pStyle w:val="12"/>
        <w:spacing w:line="480" w:lineRule="auto"/>
        <w:ind w:left="412" w:leftChars="196"/>
        <w:rPr>
          <w:color w:val="auto"/>
          <w:sz w:val="28"/>
          <w:szCs w:val="28"/>
          <w:highlight w:val="none"/>
        </w:rPr>
      </w:pPr>
    </w:p>
    <w:p w14:paraId="3330F0B1">
      <w:pPr>
        <w:pStyle w:val="12"/>
        <w:spacing w:line="480" w:lineRule="auto"/>
        <w:ind w:left="412" w:leftChars="196"/>
        <w:rPr>
          <w:rFonts w:hint="eastAsia"/>
          <w:color w:val="auto"/>
          <w:sz w:val="28"/>
          <w:szCs w:val="28"/>
          <w:highlight w:val="none"/>
        </w:rPr>
      </w:pPr>
    </w:p>
    <w:p w14:paraId="693A1618">
      <w:pPr>
        <w:pStyle w:val="12"/>
        <w:ind w:left="412" w:leftChars="196"/>
        <w:rPr>
          <w:rFonts w:hint="eastAsia"/>
          <w:color w:val="auto"/>
          <w:sz w:val="28"/>
          <w:szCs w:val="28"/>
          <w:highlight w:val="none"/>
        </w:rPr>
      </w:pPr>
    </w:p>
    <w:p w14:paraId="27FC34AC">
      <w:pPr>
        <w:pStyle w:val="12"/>
        <w:ind w:left="412" w:leftChars="196"/>
        <w:rPr>
          <w:rFonts w:hint="eastAsia"/>
          <w:color w:val="auto"/>
          <w:sz w:val="28"/>
          <w:szCs w:val="28"/>
          <w:highlight w:val="none"/>
        </w:rPr>
      </w:pPr>
    </w:p>
    <w:p w14:paraId="15E5A850">
      <w:pPr>
        <w:pStyle w:val="12"/>
        <w:jc w:val="center"/>
        <w:rPr>
          <w:rFonts w:hint="eastAsia"/>
          <w:b/>
          <w:color w:val="auto"/>
          <w:sz w:val="32"/>
          <w:highlight w:val="none"/>
        </w:rPr>
      </w:pPr>
    </w:p>
    <w:p w14:paraId="711D0191">
      <w:pPr>
        <w:pStyle w:val="12"/>
        <w:jc w:val="center"/>
        <w:rPr>
          <w:rFonts w:hint="eastAsia"/>
          <w:b/>
          <w:color w:val="auto"/>
          <w:sz w:val="32"/>
          <w:highlight w:val="none"/>
        </w:rPr>
      </w:pPr>
    </w:p>
    <w:p w14:paraId="1B2C157A">
      <w:pPr>
        <w:pStyle w:val="12"/>
        <w:jc w:val="center"/>
        <w:rPr>
          <w:rFonts w:hint="eastAsia"/>
          <w:b/>
          <w:color w:val="auto"/>
          <w:sz w:val="32"/>
          <w:highlight w:val="none"/>
        </w:rPr>
      </w:pPr>
    </w:p>
    <w:p w14:paraId="71751AE2">
      <w:pPr>
        <w:pStyle w:val="12"/>
        <w:jc w:val="center"/>
        <w:rPr>
          <w:rFonts w:hint="eastAsia"/>
          <w:b/>
          <w:color w:val="auto"/>
          <w:sz w:val="32"/>
          <w:highlight w:val="none"/>
        </w:rPr>
      </w:pPr>
    </w:p>
    <w:p w14:paraId="6DCA300F">
      <w:pPr>
        <w:pStyle w:val="12"/>
        <w:jc w:val="center"/>
        <w:rPr>
          <w:rFonts w:hint="eastAsia"/>
          <w:b/>
          <w:color w:val="auto"/>
          <w:sz w:val="32"/>
          <w:highlight w:val="none"/>
        </w:rPr>
      </w:pPr>
    </w:p>
    <w:p w14:paraId="53440C0C">
      <w:pPr>
        <w:rPr>
          <w:rFonts w:hint="eastAsia"/>
          <w:b/>
          <w:color w:val="auto"/>
          <w:sz w:val="32"/>
          <w:highlight w:val="none"/>
        </w:rPr>
      </w:pPr>
      <w:bookmarkStart w:id="0" w:name="_Toc27756"/>
      <w:r>
        <w:rPr>
          <w:rFonts w:hint="eastAsia"/>
          <w:b/>
          <w:color w:val="auto"/>
          <w:sz w:val="32"/>
          <w:highlight w:val="none"/>
        </w:rPr>
        <w:br w:type="page"/>
      </w:r>
    </w:p>
    <w:p w14:paraId="382EBF6E">
      <w:pPr>
        <w:pStyle w:val="12"/>
        <w:jc w:val="center"/>
        <w:outlineLvl w:val="0"/>
        <w:rPr>
          <w:rFonts w:hint="eastAsia"/>
          <w:b/>
          <w:color w:val="auto"/>
          <w:sz w:val="30"/>
          <w:szCs w:val="30"/>
          <w:highlight w:val="none"/>
        </w:rPr>
      </w:pPr>
      <w:r>
        <w:rPr>
          <w:rFonts w:hint="eastAsia"/>
          <w:b/>
          <w:color w:val="auto"/>
          <w:sz w:val="32"/>
          <w:highlight w:val="none"/>
        </w:rPr>
        <w:t xml:space="preserve">第一章  </w:t>
      </w:r>
      <w:r>
        <w:rPr>
          <w:rFonts w:hint="eastAsia"/>
          <w:b/>
          <w:color w:val="auto"/>
          <w:sz w:val="30"/>
          <w:szCs w:val="30"/>
          <w:highlight w:val="none"/>
        </w:rPr>
        <w:t>竞争性磋商公告</w:t>
      </w:r>
      <w:bookmarkEnd w:id="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0"/>
      </w:tblGrid>
      <w:tr w14:paraId="449B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670" w:type="dxa"/>
            <w:noWrap w:val="0"/>
            <w:vAlign w:val="center"/>
          </w:tcPr>
          <w:p w14:paraId="6E3DE64F">
            <w:pPr>
              <w:pStyle w:val="28"/>
              <w:spacing w:line="360" w:lineRule="exact"/>
              <w:jc w:val="left"/>
              <w:rPr>
                <w:rFonts w:hint="eastAsia" w:ascii="宋体"/>
                <w:color w:val="auto"/>
                <w:sz w:val="21"/>
                <w:szCs w:val="21"/>
                <w:highlight w:val="none"/>
              </w:rPr>
            </w:pPr>
            <w:bookmarkStart w:id="1" w:name="_Hlk146024274"/>
            <w:r>
              <w:rPr>
                <w:rFonts w:hint="eastAsia" w:ascii="宋体"/>
                <w:color w:val="auto"/>
                <w:sz w:val="21"/>
                <w:szCs w:val="21"/>
                <w:highlight w:val="none"/>
              </w:rPr>
              <w:t>项目概况：</w:t>
            </w:r>
          </w:p>
          <w:p w14:paraId="4406C61B">
            <w:pPr>
              <w:pStyle w:val="28"/>
              <w:spacing w:line="360" w:lineRule="exact"/>
              <w:jc w:val="left"/>
              <w:rPr>
                <w:rFonts w:hint="eastAsia" w:ascii="宋体"/>
                <w:color w:val="auto"/>
                <w:sz w:val="21"/>
                <w:szCs w:val="21"/>
                <w:highlight w:val="none"/>
              </w:rPr>
            </w:pPr>
            <w:r>
              <w:rPr>
                <w:rFonts w:hint="eastAsia"/>
                <w:color w:val="auto"/>
                <w:sz w:val="21"/>
                <w:szCs w:val="21"/>
                <w:highlight w:val="none"/>
                <w:u w:val="single"/>
                <w:lang w:eastAsia="zh-CN"/>
              </w:rPr>
              <w:t>龙胜各族自治县平等镇平等小学塑胶操场</w:t>
            </w:r>
            <w:r>
              <w:rPr>
                <w:rFonts w:hint="eastAsia" w:ascii="宋体"/>
                <w:color w:val="auto"/>
                <w:sz w:val="21"/>
                <w:szCs w:val="21"/>
                <w:highlight w:val="none"/>
              </w:rPr>
              <w:t>的潜在供应商应在</w:t>
            </w:r>
            <w:r>
              <w:rPr>
                <w:rFonts w:hint="eastAsia" w:ascii="宋体"/>
                <w:color w:val="auto"/>
                <w:sz w:val="21"/>
                <w:szCs w:val="21"/>
                <w:highlight w:val="none"/>
                <w:u w:val="single"/>
              </w:rPr>
              <w:t>“广西政府采购云平台”（https://www.gcy.zfcg.gxzf.gov.cn/），从网上获取采购文件电子版</w:t>
            </w:r>
            <w:r>
              <w:rPr>
                <w:rFonts w:hint="eastAsia" w:ascii="宋体"/>
                <w:color w:val="auto"/>
                <w:sz w:val="21"/>
                <w:szCs w:val="21"/>
                <w:highlight w:val="none"/>
              </w:rPr>
              <w:t>，并</w:t>
            </w:r>
            <w:r>
              <w:rPr>
                <w:rFonts w:hint="eastAsia" w:ascii="宋体"/>
                <w:color w:val="auto"/>
                <w:sz w:val="21"/>
                <w:szCs w:val="21"/>
                <w:highlight w:val="none"/>
                <w:u w:val="single"/>
                <w:lang w:eastAsia="zh-CN"/>
              </w:rPr>
              <w:t>2026</w:t>
            </w:r>
            <w:r>
              <w:rPr>
                <w:rFonts w:hint="eastAsia" w:ascii="宋体"/>
                <w:color w:val="auto"/>
                <w:sz w:val="21"/>
                <w:szCs w:val="21"/>
                <w:highlight w:val="none"/>
                <w:u w:val="single"/>
              </w:rPr>
              <w:t>年</w:t>
            </w:r>
            <w:r>
              <w:rPr>
                <w:rFonts w:hint="eastAsia"/>
                <w:color w:val="auto"/>
                <w:sz w:val="21"/>
                <w:szCs w:val="21"/>
                <w:highlight w:val="none"/>
                <w:u w:val="single"/>
                <w:lang w:val="en-US" w:eastAsia="zh-CN"/>
              </w:rPr>
              <w:t>07</w:t>
            </w:r>
            <w:r>
              <w:rPr>
                <w:rFonts w:hint="eastAsia" w:ascii="宋体"/>
                <w:color w:val="auto"/>
                <w:sz w:val="21"/>
                <w:szCs w:val="21"/>
                <w:highlight w:val="none"/>
                <w:u w:val="single"/>
              </w:rPr>
              <w:t>月</w:t>
            </w:r>
            <w:r>
              <w:rPr>
                <w:rFonts w:hint="eastAsia"/>
                <w:color w:val="auto"/>
                <w:sz w:val="21"/>
                <w:szCs w:val="21"/>
                <w:highlight w:val="none"/>
                <w:u w:val="single"/>
                <w:lang w:val="en-US" w:eastAsia="zh-CN"/>
              </w:rPr>
              <w:t>20</w:t>
            </w:r>
            <w:r>
              <w:rPr>
                <w:rFonts w:hint="eastAsia" w:ascii="宋体"/>
                <w:color w:val="auto"/>
                <w:sz w:val="21"/>
                <w:szCs w:val="21"/>
                <w:highlight w:val="none"/>
                <w:u w:val="single"/>
              </w:rPr>
              <w:t>日</w:t>
            </w:r>
            <w:r>
              <w:rPr>
                <w:rFonts w:hint="eastAsia"/>
                <w:bCs/>
                <w:color w:val="auto"/>
                <w:sz w:val="21"/>
                <w:szCs w:val="21"/>
                <w:highlight w:val="none"/>
                <w:u w:val="single"/>
                <w:lang w:val="en-US" w:eastAsia="zh-CN"/>
              </w:rPr>
              <w:t>09</w:t>
            </w:r>
            <w:r>
              <w:rPr>
                <w:rFonts w:hint="eastAsia" w:ascii="宋体"/>
                <w:bCs/>
                <w:color w:val="auto"/>
                <w:sz w:val="21"/>
                <w:szCs w:val="21"/>
                <w:highlight w:val="none"/>
                <w:u w:val="single"/>
              </w:rPr>
              <w:t>时</w:t>
            </w:r>
            <w:r>
              <w:rPr>
                <w:rFonts w:hint="eastAsia"/>
                <w:bCs/>
                <w:color w:val="auto"/>
                <w:sz w:val="21"/>
                <w:szCs w:val="21"/>
                <w:highlight w:val="none"/>
                <w:u w:val="single"/>
                <w:lang w:val="en-US" w:eastAsia="zh-CN"/>
              </w:rPr>
              <w:t>30</w:t>
            </w:r>
            <w:r>
              <w:rPr>
                <w:rFonts w:hint="eastAsia" w:ascii="宋体"/>
                <w:bCs/>
                <w:color w:val="auto"/>
                <w:sz w:val="21"/>
                <w:szCs w:val="21"/>
                <w:highlight w:val="none"/>
                <w:u w:val="single"/>
              </w:rPr>
              <w:t xml:space="preserve"> 分</w:t>
            </w:r>
            <w:r>
              <w:rPr>
                <w:rFonts w:hint="eastAsia" w:ascii="宋体"/>
                <w:bCs/>
                <w:color w:val="auto"/>
                <w:sz w:val="21"/>
                <w:szCs w:val="21"/>
                <w:highlight w:val="none"/>
              </w:rPr>
              <w:t>（北京时间）前递交电子响应文件</w:t>
            </w:r>
            <w:r>
              <w:rPr>
                <w:rFonts w:hint="eastAsia" w:ascii="宋体"/>
                <w:color w:val="auto"/>
                <w:sz w:val="21"/>
                <w:szCs w:val="21"/>
                <w:highlight w:val="none"/>
              </w:rPr>
              <w:t>。</w:t>
            </w:r>
          </w:p>
        </w:tc>
      </w:tr>
    </w:tbl>
    <w:p w14:paraId="2D8EEABC">
      <w:pPr>
        <w:pStyle w:val="28"/>
        <w:spacing w:line="360" w:lineRule="exact"/>
        <w:rPr>
          <w:rFonts w:hint="eastAsia" w:ascii="宋体"/>
          <w:b/>
          <w:color w:val="auto"/>
          <w:sz w:val="21"/>
          <w:szCs w:val="21"/>
          <w:highlight w:val="none"/>
        </w:rPr>
      </w:pPr>
      <w:r>
        <w:rPr>
          <w:rFonts w:hint="eastAsia" w:ascii="宋体"/>
          <w:b/>
          <w:color w:val="auto"/>
          <w:sz w:val="21"/>
          <w:szCs w:val="21"/>
          <w:highlight w:val="none"/>
        </w:rPr>
        <w:t>一、项目基本情况</w:t>
      </w:r>
    </w:p>
    <w:p w14:paraId="54D28527">
      <w:pPr>
        <w:pStyle w:val="28"/>
        <w:spacing w:line="360" w:lineRule="exact"/>
        <w:rPr>
          <w:rFonts w:hint="eastAsia" w:ascii="宋体"/>
          <w:color w:val="auto"/>
          <w:sz w:val="21"/>
          <w:szCs w:val="21"/>
          <w:highlight w:val="none"/>
        </w:rPr>
      </w:pPr>
      <w:r>
        <w:rPr>
          <w:rFonts w:hint="eastAsia" w:ascii="宋体"/>
          <w:color w:val="auto"/>
          <w:sz w:val="21"/>
          <w:szCs w:val="21"/>
          <w:highlight w:val="none"/>
        </w:rPr>
        <w:t>项目编号：</w:t>
      </w:r>
      <w:r>
        <w:rPr>
          <w:rFonts w:hint="eastAsia"/>
          <w:color w:val="auto"/>
          <w:sz w:val="21"/>
          <w:szCs w:val="21"/>
          <w:highlight w:val="none"/>
          <w:lang w:eastAsia="zh-CN"/>
        </w:rPr>
        <w:t>GLZC2026-C2-280033-GXGX</w:t>
      </w:r>
      <w:r>
        <w:rPr>
          <w:rFonts w:hint="eastAsia" w:ascii="宋体"/>
          <w:color w:val="auto"/>
          <w:sz w:val="21"/>
          <w:szCs w:val="21"/>
          <w:highlight w:val="none"/>
          <w:lang w:val="en-US" w:eastAsia="zh-CN"/>
        </w:rPr>
        <w:t xml:space="preserve"> </w:t>
      </w:r>
      <w:r>
        <w:rPr>
          <w:rFonts w:hint="eastAsia" w:ascii="宋体"/>
          <w:color w:val="auto"/>
          <w:sz w:val="21"/>
          <w:szCs w:val="21"/>
          <w:highlight w:val="none"/>
        </w:rPr>
        <w:t xml:space="preserve">                  </w:t>
      </w:r>
    </w:p>
    <w:p w14:paraId="466F18B8">
      <w:pPr>
        <w:pStyle w:val="28"/>
        <w:spacing w:line="360" w:lineRule="exact"/>
        <w:rPr>
          <w:rFonts w:hint="eastAsia" w:ascii="宋体"/>
          <w:color w:val="auto"/>
          <w:sz w:val="21"/>
          <w:szCs w:val="21"/>
          <w:highlight w:val="none"/>
        </w:rPr>
      </w:pPr>
      <w:r>
        <w:rPr>
          <w:rFonts w:hint="eastAsia" w:ascii="宋体"/>
          <w:color w:val="auto"/>
          <w:sz w:val="21"/>
          <w:szCs w:val="21"/>
          <w:highlight w:val="none"/>
        </w:rPr>
        <w:t>项目名称：</w:t>
      </w:r>
      <w:r>
        <w:rPr>
          <w:rFonts w:hint="eastAsia"/>
          <w:color w:val="auto"/>
          <w:sz w:val="21"/>
          <w:szCs w:val="21"/>
          <w:highlight w:val="none"/>
          <w:lang w:eastAsia="zh-CN"/>
        </w:rPr>
        <w:t>龙胜各族自治县平等镇平等小学塑胶操场</w:t>
      </w:r>
      <w:r>
        <w:rPr>
          <w:rFonts w:hint="eastAsia" w:ascii="宋体"/>
          <w:color w:val="auto"/>
          <w:sz w:val="21"/>
          <w:szCs w:val="21"/>
          <w:highlight w:val="none"/>
        </w:rPr>
        <w:t xml:space="preserve">                      </w:t>
      </w:r>
    </w:p>
    <w:p w14:paraId="149CB93D">
      <w:pPr>
        <w:pStyle w:val="28"/>
        <w:spacing w:line="360" w:lineRule="exact"/>
        <w:rPr>
          <w:rFonts w:hint="eastAsia" w:ascii="宋体"/>
          <w:color w:val="auto"/>
          <w:sz w:val="21"/>
          <w:szCs w:val="21"/>
          <w:highlight w:val="none"/>
        </w:rPr>
      </w:pPr>
      <w:r>
        <w:rPr>
          <w:rFonts w:hint="eastAsia" w:ascii="宋体"/>
          <w:color w:val="auto"/>
          <w:sz w:val="21"/>
          <w:szCs w:val="21"/>
          <w:highlight w:val="none"/>
        </w:rPr>
        <w:t>采购方式：竞争性磋商</w:t>
      </w:r>
    </w:p>
    <w:p w14:paraId="39D4D401">
      <w:pPr>
        <w:pStyle w:val="28"/>
        <w:spacing w:line="360" w:lineRule="exact"/>
        <w:rPr>
          <w:rFonts w:hint="eastAsia" w:ascii="宋体"/>
          <w:color w:val="auto"/>
          <w:sz w:val="21"/>
          <w:szCs w:val="21"/>
          <w:highlight w:val="none"/>
        </w:rPr>
      </w:pPr>
      <w:r>
        <w:rPr>
          <w:rFonts w:hint="eastAsia" w:ascii="宋体"/>
          <w:color w:val="auto"/>
          <w:sz w:val="21"/>
          <w:szCs w:val="21"/>
          <w:highlight w:val="none"/>
        </w:rPr>
        <w:t>预算总金额（元）：</w:t>
      </w:r>
      <w:r>
        <w:rPr>
          <w:rFonts w:hint="eastAsia"/>
          <w:color w:val="auto"/>
          <w:sz w:val="21"/>
          <w:szCs w:val="21"/>
          <w:highlight w:val="none"/>
          <w:lang w:eastAsia="zh-CN"/>
        </w:rPr>
        <w:t>1022385.56</w:t>
      </w:r>
      <w:r>
        <w:rPr>
          <w:rFonts w:hint="eastAsia" w:ascii="宋体"/>
          <w:color w:val="auto"/>
          <w:sz w:val="21"/>
          <w:szCs w:val="21"/>
          <w:highlight w:val="none"/>
        </w:rPr>
        <w:t xml:space="preserve">                                </w:t>
      </w:r>
    </w:p>
    <w:p w14:paraId="575CBEF6">
      <w:pPr>
        <w:pStyle w:val="28"/>
        <w:spacing w:line="360" w:lineRule="exact"/>
        <w:rPr>
          <w:rFonts w:hint="eastAsia" w:ascii="宋体"/>
          <w:b/>
          <w:color w:val="auto"/>
          <w:sz w:val="21"/>
          <w:szCs w:val="21"/>
          <w:highlight w:val="none"/>
        </w:rPr>
      </w:pPr>
      <w:r>
        <w:rPr>
          <w:rFonts w:hint="eastAsia" w:ascii="宋体"/>
          <w:b/>
          <w:color w:val="auto"/>
          <w:sz w:val="21"/>
          <w:szCs w:val="21"/>
          <w:highlight w:val="none"/>
        </w:rPr>
        <w:t>采购需求：</w:t>
      </w:r>
    </w:p>
    <w:p w14:paraId="14105E0D">
      <w:pPr>
        <w:pStyle w:val="28"/>
        <w:spacing w:line="360" w:lineRule="exact"/>
        <w:rPr>
          <w:rFonts w:hint="eastAsia" w:ascii="宋体"/>
          <w:b/>
          <w:bCs/>
          <w:color w:val="auto"/>
          <w:sz w:val="21"/>
          <w:szCs w:val="21"/>
          <w:highlight w:val="none"/>
        </w:rPr>
      </w:pPr>
      <w:r>
        <w:rPr>
          <w:rFonts w:hint="eastAsia" w:ascii="宋体"/>
          <w:b/>
          <w:bCs/>
          <w:color w:val="auto"/>
          <w:sz w:val="21"/>
          <w:szCs w:val="21"/>
          <w:highlight w:val="none"/>
        </w:rPr>
        <w:t>标项一</w:t>
      </w:r>
    </w:p>
    <w:p w14:paraId="76ABEFFA">
      <w:pPr>
        <w:pStyle w:val="28"/>
        <w:spacing w:line="360" w:lineRule="exact"/>
        <w:rPr>
          <w:rFonts w:hint="eastAsia" w:ascii="宋体" w:eastAsia="宋体"/>
          <w:color w:val="auto"/>
          <w:sz w:val="21"/>
          <w:szCs w:val="21"/>
          <w:highlight w:val="none"/>
          <w:lang w:eastAsia="zh-CN"/>
        </w:rPr>
      </w:pPr>
      <w:r>
        <w:rPr>
          <w:rFonts w:hint="eastAsia" w:ascii="宋体"/>
          <w:color w:val="auto"/>
          <w:sz w:val="21"/>
          <w:szCs w:val="21"/>
          <w:highlight w:val="none"/>
        </w:rPr>
        <w:t>标项名称：</w:t>
      </w:r>
      <w:r>
        <w:rPr>
          <w:rFonts w:hint="eastAsia"/>
          <w:color w:val="auto"/>
          <w:sz w:val="21"/>
          <w:szCs w:val="21"/>
          <w:highlight w:val="none"/>
          <w:lang w:eastAsia="zh-CN"/>
        </w:rPr>
        <w:t>龙胜各族自治县平等镇平等小学塑胶操场</w:t>
      </w:r>
    </w:p>
    <w:p w14:paraId="49DA6AE7">
      <w:pPr>
        <w:pStyle w:val="28"/>
        <w:spacing w:line="360" w:lineRule="exact"/>
        <w:rPr>
          <w:rFonts w:hint="eastAsia" w:ascii="宋体"/>
          <w:color w:val="auto"/>
          <w:sz w:val="21"/>
          <w:szCs w:val="21"/>
          <w:highlight w:val="none"/>
        </w:rPr>
      </w:pPr>
      <w:r>
        <w:rPr>
          <w:rFonts w:hint="eastAsia" w:ascii="宋体"/>
          <w:color w:val="auto"/>
          <w:sz w:val="21"/>
          <w:szCs w:val="21"/>
          <w:highlight w:val="none"/>
        </w:rPr>
        <w:t>数量：1</w:t>
      </w:r>
    </w:p>
    <w:p w14:paraId="7300A503">
      <w:pPr>
        <w:pStyle w:val="28"/>
        <w:spacing w:line="360" w:lineRule="exact"/>
        <w:rPr>
          <w:rFonts w:hint="default" w:ascii="宋体" w:eastAsia="宋体"/>
          <w:color w:val="auto"/>
          <w:sz w:val="21"/>
          <w:szCs w:val="21"/>
          <w:highlight w:val="none"/>
          <w:lang w:val="en-US" w:eastAsia="zh-CN"/>
        </w:rPr>
      </w:pPr>
      <w:r>
        <w:rPr>
          <w:rFonts w:hint="eastAsia" w:ascii="宋体"/>
          <w:color w:val="auto"/>
          <w:sz w:val="21"/>
          <w:szCs w:val="21"/>
          <w:highlight w:val="none"/>
        </w:rPr>
        <w:t>预算金额（元）：</w:t>
      </w:r>
      <w:r>
        <w:rPr>
          <w:rFonts w:hint="eastAsia"/>
          <w:color w:val="auto"/>
          <w:sz w:val="21"/>
          <w:szCs w:val="21"/>
          <w:highlight w:val="none"/>
          <w:lang w:eastAsia="zh-CN"/>
        </w:rPr>
        <w:t>1022385.56</w:t>
      </w:r>
    </w:p>
    <w:p w14:paraId="0AFF88AB">
      <w:pPr>
        <w:spacing w:line="300" w:lineRule="exact"/>
        <w:ind w:firstLine="420" w:firstLineChars="200"/>
        <w:rPr>
          <w:rFonts w:hint="eastAsia" w:ascii="宋体"/>
          <w:color w:val="auto"/>
          <w:sz w:val="21"/>
          <w:szCs w:val="21"/>
          <w:highlight w:val="none"/>
        </w:rPr>
      </w:pPr>
      <w:r>
        <w:rPr>
          <w:rFonts w:hint="eastAsia" w:ascii="宋体"/>
          <w:color w:val="auto"/>
          <w:sz w:val="21"/>
          <w:szCs w:val="21"/>
          <w:highlight w:val="none"/>
        </w:rPr>
        <w:t>简要规格描述或项目基本概况介绍、用途：</w:t>
      </w:r>
    </w:p>
    <w:p w14:paraId="6A62F130">
      <w:pPr>
        <w:numPr>
          <w:ilvl w:val="0"/>
          <w:numId w:val="1"/>
        </w:numPr>
        <w:spacing w:line="300" w:lineRule="exact"/>
        <w:ind w:left="0" w:firstLine="420" w:firstLineChars="200"/>
        <w:rPr>
          <w:rFonts w:hint="eastAsia" w:ascii="宋体" w:cs="宋体"/>
          <w:color w:val="auto"/>
          <w:sz w:val="21"/>
          <w:szCs w:val="21"/>
          <w:highlight w:val="none"/>
          <w:lang w:bidi="ar-SA"/>
        </w:rPr>
      </w:pPr>
      <w:r>
        <w:rPr>
          <w:rFonts w:hint="eastAsia" w:ascii="宋体" w:cs="宋体"/>
          <w:color w:val="auto"/>
          <w:sz w:val="21"/>
          <w:szCs w:val="21"/>
          <w:highlight w:val="none"/>
          <w:lang w:bidi="ar-SA"/>
        </w:rPr>
        <w:t>建设地点：</w:t>
      </w:r>
      <w:r>
        <w:rPr>
          <w:rFonts w:hint="eastAsia"/>
          <w:color w:val="auto"/>
          <w:sz w:val="21"/>
          <w:szCs w:val="21"/>
          <w:highlight w:val="none"/>
          <w:lang w:eastAsia="zh-CN"/>
        </w:rPr>
        <w:t>龙胜各族自治县平等镇</w:t>
      </w:r>
      <w:r>
        <w:rPr>
          <w:rFonts w:hint="eastAsia" w:ascii="宋体" w:cs="宋体"/>
          <w:color w:val="auto"/>
          <w:sz w:val="21"/>
          <w:szCs w:val="21"/>
          <w:highlight w:val="none"/>
          <w:lang w:bidi="ar-SA"/>
        </w:rPr>
        <w:t>；</w:t>
      </w:r>
    </w:p>
    <w:p w14:paraId="376EB87C">
      <w:pPr>
        <w:numPr>
          <w:ilvl w:val="0"/>
          <w:numId w:val="0"/>
        </w:numPr>
        <w:tabs>
          <w:tab w:val="left" w:pos="0"/>
        </w:tabs>
        <w:spacing w:line="300" w:lineRule="exact"/>
        <w:ind w:leftChars="200"/>
        <w:rPr>
          <w:rFonts w:hint="eastAsia" w:ascii="宋体" w:cs="宋体"/>
          <w:color w:val="auto"/>
          <w:sz w:val="21"/>
          <w:szCs w:val="21"/>
          <w:highlight w:val="none"/>
          <w:lang w:bidi="ar-SA"/>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工程内容：新建塑胶操场面积约4500平方米</w:t>
      </w:r>
      <w:r>
        <w:rPr>
          <w:rFonts w:hint="eastAsia" w:ascii="宋体"/>
          <w:color w:val="auto"/>
          <w:sz w:val="21"/>
          <w:szCs w:val="21"/>
          <w:highlight w:val="none"/>
          <w:lang w:eastAsia="zh-CN"/>
        </w:rPr>
        <w:t>。</w:t>
      </w:r>
    </w:p>
    <w:p w14:paraId="7B81BA68">
      <w:pPr>
        <w:numPr>
          <w:ilvl w:val="0"/>
          <w:numId w:val="0"/>
        </w:numPr>
        <w:tabs>
          <w:tab w:val="left" w:pos="0"/>
        </w:tabs>
        <w:spacing w:line="300" w:lineRule="exact"/>
        <w:ind w:leftChars="200"/>
        <w:rPr>
          <w:rFonts w:hint="eastAsia" w:ascii="宋体" w:cs="宋体"/>
          <w:color w:val="auto"/>
          <w:sz w:val="21"/>
          <w:szCs w:val="21"/>
          <w:highlight w:val="none"/>
          <w:lang w:bidi="ar-SA"/>
        </w:rPr>
      </w:pPr>
      <w:r>
        <w:rPr>
          <w:rFonts w:hint="eastAsia" w:ascii="宋体" w:cs="宋体"/>
          <w:color w:val="auto"/>
          <w:sz w:val="21"/>
          <w:szCs w:val="21"/>
          <w:highlight w:val="none"/>
          <w:lang w:eastAsia="zh-CN" w:bidi="ar-SA"/>
        </w:rPr>
        <w:t>（</w:t>
      </w:r>
      <w:r>
        <w:rPr>
          <w:rFonts w:hint="eastAsia" w:ascii="宋体" w:cs="宋体"/>
          <w:color w:val="auto"/>
          <w:sz w:val="21"/>
          <w:szCs w:val="21"/>
          <w:highlight w:val="none"/>
          <w:lang w:val="en-US" w:eastAsia="zh-CN" w:bidi="ar-SA"/>
        </w:rPr>
        <w:t>3</w:t>
      </w:r>
      <w:r>
        <w:rPr>
          <w:rFonts w:hint="eastAsia" w:ascii="宋体" w:cs="宋体"/>
          <w:color w:val="auto"/>
          <w:sz w:val="21"/>
          <w:szCs w:val="21"/>
          <w:highlight w:val="none"/>
          <w:lang w:eastAsia="zh-CN" w:bidi="ar-SA"/>
        </w:rPr>
        <w:t>）</w:t>
      </w:r>
      <w:r>
        <w:rPr>
          <w:rFonts w:hint="eastAsia" w:ascii="宋体" w:cs="宋体"/>
          <w:color w:val="auto"/>
          <w:sz w:val="21"/>
          <w:szCs w:val="21"/>
          <w:highlight w:val="none"/>
          <w:lang w:bidi="ar-SA"/>
        </w:rPr>
        <w:t>要求工期：</w:t>
      </w:r>
      <w:r>
        <w:rPr>
          <w:rFonts w:hint="eastAsia" w:ascii="宋体" w:cs="宋体"/>
          <w:color w:val="auto"/>
          <w:sz w:val="21"/>
          <w:szCs w:val="21"/>
          <w:highlight w:val="none"/>
          <w:lang w:val="en-US" w:eastAsia="zh-CN" w:bidi="ar-SA"/>
        </w:rPr>
        <w:t>60</w:t>
      </w:r>
      <w:r>
        <w:rPr>
          <w:rFonts w:hint="eastAsia" w:ascii="宋体" w:cs="宋体"/>
          <w:color w:val="auto"/>
          <w:sz w:val="21"/>
          <w:szCs w:val="21"/>
          <w:highlight w:val="none"/>
          <w:lang w:eastAsia="zh-CN" w:bidi="ar-SA"/>
        </w:rPr>
        <w:t>个日历天</w:t>
      </w:r>
      <w:r>
        <w:rPr>
          <w:rFonts w:hint="eastAsia" w:ascii="宋体" w:cs="宋体"/>
          <w:color w:val="auto"/>
          <w:sz w:val="21"/>
          <w:szCs w:val="21"/>
          <w:highlight w:val="none"/>
          <w:lang w:bidi="ar-SA"/>
        </w:rPr>
        <w:t>；</w:t>
      </w:r>
    </w:p>
    <w:p w14:paraId="7BD447BA">
      <w:pPr>
        <w:numPr>
          <w:ilvl w:val="0"/>
          <w:numId w:val="0"/>
        </w:numPr>
        <w:tabs>
          <w:tab w:val="left" w:pos="0"/>
        </w:tabs>
        <w:spacing w:line="300" w:lineRule="exact"/>
        <w:ind w:leftChars="200"/>
        <w:rPr>
          <w:rFonts w:hint="eastAsia" w:ascii="宋体" w:cs="宋体"/>
          <w:color w:val="auto"/>
          <w:sz w:val="21"/>
          <w:szCs w:val="21"/>
          <w:highlight w:val="none"/>
          <w:lang w:bidi="ar-SA"/>
        </w:rPr>
      </w:pPr>
      <w:r>
        <w:rPr>
          <w:rFonts w:hint="eastAsia" w:ascii="宋体" w:cs="宋体"/>
          <w:color w:val="auto"/>
          <w:sz w:val="21"/>
          <w:szCs w:val="21"/>
          <w:highlight w:val="none"/>
          <w:lang w:eastAsia="zh-CN" w:bidi="ar-SA"/>
        </w:rPr>
        <w:t>（</w:t>
      </w:r>
      <w:r>
        <w:rPr>
          <w:rFonts w:hint="eastAsia" w:ascii="宋体" w:cs="宋体"/>
          <w:color w:val="auto"/>
          <w:sz w:val="21"/>
          <w:szCs w:val="21"/>
          <w:highlight w:val="none"/>
          <w:lang w:val="en-US" w:eastAsia="zh-CN" w:bidi="ar-SA"/>
        </w:rPr>
        <w:t>4</w:t>
      </w:r>
      <w:r>
        <w:rPr>
          <w:rFonts w:hint="eastAsia" w:ascii="宋体" w:cs="宋体"/>
          <w:color w:val="auto"/>
          <w:sz w:val="21"/>
          <w:szCs w:val="21"/>
          <w:highlight w:val="none"/>
          <w:lang w:eastAsia="zh-CN" w:bidi="ar-SA"/>
        </w:rPr>
        <w:t>）</w:t>
      </w:r>
      <w:r>
        <w:rPr>
          <w:rFonts w:hint="eastAsia" w:ascii="宋体" w:cs="宋体"/>
          <w:color w:val="auto"/>
          <w:sz w:val="21"/>
          <w:szCs w:val="21"/>
          <w:highlight w:val="none"/>
          <w:lang w:bidi="ar-SA"/>
        </w:rPr>
        <w:t>质量要求：达到国家施工验收规范合格标准；</w:t>
      </w:r>
    </w:p>
    <w:p w14:paraId="18085FE8">
      <w:pPr>
        <w:numPr>
          <w:ilvl w:val="0"/>
          <w:numId w:val="0"/>
        </w:numPr>
        <w:tabs>
          <w:tab w:val="left" w:pos="0"/>
        </w:tabs>
        <w:spacing w:line="300" w:lineRule="exact"/>
        <w:ind w:leftChars="200"/>
        <w:rPr>
          <w:rFonts w:hint="eastAsia" w:ascii="宋体" w:cs="宋体"/>
          <w:color w:val="auto"/>
          <w:sz w:val="21"/>
          <w:szCs w:val="21"/>
          <w:highlight w:val="none"/>
          <w:lang w:bidi="ar-SA"/>
        </w:rPr>
      </w:pPr>
      <w:r>
        <w:rPr>
          <w:rFonts w:hint="eastAsia" w:ascii="宋体" w:cs="宋体"/>
          <w:color w:val="auto"/>
          <w:sz w:val="21"/>
          <w:szCs w:val="21"/>
          <w:highlight w:val="none"/>
          <w:lang w:eastAsia="zh-CN" w:bidi="ar-SA"/>
        </w:rPr>
        <w:t>（</w:t>
      </w:r>
      <w:r>
        <w:rPr>
          <w:rFonts w:hint="eastAsia" w:ascii="宋体" w:cs="宋体"/>
          <w:color w:val="auto"/>
          <w:sz w:val="21"/>
          <w:szCs w:val="21"/>
          <w:highlight w:val="none"/>
          <w:lang w:val="en-US" w:eastAsia="zh-CN" w:bidi="ar-SA"/>
        </w:rPr>
        <w:t>5</w:t>
      </w:r>
      <w:r>
        <w:rPr>
          <w:rFonts w:hint="eastAsia" w:ascii="宋体" w:cs="宋体"/>
          <w:color w:val="auto"/>
          <w:sz w:val="21"/>
          <w:szCs w:val="21"/>
          <w:highlight w:val="none"/>
          <w:lang w:eastAsia="zh-CN" w:bidi="ar-SA"/>
        </w:rPr>
        <w:t>）</w:t>
      </w:r>
      <w:r>
        <w:rPr>
          <w:rFonts w:hint="eastAsia" w:ascii="宋体" w:cs="宋体"/>
          <w:color w:val="auto"/>
          <w:sz w:val="21"/>
          <w:szCs w:val="21"/>
          <w:highlight w:val="none"/>
          <w:lang w:bidi="ar-SA"/>
        </w:rPr>
        <w:t>采购范围：施工图纸范围内的工程，具体情况详见施工图纸及工程量清单；</w:t>
      </w:r>
    </w:p>
    <w:p w14:paraId="4CDA8116">
      <w:pPr>
        <w:spacing w:line="300" w:lineRule="exact"/>
        <w:ind w:left="420" w:leftChars="200"/>
        <w:rPr>
          <w:rFonts w:hint="eastAsia" w:ascii="宋体"/>
          <w:color w:val="auto"/>
          <w:sz w:val="21"/>
          <w:szCs w:val="21"/>
          <w:highlight w:val="none"/>
        </w:rPr>
      </w:pPr>
      <w:r>
        <w:rPr>
          <w:rFonts w:hint="eastAsia" w:ascii="宋体"/>
          <w:color w:val="auto"/>
          <w:sz w:val="21"/>
          <w:szCs w:val="21"/>
          <w:highlight w:val="none"/>
        </w:rPr>
        <w:t>如需进一步了解详细内容，详见竞争性磋商文件。</w:t>
      </w:r>
    </w:p>
    <w:p w14:paraId="22A0E641">
      <w:pPr>
        <w:pStyle w:val="28"/>
        <w:spacing w:line="360" w:lineRule="exact"/>
        <w:rPr>
          <w:rFonts w:hint="eastAsia" w:ascii="宋体" w:eastAsia="宋体"/>
          <w:color w:val="auto"/>
          <w:sz w:val="21"/>
          <w:szCs w:val="21"/>
          <w:highlight w:val="none"/>
          <w:lang w:val="en-US" w:eastAsia="zh-CN"/>
        </w:rPr>
      </w:pPr>
      <w:r>
        <w:rPr>
          <w:rFonts w:hint="eastAsia" w:ascii="宋体" w:cs="宋体"/>
          <w:color w:val="auto"/>
          <w:sz w:val="21"/>
          <w:szCs w:val="21"/>
          <w:highlight w:val="none"/>
          <w:lang w:bidi="ar-SA"/>
        </w:rPr>
        <w:t>最高限价（如有）：</w:t>
      </w:r>
      <w:r>
        <w:rPr>
          <w:rFonts w:hint="eastAsia" w:cs="宋体"/>
          <w:color w:val="auto"/>
          <w:sz w:val="21"/>
          <w:szCs w:val="21"/>
          <w:highlight w:val="none"/>
          <w:lang w:eastAsia="zh-CN" w:bidi="ar-SA"/>
        </w:rPr>
        <w:t>1022385.56</w:t>
      </w:r>
      <w:r>
        <w:rPr>
          <w:rFonts w:hint="eastAsia" w:ascii="宋体"/>
          <w:color w:val="auto"/>
          <w:sz w:val="21"/>
          <w:szCs w:val="21"/>
          <w:highlight w:val="none"/>
          <w:lang w:val="en-US" w:eastAsia="zh-CN"/>
        </w:rPr>
        <w:t xml:space="preserve">元 </w:t>
      </w:r>
    </w:p>
    <w:p w14:paraId="442F1090">
      <w:pPr>
        <w:pStyle w:val="28"/>
        <w:spacing w:line="360" w:lineRule="exact"/>
        <w:rPr>
          <w:rFonts w:hint="eastAsia" w:ascii="宋体" w:cs="宋体"/>
          <w:bCs/>
          <w:color w:val="auto"/>
          <w:kern w:val="0"/>
          <w:sz w:val="21"/>
          <w:szCs w:val="21"/>
          <w:highlight w:val="none"/>
          <w:lang w:bidi="ar-SA"/>
        </w:rPr>
      </w:pPr>
      <w:r>
        <w:rPr>
          <w:rFonts w:hint="eastAsia" w:ascii="宋体"/>
          <w:color w:val="auto"/>
          <w:sz w:val="21"/>
          <w:szCs w:val="21"/>
          <w:highlight w:val="none"/>
        </w:rPr>
        <w:t>合同履行期限：</w:t>
      </w:r>
      <w:r>
        <w:rPr>
          <w:rFonts w:hint="eastAsia" w:ascii="宋体" w:cs="宋体"/>
          <w:bCs/>
          <w:color w:val="auto"/>
          <w:kern w:val="0"/>
          <w:sz w:val="21"/>
          <w:szCs w:val="21"/>
          <w:highlight w:val="none"/>
          <w:lang w:bidi="ar-SA"/>
        </w:rPr>
        <w:t>自合同签订之日起至免费保修期满止。</w:t>
      </w:r>
      <w:r>
        <w:rPr>
          <w:rFonts w:hint="eastAsia" w:ascii="宋体"/>
          <w:color w:val="auto"/>
          <w:sz w:val="21"/>
          <w:szCs w:val="21"/>
          <w:highlight w:val="none"/>
        </w:rPr>
        <w:t xml:space="preserve"> </w:t>
      </w:r>
    </w:p>
    <w:p w14:paraId="1A2C1CA8">
      <w:pPr>
        <w:pStyle w:val="28"/>
        <w:spacing w:line="360" w:lineRule="exact"/>
        <w:rPr>
          <w:rFonts w:hint="eastAsia" w:ascii="宋体"/>
          <w:color w:val="auto"/>
          <w:sz w:val="21"/>
          <w:szCs w:val="21"/>
          <w:highlight w:val="none"/>
        </w:rPr>
      </w:pPr>
      <w:r>
        <w:rPr>
          <w:rFonts w:hint="eastAsia" w:ascii="宋体"/>
          <w:color w:val="auto"/>
          <w:sz w:val="21"/>
          <w:szCs w:val="21"/>
          <w:highlight w:val="none"/>
        </w:rPr>
        <w:t>本标项</w:t>
      </w:r>
      <w:r>
        <w:rPr>
          <w:rFonts w:hint="eastAsia" w:ascii="宋体"/>
          <w:color w:val="auto"/>
          <w:sz w:val="21"/>
          <w:szCs w:val="21"/>
          <w:highlight w:val="none"/>
          <w:u w:val="single"/>
        </w:rPr>
        <w:t>（否）</w:t>
      </w:r>
      <w:r>
        <w:rPr>
          <w:rFonts w:hint="eastAsia" w:ascii="宋体"/>
          <w:color w:val="auto"/>
          <w:sz w:val="21"/>
          <w:szCs w:val="21"/>
          <w:highlight w:val="none"/>
        </w:rPr>
        <w:t>接受联合体</w:t>
      </w:r>
    </w:p>
    <w:p w14:paraId="0BBCAB66">
      <w:pPr>
        <w:pStyle w:val="28"/>
        <w:spacing w:line="360" w:lineRule="exact"/>
        <w:rPr>
          <w:rFonts w:hint="eastAsia" w:ascii="宋体"/>
          <w:color w:val="auto"/>
          <w:sz w:val="21"/>
          <w:szCs w:val="21"/>
          <w:highlight w:val="none"/>
        </w:rPr>
      </w:pPr>
      <w:r>
        <w:rPr>
          <w:rFonts w:hint="eastAsia" w:ascii="宋体"/>
          <w:color w:val="auto"/>
          <w:sz w:val="21"/>
          <w:szCs w:val="21"/>
          <w:highlight w:val="none"/>
        </w:rPr>
        <w:t>备注：/</w:t>
      </w:r>
    </w:p>
    <w:p w14:paraId="6096F1FD">
      <w:pPr>
        <w:pStyle w:val="28"/>
        <w:spacing w:line="360" w:lineRule="exact"/>
        <w:rPr>
          <w:rFonts w:hint="eastAsia" w:ascii="宋体"/>
          <w:b/>
          <w:color w:val="auto"/>
          <w:sz w:val="21"/>
          <w:szCs w:val="21"/>
          <w:highlight w:val="none"/>
        </w:rPr>
      </w:pPr>
      <w:r>
        <w:rPr>
          <w:rFonts w:hint="eastAsia" w:ascii="宋体"/>
          <w:b/>
          <w:color w:val="auto"/>
          <w:sz w:val="21"/>
          <w:szCs w:val="21"/>
          <w:highlight w:val="none"/>
        </w:rPr>
        <w:t>二、申请人的资格要求：</w:t>
      </w:r>
    </w:p>
    <w:p w14:paraId="32F3DF8A">
      <w:pPr>
        <w:pStyle w:val="28"/>
        <w:spacing w:line="400" w:lineRule="exact"/>
        <w:rPr>
          <w:rFonts w:hint="eastAsia" w:ascii="宋体"/>
          <w:color w:val="auto"/>
          <w:sz w:val="21"/>
          <w:szCs w:val="21"/>
          <w:highlight w:val="none"/>
        </w:rPr>
      </w:pPr>
      <w:r>
        <w:rPr>
          <w:rFonts w:hint="eastAsia" w:ascii="宋体"/>
          <w:color w:val="auto"/>
          <w:sz w:val="21"/>
          <w:szCs w:val="21"/>
          <w:highlight w:val="none"/>
        </w:rPr>
        <w:t>1.满足《中华人民共和国政府采购法》第二十二条规定；</w:t>
      </w:r>
    </w:p>
    <w:p w14:paraId="2DE7051F">
      <w:pPr>
        <w:pStyle w:val="28"/>
        <w:spacing w:line="400" w:lineRule="exact"/>
        <w:rPr>
          <w:rFonts w:hint="eastAsia" w:ascii="宋体"/>
          <w:b/>
          <w:bCs/>
          <w:color w:val="auto"/>
          <w:sz w:val="21"/>
          <w:szCs w:val="21"/>
          <w:highlight w:val="none"/>
        </w:rPr>
      </w:pPr>
      <w:r>
        <w:rPr>
          <w:rFonts w:hint="eastAsia" w:ascii="宋体"/>
          <w:color w:val="auto"/>
          <w:sz w:val="21"/>
          <w:szCs w:val="21"/>
          <w:highlight w:val="none"/>
        </w:rPr>
        <w:t>2.落实政府采购政策需满足的资格要求：</w:t>
      </w:r>
      <w:r>
        <w:rPr>
          <w:rFonts w:hint="eastAsia" w:ascii="宋体"/>
          <w:b/>
          <w:bCs/>
          <w:color w:val="auto"/>
          <w:sz w:val="21"/>
          <w:szCs w:val="21"/>
          <w:highlight w:val="none"/>
        </w:rPr>
        <w:t>专门面向</w:t>
      </w:r>
      <w:r>
        <w:rPr>
          <w:rFonts w:hint="eastAsia"/>
          <w:b/>
          <w:bCs/>
          <w:color w:val="auto"/>
          <w:sz w:val="21"/>
          <w:szCs w:val="21"/>
          <w:highlight w:val="none"/>
          <w:lang w:eastAsia="zh-CN"/>
        </w:rPr>
        <w:t>小</w:t>
      </w:r>
      <w:r>
        <w:rPr>
          <w:rFonts w:hint="eastAsia"/>
          <w:b/>
          <w:bCs/>
          <w:color w:val="auto"/>
          <w:sz w:val="21"/>
          <w:szCs w:val="21"/>
          <w:highlight w:val="none"/>
          <w:lang w:val="en-US" w:eastAsia="zh-CN"/>
        </w:rPr>
        <w:t>微</w:t>
      </w:r>
      <w:r>
        <w:rPr>
          <w:rFonts w:hint="eastAsia" w:ascii="宋体"/>
          <w:b/>
          <w:bCs/>
          <w:color w:val="auto"/>
          <w:sz w:val="21"/>
          <w:szCs w:val="21"/>
          <w:highlight w:val="none"/>
        </w:rPr>
        <w:t>企业采购的项目（供应商应为小微企业或监狱企业或残疾人福利性单位) ；</w:t>
      </w:r>
    </w:p>
    <w:p w14:paraId="30C86903">
      <w:pPr>
        <w:spacing w:line="400" w:lineRule="exact"/>
        <w:ind w:firstLine="420" w:firstLineChars="200"/>
        <w:rPr>
          <w:rFonts w:hint="eastAsia" w:ascii="宋体" w:hAnsi="宋体"/>
          <w:b/>
          <w:bCs/>
          <w:color w:val="auto"/>
          <w:sz w:val="21"/>
          <w:szCs w:val="21"/>
          <w:highlight w:val="none"/>
        </w:rPr>
      </w:pPr>
      <w:r>
        <w:rPr>
          <w:rFonts w:hint="eastAsia" w:ascii="宋体"/>
          <w:color w:val="auto"/>
          <w:sz w:val="21"/>
          <w:szCs w:val="21"/>
          <w:highlight w:val="none"/>
        </w:rPr>
        <w:t>3.本项目的特定资格要求：</w:t>
      </w:r>
      <w:r>
        <w:rPr>
          <w:rFonts w:hint="eastAsia" w:ascii="宋体" w:hAnsi="宋体"/>
          <w:b/>
          <w:bCs/>
          <w:color w:val="auto"/>
          <w:sz w:val="21"/>
          <w:szCs w:val="21"/>
          <w:highlight w:val="none"/>
        </w:rPr>
        <w:t>（1）</w:t>
      </w:r>
      <w:r>
        <w:rPr>
          <w:rFonts w:hint="eastAsia" w:ascii="宋体" w:cs="宋体"/>
          <w:b/>
          <w:color w:val="auto"/>
          <w:sz w:val="21"/>
          <w:szCs w:val="21"/>
          <w:highlight w:val="none"/>
          <w:lang w:bidi="ar-SA"/>
        </w:rPr>
        <w:t>供应商须</w:t>
      </w:r>
      <w:r>
        <w:rPr>
          <w:rFonts w:hint="eastAsia" w:ascii="宋体" w:hAnsi="宋体"/>
          <w:b/>
          <w:bCs/>
          <w:color w:val="auto"/>
          <w:sz w:val="21"/>
          <w:szCs w:val="21"/>
          <w:highlight w:val="none"/>
        </w:rPr>
        <w:t>具有建筑工程施工总承包三级以上（含三级）资质的施工企业，同时具有有效的安全生产许可证，并在人员、设备、资金等方面具备相应的施工能力；</w:t>
      </w:r>
    </w:p>
    <w:p w14:paraId="2A6ADFA7">
      <w:pPr>
        <w:pStyle w:val="28"/>
        <w:spacing w:line="400" w:lineRule="exact"/>
        <w:ind w:firstLine="422"/>
        <w:rPr>
          <w:rFonts w:hint="eastAsia" w:ascii="宋体" w:cs="宋体"/>
          <w:b/>
          <w:color w:val="auto"/>
          <w:sz w:val="21"/>
          <w:szCs w:val="21"/>
          <w:highlight w:val="none"/>
          <w:lang w:bidi="ar-SA"/>
        </w:rPr>
      </w:pPr>
      <w:r>
        <w:rPr>
          <w:rFonts w:hint="eastAsia" w:ascii="宋体" w:hAnsi="宋体"/>
          <w:b/>
          <w:bCs/>
          <w:color w:val="auto"/>
          <w:sz w:val="21"/>
          <w:szCs w:val="21"/>
          <w:highlight w:val="none"/>
        </w:rPr>
        <w:t>（2）</w:t>
      </w:r>
      <w:r>
        <w:rPr>
          <w:rFonts w:hint="eastAsia"/>
          <w:b/>
          <w:bCs/>
          <w:color w:val="auto"/>
          <w:sz w:val="21"/>
          <w:szCs w:val="21"/>
          <w:highlight w:val="none"/>
        </w:rPr>
        <w:t>拟投入本项目的</w:t>
      </w:r>
      <w:r>
        <w:rPr>
          <w:rFonts w:hint="eastAsia"/>
          <w:b/>
          <w:bCs/>
          <w:color w:val="auto"/>
          <w:sz w:val="21"/>
          <w:szCs w:val="21"/>
          <w:highlight w:val="none"/>
          <w:lang w:val="en-US" w:eastAsia="zh-CN"/>
        </w:rPr>
        <w:t>人员要求：</w:t>
      </w:r>
      <w:r>
        <w:rPr>
          <w:rFonts w:hint="eastAsia"/>
          <w:b/>
          <w:bCs/>
          <w:color w:val="auto"/>
          <w:sz w:val="21"/>
          <w:szCs w:val="21"/>
          <w:highlight w:val="none"/>
        </w:rPr>
        <w:t>项目经理必须具备建筑工程专业二级以上（含二级）</w:t>
      </w:r>
      <w:r>
        <w:rPr>
          <w:rFonts w:hint="eastAsia"/>
          <w:b/>
          <w:bCs/>
          <w:color w:val="auto"/>
          <w:sz w:val="21"/>
          <w:szCs w:val="21"/>
          <w:highlight w:val="none"/>
          <w:lang w:eastAsia="zh-CN"/>
        </w:rPr>
        <w:t>注册建造师资格</w:t>
      </w:r>
      <w:r>
        <w:rPr>
          <w:rFonts w:hint="eastAsia"/>
          <w:b/>
          <w:bCs/>
          <w:color w:val="auto"/>
          <w:sz w:val="21"/>
          <w:szCs w:val="21"/>
          <w:highlight w:val="none"/>
        </w:rPr>
        <w:t>，具备有效的安全生产考核合格证书（B类），本项目不接受在建、已中标未开工或已列为其他项目成交候选人第一名的建造师作为项目经理（符合桂建管【2013】17号文除外）。</w:t>
      </w:r>
    </w:p>
    <w:p w14:paraId="3BE36E38">
      <w:pPr>
        <w:pStyle w:val="28"/>
        <w:spacing w:line="360" w:lineRule="exact"/>
        <w:rPr>
          <w:rFonts w:hint="eastAsia" w:ascii="宋体"/>
          <w:b/>
          <w:color w:val="auto"/>
          <w:sz w:val="21"/>
          <w:szCs w:val="21"/>
          <w:highlight w:val="none"/>
        </w:rPr>
      </w:pPr>
      <w:r>
        <w:rPr>
          <w:rFonts w:hint="eastAsia" w:ascii="宋体"/>
          <w:b/>
          <w:color w:val="auto"/>
          <w:sz w:val="21"/>
          <w:szCs w:val="21"/>
          <w:highlight w:val="none"/>
        </w:rPr>
        <w:t>三、获取采购文件：</w:t>
      </w:r>
    </w:p>
    <w:p w14:paraId="45272652">
      <w:pPr>
        <w:pStyle w:val="28"/>
        <w:spacing w:line="360" w:lineRule="exact"/>
        <w:rPr>
          <w:rFonts w:hint="eastAsia" w:ascii="宋体"/>
          <w:color w:val="auto"/>
          <w:sz w:val="21"/>
          <w:szCs w:val="21"/>
          <w:highlight w:val="none"/>
        </w:rPr>
      </w:pPr>
      <w:r>
        <w:rPr>
          <w:rFonts w:hint="eastAsia" w:ascii="宋体"/>
          <w:color w:val="auto"/>
          <w:sz w:val="21"/>
          <w:szCs w:val="21"/>
          <w:highlight w:val="none"/>
        </w:rPr>
        <w:t>时间：202</w:t>
      </w:r>
      <w:r>
        <w:rPr>
          <w:rFonts w:hint="eastAsia" w:ascii="宋体"/>
          <w:color w:val="auto"/>
          <w:sz w:val="21"/>
          <w:szCs w:val="21"/>
          <w:highlight w:val="none"/>
          <w:lang w:val="en-US" w:eastAsia="zh-CN"/>
        </w:rPr>
        <w:t>6</w:t>
      </w:r>
      <w:r>
        <w:rPr>
          <w:rFonts w:hint="eastAsia" w:ascii="宋体"/>
          <w:color w:val="auto"/>
          <w:sz w:val="21"/>
          <w:szCs w:val="21"/>
          <w:highlight w:val="none"/>
        </w:rPr>
        <w:t>年</w:t>
      </w:r>
      <w:r>
        <w:rPr>
          <w:rFonts w:hint="eastAsia"/>
          <w:color w:val="auto"/>
          <w:sz w:val="21"/>
          <w:szCs w:val="21"/>
          <w:highlight w:val="none"/>
          <w:lang w:val="en-US" w:eastAsia="zh-CN"/>
        </w:rPr>
        <w:t>07</w:t>
      </w:r>
      <w:r>
        <w:rPr>
          <w:rFonts w:hint="eastAsia" w:ascii="宋体"/>
          <w:color w:val="auto"/>
          <w:sz w:val="21"/>
          <w:szCs w:val="21"/>
          <w:highlight w:val="none"/>
        </w:rPr>
        <w:t>月</w:t>
      </w:r>
      <w:r>
        <w:rPr>
          <w:rFonts w:hint="eastAsia"/>
          <w:color w:val="auto"/>
          <w:sz w:val="21"/>
          <w:szCs w:val="21"/>
          <w:highlight w:val="none"/>
          <w:lang w:val="en-US" w:eastAsia="zh-CN"/>
        </w:rPr>
        <w:t>07</w:t>
      </w:r>
      <w:r>
        <w:rPr>
          <w:rFonts w:hint="eastAsia" w:ascii="宋体"/>
          <w:color w:val="auto"/>
          <w:sz w:val="21"/>
          <w:szCs w:val="21"/>
          <w:highlight w:val="none"/>
        </w:rPr>
        <w:t>日至202</w:t>
      </w:r>
      <w:r>
        <w:rPr>
          <w:rFonts w:hint="eastAsia" w:ascii="宋体"/>
          <w:color w:val="auto"/>
          <w:sz w:val="21"/>
          <w:szCs w:val="21"/>
          <w:highlight w:val="none"/>
          <w:lang w:val="en-US" w:eastAsia="zh-CN"/>
        </w:rPr>
        <w:t>6</w:t>
      </w:r>
      <w:r>
        <w:rPr>
          <w:rFonts w:hint="eastAsia" w:ascii="宋体"/>
          <w:color w:val="auto"/>
          <w:sz w:val="21"/>
          <w:szCs w:val="21"/>
          <w:highlight w:val="none"/>
        </w:rPr>
        <w:t>年</w:t>
      </w:r>
      <w:r>
        <w:rPr>
          <w:rFonts w:hint="eastAsia"/>
          <w:color w:val="auto"/>
          <w:sz w:val="21"/>
          <w:szCs w:val="21"/>
          <w:highlight w:val="none"/>
          <w:lang w:val="en-US" w:eastAsia="zh-CN"/>
        </w:rPr>
        <w:t>07</w:t>
      </w:r>
      <w:r>
        <w:rPr>
          <w:rFonts w:hint="eastAsia" w:ascii="宋体"/>
          <w:color w:val="auto"/>
          <w:sz w:val="21"/>
          <w:szCs w:val="21"/>
          <w:highlight w:val="none"/>
        </w:rPr>
        <w:t>月</w:t>
      </w:r>
      <w:r>
        <w:rPr>
          <w:rFonts w:hint="eastAsia"/>
          <w:color w:val="auto"/>
          <w:sz w:val="21"/>
          <w:szCs w:val="21"/>
          <w:highlight w:val="none"/>
          <w:lang w:val="en-US" w:eastAsia="zh-CN"/>
        </w:rPr>
        <w:t>20</w:t>
      </w:r>
      <w:r>
        <w:rPr>
          <w:rFonts w:hint="eastAsia" w:ascii="宋体"/>
          <w:color w:val="auto"/>
          <w:sz w:val="21"/>
          <w:szCs w:val="21"/>
          <w:highlight w:val="none"/>
        </w:rPr>
        <w:t>日，每天上午00:00至11:59，下午12:00至23:59（北京时间，法定节假日除外）；　</w:t>
      </w:r>
    </w:p>
    <w:p w14:paraId="5FACBA91">
      <w:pPr>
        <w:pStyle w:val="28"/>
        <w:spacing w:line="360" w:lineRule="exact"/>
        <w:rPr>
          <w:rFonts w:hint="eastAsia" w:ascii="宋体"/>
          <w:color w:val="auto"/>
          <w:sz w:val="21"/>
          <w:szCs w:val="21"/>
          <w:highlight w:val="none"/>
          <w:u w:val="single"/>
        </w:rPr>
      </w:pPr>
      <w:r>
        <w:rPr>
          <w:rFonts w:hint="eastAsia" w:ascii="宋体"/>
          <w:color w:val="auto"/>
          <w:sz w:val="21"/>
          <w:szCs w:val="21"/>
          <w:highlight w:val="none"/>
        </w:rPr>
        <w:t>地点（网址）：“广西政府采购云平台”（https://www.gcy.zfcg.gxzf.gov.cn/）；</w:t>
      </w:r>
    </w:p>
    <w:p w14:paraId="3B587164">
      <w:pPr>
        <w:pStyle w:val="28"/>
        <w:spacing w:line="360" w:lineRule="exact"/>
        <w:rPr>
          <w:rFonts w:hint="eastAsia" w:ascii="宋体"/>
          <w:color w:val="auto"/>
          <w:sz w:val="21"/>
          <w:szCs w:val="21"/>
          <w:highlight w:val="none"/>
        </w:rPr>
      </w:pPr>
      <w:r>
        <w:rPr>
          <w:rFonts w:hint="eastAsia" w:ascii="宋体"/>
          <w:color w:val="auto"/>
          <w:sz w:val="21"/>
          <w:szCs w:val="21"/>
          <w:highlight w:val="none"/>
        </w:rPr>
        <w:t>方式：供应商登录“广西政府采购云平台”（https://www.gcy.zfcg.gxzf.gov.cn/）在线申请获取采购文件（进入“项目采购”应用，在获取采购文件菜单中选择项目，申请获取采购文件）。</w:t>
      </w:r>
    </w:p>
    <w:p w14:paraId="3156464A">
      <w:pPr>
        <w:pStyle w:val="28"/>
        <w:spacing w:line="360" w:lineRule="exact"/>
        <w:rPr>
          <w:rFonts w:hint="eastAsia" w:ascii="宋体"/>
          <w:color w:val="auto"/>
          <w:sz w:val="21"/>
          <w:szCs w:val="21"/>
          <w:highlight w:val="none"/>
        </w:rPr>
      </w:pPr>
      <w:r>
        <w:rPr>
          <w:rFonts w:hint="eastAsia" w:ascii="宋体"/>
          <w:color w:val="auto"/>
          <w:sz w:val="21"/>
          <w:szCs w:val="21"/>
          <w:highlight w:val="none"/>
        </w:rPr>
        <w:t xml:space="preserve">售价（元）：0 </w:t>
      </w:r>
    </w:p>
    <w:p w14:paraId="0143EBA1">
      <w:pPr>
        <w:pStyle w:val="28"/>
        <w:spacing w:line="360" w:lineRule="exact"/>
        <w:rPr>
          <w:rFonts w:hint="eastAsia" w:ascii="宋体"/>
          <w:b/>
          <w:color w:val="auto"/>
          <w:sz w:val="21"/>
          <w:szCs w:val="21"/>
          <w:highlight w:val="none"/>
        </w:rPr>
      </w:pPr>
      <w:r>
        <w:rPr>
          <w:rFonts w:hint="eastAsia" w:ascii="宋体"/>
          <w:b/>
          <w:color w:val="auto"/>
          <w:sz w:val="21"/>
          <w:szCs w:val="21"/>
          <w:highlight w:val="none"/>
        </w:rPr>
        <w:t>四、响应文件提交</w:t>
      </w:r>
    </w:p>
    <w:p w14:paraId="207354F7">
      <w:pPr>
        <w:pStyle w:val="28"/>
        <w:spacing w:line="360" w:lineRule="exact"/>
        <w:rPr>
          <w:rFonts w:hint="eastAsia" w:ascii="宋体"/>
          <w:color w:val="auto"/>
          <w:sz w:val="21"/>
          <w:szCs w:val="21"/>
          <w:highlight w:val="none"/>
        </w:rPr>
      </w:pPr>
      <w:r>
        <w:rPr>
          <w:rFonts w:hint="eastAsia" w:ascii="宋体"/>
          <w:color w:val="auto"/>
          <w:sz w:val="21"/>
          <w:szCs w:val="21"/>
          <w:highlight w:val="none"/>
        </w:rPr>
        <w:t>截止时间：202</w:t>
      </w:r>
      <w:r>
        <w:rPr>
          <w:rFonts w:hint="eastAsia" w:ascii="宋体"/>
          <w:color w:val="auto"/>
          <w:sz w:val="21"/>
          <w:szCs w:val="21"/>
          <w:highlight w:val="none"/>
          <w:lang w:val="en-US" w:eastAsia="zh-CN"/>
        </w:rPr>
        <w:t>6</w:t>
      </w:r>
      <w:r>
        <w:rPr>
          <w:rFonts w:hint="eastAsia" w:ascii="宋体"/>
          <w:color w:val="auto"/>
          <w:sz w:val="21"/>
          <w:szCs w:val="21"/>
          <w:highlight w:val="none"/>
        </w:rPr>
        <w:t>年</w:t>
      </w:r>
      <w:r>
        <w:rPr>
          <w:rFonts w:hint="eastAsia"/>
          <w:color w:val="auto"/>
          <w:sz w:val="21"/>
          <w:szCs w:val="21"/>
          <w:highlight w:val="none"/>
          <w:lang w:val="en-US" w:eastAsia="zh-CN"/>
        </w:rPr>
        <w:t>07</w:t>
      </w:r>
      <w:r>
        <w:rPr>
          <w:rFonts w:hint="eastAsia" w:ascii="宋体"/>
          <w:color w:val="auto"/>
          <w:sz w:val="21"/>
          <w:szCs w:val="21"/>
          <w:highlight w:val="none"/>
        </w:rPr>
        <w:t>月</w:t>
      </w:r>
      <w:r>
        <w:rPr>
          <w:rFonts w:hint="eastAsia"/>
          <w:color w:val="auto"/>
          <w:sz w:val="21"/>
          <w:szCs w:val="21"/>
          <w:highlight w:val="none"/>
          <w:lang w:val="en-US" w:eastAsia="zh-CN"/>
        </w:rPr>
        <w:t>20</w:t>
      </w:r>
      <w:r>
        <w:rPr>
          <w:rFonts w:hint="eastAsia" w:ascii="宋体"/>
          <w:color w:val="auto"/>
          <w:sz w:val="21"/>
          <w:szCs w:val="21"/>
          <w:highlight w:val="none"/>
        </w:rPr>
        <w:t>日</w:t>
      </w:r>
      <w:r>
        <w:rPr>
          <w:rFonts w:hint="eastAsia"/>
          <w:color w:val="auto"/>
          <w:sz w:val="21"/>
          <w:szCs w:val="21"/>
          <w:highlight w:val="none"/>
          <w:lang w:val="en-US" w:eastAsia="zh-CN"/>
        </w:rPr>
        <w:t>09</w:t>
      </w:r>
      <w:r>
        <w:rPr>
          <w:rFonts w:hint="eastAsia" w:ascii="宋体"/>
          <w:color w:val="auto"/>
          <w:sz w:val="21"/>
          <w:szCs w:val="21"/>
          <w:highlight w:val="none"/>
        </w:rPr>
        <w:t>时</w:t>
      </w:r>
      <w:r>
        <w:rPr>
          <w:rFonts w:hint="eastAsia"/>
          <w:color w:val="auto"/>
          <w:sz w:val="21"/>
          <w:szCs w:val="21"/>
          <w:highlight w:val="none"/>
          <w:lang w:val="en-US" w:eastAsia="zh-CN"/>
        </w:rPr>
        <w:t>30</w:t>
      </w:r>
      <w:r>
        <w:rPr>
          <w:rFonts w:hint="eastAsia" w:ascii="宋体"/>
          <w:color w:val="auto"/>
          <w:sz w:val="21"/>
          <w:szCs w:val="21"/>
          <w:highlight w:val="none"/>
        </w:rPr>
        <w:t xml:space="preserve"> 分（北京时间）；</w:t>
      </w:r>
    </w:p>
    <w:p w14:paraId="217BA5A4">
      <w:pPr>
        <w:pStyle w:val="28"/>
        <w:spacing w:line="360" w:lineRule="exact"/>
        <w:rPr>
          <w:rFonts w:hint="eastAsia" w:ascii="宋体"/>
          <w:color w:val="auto"/>
          <w:sz w:val="21"/>
          <w:szCs w:val="21"/>
          <w:highlight w:val="none"/>
        </w:rPr>
      </w:pPr>
      <w:r>
        <w:rPr>
          <w:rFonts w:hint="eastAsia" w:ascii="宋体"/>
          <w:color w:val="auto"/>
          <w:sz w:val="21"/>
          <w:szCs w:val="21"/>
          <w:highlight w:val="none"/>
        </w:rPr>
        <w:t>地点（网址）：通过“广西政府采购云平台”平台在线提交响应文件。</w:t>
      </w:r>
    </w:p>
    <w:p w14:paraId="0A567C73">
      <w:pPr>
        <w:pStyle w:val="28"/>
        <w:spacing w:line="360" w:lineRule="exact"/>
        <w:rPr>
          <w:rFonts w:hint="eastAsia" w:ascii="宋体"/>
          <w:b/>
          <w:color w:val="auto"/>
          <w:sz w:val="21"/>
          <w:szCs w:val="21"/>
          <w:highlight w:val="none"/>
        </w:rPr>
      </w:pPr>
      <w:r>
        <w:rPr>
          <w:rFonts w:hint="eastAsia" w:ascii="宋体"/>
          <w:b/>
          <w:color w:val="auto"/>
          <w:sz w:val="21"/>
          <w:szCs w:val="21"/>
          <w:highlight w:val="none"/>
        </w:rPr>
        <w:t>五、响应文件开启</w:t>
      </w:r>
    </w:p>
    <w:p w14:paraId="1539CEBE">
      <w:pPr>
        <w:pStyle w:val="28"/>
        <w:spacing w:line="360" w:lineRule="exact"/>
        <w:rPr>
          <w:rFonts w:hint="eastAsia" w:ascii="宋体"/>
          <w:color w:val="auto"/>
          <w:sz w:val="21"/>
          <w:szCs w:val="21"/>
          <w:highlight w:val="none"/>
        </w:rPr>
      </w:pPr>
      <w:r>
        <w:rPr>
          <w:rFonts w:hint="eastAsia" w:ascii="宋体"/>
          <w:color w:val="auto"/>
          <w:sz w:val="21"/>
          <w:szCs w:val="21"/>
          <w:highlight w:val="none"/>
        </w:rPr>
        <w:t>开启时间：202</w:t>
      </w:r>
      <w:r>
        <w:rPr>
          <w:rFonts w:hint="eastAsia" w:ascii="宋体"/>
          <w:color w:val="auto"/>
          <w:sz w:val="21"/>
          <w:szCs w:val="21"/>
          <w:highlight w:val="none"/>
          <w:lang w:val="en-US" w:eastAsia="zh-CN"/>
        </w:rPr>
        <w:t>6</w:t>
      </w:r>
      <w:r>
        <w:rPr>
          <w:rFonts w:hint="eastAsia" w:ascii="宋体"/>
          <w:color w:val="auto"/>
          <w:sz w:val="21"/>
          <w:szCs w:val="21"/>
          <w:highlight w:val="none"/>
        </w:rPr>
        <w:t>年</w:t>
      </w:r>
      <w:r>
        <w:rPr>
          <w:rFonts w:hint="eastAsia"/>
          <w:color w:val="auto"/>
          <w:sz w:val="21"/>
          <w:szCs w:val="21"/>
          <w:highlight w:val="none"/>
          <w:lang w:val="en-US" w:eastAsia="zh-CN"/>
        </w:rPr>
        <w:t>07</w:t>
      </w:r>
      <w:r>
        <w:rPr>
          <w:rFonts w:hint="eastAsia" w:ascii="宋体"/>
          <w:color w:val="auto"/>
          <w:sz w:val="21"/>
          <w:szCs w:val="21"/>
          <w:highlight w:val="none"/>
        </w:rPr>
        <w:t>月</w:t>
      </w:r>
      <w:r>
        <w:rPr>
          <w:rFonts w:hint="eastAsia"/>
          <w:color w:val="auto"/>
          <w:sz w:val="21"/>
          <w:szCs w:val="21"/>
          <w:highlight w:val="none"/>
          <w:lang w:val="en-US" w:eastAsia="zh-CN"/>
        </w:rPr>
        <w:t>20</w:t>
      </w:r>
      <w:r>
        <w:rPr>
          <w:rFonts w:hint="eastAsia" w:ascii="宋体"/>
          <w:color w:val="auto"/>
          <w:sz w:val="21"/>
          <w:szCs w:val="21"/>
          <w:highlight w:val="none"/>
        </w:rPr>
        <w:t>日</w:t>
      </w:r>
      <w:r>
        <w:rPr>
          <w:rFonts w:hint="eastAsia"/>
          <w:color w:val="auto"/>
          <w:sz w:val="21"/>
          <w:szCs w:val="21"/>
          <w:highlight w:val="none"/>
          <w:lang w:val="en-US" w:eastAsia="zh-CN"/>
        </w:rPr>
        <w:t>09</w:t>
      </w:r>
      <w:r>
        <w:rPr>
          <w:rFonts w:hint="eastAsia" w:ascii="宋体"/>
          <w:color w:val="auto"/>
          <w:sz w:val="21"/>
          <w:szCs w:val="21"/>
          <w:highlight w:val="none"/>
        </w:rPr>
        <w:t>时</w:t>
      </w:r>
      <w:r>
        <w:rPr>
          <w:rFonts w:hint="eastAsia"/>
          <w:color w:val="auto"/>
          <w:sz w:val="21"/>
          <w:szCs w:val="21"/>
          <w:highlight w:val="none"/>
          <w:lang w:val="en-US" w:eastAsia="zh-CN"/>
        </w:rPr>
        <w:t>30</w:t>
      </w:r>
      <w:r>
        <w:rPr>
          <w:rFonts w:hint="eastAsia" w:ascii="宋体"/>
          <w:color w:val="auto"/>
          <w:sz w:val="21"/>
          <w:szCs w:val="21"/>
          <w:highlight w:val="none"/>
        </w:rPr>
        <w:t xml:space="preserve"> 分（北京时间）；</w:t>
      </w:r>
    </w:p>
    <w:p w14:paraId="7830035C">
      <w:pPr>
        <w:pStyle w:val="28"/>
        <w:spacing w:line="360" w:lineRule="exact"/>
        <w:rPr>
          <w:rFonts w:hint="eastAsia" w:ascii="宋体"/>
          <w:color w:val="auto"/>
          <w:sz w:val="21"/>
          <w:szCs w:val="21"/>
          <w:highlight w:val="none"/>
        </w:rPr>
      </w:pPr>
      <w:r>
        <w:rPr>
          <w:rFonts w:hint="eastAsia" w:ascii="宋体"/>
          <w:color w:val="auto"/>
          <w:sz w:val="21"/>
          <w:szCs w:val="21"/>
          <w:highlight w:val="none"/>
        </w:rPr>
        <w:t>地点：通过“广西政府采购云平台”平台在线解密开启</w:t>
      </w:r>
      <w:r>
        <w:rPr>
          <w:rFonts w:hint="eastAsia" w:ascii="宋体"/>
          <w:bCs/>
          <w:color w:val="auto"/>
          <w:sz w:val="21"/>
          <w:szCs w:val="21"/>
          <w:highlight w:val="none"/>
        </w:rPr>
        <w:t>。</w:t>
      </w:r>
    </w:p>
    <w:p w14:paraId="5F707404">
      <w:pPr>
        <w:pStyle w:val="28"/>
        <w:spacing w:line="360" w:lineRule="exact"/>
        <w:rPr>
          <w:rFonts w:hint="eastAsia" w:ascii="宋体"/>
          <w:color w:val="auto"/>
          <w:sz w:val="21"/>
          <w:szCs w:val="21"/>
          <w:highlight w:val="none"/>
        </w:rPr>
      </w:pPr>
      <w:r>
        <w:rPr>
          <w:rFonts w:hint="eastAsia" w:ascii="宋体"/>
          <w:b/>
          <w:color w:val="auto"/>
          <w:sz w:val="21"/>
          <w:szCs w:val="21"/>
          <w:highlight w:val="none"/>
        </w:rPr>
        <w:t>六、公告期限：</w:t>
      </w:r>
      <w:r>
        <w:rPr>
          <w:rFonts w:hint="eastAsia" w:ascii="宋体"/>
          <w:color w:val="auto"/>
          <w:sz w:val="21"/>
          <w:szCs w:val="21"/>
          <w:highlight w:val="none"/>
        </w:rPr>
        <w:t>自本公告发布之日起</w:t>
      </w:r>
      <w:r>
        <w:rPr>
          <w:rFonts w:hint="eastAsia" w:ascii="宋体"/>
          <w:color w:val="auto"/>
          <w:sz w:val="21"/>
          <w:szCs w:val="21"/>
          <w:highlight w:val="none"/>
          <w:lang w:val="en-US" w:eastAsia="zh-CN"/>
        </w:rPr>
        <w:t>5</w:t>
      </w:r>
      <w:r>
        <w:rPr>
          <w:rFonts w:hint="eastAsia" w:ascii="宋体"/>
          <w:color w:val="auto"/>
          <w:sz w:val="21"/>
          <w:szCs w:val="21"/>
          <w:highlight w:val="none"/>
        </w:rPr>
        <w:t>个工作日；</w:t>
      </w:r>
    </w:p>
    <w:p w14:paraId="4EA1D4FB">
      <w:pPr>
        <w:pStyle w:val="28"/>
        <w:spacing w:line="360" w:lineRule="exact"/>
        <w:rPr>
          <w:rFonts w:hint="eastAsia" w:ascii="宋体"/>
          <w:b/>
          <w:color w:val="auto"/>
          <w:sz w:val="21"/>
          <w:szCs w:val="21"/>
          <w:highlight w:val="none"/>
        </w:rPr>
      </w:pPr>
      <w:r>
        <w:rPr>
          <w:rFonts w:hint="eastAsia" w:ascii="宋体"/>
          <w:b/>
          <w:color w:val="auto"/>
          <w:sz w:val="21"/>
          <w:szCs w:val="21"/>
          <w:highlight w:val="none"/>
        </w:rPr>
        <w:t>七、其他补充事宜：</w:t>
      </w:r>
    </w:p>
    <w:p w14:paraId="7C777BFF">
      <w:pPr>
        <w:pStyle w:val="28"/>
        <w:spacing w:line="360" w:lineRule="exact"/>
        <w:rPr>
          <w:rFonts w:hint="eastAsia" w:ascii="宋体"/>
          <w:color w:val="auto"/>
          <w:sz w:val="21"/>
          <w:szCs w:val="21"/>
          <w:highlight w:val="none"/>
        </w:rPr>
      </w:pPr>
      <w:r>
        <w:rPr>
          <w:rFonts w:hint="eastAsia" w:ascii="宋体"/>
          <w:color w:val="auto"/>
          <w:sz w:val="21"/>
          <w:szCs w:val="21"/>
          <w:highlight w:val="none"/>
        </w:rPr>
        <w:t>1.对在“信用中国”网站(www.creditchina.gov.cn)</w:t>
      </w:r>
      <w:r>
        <w:rPr>
          <w:rFonts w:hint="eastAsia"/>
          <w:color w:val="auto"/>
          <w:sz w:val="21"/>
          <w:szCs w:val="21"/>
          <w:highlight w:val="none"/>
          <w:lang w:val="en-US" w:eastAsia="zh-CN"/>
        </w:rPr>
        <w:t>或“中国执行信息公开网”（https://zxgk.court.gov.cn/）</w:t>
      </w:r>
      <w:r>
        <w:rPr>
          <w:rFonts w:hint="eastAsia" w:ascii="宋体"/>
          <w:color w:val="auto"/>
          <w:sz w:val="21"/>
          <w:szCs w:val="21"/>
          <w:highlight w:val="none"/>
        </w:rPr>
        <w:t>、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57BABE7D">
      <w:pPr>
        <w:pStyle w:val="28"/>
        <w:spacing w:line="360" w:lineRule="exact"/>
        <w:rPr>
          <w:rFonts w:hint="eastAsia" w:ascii="宋体"/>
          <w:color w:val="auto"/>
          <w:sz w:val="21"/>
          <w:szCs w:val="21"/>
          <w:highlight w:val="none"/>
        </w:rPr>
      </w:pPr>
      <w:r>
        <w:rPr>
          <w:rFonts w:hint="eastAsia" w:ascii="宋体"/>
          <w:color w:val="auto"/>
          <w:sz w:val="21"/>
          <w:szCs w:val="21"/>
          <w:highlight w:val="none"/>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57F77037">
      <w:pPr>
        <w:pStyle w:val="28"/>
        <w:spacing w:line="360" w:lineRule="exact"/>
        <w:rPr>
          <w:rFonts w:hint="eastAsia" w:ascii="宋体"/>
          <w:color w:val="auto"/>
          <w:sz w:val="21"/>
          <w:szCs w:val="21"/>
          <w:highlight w:val="none"/>
        </w:rPr>
      </w:pPr>
      <w:r>
        <w:rPr>
          <w:rFonts w:hint="eastAsia" w:ascii="宋体"/>
          <w:color w:val="auto"/>
          <w:sz w:val="21"/>
          <w:szCs w:val="21"/>
          <w:highlight w:val="none"/>
        </w:rPr>
        <w:t>3.本项目需要落实的政府采购政策：</w:t>
      </w:r>
    </w:p>
    <w:p w14:paraId="6A0BC0E7">
      <w:pPr>
        <w:pStyle w:val="28"/>
        <w:spacing w:line="360" w:lineRule="exact"/>
        <w:rPr>
          <w:rFonts w:hint="eastAsia" w:ascii="宋体"/>
          <w:color w:val="auto"/>
          <w:sz w:val="21"/>
          <w:szCs w:val="21"/>
          <w:highlight w:val="none"/>
        </w:rPr>
      </w:pPr>
      <w:r>
        <w:rPr>
          <w:rFonts w:hint="eastAsia" w:ascii="宋体"/>
          <w:color w:val="auto"/>
          <w:sz w:val="21"/>
          <w:szCs w:val="21"/>
          <w:highlight w:val="none"/>
        </w:rPr>
        <w:t>3.1《政府采购促进中小企业发展管理办法》（财库[2020]46号）。</w:t>
      </w:r>
    </w:p>
    <w:p w14:paraId="559D2364">
      <w:pPr>
        <w:pStyle w:val="28"/>
        <w:spacing w:line="360" w:lineRule="exact"/>
        <w:rPr>
          <w:rFonts w:hint="eastAsia" w:ascii="宋体"/>
          <w:color w:val="auto"/>
          <w:sz w:val="21"/>
          <w:szCs w:val="21"/>
          <w:highlight w:val="none"/>
        </w:rPr>
      </w:pPr>
      <w:r>
        <w:rPr>
          <w:rFonts w:hint="eastAsia" w:ascii="宋体"/>
          <w:color w:val="auto"/>
          <w:sz w:val="21"/>
          <w:szCs w:val="21"/>
          <w:highlight w:val="none"/>
        </w:rPr>
        <w:t xml:space="preserve">3.2《关于政府采购支持监狱企业发展有关问题的通知》（财库[2014]68号）。 </w:t>
      </w:r>
    </w:p>
    <w:p w14:paraId="368D4A09">
      <w:pPr>
        <w:pStyle w:val="28"/>
        <w:spacing w:line="360" w:lineRule="exact"/>
        <w:rPr>
          <w:rFonts w:hint="eastAsia" w:ascii="宋体"/>
          <w:color w:val="auto"/>
          <w:sz w:val="21"/>
          <w:szCs w:val="21"/>
          <w:highlight w:val="none"/>
        </w:rPr>
      </w:pPr>
      <w:r>
        <w:rPr>
          <w:rFonts w:hint="eastAsia" w:ascii="宋体"/>
          <w:color w:val="auto"/>
          <w:sz w:val="21"/>
          <w:szCs w:val="21"/>
          <w:highlight w:val="none"/>
        </w:rPr>
        <w:t>3.3《关于促进残疾人就业政府采购政策的通知》（财库[2017]141号）。</w:t>
      </w:r>
    </w:p>
    <w:p w14:paraId="4C2876B4">
      <w:pPr>
        <w:pStyle w:val="28"/>
        <w:spacing w:line="360" w:lineRule="exact"/>
        <w:rPr>
          <w:rFonts w:hint="eastAsia" w:ascii="宋体"/>
          <w:color w:val="auto"/>
          <w:sz w:val="21"/>
          <w:szCs w:val="21"/>
          <w:highlight w:val="none"/>
        </w:rPr>
      </w:pPr>
      <w:r>
        <w:rPr>
          <w:rFonts w:hint="eastAsia" w:ascii="宋体"/>
          <w:color w:val="auto"/>
          <w:sz w:val="21"/>
          <w:szCs w:val="21"/>
          <w:highlight w:val="none"/>
        </w:rPr>
        <w:t>4.信息公告发布媒体：http://www.ccgp.gov.cn（中国政府采购网）、http://zfcg.gxzf.gov.cn（广西壮族自治区政府采购网）、http://gl.zfcg.zcygov.cn/（桂林市政府采购网）。</w:t>
      </w:r>
    </w:p>
    <w:p w14:paraId="5E4FD44C">
      <w:pPr>
        <w:spacing w:line="360" w:lineRule="exact"/>
        <w:ind w:firstLine="420" w:firstLineChars="200"/>
        <w:rPr>
          <w:rFonts w:hint="eastAsia" w:ascii="宋体" w:cs="宋体"/>
          <w:bCs/>
          <w:color w:val="auto"/>
          <w:sz w:val="21"/>
          <w:szCs w:val="21"/>
          <w:highlight w:val="none"/>
          <w:lang w:bidi="ar-SA"/>
        </w:rPr>
      </w:pPr>
      <w:r>
        <w:rPr>
          <w:rFonts w:hint="eastAsia" w:ascii="宋体"/>
          <w:color w:val="auto"/>
          <w:sz w:val="21"/>
          <w:szCs w:val="21"/>
          <w:highlight w:val="none"/>
        </w:rPr>
        <w:t>5.响应文件解密：</w:t>
      </w:r>
      <w:r>
        <w:rPr>
          <w:rFonts w:hint="eastAsia" w:ascii="宋体"/>
          <w:bCs/>
          <w:color w:val="auto"/>
          <w:sz w:val="21"/>
          <w:szCs w:val="21"/>
          <w:highlight w:val="none"/>
        </w:rPr>
        <w:t>响应文件提交截止时间后，“</w:t>
      </w:r>
      <w:r>
        <w:rPr>
          <w:rFonts w:hint="eastAsia" w:ascii="宋体"/>
          <w:color w:val="auto"/>
          <w:sz w:val="21"/>
          <w:szCs w:val="21"/>
          <w:highlight w:val="none"/>
        </w:rPr>
        <w:t>广西政府采购云平台</w:t>
      </w:r>
      <w:r>
        <w:rPr>
          <w:rFonts w:hint="eastAsia" w:ascii="宋体"/>
          <w:bCs/>
          <w:color w:val="auto"/>
          <w:sz w:val="21"/>
          <w:szCs w:val="21"/>
          <w:highlight w:val="none"/>
        </w:rPr>
        <w:t>”平台自动提取所有供应商响应文件，各供应商须在提交响应文件截止</w:t>
      </w:r>
      <w:r>
        <w:rPr>
          <w:rFonts w:hint="eastAsia" w:ascii="宋体" w:cs="宋体"/>
          <w:bCs/>
          <w:color w:val="auto"/>
          <w:sz w:val="21"/>
          <w:szCs w:val="21"/>
          <w:highlight w:val="none"/>
          <w:lang w:bidi="ar-SA"/>
        </w:rPr>
        <w:t>后30分钟内（</w:t>
      </w:r>
      <w:r>
        <w:rPr>
          <w:rFonts w:hint="eastAsia" w:ascii="宋体"/>
          <w:color w:val="auto"/>
          <w:sz w:val="21"/>
          <w:szCs w:val="21"/>
          <w:highlight w:val="none"/>
        </w:rPr>
        <w:t>202</w:t>
      </w:r>
      <w:r>
        <w:rPr>
          <w:rFonts w:hint="eastAsia" w:ascii="宋体"/>
          <w:color w:val="auto"/>
          <w:sz w:val="21"/>
          <w:szCs w:val="21"/>
          <w:highlight w:val="none"/>
          <w:lang w:val="en-US" w:eastAsia="zh-CN"/>
        </w:rPr>
        <w:t>6</w:t>
      </w:r>
      <w:r>
        <w:rPr>
          <w:rFonts w:hint="eastAsia" w:ascii="宋体"/>
          <w:color w:val="auto"/>
          <w:sz w:val="21"/>
          <w:szCs w:val="21"/>
          <w:highlight w:val="none"/>
        </w:rPr>
        <w:t>年</w:t>
      </w:r>
      <w:r>
        <w:rPr>
          <w:rFonts w:hint="eastAsia" w:ascii="宋体"/>
          <w:color w:val="auto"/>
          <w:sz w:val="21"/>
          <w:szCs w:val="21"/>
          <w:highlight w:val="none"/>
          <w:lang w:val="en-US" w:eastAsia="zh-CN"/>
        </w:rPr>
        <w:t>07</w:t>
      </w:r>
      <w:r>
        <w:rPr>
          <w:rFonts w:hint="eastAsia" w:ascii="宋体"/>
          <w:color w:val="auto"/>
          <w:sz w:val="21"/>
          <w:szCs w:val="21"/>
          <w:highlight w:val="none"/>
        </w:rPr>
        <w:t>月</w:t>
      </w:r>
      <w:r>
        <w:rPr>
          <w:rFonts w:hint="eastAsia" w:ascii="宋体"/>
          <w:color w:val="auto"/>
          <w:sz w:val="21"/>
          <w:szCs w:val="21"/>
          <w:highlight w:val="none"/>
          <w:lang w:val="en-US" w:eastAsia="zh-CN"/>
        </w:rPr>
        <w:t>20</w:t>
      </w:r>
      <w:r>
        <w:rPr>
          <w:rFonts w:hint="eastAsia" w:ascii="宋体"/>
          <w:color w:val="auto"/>
          <w:sz w:val="21"/>
          <w:szCs w:val="21"/>
          <w:highlight w:val="none"/>
        </w:rPr>
        <w:t>日</w:t>
      </w:r>
      <w:r>
        <w:rPr>
          <w:rFonts w:hint="eastAsia" w:ascii="宋体"/>
          <w:color w:val="auto"/>
          <w:sz w:val="21"/>
          <w:szCs w:val="21"/>
          <w:highlight w:val="none"/>
          <w:lang w:val="en-US" w:eastAsia="zh-CN"/>
        </w:rPr>
        <w:t>09</w:t>
      </w:r>
      <w:r>
        <w:rPr>
          <w:rFonts w:hint="eastAsia" w:ascii="宋体"/>
          <w:color w:val="auto"/>
          <w:sz w:val="21"/>
          <w:szCs w:val="21"/>
          <w:highlight w:val="none"/>
        </w:rPr>
        <w:t>时</w:t>
      </w:r>
      <w:r>
        <w:rPr>
          <w:rFonts w:hint="eastAsia" w:ascii="宋体"/>
          <w:color w:val="auto"/>
          <w:sz w:val="21"/>
          <w:szCs w:val="21"/>
          <w:highlight w:val="none"/>
          <w:lang w:val="en-US" w:eastAsia="zh-CN"/>
        </w:rPr>
        <w:t>30</w:t>
      </w:r>
      <w:r>
        <w:rPr>
          <w:rFonts w:hint="eastAsia" w:ascii="宋体"/>
          <w:color w:val="auto"/>
          <w:sz w:val="21"/>
          <w:szCs w:val="21"/>
          <w:highlight w:val="none"/>
        </w:rPr>
        <w:t>分</w:t>
      </w:r>
      <w:r>
        <w:rPr>
          <w:rFonts w:hint="eastAsia" w:ascii="宋体"/>
          <w:color w:val="auto"/>
          <w:sz w:val="21"/>
          <w:szCs w:val="21"/>
          <w:highlight w:val="none"/>
          <w:lang w:eastAsia="zh-CN"/>
        </w:rPr>
        <w:t>至</w:t>
      </w:r>
      <w:r>
        <w:rPr>
          <w:rFonts w:hint="eastAsia" w:ascii="宋体" w:cs="宋体"/>
          <w:bCs/>
          <w:color w:val="auto"/>
          <w:sz w:val="21"/>
          <w:szCs w:val="21"/>
          <w:highlight w:val="none"/>
          <w:lang w:val="en-US" w:eastAsia="zh-CN" w:bidi="ar-SA"/>
        </w:rPr>
        <w:t>10</w:t>
      </w:r>
      <w:r>
        <w:rPr>
          <w:rFonts w:hint="eastAsia" w:ascii="宋体" w:cs="宋体"/>
          <w:bCs/>
          <w:color w:val="auto"/>
          <w:sz w:val="21"/>
          <w:szCs w:val="21"/>
          <w:highlight w:val="none"/>
          <w:lang w:bidi="ar-SA"/>
        </w:rPr>
        <w:t>时</w:t>
      </w:r>
      <w:r>
        <w:rPr>
          <w:rFonts w:hint="eastAsia" w:ascii="宋体" w:cs="宋体"/>
          <w:bCs/>
          <w:color w:val="auto"/>
          <w:sz w:val="21"/>
          <w:szCs w:val="21"/>
          <w:highlight w:val="none"/>
          <w:lang w:val="en-US" w:eastAsia="zh-CN" w:bidi="ar-SA"/>
        </w:rPr>
        <w:t>0</w:t>
      </w:r>
      <w:bookmarkStart w:id="743" w:name="_GoBack"/>
      <w:bookmarkEnd w:id="743"/>
      <w:r>
        <w:rPr>
          <w:rFonts w:hint="eastAsia" w:ascii="宋体" w:cs="宋体"/>
          <w:bCs/>
          <w:color w:val="auto"/>
          <w:sz w:val="21"/>
          <w:szCs w:val="21"/>
          <w:highlight w:val="none"/>
          <w:lang w:bidi="ar-SA"/>
        </w:rPr>
        <w:t>0分)，登录“</w:t>
      </w:r>
      <w:r>
        <w:rPr>
          <w:rFonts w:hint="eastAsia" w:ascii="宋体"/>
          <w:color w:val="auto"/>
          <w:sz w:val="21"/>
          <w:szCs w:val="21"/>
          <w:highlight w:val="none"/>
        </w:rPr>
        <w:t>广西政府采购云平台</w:t>
      </w:r>
      <w:r>
        <w:rPr>
          <w:rFonts w:hint="eastAsia" w:ascii="宋体" w:cs="宋体"/>
          <w:bCs/>
          <w:color w:val="auto"/>
          <w:sz w:val="21"/>
          <w:szCs w:val="21"/>
          <w:highlight w:val="none"/>
          <w:lang w:bidi="ar-SA"/>
        </w:rPr>
        <w:t>”平台，通过“项目采购-开标评标”功能解密电子响应文件。若供应商在规定时间内无法解密或解密失败或超时解密的，系统默认自动放弃，响应文件按无效响应文件处理。</w:t>
      </w:r>
    </w:p>
    <w:p w14:paraId="009583EA">
      <w:pPr>
        <w:pStyle w:val="28"/>
        <w:spacing w:line="360" w:lineRule="exact"/>
        <w:rPr>
          <w:rFonts w:hint="eastAsia" w:ascii="宋体"/>
          <w:color w:val="auto"/>
          <w:sz w:val="21"/>
          <w:szCs w:val="21"/>
          <w:highlight w:val="none"/>
        </w:rPr>
      </w:pPr>
      <w:r>
        <w:rPr>
          <w:rFonts w:hint="eastAsia" w:ascii="宋体"/>
          <w:color w:val="auto"/>
          <w:sz w:val="21"/>
          <w:szCs w:val="21"/>
          <w:highlight w:val="none"/>
        </w:rPr>
        <w:t>6.本项目需要供应商代表在响应文件提交截止时间当天，按磋商小组要求及时登录“广西政府采购云平台”平台等候在线磋商及提交最后报价。</w:t>
      </w:r>
    </w:p>
    <w:p w14:paraId="31887FB5">
      <w:pPr>
        <w:pStyle w:val="28"/>
        <w:spacing w:line="360" w:lineRule="exact"/>
        <w:rPr>
          <w:rFonts w:hint="eastAsia" w:ascii="宋体"/>
          <w:color w:val="auto"/>
          <w:sz w:val="21"/>
          <w:szCs w:val="21"/>
          <w:highlight w:val="none"/>
        </w:rPr>
      </w:pPr>
      <w:r>
        <w:rPr>
          <w:rFonts w:hint="eastAsia" w:ascii="宋体"/>
          <w:color w:val="auto"/>
          <w:sz w:val="21"/>
          <w:szCs w:val="21"/>
          <w:highlight w:val="none"/>
        </w:rPr>
        <w:t>7.“广西政府采购云平台”平台在线响应（电子响应）相关事宜说明：</w:t>
      </w:r>
    </w:p>
    <w:p w14:paraId="0FF86126">
      <w:pPr>
        <w:pStyle w:val="28"/>
        <w:spacing w:line="360" w:lineRule="exact"/>
        <w:rPr>
          <w:rFonts w:hint="eastAsia" w:ascii="宋体"/>
          <w:color w:val="auto"/>
          <w:sz w:val="21"/>
          <w:szCs w:val="21"/>
          <w:highlight w:val="none"/>
        </w:rPr>
      </w:pPr>
      <w:r>
        <w:rPr>
          <w:rFonts w:hint="eastAsia" w:ascii="宋体"/>
          <w:color w:val="auto"/>
          <w:sz w:val="21"/>
          <w:szCs w:val="21"/>
          <w:highlight w:val="none"/>
        </w:rPr>
        <w:t>7.1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505CB7AB">
      <w:pPr>
        <w:spacing w:line="360" w:lineRule="exact"/>
        <w:ind w:firstLine="420" w:firstLineChars="200"/>
        <w:rPr>
          <w:rFonts w:hint="eastAsia" w:ascii="宋体"/>
          <w:bCs/>
          <w:color w:val="auto"/>
          <w:sz w:val="21"/>
          <w:szCs w:val="21"/>
          <w:highlight w:val="none"/>
        </w:rPr>
      </w:pPr>
      <w:r>
        <w:rPr>
          <w:rFonts w:hint="eastAsia" w:ascii="宋体"/>
          <w:color w:val="auto"/>
          <w:sz w:val="21"/>
          <w:szCs w:val="21"/>
          <w:highlight w:val="none"/>
        </w:rPr>
        <w:t>7.2在线响应（电子响应）具体操作流程参考</w:t>
      </w:r>
      <w:r>
        <w:rPr>
          <w:rFonts w:hint="eastAsia" w:ascii="宋体"/>
          <w:bCs/>
          <w:color w:val="auto"/>
          <w:sz w:val="21"/>
          <w:szCs w:val="21"/>
          <w:highlight w:val="none"/>
        </w:rPr>
        <w:t>《政府采购项目电子交易管理操作指南-供应商》（详见广西壮族自治区政府采购网—办事服务—下载专区-广西壮族自治区全流程电子招投标项目管理系统--供应商客户端）；如遇平台技术问题详询95763。</w:t>
      </w:r>
    </w:p>
    <w:p w14:paraId="5EAC95F0">
      <w:pPr>
        <w:spacing w:line="360" w:lineRule="exact"/>
        <w:ind w:firstLine="422" w:firstLineChars="200"/>
        <w:rPr>
          <w:rFonts w:hint="eastAsia" w:ascii="宋体"/>
          <w:bCs/>
          <w:color w:val="auto"/>
          <w:sz w:val="21"/>
          <w:szCs w:val="21"/>
          <w:highlight w:val="none"/>
        </w:rPr>
      </w:pPr>
      <w:r>
        <w:rPr>
          <w:rFonts w:hint="eastAsia" w:ascii="宋体"/>
          <w:b/>
          <w:bCs/>
          <w:color w:val="auto"/>
          <w:sz w:val="21"/>
          <w:szCs w:val="21"/>
          <w:highlight w:val="none"/>
          <w:lang w:val="en-US" w:eastAsia="zh-CN"/>
        </w:rPr>
        <w:t>8.监督管理机构：龙胜各族自治县政府采购管理办公室    联系电话：0773-7511322</w:t>
      </w:r>
      <w:r>
        <w:rPr>
          <w:rFonts w:hint="eastAsia" w:ascii="宋体"/>
          <w:b/>
          <w:bCs/>
          <w:color w:val="auto"/>
          <w:sz w:val="21"/>
          <w:szCs w:val="21"/>
          <w:highlight w:val="none"/>
        </w:rPr>
        <w:t>。</w:t>
      </w:r>
    </w:p>
    <w:p w14:paraId="7AEEFA2C">
      <w:pPr>
        <w:pStyle w:val="28"/>
        <w:spacing w:line="360" w:lineRule="exact"/>
        <w:rPr>
          <w:rFonts w:hint="eastAsia" w:ascii="宋体"/>
          <w:b/>
          <w:color w:val="auto"/>
          <w:sz w:val="21"/>
          <w:szCs w:val="21"/>
          <w:highlight w:val="none"/>
        </w:rPr>
      </w:pPr>
      <w:r>
        <w:rPr>
          <w:rFonts w:hint="eastAsia" w:ascii="宋体"/>
          <w:b/>
          <w:color w:val="auto"/>
          <w:sz w:val="21"/>
          <w:szCs w:val="21"/>
          <w:highlight w:val="none"/>
        </w:rPr>
        <w:t>八、对本次采购提出询问，请按以下方式联系。</w:t>
      </w:r>
    </w:p>
    <w:p w14:paraId="478D0749">
      <w:pPr>
        <w:snapToGrid w:val="0"/>
        <w:spacing w:line="360" w:lineRule="exact"/>
        <w:ind w:right="420" w:firstLine="420" w:firstLineChars="200"/>
        <w:rPr>
          <w:rFonts w:hint="eastAsia" w:ascii="宋体"/>
          <w:color w:val="auto"/>
          <w:sz w:val="21"/>
          <w:szCs w:val="21"/>
          <w:highlight w:val="none"/>
        </w:rPr>
      </w:pPr>
      <w:r>
        <w:rPr>
          <w:rFonts w:hint="eastAsia" w:ascii="宋体"/>
          <w:color w:val="auto"/>
          <w:sz w:val="21"/>
          <w:szCs w:val="21"/>
          <w:highlight w:val="none"/>
        </w:rPr>
        <w:t>1.采购人信息：</w:t>
      </w:r>
    </w:p>
    <w:p w14:paraId="72585355">
      <w:pPr>
        <w:snapToGrid w:val="0"/>
        <w:spacing w:line="360" w:lineRule="exact"/>
        <w:ind w:right="420" w:firstLine="420" w:firstLineChars="200"/>
        <w:rPr>
          <w:rFonts w:hint="eastAsia" w:ascii="宋体"/>
          <w:color w:val="auto"/>
          <w:sz w:val="21"/>
          <w:szCs w:val="21"/>
          <w:highlight w:val="none"/>
          <w:lang w:val="en-US" w:eastAsia="zh-CN"/>
        </w:rPr>
      </w:pPr>
      <w:r>
        <w:rPr>
          <w:rFonts w:hint="eastAsia" w:ascii="宋体"/>
          <w:color w:val="auto"/>
          <w:sz w:val="21"/>
          <w:szCs w:val="21"/>
          <w:highlight w:val="none"/>
          <w:lang w:val="en-US" w:eastAsia="zh-CN"/>
        </w:rPr>
        <w:t xml:space="preserve">名 称：龙胜各族自治县教育局     </w:t>
      </w:r>
    </w:p>
    <w:p w14:paraId="06E1A45D">
      <w:pPr>
        <w:snapToGrid w:val="0"/>
        <w:spacing w:line="360" w:lineRule="exact"/>
        <w:ind w:right="420" w:firstLine="420" w:firstLineChars="200"/>
        <w:rPr>
          <w:rFonts w:hint="eastAsia" w:ascii="宋体"/>
          <w:color w:val="auto"/>
          <w:sz w:val="21"/>
          <w:szCs w:val="21"/>
          <w:highlight w:val="none"/>
          <w:lang w:val="en-US" w:eastAsia="zh-CN"/>
        </w:rPr>
      </w:pPr>
      <w:r>
        <w:rPr>
          <w:rFonts w:hint="eastAsia" w:ascii="宋体"/>
          <w:color w:val="auto"/>
          <w:sz w:val="21"/>
          <w:szCs w:val="21"/>
          <w:highlight w:val="none"/>
          <w:lang w:val="en-US" w:eastAsia="zh-CN"/>
        </w:rPr>
        <w:t>地址：龙胜各族自治县古龙街31号　　　　　　　　　　</w:t>
      </w:r>
    </w:p>
    <w:p w14:paraId="733292A5">
      <w:pPr>
        <w:snapToGrid w:val="0"/>
        <w:spacing w:line="360" w:lineRule="exact"/>
        <w:ind w:right="420" w:firstLine="420" w:firstLineChars="200"/>
        <w:rPr>
          <w:rFonts w:hint="eastAsia" w:ascii="宋体"/>
          <w:color w:val="auto"/>
          <w:sz w:val="21"/>
          <w:szCs w:val="21"/>
          <w:highlight w:val="none"/>
          <w:lang w:val="en-US" w:eastAsia="zh-CN"/>
        </w:rPr>
      </w:pPr>
      <w:r>
        <w:rPr>
          <w:rFonts w:hint="eastAsia" w:ascii="宋体"/>
          <w:color w:val="auto"/>
          <w:sz w:val="21"/>
          <w:szCs w:val="21"/>
          <w:highlight w:val="none"/>
          <w:lang w:val="en-US" w:eastAsia="zh-CN"/>
        </w:rPr>
        <w:t xml:space="preserve">项目联系人： 蒙万财           </w:t>
      </w:r>
    </w:p>
    <w:p w14:paraId="5A07F7ED">
      <w:pPr>
        <w:snapToGrid w:val="0"/>
        <w:spacing w:line="360" w:lineRule="exact"/>
        <w:ind w:right="420" w:firstLine="420" w:firstLineChars="200"/>
        <w:rPr>
          <w:rFonts w:hint="default" w:ascii="宋体" w:eastAsia="宋体"/>
          <w:color w:val="auto"/>
          <w:sz w:val="21"/>
          <w:szCs w:val="21"/>
          <w:highlight w:val="none"/>
          <w:lang w:val="en-US" w:eastAsia="zh-CN"/>
        </w:rPr>
      </w:pPr>
      <w:r>
        <w:rPr>
          <w:rFonts w:hint="eastAsia" w:ascii="宋体"/>
          <w:color w:val="auto"/>
          <w:sz w:val="21"/>
          <w:szCs w:val="21"/>
          <w:highlight w:val="none"/>
          <w:lang w:val="en-US" w:eastAsia="zh-CN"/>
        </w:rPr>
        <w:t xml:space="preserve">项目联系方式：0773-7516305 </w:t>
      </w:r>
    </w:p>
    <w:p w14:paraId="0654AA7E">
      <w:pPr>
        <w:snapToGrid w:val="0"/>
        <w:spacing w:line="360" w:lineRule="exact"/>
        <w:ind w:right="420" w:firstLine="420" w:firstLineChars="200"/>
        <w:rPr>
          <w:rFonts w:hint="eastAsia" w:ascii="宋体"/>
          <w:color w:val="auto"/>
          <w:sz w:val="21"/>
          <w:szCs w:val="21"/>
          <w:highlight w:val="none"/>
        </w:rPr>
      </w:pPr>
      <w:r>
        <w:rPr>
          <w:rFonts w:hint="eastAsia" w:ascii="宋体"/>
          <w:color w:val="auto"/>
          <w:sz w:val="21"/>
          <w:szCs w:val="21"/>
          <w:highlight w:val="none"/>
        </w:rPr>
        <w:t>2.采购代理机构信息：</w:t>
      </w:r>
    </w:p>
    <w:p w14:paraId="5B2D5E1F">
      <w:pPr>
        <w:snapToGrid w:val="0"/>
        <w:spacing w:line="400" w:lineRule="exact"/>
        <w:ind w:right="420" w:firstLine="420" w:firstLineChars="200"/>
        <w:rPr>
          <w:rFonts w:hint="eastAsia" w:ascii="宋体"/>
          <w:color w:val="auto"/>
          <w:sz w:val="21"/>
          <w:szCs w:val="21"/>
          <w:highlight w:val="none"/>
        </w:rPr>
      </w:pPr>
      <w:r>
        <w:rPr>
          <w:rFonts w:hint="eastAsia" w:ascii="宋体"/>
          <w:color w:val="auto"/>
          <w:sz w:val="21"/>
          <w:szCs w:val="21"/>
          <w:highlight w:val="none"/>
        </w:rPr>
        <w:t>名称：</w:t>
      </w:r>
      <w:r>
        <w:rPr>
          <w:rFonts w:hint="eastAsia" w:ascii="宋体"/>
          <w:color w:val="auto"/>
          <w:sz w:val="21"/>
          <w:szCs w:val="21"/>
          <w:highlight w:val="none"/>
          <w:lang w:eastAsia="zh-CN"/>
        </w:rPr>
        <w:t>广西国兴项目管理有限公司</w:t>
      </w:r>
      <w:r>
        <w:rPr>
          <w:rFonts w:hint="eastAsia" w:ascii="宋体"/>
          <w:color w:val="auto"/>
          <w:sz w:val="21"/>
          <w:szCs w:val="21"/>
          <w:highlight w:val="none"/>
        </w:rPr>
        <w:t xml:space="preserve">  </w:t>
      </w:r>
    </w:p>
    <w:p w14:paraId="2C030C14">
      <w:pPr>
        <w:pStyle w:val="28"/>
        <w:spacing w:line="400" w:lineRule="exact"/>
        <w:rPr>
          <w:rFonts w:hint="eastAsia" w:ascii="宋体"/>
          <w:color w:val="auto"/>
          <w:sz w:val="21"/>
          <w:szCs w:val="21"/>
          <w:highlight w:val="none"/>
        </w:rPr>
      </w:pPr>
      <w:r>
        <w:rPr>
          <w:rFonts w:hint="eastAsia" w:ascii="宋体"/>
          <w:color w:val="auto"/>
          <w:sz w:val="21"/>
          <w:szCs w:val="21"/>
          <w:highlight w:val="none"/>
        </w:rPr>
        <w:t xml:space="preserve">地址：桂林市临桂区临桂镇凤凰路13号金贸中心3-3#幢8层09号 </w:t>
      </w:r>
    </w:p>
    <w:p w14:paraId="56C4E1C8">
      <w:pPr>
        <w:pStyle w:val="28"/>
        <w:spacing w:line="400" w:lineRule="exact"/>
        <w:rPr>
          <w:rFonts w:hint="eastAsia" w:ascii="宋体"/>
          <w:color w:val="auto"/>
          <w:sz w:val="21"/>
          <w:szCs w:val="21"/>
          <w:highlight w:val="none"/>
        </w:rPr>
      </w:pPr>
      <w:r>
        <w:rPr>
          <w:rFonts w:hint="eastAsia" w:ascii="宋体"/>
          <w:color w:val="auto"/>
          <w:sz w:val="21"/>
          <w:szCs w:val="21"/>
          <w:highlight w:val="none"/>
        </w:rPr>
        <w:t xml:space="preserve">项目联系人：秦娟、唐斌、陈卓琳、郭庆娟      </w:t>
      </w:r>
    </w:p>
    <w:p w14:paraId="5E156AC2">
      <w:pPr>
        <w:pStyle w:val="28"/>
        <w:spacing w:line="400" w:lineRule="exact"/>
        <w:rPr>
          <w:rFonts w:hint="eastAsia" w:ascii="宋体"/>
          <w:color w:val="auto"/>
          <w:sz w:val="21"/>
          <w:szCs w:val="21"/>
          <w:highlight w:val="none"/>
        </w:rPr>
      </w:pPr>
      <w:r>
        <w:rPr>
          <w:rFonts w:hint="eastAsia" w:ascii="宋体"/>
          <w:color w:val="auto"/>
          <w:sz w:val="21"/>
          <w:szCs w:val="21"/>
          <w:highlight w:val="none"/>
        </w:rPr>
        <w:t xml:space="preserve">项目联系方式：15296810982 </w:t>
      </w:r>
    </w:p>
    <w:p w14:paraId="47718DD6">
      <w:pPr>
        <w:pStyle w:val="28"/>
        <w:spacing w:line="340" w:lineRule="exact"/>
        <w:ind w:firstLine="5460" w:firstLineChars="2600"/>
        <w:rPr>
          <w:rFonts w:hint="eastAsia" w:ascii="宋体"/>
          <w:color w:val="auto"/>
          <w:sz w:val="21"/>
          <w:szCs w:val="21"/>
          <w:highlight w:val="none"/>
          <w:lang w:eastAsia="zh-CN"/>
        </w:rPr>
      </w:pPr>
    </w:p>
    <w:p w14:paraId="3CF05463">
      <w:pPr>
        <w:pStyle w:val="28"/>
        <w:spacing w:line="340" w:lineRule="exact"/>
        <w:ind w:firstLine="5460" w:firstLineChars="2600"/>
        <w:rPr>
          <w:rFonts w:hint="eastAsia" w:ascii="宋体"/>
          <w:color w:val="auto"/>
          <w:sz w:val="21"/>
          <w:szCs w:val="21"/>
          <w:highlight w:val="none"/>
          <w:lang w:eastAsia="zh-CN"/>
        </w:rPr>
      </w:pPr>
    </w:p>
    <w:p w14:paraId="1ADD102B">
      <w:pPr>
        <w:pStyle w:val="28"/>
        <w:spacing w:line="340" w:lineRule="exact"/>
        <w:ind w:firstLine="5880" w:firstLineChars="2800"/>
        <w:rPr>
          <w:rFonts w:hint="eastAsia" w:ascii="宋体"/>
          <w:color w:val="auto"/>
          <w:sz w:val="21"/>
          <w:szCs w:val="21"/>
          <w:highlight w:val="none"/>
        </w:rPr>
      </w:pPr>
      <w:r>
        <w:rPr>
          <w:rFonts w:hint="eastAsia" w:ascii="宋体"/>
          <w:color w:val="auto"/>
          <w:sz w:val="21"/>
          <w:szCs w:val="21"/>
          <w:highlight w:val="none"/>
          <w:lang w:eastAsia="zh-CN"/>
        </w:rPr>
        <w:t>广西</w:t>
      </w:r>
      <w:r>
        <w:rPr>
          <w:rFonts w:hint="eastAsia"/>
          <w:color w:val="auto"/>
          <w:sz w:val="21"/>
          <w:szCs w:val="21"/>
          <w:highlight w:val="none"/>
          <w:lang w:eastAsia="zh-CN"/>
        </w:rPr>
        <w:t>国兴</w:t>
      </w:r>
      <w:r>
        <w:rPr>
          <w:rFonts w:hint="eastAsia" w:ascii="宋体"/>
          <w:color w:val="auto"/>
          <w:sz w:val="21"/>
          <w:szCs w:val="21"/>
          <w:highlight w:val="none"/>
          <w:lang w:eastAsia="zh-CN"/>
        </w:rPr>
        <w:t>项目管理有限公司</w:t>
      </w:r>
      <w:r>
        <w:rPr>
          <w:rFonts w:hint="eastAsia" w:ascii="宋体"/>
          <w:color w:val="auto"/>
          <w:sz w:val="21"/>
          <w:szCs w:val="21"/>
          <w:highlight w:val="none"/>
        </w:rPr>
        <w:t xml:space="preserve">                                                       </w:t>
      </w:r>
    </w:p>
    <w:p w14:paraId="1C8F01F2">
      <w:pPr>
        <w:pStyle w:val="28"/>
        <w:spacing w:line="340" w:lineRule="exact"/>
        <w:ind w:firstLine="6300" w:firstLineChars="3000"/>
        <w:rPr>
          <w:rFonts w:hint="eastAsia"/>
          <w:color w:val="auto"/>
          <w:highlight w:val="none"/>
        </w:rPr>
      </w:pPr>
      <w:r>
        <w:rPr>
          <w:rFonts w:hint="eastAsia" w:ascii="宋体"/>
          <w:color w:val="auto"/>
          <w:sz w:val="21"/>
          <w:szCs w:val="21"/>
          <w:highlight w:val="none"/>
        </w:rPr>
        <w:t>202</w:t>
      </w:r>
      <w:r>
        <w:rPr>
          <w:rFonts w:hint="eastAsia" w:ascii="宋体"/>
          <w:color w:val="auto"/>
          <w:sz w:val="21"/>
          <w:szCs w:val="21"/>
          <w:highlight w:val="none"/>
          <w:lang w:val="en-US" w:eastAsia="zh-CN"/>
        </w:rPr>
        <w:t>6</w:t>
      </w:r>
      <w:r>
        <w:rPr>
          <w:rFonts w:hint="eastAsia" w:ascii="宋体"/>
          <w:color w:val="auto"/>
          <w:sz w:val="21"/>
          <w:szCs w:val="21"/>
          <w:highlight w:val="none"/>
        </w:rPr>
        <w:t>年</w:t>
      </w:r>
      <w:r>
        <w:rPr>
          <w:rFonts w:hint="eastAsia"/>
          <w:color w:val="auto"/>
          <w:sz w:val="21"/>
          <w:szCs w:val="21"/>
          <w:highlight w:val="none"/>
          <w:lang w:val="en-US" w:eastAsia="zh-CN"/>
        </w:rPr>
        <w:t>07</w:t>
      </w:r>
      <w:r>
        <w:rPr>
          <w:rFonts w:hint="eastAsia" w:ascii="宋体"/>
          <w:color w:val="auto"/>
          <w:sz w:val="21"/>
          <w:szCs w:val="21"/>
          <w:highlight w:val="none"/>
        </w:rPr>
        <w:t>月</w:t>
      </w:r>
      <w:r>
        <w:rPr>
          <w:rFonts w:hint="eastAsia"/>
          <w:color w:val="auto"/>
          <w:sz w:val="21"/>
          <w:szCs w:val="21"/>
          <w:highlight w:val="none"/>
          <w:lang w:val="en-US" w:eastAsia="zh-CN"/>
        </w:rPr>
        <w:t>07</w:t>
      </w:r>
      <w:r>
        <w:rPr>
          <w:rFonts w:hint="eastAsia" w:ascii="宋体"/>
          <w:color w:val="auto"/>
          <w:sz w:val="21"/>
          <w:szCs w:val="21"/>
          <w:highlight w:val="none"/>
        </w:rPr>
        <w:t>日</w:t>
      </w:r>
      <w:bookmarkEnd w:id="1"/>
    </w:p>
    <w:p w14:paraId="58A1FE4D">
      <w:pPr>
        <w:spacing w:line="460" w:lineRule="exact"/>
        <w:jc w:val="center"/>
        <w:outlineLvl w:val="0"/>
        <w:rPr>
          <w:rFonts w:hint="eastAsia" w:ascii="宋体"/>
          <w:b/>
          <w:color w:val="auto"/>
          <w:sz w:val="28"/>
          <w:szCs w:val="28"/>
          <w:highlight w:val="none"/>
        </w:rPr>
      </w:pPr>
      <w:r>
        <w:rPr>
          <w:rFonts w:hint="eastAsia" w:ascii="宋体"/>
          <w:b/>
          <w:color w:val="auto"/>
          <w:sz w:val="28"/>
          <w:szCs w:val="28"/>
          <w:highlight w:val="none"/>
        </w:rPr>
        <w:br w:type="page"/>
      </w:r>
      <w:bookmarkStart w:id="2" w:name="_Toc20648"/>
      <w:r>
        <w:rPr>
          <w:rFonts w:hint="eastAsia" w:ascii="宋体"/>
          <w:b/>
          <w:color w:val="auto"/>
          <w:sz w:val="28"/>
          <w:szCs w:val="28"/>
          <w:highlight w:val="none"/>
        </w:rPr>
        <w:t>第二章  磋商供应商须知</w:t>
      </w:r>
      <w:bookmarkEnd w:id="2"/>
    </w:p>
    <w:p w14:paraId="4A16D781">
      <w:pPr>
        <w:spacing w:line="460" w:lineRule="exact"/>
        <w:jc w:val="center"/>
        <w:rPr>
          <w:rFonts w:hint="eastAsia" w:ascii="宋体"/>
          <w:b/>
          <w:color w:val="auto"/>
          <w:sz w:val="28"/>
          <w:szCs w:val="28"/>
          <w:highlight w:val="none"/>
        </w:rPr>
      </w:pPr>
      <w:r>
        <w:rPr>
          <w:rFonts w:hint="eastAsia" w:ascii="宋体"/>
          <w:b/>
          <w:color w:val="auto"/>
          <w:sz w:val="28"/>
          <w:szCs w:val="28"/>
          <w:highlight w:val="none"/>
        </w:rPr>
        <w:t>磋商供应商须知前附表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98"/>
        <w:gridCol w:w="1417"/>
        <w:gridCol w:w="6709"/>
      </w:tblGrid>
      <w:tr w14:paraId="7916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2" w:type="dxa"/>
            <w:noWrap w:val="0"/>
            <w:vAlign w:val="center"/>
          </w:tcPr>
          <w:p w14:paraId="30904883">
            <w:pPr>
              <w:pStyle w:val="41"/>
              <w:spacing w:line="360" w:lineRule="exact"/>
              <w:jc w:val="center"/>
              <w:rPr>
                <w:rFonts w:hint="eastAsia"/>
                <w:color w:val="auto"/>
                <w:sz w:val="21"/>
                <w:szCs w:val="21"/>
                <w:highlight w:val="none"/>
              </w:rPr>
            </w:pPr>
            <w:r>
              <w:rPr>
                <w:rFonts w:hint="eastAsia"/>
                <w:color w:val="auto"/>
                <w:sz w:val="21"/>
                <w:szCs w:val="21"/>
                <w:highlight w:val="none"/>
              </w:rPr>
              <w:t>序号</w:t>
            </w:r>
          </w:p>
        </w:tc>
        <w:tc>
          <w:tcPr>
            <w:tcW w:w="898" w:type="dxa"/>
            <w:noWrap w:val="0"/>
            <w:vAlign w:val="center"/>
          </w:tcPr>
          <w:p w14:paraId="142BB869">
            <w:pPr>
              <w:pStyle w:val="41"/>
              <w:spacing w:line="360" w:lineRule="exact"/>
              <w:jc w:val="center"/>
              <w:rPr>
                <w:rFonts w:hint="eastAsia"/>
                <w:color w:val="auto"/>
                <w:sz w:val="21"/>
                <w:szCs w:val="21"/>
                <w:highlight w:val="none"/>
              </w:rPr>
            </w:pPr>
            <w:r>
              <w:rPr>
                <w:rFonts w:hint="eastAsia"/>
                <w:color w:val="auto"/>
                <w:sz w:val="21"/>
                <w:szCs w:val="21"/>
                <w:highlight w:val="none"/>
              </w:rPr>
              <w:t>条款号</w:t>
            </w:r>
          </w:p>
        </w:tc>
        <w:tc>
          <w:tcPr>
            <w:tcW w:w="1417" w:type="dxa"/>
            <w:noWrap w:val="0"/>
            <w:vAlign w:val="center"/>
          </w:tcPr>
          <w:p w14:paraId="64F5C0BB">
            <w:pPr>
              <w:pStyle w:val="41"/>
              <w:spacing w:line="360" w:lineRule="exact"/>
              <w:jc w:val="center"/>
              <w:rPr>
                <w:rFonts w:hint="eastAsia"/>
                <w:color w:val="auto"/>
                <w:sz w:val="21"/>
                <w:szCs w:val="21"/>
                <w:highlight w:val="none"/>
              </w:rPr>
            </w:pPr>
            <w:r>
              <w:rPr>
                <w:rFonts w:hint="eastAsia"/>
                <w:color w:val="auto"/>
                <w:sz w:val="21"/>
                <w:szCs w:val="21"/>
                <w:highlight w:val="none"/>
              </w:rPr>
              <w:t>条款名称</w:t>
            </w:r>
          </w:p>
        </w:tc>
        <w:tc>
          <w:tcPr>
            <w:tcW w:w="6709" w:type="dxa"/>
            <w:noWrap w:val="0"/>
            <w:vAlign w:val="center"/>
          </w:tcPr>
          <w:p w14:paraId="15EC26C2">
            <w:pPr>
              <w:pStyle w:val="41"/>
              <w:spacing w:line="360" w:lineRule="exact"/>
              <w:jc w:val="center"/>
              <w:rPr>
                <w:rFonts w:hint="eastAsia"/>
                <w:color w:val="auto"/>
                <w:sz w:val="21"/>
                <w:szCs w:val="21"/>
                <w:highlight w:val="none"/>
              </w:rPr>
            </w:pPr>
            <w:r>
              <w:rPr>
                <w:rFonts w:hint="eastAsia"/>
                <w:color w:val="auto"/>
                <w:sz w:val="21"/>
                <w:szCs w:val="21"/>
                <w:highlight w:val="none"/>
              </w:rPr>
              <w:t>内    容</w:t>
            </w:r>
          </w:p>
        </w:tc>
      </w:tr>
      <w:tr w14:paraId="151E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701A0229">
            <w:pPr>
              <w:pStyle w:val="41"/>
              <w:spacing w:line="360" w:lineRule="exact"/>
              <w:jc w:val="center"/>
              <w:rPr>
                <w:rFonts w:hint="eastAsia"/>
                <w:color w:val="auto"/>
                <w:sz w:val="21"/>
                <w:szCs w:val="21"/>
                <w:highlight w:val="none"/>
              </w:rPr>
            </w:pPr>
            <w:r>
              <w:rPr>
                <w:rFonts w:hint="eastAsia"/>
                <w:color w:val="auto"/>
                <w:sz w:val="21"/>
                <w:szCs w:val="21"/>
                <w:highlight w:val="none"/>
              </w:rPr>
              <w:t>1</w:t>
            </w:r>
          </w:p>
        </w:tc>
        <w:tc>
          <w:tcPr>
            <w:tcW w:w="898" w:type="dxa"/>
            <w:noWrap w:val="0"/>
            <w:vAlign w:val="center"/>
          </w:tcPr>
          <w:p w14:paraId="484000FE">
            <w:pPr>
              <w:pStyle w:val="41"/>
              <w:spacing w:line="360" w:lineRule="exact"/>
              <w:jc w:val="center"/>
              <w:rPr>
                <w:rFonts w:hint="eastAsia"/>
                <w:color w:val="auto"/>
                <w:sz w:val="21"/>
                <w:szCs w:val="21"/>
                <w:highlight w:val="none"/>
              </w:rPr>
            </w:pPr>
            <w:r>
              <w:rPr>
                <w:rFonts w:hint="eastAsia"/>
                <w:color w:val="auto"/>
                <w:sz w:val="21"/>
                <w:szCs w:val="21"/>
                <w:highlight w:val="none"/>
              </w:rPr>
              <w:t>1.1</w:t>
            </w:r>
          </w:p>
        </w:tc>
        <w:tc>
          <w:tcPr>
            <w:tcW w:w="1417" w:type="dxa"/>
            <w:noWrap w:val="0"/>
            <w:vAlign w:val="center"/>
          </w:tcPr>
          <w:p w14:paraId="07647DE4">
            <w:pPr>
              <w:pStyle w:val="41"/>
              <w:spacing w:line="360" w:lineRule="exact"/>
              <w:jc w:val="center"/>
              <w:rPr>
                <w:rFonts w:hint="eastAsia"/>
                <w:color w:val="auto"/>
                <w:sz w:val="21"/>
                <w:szCs w:val="21"/>
                <w:highlight w:val="none"/>
              </w:rPr>
            </w:pPr>
            <w:r>
              <w:rPr>
                <w:rFonts w:hint="eastAsia"/>
                <w:color w:val="auto"/>
                <w:sz w:val="21"/>
                <w:szCs w:val="21"/>
                <w:highlight w:val="none"/>
              </w:rPr>
              <w:t>本采购项目采购人</w:t>
            </w:r>
          </w:p>
        </w:tc>
        <w:tc>
          <w:tcPr>
            <w:tcW w:w="6709" w:type="dxa"/>
            <w:noWrap w:val="0"/>
            <w:vAlign w:val="center"/>
          </w:tcPr>
          <w:p w14:paraId="2581002E">
            <w:pPr>
              <w:pStyle w:val="12"/>
              <w:spacing w:line="360" w:lineRule="exact"/>
              <w:rPr>
                <w:rFonts w:hint="eastAsia"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 xml:space="preserve">名 称：龙胜各族自治县教育局     </w:t>
            </w:r>
          </w:p>
          <w:p w14:paraId="2E111335">
            <w:pPr>
              <w:pStyle w:val="12"/>
              <w:spacing w:line="360" w:lineRule="exact"/>
              <w:rPr>
                <w:rFonts w:hint="eastAsia"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地址：龙胜各族自治县古龙街31号　　　　　　　　　　</w:t>
            </w:r>
          </w:p>
          <w:p w14:paraId="41586978">
            <w:pPr>
              <w:pStyle w:val="12"/>
              <w:spacing w:line="360" w:lineRule="exact"/>
              <w:rPr>
                <w:rFonts w:hint="eastAsia" w:eastAsia="宋体" w:cs="Times New Roman"/>
                <w:color w:val="auto"/>
                <w:sz w:val="21"/>
                <w:szCs w:val="21"/>
                <w:highlight w:val="none"/>
                <w:lang w:eastAsia="zh-CN" w:bidi="ar-SA"/>
              </w:rPr>
            </w:pPr>
            <w:r>
              <w:rPr>
                <w:rFonts w:hint="eastAsia" w:cs="Times New Roman"/>
                <w:color w:val="auto"/>
                <w:sz w:val="21"/>
                <w:szCs w:val="21"/>
                <w:highlight w:val="none"/>
                <w:lang w:val="en-US" w:eastAsia="zh-CN" w:bidi="ar-SA"/>
              </w:rPr>
              <w:t xml:space="preserve">项目联系人： 蒙万财 </w:t>
            </w:r>
          </w:p>
        </w:tc>
      </w:tr>
      <w:tr w14:paraId="0CDE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21806450">
            <w:pPr>
              <w:pStyle w:val="41"/>
              <w:spacing w:line="360" w:lineRule="exact"/>
              <w:jc w:val="center"/>
              <w:rPr>
                <w:rFonts w:hint="eastAsia"/>
                <w:color w:val="auto"/>
                <w:sz w:val="21"/>
                <w:szCs w:val="21"/>
                <w:highlight w:val="none"/>
              </w:rPr>
            </w:pPr>
            <w:r>
              <w:rPr>
                <w:rFonts w:hint="eastAsia"/>
                <w:color w:val="auto"/>
                <w:sz w:val="21"/>
                <w:szCs w:val="21"/>
                <w:highlight w:val="none"/>
              </w:rPr>
              <w:t>2</w:t>
            </w:r>
          </w:p>
        </w:tc>
        <w:tc>
          <w:tcPr>
            <w:tcW w:w="898" w:type="dxa"/>
            <w:noWrap w:val="0"/>
            <w:vAlign w:val="center"/>
          </w:tcPr>
          <w:p w14:paraId="78B8E184">
            <w:pPr>
              <w:pStyle w:val="41"/>
              <w:spacing w:line="360" w:lineRule="exact"/>
              <w:jc w:val="center"/>
              <w:rPr>
                <w:rFonts w:hint="eastAsia"/>
                <w:color w:val="auto"/>
                <w:sz w:val="21"/>
                <w:szCs w:val="21"/>
                <w:highlight w:val="none"/>
              </w:rPr>
            </w:pPr>
            <w:r>
              <w:rPr>
                <w:rFonts w:hint="eastAsia"/>
                <w:color w:val="auto"/>
                <w:sz w:val="21"/>
                <w:szCs w:val="21"/>
                <w:highlight w:val="none"/>
              </w:rPr>
              <w:t>1.2</w:t>
            </w:r>
          </w:p>
        </w:tc>
        <w:tc>
          <w:tcPr>
            <w:tcW w:w="1417" w:type="dxa"/>
            <w:noWrap w:val="0"/>
            <w:vAlign w:val="center"/>
          </w:tcPr>
          <w:p w14:paraId="0F0C33C9">
            <w:pPr>
              <w:pStyle w:val="41"/>
              <w:spacing w:line="360" w:lineRule="exact"/>
              <w:jc w:val="center"/>
              <w:rPr>
                <w:rFonts w:hint="eastAsia"/>
                <w:color w:val="auto"/>
                <w:sz w:val="21"/>
                <w:szCs w:val="21"/>
                <w:highlight w:val="none"/>
              </w:rPr>
            </w:pPr>
            <w:r>
              <w:rPr>
                <w:rFonts w:hint="eastAsia"/>
                <w:color w:val="auto"/>
                <w:sz w:val="21"/>
                <w:szCs w:val="21"/>
                <w:highlight w:val="none"/>
              </w:rPr>
              <w:t>采购代理机构</w:t>
            </w:r>
          </w:p>
        </w:tc>
        <w:tc>
          <w:tcPr>
            <w:tcW w:w="6709" w:type="dxa"/>
            <w:noWrap w:val="0"/>
            <w:vAlign w:val="center"/>
          </w:tcPr>
          <w:p w14:paraId="06F6371B">
            <w:pPr>
              <w:spacing w:line="400" w:lineRule="exact"/>
              <w:rPr>
                <w:rFonts w:hint="eastAsia" w:ascii="宋体" w:eastAsia="宋体"/>
                <w:color w:val="auto"/>
                <w:sz w:val="21"/>
                <w:szCs w:val="21"/>
                <w:highlight w:val="none"/>
                <w:lang w:eastAsia="zh-CN"/>
              </w:rPr>
            </w:pPr>
            <w:r>
              <w:rPr>
                <w:rFonts w:hint="eastAsia" w:ascii="宋体"/>
                <w:color w:val="auto"/>
                <w:sz w:val="21"/>
                <w:szCs w:val="21"/>
                <w:highlight w:val="none"/>
              </w:rPr>
              <w:t>名称：</w:t>
            </w:r>
            <w:r>
              <w:rPr>
                <w:rFonts w:hint="eastAsia" w:ascii="宋体" w:cs="MingLiU"/>
                <w:color w:val="auto"/>
                <w:kern w:val="0"/>
                <w:sz w:val="21"/>
                <w:szCs w:val="21"/>
                <w:highlight w:val="none"/>
                <w:lang w:eastAsia="zh-CN" w:bidi="ar-SA"/>
              </w:rPr>
              <w:t>广西国兴项目管理有限公司</w:t>
            </w:r>
          </w:p>
          <w:p w14:paraId="0B3C6EB3">
            <w:pPr>
              <w:pStyle w:val="41"/>
              <w:spacing w:line="360" w:lineRule="exact"/>
              <w:rPr>
                <w:rFonts w:hint="eastAsia" w:eastAsia="宋体"/>
                <w:color w:val="auto"/>
                <w:sz w:val="21"/>
                <w:szCs w:val="21"/>
                <w:highlight w:val="none"/>
                <w:lang w:eastAsia="zh-CN"/>
              </w:rPr>
            </w:pPr>
            <w:r>
              <w:rPr>
                <w:rFonts w:hint="eastAsia" w:eastAsia="宋体"/>
                <w:color w:val="auto"/>
                <w:sz w:val="21"/>
                <w:szCs w:val="21"/>
                <w:highlight w:val="none"/>
                <w:lang w:eastAsia="zh-CN"/>
              </w:rPr>
              <w:t xml:space="preserve">地址：桂林市临桂区临桂镇凤凰路13号金贸中心3-3#幢8层09号 </w:t>
            </w:r>
          </w:p>
          <w:p w14:paraId="6DF32616">
            <w:pPr>
              <w:pStyle w:val="41"/>
              <w:spacing w:line="360" w:lineRule="exact"/>
              <w:rPr>
                <w:rFonts w:hint="eastAsia" w:eastAsia="宋体"/>
                <w:color w:val="auto"/>
                <w:sz w:val="21"/>
                <w:szCs w:val="21"/>
                <w:highlight w:val="none"/>
                <w:lang w:eastAsia="zh-CN"/>
              </w:rPr>
            </w:pPr>
            <w:r>
              <w:rPr>
                <w:rFonts w:hint="eastAsia" w:eastAsia="宋体"/>
                <w:color w:val="auto"/>
                <w:sz w:val="21"/>
                <w:szCs w:val="21"/>
                <w:highlight w:val="none"/>
                <w:lang w:eastAsia="zh-CN"/>
              </w:rPr>
              <w:t xml:space="preserve">项目联系人：秦娟、唐斌、陈卓琳、郭庆娟      </w:t>
            </w:r>
          </w:p>
          <w:p w14:paraId="4045805F">
            <w:pPr>
              <w:pStyle w:val="41"/>
              <w:spacing w:line="360" w:lineRule="exact"/>
              <w:rPr>
                <w:rFonts w:hint="eastAsia" w:eastAsia="宋体"/>
                <w:color w:val="auto"/>
                <w:sz w:val="21"/>
                <w:szCs w:val="21"/>
                <w:highlight w:val="none"/>
                <w:lang w:eastAsia="zh-CN"/>
              </w:rPr>
            </w:pPr>
            <w:r>
              <w:rPr>
                <w:rFonts w:hint="eastAsia" w:eastAsia="宋体"/>
                <w:color w:val="auto"/>
                <w:sz w:val="21"/>
                <w:szCs w:val="21"/>
                <w:highlight w:val="none"/>
                <w:lang w:eastAsia="zh-CN"/>
              </w:rPr>
              <w:t xml:space="preserve">项目联系方式：15296810982 </w:t>
            </w:r>
          </w:p>
        </w:tc>
      </w:tr>
      <w:tr w14:paraId="7034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61320B5A">
            <w:pPr>
              <w:pStyle w:val="41"/>
              <w:spacing w:line="360" w:lineRule="exact"/>
              <w:jc w:val="center"/>
              <w:rPr>
                <w:rFonts w:hint="eastAsia"/>
                <w:color w:val="auto"/>
                <w:sz w:val="21"/>
                <w:szCs w:val="21"/>
                <w:highlight w:val="none"/>
              </w:rPr>
            </w:pPr>
            <w:r>
              <w:rPr>
                <w:rFonts w:hint="eastAsia"/>
                <w:color w:val="auto"/>
                <w:sz w:val="21"/>
                <w:szCs w:val="21"/>
                <w:highlight w:val="none"/>
              </w:rPr>
              <w:t>3</w:t>
            </w:r>
          </w:p>
        </w:tc>
        <w:tc>
          <w:tcPr>
            <w:tcW w:w="898" w:type="dxa"/>
            <w:noWrap w:val="0"/>
            <w:vAlign w:val="center"/>
          </w:tcPr>
          <w:p w14:paraId="17534C82">
            <w:pPr>
              <w:pStyle w:val="41"/>
              <w:spacing w:line="360" w:lineRule="exact"/>
              <w:jc w:val="center"/>
              <w:rPr>
                <w:rFonts w:hint="eastAsia"/>
                <w:color w:val="auto"/>
                <w:sz w:val="21"/>
                <w:szCs w:val="21"/>
                <w:highlight w:val="none"/>
              </w:rPr>
            </w:pPr>
            <w:r>
              <w:rPr>
                <w:rFonts w:hint="eastAsia"/>
                <w:color w:val="auto"/>
                <w:sz w:val="21"/>
                <w:szCs w:val="21"/>
                <w:highlight w:val="none"/>
              </w:rPr>
              <w:t>1.3</w:t>
            </w:r>
          </w:p>
        </w:tc>
        <w:tc>
          <w:tcPr>
            <w:tcW w:w="1417" w:type="dxa"/>
            <w:noWrap w:val="0"/>
            <w:vAlign w:val="center"/>
          </w:tcPr>
          <w:p w14:paraId="21DE01E6">
            <w:pPr>
              <w:pStyle w:val="41"/>
              <w:spacing w:line="360" w:lineRule="exact"/>
              <w:jc w:val="center"/>
              <w:rPr>
                <w:rFonts w:hint="eastAsia"/>
                <w:color w:val="auto"/>
                <w:sz w:val="21"/>
                <w:szCs w:val="21"/>
                <w:highlight w:val="none"/>
              </w:rPr>
            </w:pPr>
            <w:r>
              <w:rPr>
                <w:rFonts w:hint="eastAsia"/>
                <w:color w:val="auto"/>
                <w:sz w:val="21"/>
                <w:szCs w:val="21"/>
                <w:highlight w:val="none"/>
              </w:rPr>
              <w:t xml:space="preserve">项目名称及项目编号 </w:t>
            </w:r>
          </w:p>
        </w:tc>
        <w:tc>
          <w:tcPr>
            <w:tcW w:w="6709" w:type="dxa"/>
            <w:noWrap w:val="0"/>
            <w:vAlign w:val="center"/>
          </w:tcPr>
          <w:p w14:paraId="784C8DE5">
            <w:pPr>
              <w:pStyle w:val="41"/>
              <w:spacing w:line="360" w:lineRule="exact"/>
              <w:rPr>
                <w:rFonts w:hint="eastAsia" w:eastAsia="宋体"/>
                <w:color w:val="auto"/>
                <w:sz w:val="21"/>
                <w:szCs w:val="21"/>
                <w:highlight w:val="none"/>
                <w:lang w:eastAsia="zh-CN"/>
              </w:rPr>
            </w:pPr>
            <w:r>
              <w:rPr>
                <w:rFonts w:hint="eastAsia"/>
                <w:color w:val="auto"/>
                <w:sz w:val="21"/>
                <w:szCs w:val="21"/>
                <w:highlight w:val="none"/>
              </w:rPr>
              <w:t>项目名称：</w:t>
            </w:r>
            <w:r>
              <w:rPr>
                <w:rFonts w:hint="eastAsia"/>
                <w:color w:val="auto"/>
                <w:sz w:val="21"/>
                <w:szCs w:val="21"/>
                <w:highlight w:val="none"/>
                <w:lang w:eastAsia="zh-CN"/>
              </w:rPr>
              <w:t>龙胜各族自治县平等镇平等小学塑胶操场</w:t>
            </w:r>
          </w:p>
          <w:p w14:paraId="62B6AB19">
            <w:pPr>
              <w:pStyle w:val="12"/>
              <w:spacing w:line="360" w:lineRule="exact"/>
              <w:rPr>
                <w:rFonts w:hint="eastAsia" w:eastAsia="宋体" w:cs="Times New Roman"/>
                <w:color w:val="auto"/>
                <w:sz w:val="21"/>
                <w:szCs w:val="21"/>
                <w:highlight w:val="none"/>
                <w:lang w:eastAsia="zh-CN" w:bidi="ar-SA"/>
              </w:rPr>
            </w:pPr>
            <w:r>
              <w:rPr>
                <w:rFonts w:hint="eastAsia"/>
                <w:color w:val="auto"/>
                <w:sz w:val="21"/>
                <w:szCs w:val="21"/>
                <w:highlight w:val="none"/>
              </w:rPr>
              <w:t>项目编号：</w:t>
            </w:r>
            <w:r>
              <w:rPr>
                <w:rFonts w:hint="eastAsia"/>
                <w:color w:val="auto"/>
                <w:sz w:val="21"/>
                <w:szCs w:val="21"/>
                <w:highlight w:val="none"/>
                <w:lang w:eastAsia="zh-CN"/>
              </w:rPr>
              <w:t>GLZC2026-C2-280033-GXGX</w:t>
            </w:r>
            <w:r>
              <w:rPr>
                <w:rFonts w:hint="eastAsia" w:cs="Times New Roman"/>
                <w:color w:val="auto"/>
                <w:sz w:val="21"/>
                <w:szCs w:val="21"/>
                <w:highlight w:val="none"/>
                <w:lang w:val="en-US" w:eastAsia="zh-CN" w:bidi="ar-SA"/>
              </w:rPr>
              <w:t xml:space="preserve"> </w:t>
            </w:r>
          </w:p>
        </w:tc>
      </w:tr>
      <w:tr w14:paraId="7673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89B644E">
            <w:pPr>
              <w:pStyle w:val="41"/>
              <w:spacing w:line="360" w:lineRule="exact"/>
              <w:jc w:val="center"/>
              <w:rPr>
                <w:rFonts w:hint="eastAsia"/>
                <w:color w:val="auto"/>
                <w:sz w:val="21"/>
                <w:szCs w:val="21"/>
                <w:highlight w:val="none"/>
              </w:rPr>
            </w:pPr>
            <w:r>
              <w:rPr>
                <w:rFonts w:hint="eastAsia"/>
                <w:color w:val="auto"/>
                <w:sz w:val="21"/>
                <w:szCs w:val="21"/>
                <w:highlight w:val="none"/>
              </w:rPr>
              <w:t>4</w:t>
            </w:r>
          </w:p>
        </w:tc>
        <w:tc>
          <w:tcPr>
            <w:tcW w:w="898" w:type="dxa"/>
            <w:noWrap w:val="0"/>
            <w:vAlign w:val="center"/>
          </w:tcPr>
          <w:p w14:paraId="03268CBC">
            <w:pPr>
              <w:pStyle w:val="41"/>
              <w:spacing w:line="360" w:lineRule="exact"/>
              <w:jc w:val="center"/>
              <w:rPr>
                <w:rFonts w:hint="eastAsia"/>
                <w:color w:val="auto"/>
                <w:sz w:val="21"/>
                <w:szCs w:val="21"/>
                <w:highlight w:val="none"/>
              </w:rPr>
            </w:pPr>
            <w:r>
              <w:rPr>
                <w:rFonts w:hint="eastAsia"/>
                <w:color w:val="auto"/>
                <w:sz w:val="21"/>
                <w:szCs w:val="21"/>
                <w:highlight w:val="none"/>
              </w:rPr>
              <w:t>1.4</w:t>
            </w:r>
          </w:p>
        </w:tc>
        <w:tc>
          <w:tcPr>
            <w:tcW w:w="1417" w:type="dxa"/>
            <w:noWrap w:val="0"/>
            <w:vAlign w:val="center"/>
          </w:tcPr>
          <w:p w14:paraId="4AD95152">
            <w:pPr>
              <w:pStyle w:val="41"/>
              <w:spacing w:line="360" w:lineRule="exact"/>
              <w:jc w:val="center"/>
              <w:rPr>
                <w:rFonts w:hint="eastAsia"/>
                <w:color w:val="auto"/>
                <w:sz w:val="21"/>
                <w:szCs w:val="21"/>
                <w:highlight w:val="none"/>
              </w:rPr>
            </w:pPr>
            <w:r>
              <w:rPr>
                <w:rFonts w:hint="eastAsia"/>
                <w:color w:val="auto"/>
                <w:sz w:val="21"/>
                <w:szCs w:val="21"/>
                <w:highlight w:val="none"/>
              </w:rPr>
              <w:t>本工程建设地点</w:t>
            </w:r>
          </w:p>
        </w:tc>
        <w:tc>
          <w:tcPr>
            <w:tcW w:w="6709" w:type="dxa"/>
            <w:noWrap w:val="0"/>
            <w:vAlign w:val="center"/>
          </w:tcPr>
          <w:p w14:paraId="2EB8EE9D">
            <w:pPr>
              <w:pStyle w:val="41"/>
              <w:spacing w:line="360" w:lineRule="exact"/>
              <w:rPr>
                <w:rFonts w:hint="eastAsia" w:eastAsia="宋体"/>
                <w:color w:val="auto"/>
                <w:sz w:val="21"/>
                <w:szCs w:val="21"/>
                <w:highlight w:val="none"/>
                <w:lang w:eastAsia="zh-CN"/>
              </w:rPr>
            </w:pPr>
            <w:r>
              <w:rPr>
                <w:rFonts w:hint="eastAsia"/>
                <w:color w:val="auto"/>
                <w:sz w:val="21"/>
                <w:szCs w:val="21"/>
                <w:highlight w:val="none"/>
                <w:lang w:eastAsia="zh-CN"/>
              </w:rPr>
              <w:t>龙胜各族自治县平等镇</w:t>
            </w:r>
          </w:p>
        </w:tc>
      </w:tr>
      <w:tr w14:paraId="736B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BADEE32">
            <w:pPr>
              <w:pStyle w:val="41"/>
              <w:spacing w:line="360" w:lineRule="exact"/>
              <w:jc w:val="center"/>
              <w:rPr>
                <w:rFonts w:hint="eastAsia"/>
                <w:color w:val="auto"/>
                <w:sz w:val="21"/>
                <w:szCs w:val="21"/>
                <w:highlight w:val="none"/>
              </w:rPr>
            </w:pPr>
            <w:r>
              <w:rPr>
                <w:rFonts w:hint="eastAsia"/>
                <w:color w:val="auto"/>
                <w:sz w:val="21"/>
                <w:szCs w:val="21"/>
                <w:highlight w:val="none"/>
              </w:rPr>
              <w:t>5</w:t>
            </w:r>
          </w:p>
        </w:tc>
        <w:tc>
          <w:tcPr>
            <w:tcW w:w="898" w:type="dxa"/>
            <w:noWrap w:val="0"/>
            <w:vAlign w:val="center"/>
          </w:tcPr>
          <w:p w14:paraId="1631A29B">
            <w:pPr>
              <w:pStyle w:val="41"/>
              <w:spacing w:line="360" w:lineRule="exact"/>
              <w:jc w:val="center"/>
              <w:rPr>
                <w:rFonts w:hint="eastAsia"/>
                <w:color w:val="auto"/>
                <w:sz w:val="21"/>
                <w:szCs w:val="21"/>
                <w:highlight w:val="none"/>
              </w:rPr>
            </w:pPr>
            <w:r>
              <w:rPr>
                <w:rFonts w:hint="eastAsia"/>
                <w:color w:val="auto"/>
                <w:sz w:val="21"/>
                <w:szCs w:val="21"/>
                <w:highlight w:val="none"/>
              </w:rPr>
              <w:t>2.1</w:t>
            </w:r>
          </w:p>
        </w:tc>
        <w:tc>
          <w:tcPr>
            <w:tcW w:w="1417" w:type="dxa"/>
            <w:noWrap w:val="0"/>
            <w:vAlign w:val="center"/>
          </w:tcPr>
          <w:p w14:paraId="017CD531">
            <w:pPr>
              <w:jc w:val="center"/>
              <w:rPr>
                <w:rFonts w:hint="eastAsia"/>
                <w:color w:val="auto"/>
                <w:sz w:val="21"/>
                <w:szCs w:val="21"/>
                <w:highlight w:val="none"/>
              </w:rPr>
            </w:pPr>
            <w:r>
              <w:rPr>
                <w:rFonts w:hint="eastAsia" w:ascii="宋体"/>
                <w:color w:val="auto"/>
                <w:sz w:val="21"/>
                <w:szCs w:val="21"/>
                <w:highlight w:val="none"/>
              </w:rPr>
              <w:t>资金来源</w:t>
            </w:r>
          </w:p>
        </w:tc>
        <w:tc>
          <w:tcPr>
            <w:tcW w:w="6709" w:type="dxa"/>
            <w:noWrap w:val="0"/>
            <w:vAlign w:val="center"/>
          </w:tcPr>
          <w:p w14:paraId="49AA542A">
            <w:pPr>
              <w:pStyle w:val="41"/>
              <w:spacing w:line="360" w:lineRule="exact"/>
              <w:rPr>
                <w:rFonts w:hint="eastAsia"/>
                <w:color w:val="auto"/>
                <w:sz w:val="21"/>
                <w:szCs w:val="21"/>
                <w:highlight w:val="none"/>
              </w:rPr>
            </w:pPr>
            <w:r>
              <w:rPr>
                <w:rFonts w:hint="eastAsia"/>
                <w:color w:val="auto"/>
                <w:sz w:val="21"/>
                <w:szCs w:val="21"/>
                <w:highlight w:val="none"/>
              </w:rPr>
              <w:t>财政资金</w:t>
            </w:r>
          </w:p>
        </w:tc>
      </w:tr>
      <w:tr w14:paraId="176B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4658CDA0">
            <w:pPr>
              <w:pStyle w:val="41"/>
              <w:spacing w:line="360" w:lineRule="exact"/>
              <w:jc w:val="center"/>
              <w:rPr>
                <w:rFonts w:hint="eastAsia"/>
                <w:color w:val="auto"/>
                <w:sz w:val="21"/>
                <w:szCs w:val="21"/>
                <w:highlight w:val="none"/>
              </w:rPr>
            </w:pPr>
            <w:r>
              <w:rPr>
                <w:rFonts w:hint="eastAsia"/>
                <w:color w:val="auto"/>
                <w:sz w:val="21"/>
                <w:szCs w:val="21"/>
                <w:highlight w:val="none"/>
              </w:rPr>
              <w:t>6</w:t>
            </w:r>
          </w:p>
        </w:tc>
        <w:tc>
          <w:tcPr>
            <w:tcW w:w="898" w:type="dxa"/>
            <w:noWrap w:val="0"/>
            <w:vAlign w:val="center"/>
          </w:tcPr>
          <w:p w14:paraId="58DA3BB7">
            <w:pPr>
              <w:pStyle w:val="41"/>
              <w:spacing w:line="360" w:lineRule="exact"/>
              <w:jc w:val="center"/>
              <w:rPr>
                <w:rFonts w:hint="eastAsia"/>
                <w:color w:val="auto"/>
                <w:sz w:val="21"/>
                <w:szCs w:val="21"/>
                <w:highlight w:val="none"/>
              </w:rPr>
            </w:pPr>
            <w:r>
              <w:rPr>
                <w:rFonts w:hint="eastAsia"/>
                <w:color w:val="auto"/>
                <w:sz w:val="21"/>
                <w:szCs w:val="21"/>
                <w:highlight w:val="none"/>
              </w:rPr>
              <w:t>2.2</w:t>
            </w:r>
          </w:p>
        </w:tc>
        <w:tc>
          <w:tcPr>
            <w:tcW w:w="1417" w:type="dxa"/>
            <w:noWrap w:val="0"/>
            <w:vAlign w:val="center"/>
          </w:tcPr>
          <w:p w14:paraId="3F0CDB6E">
            <w:pPr>
              <w:jc w:val="center"/>
              <w:rPr>
                <w:rFonts w:hint="eastAsia"/>
                <w:color w:val="auto"/>
                <w:sz w:val="21"/>
                <w:szCs w:val="21"/>
                <w:highlight w:val="none"/>
              </w:rPr>
            </w:pPr>
            <w:r>
              <w:rPr>
                <w:rFonts w:hint="eastAsia" w:ascii="宋体"/>
                <w:color w:val="auto"/>
                <w:sz w:val="21"/>
                <w:szCs w:val="21"/>
                <w:highlight w:val="none"/>
              </w:rPr>
              <w:t>出资比例</w:t>
            </w:r>
          </w:p>
        </w:tc>
        <w:tc>
          <w:tcPr>
            <w:tcW w:w="6709" w:type="dxa"/>
            <w:noWrap w:val="0"/>
            <w:vAlign w:val="center"/>
          </w:tcPr>
          <w:p w14:paraId="0A8C0001">
            <w:pPr>
              <w:pStyle w:val="41"/>
              <w:spacing w:line="360" w:lineRule="exact"/>
              <w:rPr>
                <w:rFonts w:hint="eastAsia"/>
                <w:color w:val="auto"/>
                <w:sz w:val="21"/>
                <w:szCs w:val="21"/>
                <w:highlight w:val="none"/>
              </w:rPr>
            </w:pPr>
            <w:r>
              <w:rPr>
                <w:rFonts w:hint="eastAsia"/>
                <w:color w:val="auto"/>
                <w:sz w:val="21"/>
                <w:szCs w:val="21"/>
                <w:highlight w:val="none"/>
              </w:rPr>
              <w:t>100%</w:t>
            </w:r>
          </w:p>
        </w:tc>
      </w:tr>
      <w:tr w14:paraId="696F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598C148E">
            <w:pPr>
              <w:pStyle w:val="41"/>
              <w:spacing w:line="360" w:lineRule="exact"/>
              <w:jc w:val="center"/>
              <w:rPr>
                <w:rFonts w:hint="eastAsia"/>
                <w:color w:val="auto"/>
                <w:sz w:val="21"/>
                <w:szCs w:val="21"/>
                <w:highlight w:val="none"/>
              </w:rPr>
            </w:pPr>
            <w:r>
              <w:rPr>
                <w:rFonts w:hint="eastAsia"/>
                <w:color w:val="auto"/>
                <w:sz w:val="21"/>
                <w:szCs w:val="21"/>
                <w:highlight w:val="none"/>
              </w:rPr>
              <w:t>7</w:t>
            </w:r>
          </w:p>
        </w:tc>
        <w:tc>
          <w:tcPr>
            <w:tcW w:w="898" w:type="dxa"/>
            <w:noWrap w:val="0"/>
            <w:vAlign w:val="center"/>
          </w:tcPr>
          <w:p w14:paraId="21E07384">
            <w:pPr>
              <w:pStyle w:val="41"/>
              <w:spacing w:line="360" w:lineRule="exact"/>
              <w:jc w:val="center"/>
              <w:rPr>
                <w:rFonts w:hint="eastAsia"/>
                <w:color w:val="auto"/>
                <w:sz w:val="21"/>
                <w:szCs w:val="21"/>
                <w:highlight w:val="none"/>
              </w:rPr>
            </w:pPr>
            <w:r>
              <w:rPr>
                <w:rFonts w:hint="eastAsia"/>
                <w:color w:val="auto"/>
                <w:sz w:val="21"/>
                <w:szCs w:val="21"/>
                <w:highlight w:val="none"/>
              </w:rPr>
              <w:t>2.3</w:t>
            </w:r>
          </w:p>
        </w:tc>
        <w:tc>
          <w:tcPr>
            <w:tcW w:w="1417" w:type="dxa"/>
            <w:noWrap w:val="0"/>
            <w:vAlign w:val="center"/>
          </w:tcPr>
          <w:p w14:paraId="7A8A09CF">
            <w:pPr>
              <w:jc w:val="center"/>
              <w:rPr>
                <w:rFonts w:hint="eastAsia" w:ascii="宋体"/>
                <w:color w:val="auto"/>
                <w:sz w:val="21"/>
                <w:szCs w:val="21"/>
                <w:highlight w:val="none"/>
              </w:rPr>
            </w:pPr>
            <w:r>
              <w:rPr>
                <w:rFonts w:hint="eastAsia" w:ascii="宋体"/>
                <w:color w:val="auto"/>
                <w:sz w:val="21"/>
                <w:szCs w:val="21"/>
                <w:highlight w:val="none"/>
              </w:rPr>
              <w:t>资金落实</w:t>
            </w:r>
          </w:p>
          <w:p w14:paraId="733E38B8">
            <w:pPr>
              <w:jc w:val="center"/>
              <w:rPr>
                <w:rFonts w:hint="eastAsia"/>
                <w:color w:val="auto"/>
                <w:sz w:val="21"/>
                <w:szCs w:val="21"/>
                <w:highlight w:val="none"/>
              </w:rPr>
            </w:pPr>
            <w:r>
              <w:rPr>
                <w:rFonts w:hint="eastAsia" w:ascii="宋体"/>
                <w:color w:val="auto"/>
                <w:sz w:val="21"/>
                <w:szCs w:val="21"/>
                <w:highlight w:val="none"/>
              </w:rPr>
              <w:t>情况</w:t>
            </w:r>
          </w:p>
        </w:tc>
        <w:tc>
          <w:tcPr>
            <w:tcW w:w="6709" w:type="dxa"/>
            <w:noWrap w:val="0"/>
            <w:vAlign w:val="center"/>
          </w:tcPr>
          <w:p w14:paraId="245BE2EB">
            <w:pPr>
              <w:pStyle w:val="41"/>
              <w:spacing w:line="360" w:lineRule="exact"/>
              <w:rPr>
                <w:rFonts w:hint="eastAsia"/>
                <w:color w:val="auto"/>
                <w:sz w:val="21"/>
                <w:szCs w:val="21"/>
                <w:highlight w:val="none"/>
              </w:rPr>
            </w:pPr>
            <w:r>
              <w:rPr>
                <w:rFonts w:hint="eastAsia"/>
                <w:color w:val="auto"/>
                <w:sz w:val="21"/>
                <w:szCs w:val="21"/>
                <w:highlight w:val="none"/>
              </w:rPr>
              <w:t>已落实</w:t>
            </w:r>
          </w:p>
        </w:tc>
      </w:tr>
      <w:tr w14:paraId="03EC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27907BC2">
            <w:pPr>
              <w:pStyle w:val="41"/>
              <w:spacing w:line="360" w:lineRule="exact"/>
              <w:jc w:val="center"/>
              <w:rPr>
                <w:rFonts w:hint="eastAsia"/>
                <w:color w:val="auto"/>
                <w:sz w:val="21"/>
                <w:szCs w:val="21"/>
                <w:highlight w:val="none"/>
              </w:rPr>
            </w:pPr>
            <w:r>
              <w:rPr>
                <w:rFonts w:hint="eastAsia"/>
                <w:color w:val="auto"/>
                <w:sz w:val="21"/>
                <w:szCs w:val="21"/>
                <w:highlight w:val="none"/>
              </w:rPr>
              <w:t>8</w:t>
            </w:r>
          </w:p>
        </w:tc>
        <w:tc>
          <w:tcPr>
            <w:tcW w:w="898" w:type="dxa"/>
            <w:noWrap w:val="0"/>
            <w:vAlign w:val="center"/>
          </w:tcPr>
          <w:p w14:paraId="726B4EA3">
            <w:pPr>
              <w:pStyle w:val="41"/>
              <w:spacing w:line="360" w:lineRule="exact"/>
              <w:jc w:val="center"/>
              <w:rPr>
                <w:rFonts w:hint="eastAsia"/>
                <w:color w:val="auto"/>
                <w:sz w:val="21"/>
                <w:szCs w:val="21"/>
                <w:highlight w:val="none"/>
              </w:rPr>
            </w:pPr>
            <w:r>
              <w:rPr>
                <w:rFonts w:hint="eastAsia"/>
                <w:color w:val="auto"/>
                <w:sz w:val="21"/>
                <w:szCs w:val="21"/>
                <w:highlight w:val="none"/>
              </w:rPr>
              <w:t>3.1</w:t>
            </w:r>
          </w:p>
        </w:tc>
        <w:tc>
          <w:tcPr>
            <w:tcW w:w="1417" w:type="dxa"/>
            <w:noWrap w:val="0"/>
            <w:vAlign w:val="center"/>
          </w:tcPr>
          <w:p w14:paraId="534D1E86">
            <w:pPr>
              <w:pStyle w:val="41"/>
              <w:spacing w:line="360" w:lineRule="exact"/>
              <w:jc w:val="center"/>
              <w:rPr>
                <w:rFonts w:hint="eastAsia"/>
                <w:color w:val="auto"/>
                <w:sz w:val="21"/>
                <w:szCs w:val="21"/>
                <w:highlight w:val="none"/>
              </w:rPr>
            </w:pPr>
            <w:r>
              <w:rPr>
                <w:rFonts w:hint="eastAsia"/>
                <w:color w:val="auto"/>
                <w:sz w:val="21"/>
                <w:szCs w:val="21"/>
                <w:highlight w:val="none"/>
              </w:rPr>
              <w:t>本次采购范围</w:t>
            </w:r>
          </w:p>
        </w:tc>
        <w:tc>
          <w:tcPr>
            <w:tcW w:w="6709" w:type="dxa"/>
            <w:noWrap w:val="0"/>
            <w:vAlign w:val="center"/>
          </w:tcPr>
          <w:p w14:paraId="4BB7D44A">
            <w:pPr>
              <w:pStyle w:val="41"/>
              <w:spacing w:line="360" w:lineRule="exact"/>
              <w:rPr>
                <w:rFonts w:hint="eastAsia"/>
                <w:color w:val="auto"/>
                <w:sz w:val="21"/>
                <w:szCs w:val="21"/>
                <w:highlight w:val="none"/>
              </w:rPr>
            </w:pPr>
            <w:r>
              <w:rPr>
                <w:rFonts w:hint="eastAsia" w:cs="宋体"/>
                <w:color w:val="auto"/>
                <w:sz w:val="21"/>
                <w:szCs w:val="21"/>
                <w:highlight w:val="none"/>
                <w:lang w:bidi="ar-SA"/>
              </w:rPr>
              <w:t>施工图纸范围内的工程，具体情况详见施工图纸及工程量清单</w:t>
            </w:r>
            <w:r>
              <w:rPr>
                <w:rFonts w:hint="eastAsia"/>
                <w:color w:val="auto"/>
                <w:sz w:val="21"/>
                <w:szCs w:val="21"/>
                <w:highlight w:val="none"/>
              </w:rPr>
              <w:t>；</w:t>
            </w:r>
          </w:p>
        </w:tc>
      </w:tr>
      <w:tr w14:paraId="4459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53D5DC7">
            <w:pPr>
              <w:pStyle w:val="41"/>
              <w:spacing w:line="360" w:lineRule="exact"/>
              <w:jc w:val="center"/>
              <w:rPr>
                <w:rFonts w:hint="eastAsia"/>
                <w:color w:val="auto"/>
                <w:sz w:val="21"/>
                <w:szCs w:val="21"/>
                <w:highlight w:val="none"/>
              </w:rPr>
            </w:pPr>
            <w:r>
              <w:rPr>
                <w:rFonts w:hint="eastAsia"/>
                <w:color w:val="auto"/>
                <w:sz w:val="21"/>
                <w:szCs w:val="21"/>
                <w:highlight w:val="none"/>
              </w:rPr>
              <w:t>9</w:t>
            </w:r>
          </w:p>
        </w:tc>
        <w:tc>
          <w:tcPr>
            <w:tcW w:w="898" w:type="dxa"/>
            <w:noWrap w:val="0"/>
            <w:vAlign w:val="center"/>
          </w:tcPr>
          <w:p w14:paraId="7C52411D">
            <w:pPr>
              <w:pStyle w:val="41"/>
              <w:spacing w:line="360" w:lineRule="exact"/>
              <w:jc w:val="center"/>
              <w:rPr>
                <w:rFonts w:hint="eastAsia"/>
                <w:color w:val="auto"/>
                <w:sz w:val="21"/>
                <w:szCs w:val="21"/>
                <w:highlight w:val="none"/>
              </w:rPr>
            </w:pPr>
            <w:r>
              <w:rPr>
                <w:rFonts w:hint="eastAsia"/>
                <w:color w:val="auto"/>
                <w:sz w:val="21"/>
                <w:szCs w:val="21"/>
                <w:highlight w:val="none"/>
              </w:rPr>
              <w:t>3.2</w:t>
            </w:r>
          </w:p>
        </w:tc>
        <w:tc>
          <w:tcPr>
            <w:tcW w:w="1417" w:type="dxa"/>
            <w:noWrap w:val="0"/>
            <w:vAlign w:val="center"/>
          </w:tcPr>
          <w:p w14:paraId="3923249A">
            <w:pPr>
              <w:pStyle w:val="41"/>
              <w:spacing w:line="360" w:lineRule="exact"/>
              <w:jc w:val="center"/>
              <w:rPr>
                <w:rFonts w:hint="eastAsia"/>
                <w:color w:val="auto"/>
                <w:sz w:val="21"/>
                <w:szCs w:val="21"/>
                <w:highlight w:val="none"/>
              </w:rPr>
            </w:pPr>
            <w:r>
              <w:rPr>
                <w:rFonts w:hint="eastAsia"/>
                <w:color w:val="auto"/>
                <w:sz w:val="21"/>
                <w:szCs w:val="21"/>
                <w:highlight w:val="none"/>
              </w:rPr>
              <w:t>本工程的要求工期</w:t>
            </w:r>
          </w:p>
        </w:tc>
        <w:tc>
          <w:tcPr>
            <w:tcW w:w="6709" w:type="dxa"/>
            <w:noWrap w:val="0"/>
            <w:vAlign w:val="center"/>
          </w:tcPr>
          <w:p w14:paraId="4AA6CE42">
            <w:pPr>
              <w:pStyle w:val="41"/>
              <w:spacing w:line="360" w:lineRule="exact"/>
              <w:rPr>
                <w:rFonts w:hint="eastAsia"/>
                <w:color w:val="auto"/>
                <w:sz w:val="21"/>
                <w:szCs w:val="21"/>
                <w:highlight w:val="none"/>
              </w:rPr>
            </w:pPr>
            <w:r>
              <w:rPr>
                <w:rFonts w:hint="eastAsia"/>
                <w:color w:val="auto"/>
                <w:sz w:val="21"/>
                <w:szCs w:val="21"/>
                <w:highlight w:val="none"/>
                <w:lang w:val="en-US" w:eastAsia="zh-CN"/>
              </w:rPr>
              <w:t>60</w:t>
            </w:r>
            <w:r>
              <w:rPr>
                <w:rFonts w:hint="eastAsia"/>
                <w:color w:val="auto"/>
                <w:sz w:val="21"/>
                <w:szCs w:val="21"/>
                <w:highlight w:val="none"/>
                <w:lang w:eastAsia="zh-CN"/>
              </w:rPr>
              <w:t>个日历天</w:t>
            </w:r>
            <w:r>
              <w:rPr>
                <w:rFonts w:hint="eastAsia"/>
                <w:color w:val="auto"/>
                <w:sz w:val="21"/>
                <w:szCs w:val="21"/>
                <w:highlight w:val="none"/>
              </w:rPr>
              <w:t>；</w:t>
            </w:r>
          </w:p>
        </w:tc>
      </w:tr>
      <w:tr w14:paraId="7558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1971B279">
            <w:pPr>
              <w:pStyle w:val="41"/>
              <w:spacing w:line="360" w:lineRule="exact"/>
              <w:jc w:val="center"/>
              <w:rPr>
                <w:rFonts w:hint="eastAsia"/>
                <w:color w:val="auto"/>
                <w:sz w:val="21"/>
                <w:szCs w:val="21"/>
                <w:highlight w:val="none"/>
              </w:rPr>
            </w:pPr>
            <w:r>
              <w:rPr>
                <w:rFonts w:hint="eastAsia"/>
                <w:color w:val="auto"/>
                <w:sz w:val="21"/>
                <w:szCs w:val="21"/>
                <w:highlight w:val="none"/>
              </w:rPr>
              <w:t>10</w:t>
            </w:r>
          </w:p>
        </w:tc>
        <w:tc>
          <w:tcPr>
            <w:tcW w:w="898" w:type="dxa"/>
            <w:noWrap w:val="0"/>
            <w:vAlign w:val="center"/>
          </w:tcPr>
          <w:p w14:paraId="1159C7CF">
            <w:pPr>
              <w:pStyle w:val="41"/>
              <w:spacing w:line="360" w:lineRule="exact"/>
              <w:jc w:val="center"/>
              <w:rPr>
                <w:rFonts w:hint="eastAsia"/>
                <w:color w:val="auto"/>
                <w:sz w:val="21"/>
                <w:szCs w:val="21"/>
                <w:highlight w:val="none"/>
              </w:rPr>
            </w:pPr>
            <w:r>
              <w:rPr>
                <w:rFonts w:hint="eastAsia"/>
                <w:color w:val="auto"/>
                <w:sz w:val="21"/>
                <w:szCs w:val="21"/>
                <w:highlight w:val="none"/>
              </w:rPr>
              <w:t>3.3</w:t>
            </w:r>
          </w:p>
        </w:tc>
        <w:tc>
          <w:tcPr>
            <w:tcW w:w="1417" w:type="dxa"/>
            <w:noWrap w:val="0"/>
            <w:vAlign w:val="center"/>
          </w:tcPr>
          <w:p w14:paraId="15261B4D">
            <w:pPr>
              <w:pStyle w:val="41"/>
              <w:spacing w:line="360" w:lineRule="exact"/>
              <w:jc w:val="center"/>
              <w:rPr>
                <w:rFonts w:hint="eastAsia"/>
                <w:color w:val="auto"/>
                <w:sz w:val="21"/>
                <w:szCs w:val="21"/>
                <w:highlight w:val="none"/>
              </w:rPr>
            </w:pPr>
            <w:r>
              <w:rPr>
                <w:rFonts w:hint="eastAsia"/>
                <w:color w:val="auto"/>
                <w:sz w:val="21"/>
                <w:szCs w:val="21"/>
                <w:highlight w:val="none"/>
              </w:rPr>
              <w:t>本工程的质量要求</w:t>
            </w:r>
          </w:p>
        </w:tc>
        <w:tc>
          <w:tcPr>
            <w:tcW w:w="6709" w:type="dxa"/>
            <w:noWrap w:val="0"/>
            <w:vAlign w:val="center"/>
          </w:tcPr>
          <w:p w14:paraId="2B3FFD5B">
            <w:pPr>
              <w:pStyle w:val="41"/>
              <w:spacing w:line="360" w:lineRule="exact"/>
              <w:rPr>
                <w:rFonts w:hint="eastAsia"/>
                <w:color w:val="auto"/>
                <w:sz w:val="21"/>
                <w:szCs w:val="21"/>
                <w:highlight w:val="none"/>
                <w:u w:val="single"/>
              </w:rPr>
            </w:pPr>
            <w:r>
              <w:rPr>
                <w:rFonts w:hint="eastAsia"/>
                <w:color w:val="auto"/>
                <w:sz w:val="21"/>
                <w:szCs w:val="21"/>
                <w:highlight w:val="none"/>
                <w:u w:val="none"/>
              </w:rPr>
              <w:t>达到国家施工验收规范合格标准</w:t>
            </w:r>
            <w:r>
              <w:rPr>
                <w:rFonts w:hint="eastAsia"/>
                <w:color w:val="auto"/>
                <w:sz w:val="21"/>
                <w:szCs w:val="21"/>
                <w:highlight w:val="none"/>
              </w:rPr>
              <w:t>；</w:t>
            </w:r>
          </w:p>
        </w:tc>
      </w:tr>
      <w:tr w14:paraId="1C9E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32" w:type="dxa"/>
            <w:noWrap w:val="0"/>
            <w:vAlign w:val="center"/>
          </w:tcPr>
          <w:p w14:paraId="4026AE96">
            <w:pPr>
              <w:pStyle w:val="41"/>
              <w:spacing w:line="360" w:lineRule="exact"/>
              <w:jc w:val="center"/>
              <w:rPr>
                <w:rFonts w:hint="eastAsia"/>
                <w:color w:val="auto"/>
                <w:sz w:val="21"/>
                <w:szCs w:val="21"/>
                <w:highlight w:val="none"/>
              </w:rPr>
            </w:pPr>
            <w:r>
              <w:rPr>
                <w:rFonts w:hint="eastAsia"/>
                <w:color w:val="auto"/>
                <w:sz w:val="21"/>
                <w:szCs w:val="21"/>
                <w:highlight w:val="none"/>
              </w:rPr>
              <w:t>11</w:t>
            </w:r>
          </w:p>
        </w:tc>
        <w:tc>
          <w:tcPr>
            <w:tcW w:w="898" w:type="dxa"/>
            <w:noWrap w:val="0"/>
            <w:vAlign w:val="center"/>
          </w:tcPr>
          <w:p w14:paraId="55562EF3">
            <w:pPr>
              <w:pStyle w:val="41"/>
              <w:spacing w:line="360" w:lineRule="exact"/>
              <w:jc w:val="center"/>
              <w:rPr>
                <w:rFonts w:hint="eastAsia"/>
                <w:color w:val="auto"/>
                <w:sz w:val="21"/>
                <w:szCs w:val="21"/>
                <w:highlight w:val="none"/>
              </w:rPr>
            </w:pPr>
            <w:r>
              <w:rPr>
                <w:rFonts w:hint="eastAsia"/>
                <w:color w:val="auto"/>
                <w:sz w:val="21"/>
                <w:szCs w:val="21"/>
                <w:highlight w:val="none"/>
              </w:rPr>
              <w:t>3.4</w:t>
            </w:r>
          </w:p>
        </w:tc>
        <w:tc>
          <w:tcPr>
            <w:tcW w:w="1417" w:type="dxa"/>
            <w:noWrap w:val="0"/>
            <w:vAlign w:val="center"/>
          </w:tcPr>
          <w:p w14:paraId="354930CE">
            <w:pPr>
              <w:pStyle w:val="41"/>
              <w:spacing w:line="360" w:lineRule="exact"/>
              <w:jc w:val="center"/>
              <w:rPr>
                <w:rFonts w:hint="eastAsia"/>
                <w:color w:val="auto"/>
                <w:sz w:val="21"/>
                <w:szCs w:val="21"/>
                <w:highlight w:val="none"/>
              </w:rPr>
            </w:pPr>
            <w:r>
              <w:rPr>
                <w:rFonts w:hint="eastAsia"/>
                <w:color w:val="auto"/>
                <w:sz w:val="21"/>
                <w:szCs w:val="21"/>
                <w:highlight w:val="none"/>
              </w:rPr>
              <w:t>本工程的标段划分</w:t>
            </w:r>
          </w:p>
        </w:tc>
        <w:tc>
          <w:tcPr>
            <w:tcW w:w="6709" w:type="dxa"/>
            <w:noWrap w:val="0"/>
            <w:vAlign w:val="center"/>
          </w:tcPr>
          <w:p w14:paraId="0AEA4E8D">
            <w:pPr>
              <w:pStyle w:val="41"/>
              <w:spacing w:line="360" w:lineRule="exact"/>
              <w:rPr>
                <w:rFonts w:hint="eastAsia"/>
                <w:color w:val="auto"/>
                <w:sz w:val="21"/>
                <w:szCs w:val="21"/>
                <w:highlight w:val="none"/>
              </w:rPr>
            </w:pPr>
            <w:r>
              <w:rPr>
                <w:rFonts w:hint="eastAsia"/>
                <w:color w:val="auto"/>
                <w:sz w:val="21"/>
                <w:szCs w:val="21"/>
                <w:highlight w:val="none"/>
              </w:rPr>
              <w:t>本工程施工划分为</w:t>
            </w:r>
            <w:r>
              <w:rPr>
                <w:rFonts w:hint="eastAsia"/>
                <w:color w:val="auto"/>
                <w:sz w:val="21"/>
                <w:szCs w:val="21"/>
                <w:highlight w:val="none"/>
                <w:lang w:val="en-US" w:eastAsia="zh-CN"/>
              </w:rPr>
              <w:t>1</w:t>
            </w:r>
            <w:r>
              <w:rPr>
                <w:rFonts w:hint="eastAsia"/>
                <w:color w:val="auto"/>
                <w:sz w:val="21"/>
                <w:szCs w:val="21"/>
                <w:highlight w:val="none"/>
              </w:rPr>
              <w:t>个标段；</w:t>
            </w:r>
          </w:p>
        </w:tc>
      </w:tr>
      <w:tr w14:paraId="6150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2" w:type="dxa"/>
            <w:noWrap w:val="0"/>
            <w:vAlign w:val="center"/>
          </w:tcPr>
          <w:p w14:paraId="4AA12C1D">
            <w:pPr>
              <w:pStyle w:val="41"/>
              <w:spacing w:line="360" w:lineRule="exact"/>
              <w:jc w:val="center"/>
              <w:rPr>
                <w:rFonts w:hint="eastAsia"/>
                <w:color w:val="auto"/>
                <w:sz w:val="21"/>
                <w:szCs w:val="21"/>
                <w:highlight w:val="none"/>
              </w:rPr>
            </w:pPr>
            <w:r>
              <w:rPr>
                <w:rFonts w:hint="eastAsia"/>
                <w:color w:val="auto"/>
                <w:sz w:val="21"/>
                <w:szCs w:val="21"/>
                <w:highlight w:val="none"/>
              </w:rPr>
              <w:t>12</w:t>
            </w:r>
          </w:p>
        </w:tc>
        <w:tc>
          <w:tcPr>
            <w:tcW w:w="898" w:type="dxa"/>
            <w:noWrap w:val="0"/>
            <w:vAlign w:val="center"/>
          </w:tcPr>
          <w:p w14:paraId="6C075DB1">
            <w:pPr>
              <w:pStyle w:val="41"/>
              <w:spacing w:line="360" w:lineRule="exact"/>
              <w:jc w:val="center"/>
              <w:rPr>
                <w:rFonts w:hint="eastAsia"/>
                <w:color w:val="auto"/>
                <w:sz w:val="21"/>
                <w:szCs w:val="21"/>
                <w:highlight w:val="none"/>
              </w:rPr>
            </w:pPr>
            <w:r>
              <w:rPr>
                <w:rFonts w:hint="eastAsia"/>
                <w:color w:val="auto"/>
                <w:sz w:val="21"/>
                <w:szCs w:val="21"/>
                <w:highlight w:val="none"/>
              </w:rPr>
              <w:t>4</w:t>
            </w:r>
          </w:p>
        </w:tc>
        <w:tc>
          <w:tcPr>
            <w:tcW w:w="1417" w:type="dxa"/>
            <w:noWrap w:val="0"/>
            <w:vAlign w:val="center"/>
          </w:tcPr>
          <w:p w14:paraId="039F6DBE">
            <w:pPr>
              <w:pStyle w:val="41"/>
              <w:spacing w:line="360" w:lineRule="exact"/>
              <w:jc w:val="center"/>
              <w:rPr>
                <w:rFonts w:hint="eastAsia"/>
                <w:color w:val="auto"/>
                <w:sz w:val="21"/>
                <w:szCs w:val="21"/>
                <w:highlight w:val="none"/>
              </w:rPr>
            </w:pPr>
            <w:r>
              <w:rPr>
                <w:rFonts w:hint="eastAsia"/>
                <w:color w:val="auto"/>
                <w:sz w:val="21"/>
                <w:szCs w:val="21"/>
                <w:highlight w:val="none"/>
              </w:rPr>
              <w:t>磋商供应商的资格要求</w:t>
            </w:r>
          </w:p>
        </w:tc>
        <w:tc>
          <w:tcPr>
            <w:tcW w:w="6709" w:type="dxa"/>
            <w:noWrap w:val="0"/>
            <w:vAlign w:val="center"/>
          </w:tcPr>
          <w:p w14:paraId="0AB75F93">
            <w:pPr>
              <w:pStyle w:val="28"/>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4.1满足《中华人民共和国政府采购法》第二十二条规定；</w:t>
            </w:r>
          </w:p>
          <w:p w14:paraId="02B81448">
            <w:pPr>
              <w:pStyle w:val="28"/>
              <w:spacing w:line="360" w:lineRule="exact"/>
              <w:ind w:firstLine="0" w:firstLineChars="0"/>
              <w:rPr>
                <w:rFonts w:hint="eastAsia" w:ascii="宋体"/>
                <w:color w:val="auto"/>
                <w:sz w:val="21"/>
                <w:szCs w:val="21"/>
                <w:highlight w:val="none"/>
              </w:rPr>
            </w:pPr>
            <w:r>
              <w:rPr>
                <w:rFonts w:hint="eastAsia" w:ascii="宋体"/>
                <w:color w:val="auto"/>
                <w:sz w:val="21"/>
                <w:szCs w:val="21"/>
                <w:highlight w:val="none"/>
              </w:rPr>
              <w:t>4.2落实政府采购政策需满足的资格要求：</w:t>
            </w:r>
            <w:r>
              <w:rPr>
                <w:rFonts w:hint="eastAsia" w:ascii="宋体"/>
                <w:b/>
                <w:bCs/>
                <w:color w:val="auto"/>
                <w:sz w:val="21"/>
                <w:szCs w:val="21"/>
                <w:highlight w:val="none"/>
              </w:rPr>
              <w:t>专门面向</w:t>
            </w:r>
            <w:r>
              <w:rPr>
                <w:rFonts w:hint="eastAsia"/>
                <w:b/>
                <w:bCs/>
                <w:color w:val="auto"/>
                <w:sz w:val="21"/>
                <w:szCs w:val="21"/>
                <w:highlight w:val="none"/>
                <w:lang w:eastAsia="zh-CN"/>
              </w:rPr>
              <w:t>小</w:t>
            </w:r>
            <w:r>
              <w:rPr>
                <w:rFonts w:hint="eastAsia"/>
                <w:b/>
                <w:bCs/>
                <w:color w:val="auto"/>
                <w:sz w:val="21"/>
                <w:szCs w:val="21"/>
                <w:highlight w:val="none"/>
                <w:lang w:val="en-US" w:eastAsia="zh-CN"/>
              </w:rPr>
              <w:t>微</w:t>
            </w:r>
            <w:r>
              <w:rPr>
                <w:rFonts w:hint="eastAsia" w:ascii="宋体"/>
                <w:b/>
                <w:bCs/>
                <w:color w:val="auto"/>
                <w:sz w:val="21"/>
                <w:szCs w:val="21"/>
                <w:highlight w:val="none"/>
              </w:rPr>
              <w:t>企业采购的项目（供应商应为小微企业或监狱企业或残疾人福利性单位) ；</w:t>
            </w:r>
          </w:p>
          <w:p w14:paraId="11FE6030">
            <w:pPr>
              <w:spacing w:line="400" w:lineRule="exact"/>
              <w:ind w:firstLine="420" w:firstLineChars="200"/>
              <w:rPr>
                <w:rFonts w:hint="eastAsia" w:ascii="宋体" w:hAnsi="宋体"/>
                <w:b/>
                <w:bCs/>
                <w:color w:val="auto"/>
                <w:sz w:val="21"/>
                <w:szCs w:val="21"/>
                <w:highlight w:val="none"/>
              </w:rPr>
            </w:pPr>
            <w:r>
              <w:rPr>
                <w:rFonts w:hint="eastAsia" w:ascii="宋体"/>
                <w:color w:val="auto"/>
                <w:sz w:val="21"/>
                <w:szCs w:val="21"/>
                <w:highlight w:val="none"/>
              </w:rPr>
              <w:t>4.3本项目的特定资格要求：</w:t>
            </w:r>
            <w:r>
              <w:rPr>
                <w:rFonts w:hint="eastAsia" w:ascii="宋体" w:hAnsi="宋体"/>
                <w:b/>
                <w:bCs/>
                <w:color w:val="auto"/>
                <w:sz w:val="21"/>
                <w:szCs w:val="21"/>
                <w:highlight w:val="none"/>
              </w:rPr>
              <w:t>（1）</w:t>
            </w:r>
            <w:r>
              <w:rPr>
                <w:rFonts w:hint="eastAsia" w:ascii="宋体" w:cs="宋体"/>
                <w:b/>
                <w:color w:val="auto"/>
                <w:sz w:val="21"/>
                <w:szCs w:val="21"/>
                <w:highlight w:val="none"/>
                <w:lang w:bidi="ar-SA"/>
              </w:rPr>
              <w:t>供应商须</w:t>
            </w:r>
            <w:r>
              <w:rPr>
                <w:rFonts w:hint="eastAsia" w:ascii="宋体" w:hAnsi="宋体"/>
                <w:b/>
                <w:bCs/>
                <w:color w:val="auto"/>
                <w:sz w:val="21"/>
                <w:szCs w:val="21"/>
                <w:highlight w:val="none"/>
              </w:rPr>
              <w:t>具有建筑工程施工总承包三级以上（含三级）资质的施工企业，同时具有有效的安全生产许可证，并在人员、设备、资金等方面具备相应的施工能力；</w:t>
            </w:r>
          </w:p>
          <w:p w14:paraId="52B62B7A">
            <w:pPr>
              <w:pStyle w:val="28"/>
              <w:spacing w:line="400" w:lineRule="exact"/>
              <w:ind w:firstLine="422"/>
              <w:rPr>
                <w:rFonts w:hint="eastAsia" w:ascii="宋体"/>
                <w:color w:val="auto"/>
                <w:sz w:val="21"/>
                <w:szCs w:val="21"/>
                <w:highlight w:val="none"/>
              </w:rPr>
            </w:pPr>
            <w:r>
              <w:rPr>
                <w:rFonts w:hint="eastAsia" w:ascii="宋体" w:hAnsi="宋体"/>
                <w:b/>
                <w:bCs/>
                <w:color w:val="auto"/>
                <w:sz w:val="21"/>
                <w:szCs w:val="21"/>
                <w:highlight w:val="none"/>
              </w:rPr>
              <w:t>（2）</w:t>
            </w:r>
            <w:r>
              <w:rPr>
                <w:rFonts w:hint="eastAsia"/>
                <w:b/>
                <w:bCs/>
                <w:color w:val="auto"/>
                <w:sz w:val="21"/>
                <w:szCs w:val="21"/>
                <w:highlight w:val="none"/>
              </w:rPr>
              <w:t>拟投入本项目的</w:t>
            </w:r>
            <w:r>
              <w:rPr>
                <w:rFonts w:hint="eastAsia"/>
                <w:b/>
                <w:bCs/>
                <w:color w:val="auto"/>
                <w:sz w:val="21"/>
                <w:szCs w:val="21"/>
                <w:highlight w:val="none"/>
                <w:lang w:val="en-US" w:eastAsia="zh-CN"/>
              </w:rPr>
              <w:t>人员要求：</w:t>
            </w:r>
            <w:r>
              <w:rPr>
                <w:rFonts w:hint="eastAsia"/>
                <w:b/>
                <w:bCs/>
                <w:color w:val="auto"/>
                <w:sz w:val="21"/>
                <w:szCs w:val="21"/>
                <w:highlight w:val="none"/>
              </w:rPr>
              <w:t>项目经理必须具备建筑工程专业二级以上（含二级）</w:t>
            </w:r>
            <w:r>
              <w:rPr>
                <w:rFonts w:hint="eastAsia"/>
                <w:b/>
                <w:bCs/>
                <w:color w:val="auto"/>
                <w:sz w:val="21"/>
                <w:szCs w:val="21"/>
                <w:highlight w:val="none"/>
                <w:lang w:eastAsia="zh-CN"/>
              </w:rPr>
              <w:t>注册建造师资格</w:t>
            </w:r>
            <w:r>
              <w:rPr>
                <w:rFonts w:hint="eastAsia"/>
                <w:b/>
                <w:bCs/>
                <w:color w:val="auto"/>
                <w:sz w:val="21"/>
                <w:szCs w:val="21"/>
                <w:highlight w:val="none"/>
              </w:rPr>
              <w:t>，具备有效的安全生产考核合格证书（B类），本项目不接受在建、已中标未开工或已列为其他项目成交候选人第一名的建造师作为项目经理（符合桂建管【2013】17号文除外）。</w:t>
            </w:r>
          </w:p>
        </w:tc>
      </w:tr>
      <w:tr w14:paraId="0A0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32" w:type="dxa"/>
            <w:noWrap w:val="0"/>
            <w:vAlign w:val="center"/>
          </w:tcPr>
          <w:p w14:paraId="6FB40AD4">
            <w:pPr>
              <w:pStyle w:val="41"/>
              <w:spacing w:line="360" w:lineRule="exact"/>
              <w:jc w:val="center"/>
              <w:rPr>
                <w:rFonts w:hint="eastAsia"/>
                <w:color w:val="auto"/>
                <w:sz w:val="21"/>
                <w:szCs w:val="21"/>
                <w:highlight w:val="none"/>
              </w:rPr>
            </w:pPr>
            <w:r>
              <w:rPr>
                <w:rFonts w:hint="eastAsia"/>
                <w:color w:val="auto"/>
                <w:sz w:val="21"/>
                <w:szCs w:val="21"/>
                <w:highlight w:val="none"/>
              </w:rPr>
              <w:t>13</w:t>
            </w:r>
          </w:p>
        </w:tc>
        <w:tc>
          <w:tcPr>
            <w:tcW w:w="898" w:type="dxa"/>
            <w:noWrap w:val="0"/>
            <w:vAlign w:val="center"/>
          </w:tcPr>
          <w:p w14:paraId="6B9FCEDC">
            <w:pPr>
              <w:pStyle w:val="41"/>
              <w:spacing w:line="360" w:lineRule="exact"/>
              <w:jc w:val="center"/>
              <w:rPr>
                <w:rFonts w:hint="eastAsia"/>
                <w:color w:val="auto"/>
                <w:sz w:val="21"/>
                <w:szCs w:val="21"/>
                <w:highlight w:val="none"/>
              </w:rPr>
            </w:pPr>
            <w:r>
              <w:rPr>
                <w:rFonts w:hint="eastAsia"/>
                <w:color w:val="auto"/>
                <w:sz w:val="21"/>
                <w:szCs w:val="21"/>
                <w:highlight w:val="none"/>
              </w:rPr>
              <w:t>5</w:t>
            </w:r>
          </w:p>
        </w:tc>
        <w:tc>
          <w:tcPr>
            <w:tcW w:w="1417" w:type="dxa"/>
            <w:noWrap w:val="0"/>
            <w:vAlign w:val="center"/>
          </w:tcPr>
          <w:p w14:paraId="088B3924">
            <w:pPr>
              <w:pStyle w:val="41"/>
              <w:spacing w:line="360" w:lineRule="exact"/>
              <w:jc w:val="center"/>
              <w:rPr>
                <w:rFonts w:hint="eastAsia"/>
                <w:color w:val="auto"/>
                <w:sz w:val="21"/>
                <w:szCs w:val="21"/>
                <w:highlight w:val="none"/>
              </w:rPr>
            </w:pPr>
            <w:r>
              <w:rPr>
                <w:rFonts w:hint="eastAsia"/>
                <w:color w:val="auto"/>
                <w:sz w:val="21"/>
                <w:szCs w:val="21"/>
                <w:highlight w:val="none"/>
              </w:rPr>
              <w:t>踏勘现场</w:t>
            </w:r>
          </w:p>
        </w:tc>
        <w:tc>
          <w:tcPr>
            <w:tcW w:w="6709" w:type="dxa"/>
            <w:noWrap w:val="0"/>
            <w:vAlign w:val="center"/>
          </w:tcPr>
          <w:p w14:paraId="6762A26C">
            <w:pPr>
              <w:spacing w:line="360" w:lineRule="exact"/>
              <w:rPr>
                <w:rFonts w:hint="eastAsia" w:ascii="宋体"/>
                <w:color w:val="auto"/>
                <w:sz w:val="21"/>
                <w:szCs w:val="21"/>
                <w:highlight w:val="none"/>
              </w:rPr>
            </w:pPr>
            <w:r>
              <w:rPr>
                <w:rFonts w:hint="eastAsia" w:ascii="宋体"/>
                <w:color w:val="auto"/>
                <w:sz w:val="21"/>
                <w:szCs w:val="21"/>
                <w:highlight w:val="none"/>
              </w:rPr>
              <w:t>不组织；</w:t>
            </w:r>
          </w:p>
        </w:tc>
      </w:tr>
      <w:tr w14:paraId="3D1A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32" w:type="dxa"/>
            <w:noWrap w:val="0"/>
            <w:vAlign w:val="center"/>
          </w:tcPr>
          <w:p w14:paraId="56C275BB">
            <w:pPr>
              <w:pStyle w:val="41"/>
              <w:spacing w:line="360" w:lineRule="exact"/>
              <w:jc w:val="center"/>
              <w:rPr>
                <w:rFonts w:hint="eastAsia"/>
                <w:color w:val="auto"/>
                <w:sz w:val="21"/>
                <w:szCs w:val="21"/>
                <w:highlight w:val="none"/>
              </w:rPr>
            </w:pPr>
            <w:r>
              <w:rPr>
                <w:rFonts w:hint="eastAsia"/>
                <w:color w:val="auto"/>
                <w:sz w:val="21"/>
                <w:szCs w:val="21"/>
                <w:highlight w:val="none"/>
              </w:rPr>
              <w:t>14</w:t>
            </w:r>
          </w:p>
        </w:tc>
        <w:tc>
          <w:tcPr>
            <w:tcW w:w="898" w:type="dxa"/>
            <w:noWrap w:val="0"/>
            <w:vAlign w:val="center"/>
          </w:tcPr>
          <w:p w14:paraId="2C6176E9">
            <w:pPr>
              <w:pStyle w:val="41"/>
              <w:spacing w:line="360" w:lineRule="exact"/>
              <w:jc w:val="center"/>
              <w:rPr>
                <w:rFonts w:hint="eastAsia"/>
                <w:color w:val="auto"/>
                <w:sz w:val="21"/>
                <w:szCs w:val="21"/>
                <w:highlight w:val="none"/>
              </w:rPr>
            </w:pPr>
            <w:r>
              <w:rPr>
                <w:rFonts w:hint="eastAsia"/>
                <w:color w:val="auto"/>
                <w:sz w:val="21"/>
                <w:szCs w:val="21"/>
                <w:highlight w:val="none"/>
              </w:rPr>
              <w:t>6</w:t>
            </w:r>
          </w:p>
        </w:tc>
        <w:tc>
          <w:tcPr>
            <w:tcW w:w="1417" w:type="dxa"/>
            <w:noWrap w:val="0"/>
            <w:vAlign w:val="center"/>
          </w:tcPr>
          <w:p w14:paraId="525BE907">
            <w:pPr>
              <w:pStyle w:val="41"/>
              <w:spacing w:line="360" w:lineRule="exact"/>
              <w:jc w:val="center"/>
              <w:rPr>
                <w:rFonts w:hint="eastAsia"/>
                <w:color w:val="auto"/>
                <w:sz w:val="21"/>
                <w:szCs w:val="21"/>
                <w:highlight w:val="none"/>
              </w:rPr>
            </w:pPr>
            <w:r>
              <w:rPr>
                <w:rFonts w:hint="eastAsia"/>
                <w:color w:val="auto"/>
                <w:sz w:val="21"/>
                <w:szCs w:val="21"/>
                <w:highlight w:val="none"/>
              </w:rPr>
              <w:t>参与在线响应（电子响应）的准备工作及磋商费用</w:t>
            </w:r>
          </w:p>
        </w:tc>
        <w:tc>
          <w:tcPr>
            <w:tcW w:w="6709" w:type="dxa"/>
            <w:noWrap w:val="0"/>
            <w:vAlign w:val="center"/>
          </w:tcPr>
          <w:p w14:paraId="7DC4D330">
            <w:pPr>
              <w:pStyle w:val="41"/>
              <w:spacing w:line="360" w:lineRule="exact"/>
              <w:jc w:val="left"/>
              <w:rPr>
                <w:rFonts w:hint="eastAsia"/>
                <w:color w:val="auto"/>
                <w:sz w:val="21"/>
                <w:szCs w:val="21"/>
                <w:highlight w:val="none"/>
              </w:rPr>
            </w:pPr>
            <w:r>
              <w:rPr>
                <w:rFonts w:hint="eastAsia"/>
                <w:color w:val="auto"/>
                <w:sz w:val="21"/>
                <w:szCs w:val="21"/>
                <w:highlight w:val="none"/>
              </w:rPr>
              <w:t>6.1参与在线响应（电子响应）的准备工作</w:t>
            </w:r>
          </w:p>
          <w:p w14:paraId="4CB57473">
            <w:pPr>
              <w:pStyle w:val="41"/>
              <w:spacing w:line="360" w:lineRule="exact"/>
              <w:jc w:val="left"/>
              <w:rPr>
                <w:rFonts w:hint="eastAsia"/>
                <w:color w:val="auto"/>
                <w:sz w:val="21"/>
                <w:szCs w:val="21"/>
                <w:highlight w:val="none"/>
              </w:rPr>
            </w:pPr>
            <w:r>
              <w:rPr>
                <w:rFonts w:hint="eastAsia"/>
                <w:color w:val="auto"/>
                <w:sz w:val="21"/>
                <w:szCs w:val="21"/>
                <w:highlight w:val="none"/>
              </w:rPr>
              <w:t>6.1.1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07A0033F">
            <w:pPr>
              <w:pStyle w:val="41"/>
              <w:spacing w:line="360" w:lineRule="exact"/>
              <w:jc w:val="left"/>
              <w:rPr>
                <w:rFonts w:hint="eastAsia"/>
                <w:color w:val="auto"/>
                <w:sz w:val="21"/>
                <w:szCs w:val="21"/>
                <w:highlight w:val="none"/>
              </w:rPr>
            </w:pPr>
            <w:r>
              <w:rPr>
                <w:rFonts w:hint="eastAsia"/>
                <w:color w:val="auto"/>
                <w:sz w:val="21"/>
                <w:szCs w:val="21"/>
                <w:highlight w:val="none"/>
              </w:rPr>
              <w:t>6.1.2在线响应（电子响应）具体操作流程参考《政府采购项目电子交易管理操作指南-供应商》（详见广西壮族自治区政府采购网—办事服务—下载专区-广西壮族自治区全流程电子招投标项目管理系统--供应商客户端）；如遇平台技术问题详询95763。</w:t>
            </w:r>
          </w:p>
          <w:p w14:paraId="0A3430B5">
            <w:pPr>
              <w:pStyle w:val="41"/>
              <w:spacing w:line="360" w:lineRule="exact"/>
              <w:jc w:val="left"/>
              <w:rPr>
                <w:rFonts w:hint="eastAsia"/>
                <w:color w:val="auto"/>
                <w:sz w:val="21"/>
                <w:szCs w:val="21"/>
                <w:highlight w:val="none"/>
              </w:rPr>
            </w:pPr>
            <w:r>
              <w:rPr>
                <w:rFonts w:hint="eastAsia"/>
                <w:color w:val="auto"/>
                <w:sz w:val="21"/>
                <w:szCs w:val="21"/>
                <w:highlight w:val="none"/>
              </w:rPr>
              <w:t>6.2磋商费用：供应商应自行承担所有与编写和提交竞争性磋商响应文件有关的费用，不论磋商结果如何，采购人和采购代理机构在任何情况下无义务和责任承担此类费用。</w:t>
            </w:r>
          </w:p>
        </w:tc>
      </w:tr>
      <w:tr w14:paraId="01A6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32" w:type="dxa"/>
            <w:noWrap w:val="0"/>
            <w:vAlign w:val="center"/>
          </w:tcPr>
          <w:p w14:paraId="4D0C4DF8">
            <w:pPr>
              <w:pStyle w:val="41"/>
              <w:spacing w:line="360" w:lineRule="exact"/>
              <w:jc w:val="center"/>
              <w:rPr>
                <w:rFonts w:hint="eastAsia"/>
                <w:color w:val="auto"/>
                <w:sz w:val="21"/>
                <w:szCs w:val="21"/>
                <w:highlight w:val="none"/>
              </w:rPr>
            </w:pPr>
            <w:r>
              <w:rPr>
                <w:rFonts w:hint="eastAsia"/>
                <w:color w:val="auto"/>
                <w:sz w:val="21"/>
                <w:szCs w:val="21"/>
                <w:highlight w:val="none"/>
              </w:rPr>
              <w:t>15</w:t>
            </w:r>
          </w:p>
        </w:tc>
        <w:tc>
          <w:tcPr>
            <w:tcW w:w="898" w:type="dxa"/>
            <w:noWrap w:val="0"/>
            <w:vAlign w:val="center"/>
          </w:tcPr>
          <w:p w14:paraId="2BB0F1D6">
            <w:pPr>
              <w:pStyle w:val="41"/>
              <w:spacing w:line="360" w:lineRule="exact"/>
              <w:jc w:val="center"/>
              <w:rPr>
                <w:rFonts w:hint="eastAsia"/>
                <w:color w:val="auto"/>
                <w:sz w:val="21"/>
                <w:szCs w:val="21"/>
                <w:highlight w:val="none"/>
              </w:rPr>
            </w:pPr>
            <w:r>
              <w:rPr>
                <w:rFonts w:hint="eastAsia"/>
                <w:color w:val="auto"/>
                <w:sz w:val="21"/>
                <w:szCs w:val="21"/>
                <w:highlight w:val="none"/>
              </w:rPr>
              <w:t>7</w:t>
            </w:r>
          </w:p>
        </w:tc>
        <w:tc>
          <w:tcPr>
            <w:tcW w:w="1417" w:type="dxa"/>
            <w:noWrap w:val="0"/>
            <w:vAlign w:val="center"/>
          </w:tcPr>
          <w:p w14:paraId="1B16670F">
            <w:pPr>
              <w:pStyle w:val="41"/>
              <w:spacing w:line="360" w:lineRule="exact"/>
              <w:jc w:val="center"/>
              <w:rPr>
                <w:rFonts w:hint="eastAsia"/>
                <w:color w:val="auto"/>
                <w:sz w:val="21"/>
                <w:szCs w:val="21"/>
                <w:highlight w:val="none"/>
              </w:rPr>
            </w:pPr>
            <w:r>
              <w:rPr>
                <w:rFonts w:hint="eastAsia"/>
                <w:color w:val="auto"/>
                <w:sz w:val="21"/>
                <w:szCs w:val="21"/>
                <w:highlight w:val="none"/>
              </w:rPr>
              <w:t>分包</w:t>
            </w:r>
          </w:p>
        </w:tc>
        <w:tc>
          <w:tcPr>
            <w:tcW w:w="6709" w:type="dxa"/>
            <w:noWrap w:val="0"/>
            <w:vAlign w:val="center"/>
          </w:tcPr>
          <w:p w14:paraId="5A0EC8AC">
            <w:pPr>
              <w:spacing w:line="360" w:lineRule="exact"/>
              <w:rPr>
                <w:rFonts w:hint="eastAsia" w:ascii="宋体"/>
                <w:color w:val="auto"/>
                <w:sz w:val="21"/>
                <w:szCs w:val="21"/>
                <w:highlight w:val="none"/>
              </w:rPr>
            </w:pPr>
            <w:r>
              <w:rPr>
                <w:rFonts w:hint="eastAsia" w:ascii="宋体"/>
                <w:color w:val="auto"/>
                <w:kern w:val="0"/>
                <w:position w:val="1"/>
                <w:sz w:val="21"/>
                <w:szCs w:val="21"/>
                <w:highlight w:val="none"/>
              </w:rPr>
              <w:fldChar w:fldCharType="begin"/>
            </w:r>
            <w:r>
              <w:rPr>
                <w:rFonts w:hint="eastAsia" w:ascii="宋体"/>
                <w:color w:val="auto"/>
                <w:kern w:val="0"/>
                <w:position w:val="1"/>
                <w:sz w:val="21"/>
                <w:szCs w:val="21"/>
                <w:highlight w:val="none"/>
              </w:rPr>
              <w:instrText xml:space="preserve">eq \o\ac(</w:instrText>
            </w:r>
            <w:r>
              <w:rPr>
                <w:rFonts w:hint="eastAsia" w:ascii="宋体"/>
                <w:color w:val="auto"/>
                <w:kern w:val="0"/>
                <w:position w:val="-4"/>
                <w:sz w:val="31"/>
                <w:szCs w:val="21"/>
                <w:highlight w:val="none"/>
              </w:rPr>
              <w:instrText xml:space="preserve">□</w:instrText>
            </w:r>
            <w:r>
              <w:rPr>
                <w:rFonts w:ascii="宋体"/>
                <w:color w:val="auto"/>
                <w:kern w:val="0"/>
                <w:position w:val="0"/>
                <w:sz w:val="21"/>
                <w:szCs w:val="21"/>
                <w:highlight w:val="none"/>
              </w:rPr>
              <w:instrText xml:space="preserve">,√)</w:instrText>
            </w:r>
            <w:r>
              <w:rPr>
                <w:rFonts w:hint="eastAsia" w:ascii="宋体"/>
                <w:color w:val="auto"/>
                <w:kern w:val="0"/>
                <w:position w:val="1"/>
                <w:sz w:val="21"/>
                <w:szCs w:val="21"/>
                <w:highlight w:val="none"/>
              </w:rPr>
              <w:fldChar w:fldCharType="end"/>
            </w:r>
            <w:r>
              <w:rPr>
                <w:rFonts w:hint="eastAsia" w:ascii="宋体"/>
                <w:color w:val="auto"/>
                <w:sz w:val="21"/>
                <w:szCs w:val="21"/>
                <w:highlight w:val="none"/>
              </w:rPr>
              <w:t>不允许</w:t>
            </w:r>
          </w:p>
          <w:p w14:paraId="41F47CA9">
            <w:pPr>
              <w:pStyle w:val="41"/>
              <w:spacing w:line="360" w:lineRule="exact"/>
              <w:rPr>
                <w:rFonts w:hint="eastAsia"/>
                <w:color w:val="auto"/>
                <w:sz w:val="21"/>
                <w:szCs w:val="21"/>
                <w:highlight w:val="none"/>
              </w:rPr>
            </w:pPr>
            <w:r>
              <w:rPr>
                <w:rFonts w:hint="eastAsia"/>
                <w:color w:val="auto"/>
                <w:sz w:val="21"/>
                <w:szCs w:val="21"/>
                <w:highlight w:val="none"/>
              </w:rPr>
              <w:t>□允许</w:t>
            </w:r>
          </w:p>
        </w:tc>
      </w:tr>
      <w:tr w14:paraId="22DD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32" w:type="dxa"/>
            <w:noWrap w:val="0"/>
            <w:vAlign w:val="center"/>
          </w:tcPr>
          <w:p w14:paraId="683D2ADE">
            <w:pPr>
              <w:pStyle w:val="41"/>
              <w:spacing w:line="360" w:lineRule="exact"/>
              <w:jc w:val="center"/>
              <w:rPr>
                <w:rFonts w:hint="eastAsia"/>
                <w:color w:val="auto"/>
                <w:sz w:val="21"/>
                <w:szCs w:val="21"/>
                <w:highlight w:val="none"/>
              </w:rPr>
            </w:pPr>
            <w:r>
              <w:rPr>
                <w:rFonts w:hint="eastAsia"/>
                <w:color w:val="auto"/>
                <w:sz w:val="21"/>
                <w:szCs w:val="21"/>
                <w:highlight w:val="none"/>
              </w:rPr>
              <w:t>16</w:t>
            </w:r>
          </w:p>
        </w:tc>
        <w:tc>
          <w:tcPr>
            <w:tcW w:w="898" w:type="dxa"/>
            <w:noWrap w:val="0"/>
            <w:vAlign w:val="center"/>
          </w:tcPr>
          <w:p w14:paraId="363014AD">
            <w:pPr>
              <w:pStyle w:val="41"/>
              <w:spacing w:line="360" w:lineRule="exact"/>
              <w:jc w:val="center"/>
              <w:rPr>
                <w:rFonts w:hint="eastAsia"/>
                <w:color w:val="auto"/>
                <w:sz w:val="21"/>
                <w:szCs w:val="21"/>
                <w:highlight w:val="none"/>
              </w:rPr>
            </w:pPr>
            <w:r>
              <w:rPr>
                <w:rFonts w:hint="eastAsia"/>
                <w:color w:val="auto"/>
                <w:sz w:val="21"/>
                <w:szCs w:val="21"/>
                <w:highlight w:val="none"/>
              </w:rPr>
              <w:t>8</w:t>
            </w:r>
          </w:p>
        </w:tc>
        <w:tc>
          <w:tcPr>
            <w:tcW w:w="1417" w:type="dxa"/>
            <w:noWrap w:val="0"/>
            <w:vAlign w:val="center"/>
          </w:tcPr>
          <w:p w14:paraId="4E23E3D3">
            <w:pPr>
              <w:pStyle w:val="41"/>
              <w:spacing w:line="360" w:lineRule="exact"/>
              <w:jc w:val="center"/>
              <w:rPr>
                <w:rFonts w:hint="eastAsia"/>
                <w:color w:val="auto"/>
                <w:sz w:val="21"/>
                <w:szCs w:val="21"/>
                <w:highlight w:val="none"/>
              </w:rPr>
            </w:pPr>
            <w:r>
              <w:rPr>
                <w:rFonts w:hint="eastAsia"/>
                <w:color w:val="auto"/>
                <w:sz w:val="21"/>
                <w:szCs w:val="21"/>
                <w:highlight w:val="none"/>
              </w:rPr>
              <w:t>偏离</w:t>
            </w:r>
          </w:p>
        </w:tc>
        <w:tc>
          <w:tcPr>
            <w:tcW w:w="6709" w:type="dxa"/>
            <w:noWrap w:val="0"/>
            <w:vAlign w:val="center"/>
          </w:tcPr>
          <w:p w14:paraId="2A904971">
            <w:pPr>
              <w:spacing w:line="360" w:lineRule="exact"/>
              <w:rPr>
                <w:rFonts w:hint="eastAsia" w:ascii="宋体"/>
                <w:color w:val="auto"/>
                <w:sz w:val="21"/>
                <w:szCs w:val="21"/>
                <w:highlight w:val="none"/>
              </w:rPr>
            </w:pPr>
            <w:r>
              <w:rPr>
                <w:rFonts w:hint="eastAsia" w:ascii="宋体"/>
                <w:color w:val="auto"/>
                <w:kern w:val="0"/>
                <w:position w:val="1"/>
                <w:sz w:val="21"/>
                <w:szCs w:val="21"/>
                <w:highlight w:val="none"/>
              </w:rPr>
              <w:fldChar w:fldCharType="begin"/>
            </w:r>
            <w:r>
              <w:rPr>
                <w:rFonts w:hint="eastAsia" w:ascii="宋体"/>
                <w:color w:val="auto"/>
                <w:kern w:val="0"/>
                <w:position w:val="1"/>
                <w:sz w:val="21"/>
                <w:szCs w:val="21"/>
                <w:highlight w:val="none"/>
              </w:rPr>
              <w:instrText xml:space="preserve">eq \o\ac(</w:instrText>
            </w:r>
            <w:r>
              <w:rPr>
                <w:rFonts w:hint="eastAsia" w:ascii="宋体"/>
                <w:color w:val="auto"/>
                <w:kern w:val="0"/>
                <w:position w:val="-4"/>
                <w:sz w:val="31"/>
                <w:szCs w:val="21"/>
                <w:highlight w:val="none"/>
              </w:rPr>
              <w:instrText xml:space="preserve">□</w:instrText>
            </w:r>
            <w:r>
              <w:rPr>
                <w:rFonts w:ascii="宋体"/>
                <w:color w:val="auto"/>
                <w:kern w:val="0"/>
                <w:position w:val="0"/>
                <w:sz w:val="21"/>
                <w:szCs w:val="21"/>
                <w:highlight w:val="none"/>
              </w:rPr>
              <w:instrText xml:space="preserve">,√)</w:instrText>
            </w:r>
            <w:r>
              <w:rPr>
                <w:rFonts w:hint="eastAsia" w:ascii="宋体"/>
                <w:color w:val="auto"/>
                <w:kern w:val="0"/>
                <w:position w:val="1"/>
                <w:sz w:val="21"/>
                <w:szCs w:val="21"/>
                <w:highlight w:val="none"/>
              </w:rPr>
              <w:fldChar w:fldCharType="end"/>
            </w:r>
            <w:r>
              <w:rPr>
                <w:rFonts w:hint="eastAsia" w:ascii="宋体"/>
                <w:color w:val="auto"/>
                <w:sz w:val="21"/>
                <w:szCs w:val="21"/>
                <w:highlight w:val="none"/>
              </w:rPr>
              <w:t>不允许</w:t>
            </w:r>
          </w:p>
          <w:p w14:paraId="24635836">
            <w:pPr>
              <w:spacing w:line="360" w:lineRule="exact"/>
              <w:rPr>
                <w:rFonts w:hint="eastAsia" w:ascii="宋体"/>
                <w:color w:val="auto"/>
                <w:kern w:val="0"/>
                <w:sz w:val="21"/>
                <w:szCs w:val="21"/>
                <w:highlight w:val="none"/>
              </w:rPr>
            </w:pPr>
            <w:r>
              <w:rPr>
                <w:rFonts w:hint="eastAsia" w:ascii="宋体"/>
                <w:color w:val="auto"/>
                <w:sz w:val="21"/>
                <w:szCs w:val="21"/>
                <w:highlight w:val="none"/>
              </w:rPr>
              <w:t>□允许</w:t>
            </w:r>
          </w:p>
        </w:tc>
      </w:tr>
      <w:tr w14:paraId="5D5D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65DEFA92">
            <w:pPr>
              <w:pStyle w:val="41"/>
              <w:spacing w:line="360" w:lineRule="exact"/>
              <w:jc w:val="center"/>
              <w:rPr>
                <w:rFonts w:hint="eastAsia"/>
                <w:color w:val="auto"/>
                <w:sz w:val="21"/>
                <w:szCs w:val="21"/>
                <w:highlight w:val="none"/>
              </w:rPr>
            </w:pPr>
            <w:r>
              <w:rPr>
                <w:rFonts w:hint="eastAsia"/>
                <w:color w:val="auto"/>
                <w:sz w:val="21"/>
                <w:szCs w:val="21"/>
                <w:highlight w:val="none"/>
              </w:rPr>
              <w:t>17</w:t>
            </w:r>
          </w:p>
        </w:tc>
        <w:tc>
          <w:tcPr>
            <w:tcW w:w="898" w:type="dxa"/>
            <w:noWrap w:val="0"/>
            <w:vAlign w:val="center"/>
          </w:tcPr>
          <w:p w14:paraId="18E9A2CF">
            <w:pPr>
              <w:pStyle w:val="41"/>
              <w:spacing w:line="360" w:lineRule="exact"/>
              <w:jc w:val="center"/>
              <w:rPr>
                <w:rFonts w:hint="eastAsia"/>
                <w:color w:val="auto"/>
                <w:sz w:val="21"/>
                <w:szCs w:val="21"/>
                <w:highlight w:val="none"/>
              </w:rPr>
            </w:pPr>
            <w:r>
              <w:rPr>
                <w:rFonts w:hint="eastAsia"/>
                <w:color w:val="auto"/>
                <w:sz w:val="21"/>
                <w:szCs w:val="21"/>
                <w:highlight w:val="none"/>
              </w:rPr>
              <w:t>15.1</w:t>
            </w:r>
          </w:p>
        </w:tc>
        <w:tc>
          <w:tcPr>
            <w:tcW w:w="1417" w:type="dxa"/>
            <w:noWrap w:val="0"/>
            <w:vAlign w:val="center"/>
          </w:tcPr>
          <w:p w14:paraId="7BB313E3">
            <w:pPr>
              <w:pStyle w:val="41"/>
              <w:spacing w:line="360" w:lineRule="exact"/>
              <w:jc w:val="center"/>
              <w:rPr>
                <w:rFonts w:hint="eastAsia"/>
                <w:color w:val="auto"/>
                <w:sz w:val="21"/>
                <w:szCs w:val="21"/>
                <w:highlight w:val="none"/>
              </w:rPr>
            </w:pPr>
            <w:r>
              <w:rPr>
                <w:rFonts w:hint="eastAsia" w:cs="宋体"/>
                <w:color w:val="auto"/>
                <w:sz w:val="21"/>
                <w:szCs w:val="21"/>
                <w:highlight w:val="none"/>
                <w:lang w:bidi="ar-SA"/>
              </w:rPr>
              <w:t>电子响应文件的制作、加密</w:t>
            </w:r>
          </w:p>
        </w:tc>
        <w:tc>
          <w:tcPr>
            <w:tcW w:w="6709" w:type="dxa"/>
            <w:noWrap w:val="0"/>
            <w:vAlign w:val="center"/>
          </w:tcPr>
          <w:p w14:paraId="176A949B">
            <w:pPr>
              <w:pStyle w:val="12"/>
              <w:spacing w:line="360" w:lineRule="exact"/>
              <w:rPr>
                <w:rFonts w:hint="eastAsia"/>
                <w:color w:val="auto"/>
                <w:sz w:val="21"/>
                <w:szCs w:val="21"/>
                <w:highlight w:val="none"/>
              </w:rPr>
            </w:pPr>
            <w:r>
              <w:rPr>
                <w:rFonts w:hint="eastAsia"/>
                <w:color w:val="auto"/>
                <w:sz w:val="21"/>
                <w:szCs w:val="21"/>
                <w:highlight w:val="none"/>
              </w:rPr>
              <w:t>15.1.1供应商制作电子响应文件前，必须登录“广西政府采购云平台”平台进行竞争性磋商文件获取的操作。</w:t>
            </w:r>
          </w:p>
          <w:p w14:paraId="76303D91">
            <w:pPr>
              <w:pStyle w:val="12"/>
              <w:spacing w:line="360" w:lineRule="exact"/>
              <w:rPr>
                <w:rFonts w:hint="eastAsia"/>
                <w:color w:val="auto"/>
                <w:sz w:val="21"/>
                <w:szCs w:val="21"/>
                <w:highlight w:val="none"/>
              </w:rPr>
            </w:pPr>
            <w:r>
              <w:rPr>
                <w:rFonts w:hint="eastAsia"/>
                <w:color w:val="auto"/>
                <w:sz w:val="21"/>
                <w:szCs w:val="21"/>
                <w:highlight w:val="none"/>
              </w:rPr>
              <w:t>15.1.2供应商下载或获取竞争性磋商文件后，登录“政采云电子投标客户端”，按照本竞争性磋商文件规定的响应文件格式、顺序以及“广西政府采购云平台”平台的要求，通过“政采云电子投标客户端”编制电子响应文件。</w:t>
            </w:r>
          </w:p>
          <w:p w14:paraId="35512B6B">
            <w:pPr>
              <w:pStyle w:val="12"/>
              <w:spacing w:line="360" w:lineRule="exact"/>
              <w:rPr>
                <w:rFonts w:hint="eastAsia"/>
                <w:color w:val="auto"/>
                <w:sz w:val="21"/>
                <w:szCs w:val="21"/>
                <w:highlight w:val="none"/>
              </w:rPr>
            </w:pPr>
            <w:r>
              <w:rPr>
                <w:rFonts w:hint="eastAsia"/>
                <w:color w:val="auto"/>
                <w:sz w:val="21"/>
                <w:szCs w:val="21"/>
                <w:highlight w:val="none"/>
              </w:rPr>
              <w:t>15.1.3供应商应按“政采云电子投标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056F51B">
            <w:pPr>
              <w:pStyle w:val="12"/>
              <w:spacing w:line="360" w:lineRule="exact"/>
              <w:rPr>
                <w:rFonts w:hint="eastAsia"/>
                <w:color w:val="auto"/>
                <w:sz w:val="21"/>
                <w:szCs w:val="21"/>
                <w:highlight w:val="none"/>
              </w:rPr>
            </w:pPr>
            <w:r>
              <w:rPr>
                <w:rFonts w:hint="eastAsia"/>
                <w:color w:val="auto"/>
                <w:sz w:val="21"/>
                <w:szCs w:val="21"/>
                <w:highlight w:val="none"/>
              </w:rPr>
              <w:t>15.1.4电子响应文件不得涂改，若有修改错漏处，须加盖法定代表人或授权委托代理人通过“政采云电子投标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2F73F379">
            <w:pPr>
              <w:pStyle w:val="12"/>
              <w:spacing w:line="360" w:lineRule="exact"/>
              <w:rPr>
                <w:rFonts w:hint="eastAsia"/>
                <w:color w:val="auto"/>
                <w:sz w:val="21"/>
                <w:szCs w:val="21"/>
                <w:highlight w:val="none"/>
              </w:rPr>
            </w:pPr>
            <w:r>
              <w:rPr>
                <w:rFonts w:hint="eastAsia"/>
                <w:color w:val="auto"/>
                <w:sz w:val="21"/>
                <w:szCs w:val="21"/>
                <w:highlight w:val="none"/>
              </w:rPr>
              <w:t>15.1.5供应商编制、生成电子响应文件后应当进行加密。供应商未按规定编制并加密的响应文件，“广西政府采购云平台”平台将予以拒收。</w:t>
            </w:r>
          </w:p>
        </w:tc>
      </w:tr>
      <w:tr w14:paraId="4818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0EAF88BD">
            <w:pPr>
              <w:pStyle w:val="41"/>
              <w:spacing w:line="360" w:lineRule="exact"/>
              <w:jc w:val="center"/>
              <w:rPr>
                <w:rFonts w:hint="eastAsia"/>
                <w:color w:val="auto"/>
                <w:sz w:val="21"/>
                <w:szCs w:val="21"/>
                <w:highlight w:val="none"/>
              </w:rPr>
            </w:pPr>
            <w:r>
              <w:rPr>
                <w:rFonts w:hint="eastAsia"/>
                <w:color w:val="auto"/>
                <w:sz w:val="21"/>
                <w:szCs w:val="21"/>
                <w:highlight w:val="none"/>
              </w:rPr>
              <w:t>18</w:t>
            </w:r>
          </w:p>
        </w:tc>
        <w:tc>
          <w:tcPr>
            <w:tcW w:w="898" w:type="dxa"/>
            <w:noWrap w:val="0"/>
            <w:vAlign w:val="center"/>
          </w:tcPr>
          <w:p w14:paraId="52914ACF">
            <w:pPr>
              <w:pStyle w:val="41"/>
              <w:spacing w:line="360" w:lineRule="exact"/>
              <w:jc w:val="center"/>
              <w:rPr>
                <w:rFonts w:hint="eastAsia"/>
                <w:color w:val="auto"/>
                <w:sz w:val="21"/>
                <w:szCs w:val="21"/>
                <w:highlight w:val="none"/>
              </w:rPr>
            </w:pPr>
            <w:r>
              <w:rPr>
                <w:rFonts w:hint="eastAsia"/>
                <w:color w:val="auto"/>
                <w:sz w:val="21"/>
                <w:szCs w:val="21"/>
                <w:highlight w:val="none"/>
              </w:rPr>
              <w:t>15.2</w:t>
            </w:r>
          </w:p>
        </w:tc>
        <w:tc>
          <w:tcPr>
            <w:tcW w:w="1417" w:type="dxa"/>
            <w:noWrap w:val="0"/>
            <w:vAlign w:val="center"/>
          </w:tcPr>
          <w:p w14:paraId="7E31EFEF">
            <w:pPr>
              <w:pStyle w:val="41"/>
              <w:spacing w:line="360" w:lineRule="exact"/>
              <w:jc w:val="center"/>
              <w:rPr>
                <w:rFonts w:hint="eastAsia"/>
                <w:color w:val="auto"/>
                <w:sz w:val="21"/>
                <w:szCs w:val="21"/>
                <w:highlight w:val="none"/>
              </w:rPr>
            </w:pPr>
            <w:r>
              <w:rPr>
                <w:rFonts w:hint="eastAsia"/>
                <w:color w:val="auto"/>
                <w:sz w:val="21"/>
                <w:szCs w:val="21"/>
                <w:highlight w:val="none"/>
              </w:rPr>
              <w:t>供应商公章及签字</w:t>
            </w:r>
          </w:p>
        </w:tc>
        <w:tc>
          <w:tcPr>
            <w:tcW w:w="6709" w:type="dxa"/>
            <w:noWrap w:val="0"/>
            <w:vAlign w:val="center"/>
          </w:tcPr>
          <w:p w14:paraId="65CC3736">
            <w:pPr>
              <w:pStyle w:val="12"/>
              <w:spacing w:line="360" w:lineRule="exact"/>
              <w:rPr>
                <w:rFonts w:hint="eastAsia"/>
                <w:color w:val="auto"/>
                <w:sz w:val="21"/>
                <w:szCs w:val="21"/>
                <w:highlight w:val="none"/>
              </w:rPr>
            </w:pPr>
            <w:r>
              <w:rPr>
                <w:rFonts w:hint="eastAsia"/>
                <w:color w:val="auto"/>
                <w:sz w:val="21"/>
                <w:szCs w:val="21"/>
                <w:highlight w:val="none"/>
              </w:rPr>
              <w:t>15.2.1本竞争性磋商文件中描述供应商的“公章”是指供应商通过指定电子化政府采购平台办理数字证书（CA认证证书）获得的以法定主体行为名称制作的电子印章。</w:t>
            </w:r>
          </w:p>
          <w:p w14:paraId="3482262A">
            <w:pPr>
              <w:pStyle w:val="12"/>
              <w:spacing w:line="360" w:lineRule="exact"/>
              <w:rPr>
                <w:rFonts w:hint="eastAsia"/>
                <w:color w:val="auto"/>
                <w:sz w:val="21"/>
                <w:szCs w:val="21"/>
                <w:highlight w:val="none"/>
              </w:rPr>
            </w:pPr>
            <w:r>
              <w:rPr>
                <w:rFonts w:hint="eastAsia"/>
                <w:color w:val="auto"/>
                <w:sz w:val="21"/>
                <w:szCs w:val="21"/>
                <w:highlight w:val="none"/>
              </w:rPr>
              <w:t>15.2.2本竞争性磋商文件中要求供应商对其电子响应文件的相关内容加盖公章的，均指采用CA证书签章。</w:t>
            </w:r>
          </w:p>
          <w:p w14:paraId="7D5590A5">
            <w:pPr>
              <w:pStyle w:val="12"/>
              <w:spacing w:line="360" w:lineRule="exact"/>
              <w:rPr>
                <w:rFonts w:hint="eastAsia"/>
                <w:color w:val="auto"/>
                <w:sz w:val="21"/>
                <w:szCs w:val="21"/>
                <w:highlight w:val="none"/>
              </w:rPr>
            </w:pPr>
            <w:r>
              <w:rPr>
                <w:rFonts w:hint="eastAsia"/>
                <w:color w:val="auto"/>
                <w:sz w:val="21"/>
                <w:szCs w:val="21"/>
                <w:highlight w:val="none"/>
              </w:rPr>
              <w:t>15.2.3本竞争性磋商文件中描述供应商的“签字”是指供应商通过指定电子化政府采购平台办理数字证书（CA认证证书）获得的以供应商法定代表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14:paraId="5A6E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2D81DE0B">
            <w:pPr>
              <w:pStyle w:val="41"/>
              <w:spacing w:line="360" w:lineRule="exact"/>
              <w:jc w:val="center"/>
              <w:rPr>
                <w:rFonts w:hint="eastAsia"/>
                <w:color w:val="auto"/>
                <w:sz w:val="21"/>
                <w:szCs w:val="21"/>
                <w:highlight w:val="none"/>
              </w:rPr>
            </w:pPr>
            <w:r>
              <w:rPr>
                <w:rFonts w:hint="eastAsia"/>
                <w:color w:val="auto"/>
                <w:sz w:val="21"/>
                <w:szCs w:val="21"/>
                <w:highlight w:val="none"/>
              </w:rPr>
              <w:t>19</w:t>
            </w:r>
          </w:p>
        </w:tc>
        <w:tc>
          <w:tcPr>
            <w:tcW w:w="898" w:type="dxa"/>
            <w:noWrap w:val="0"/>
            <w:vAlign w:val="center"/>
          </w:tcPr>
          <w:p w14:paraId="3F5A45A1">
            <w:pPr>
              <w:pStyle w:val="41"/>
              <w:spacing w:line="360" w:lineRule="exact"/>
              <w:jc w:val="center"/>
              <w:rPr>
                <w:rFonts w:hint="eastAsia"/>
                <w:color w:val="auto"/>
                <w:sz w:val="21"/>
                <w:szCs w:val="21"/>
                <w:highlight w:val="none"/>
              </w:rPr>
            </w:pPr>
            <w:r>
              <w:rPr>
                <w:rFonts w:hint="eastAsia"/>
                <w:color w:val="auto"/>
                <w:sz w:val="21"/>
                <w:szCs w:val="21"/>
                <w:highlight w:val="none"/>
              </w:rPr>
              <w:t>16</w:t>
            </w:r>
          </w:p>
        </w:tc>
        <w:tc>
          <w:tcPr>
            <w:tcW w:w="1417" w:type="dxa"/>
            <w:noWrap w:val="0"/>
            <w:vAlign w:val="center"/>
          </w:tcPr>
          <w:p w14:paraId="13399598">
            <w:pPr>
              <w:pStyle w:val="41"/>
              <w:spacing w:line="360" w:lineRule="exact"/>
              <w:jc w:val="center"/>
              <w:rPr>
                <w:rFonts w:hint="eastAsia"/>
                <w:color w:val="auto"/>
                <w:sz w:val="21"/>
                <w:szCs w:val="21"/>
                <w:highlight w:val="none"/>
              </w:rPr>
            </w:pPr>
            <w:r>
              <w:rPr>
                <w:rFonts w:hint="eastAsia"/>
                <w:color w:val="auto"/>
                <w:sz w:val="21"/>
                <w:szCs w:val="21"/>
                <w:highlight w:val="none"/>
              </w:rPr>
              <w:t>响应文件的补充、修改和撤回</w:t>
            </w:r>
          </w:p>
        </w:tc>
        <w:tc>
          <w:tcPr>
            <w:tcW w:w="6709" w:type="dxa"/>
            <w:noWrap w:val="0"/>
            <w:vAlign w:val="center"/>
          </w:tcPr>
          <w:p w14:paraId="770256CC">
            <w:pPr>
              <w:spacing w:line="360" w:lineRule="exact"/>
              <w:rPr>
                <w:rFonts w:hint="eastAsia" w:ascii="宋体" w:cs="宋体"/>
                <w:color w:val="auto"/>
                <w:sz w:val="21"/>
                <w:szCs w:val="21"/>
                <w:highlight w:val="none"/>
                <w:lang w:bidi="ar-SA"/>
              </w:rPr>
            </w:pPr>
            <w:r>
              <w:rPr>
                <w:rFonts w:hint="eastAsia" w:ascii="宋体" w:cs="宋体"/>
                <w:color w:val="auto"/>
                <w:sz w:val="21"/>
                <w:szCs w:val="21"/>
                <w:highlight w:val="none"/>
                <w:lang w:bidi="ar-SA"/>
              </w:rPr>
              <w:t>16.1供应商应当在提交响应文件截止时间前，将生成的电子响应文件上传提交至“广西政府采购云平台”平台。响应文件提交截止时间前可以补充、修改或撤回电子响应文件，补充、修改电子响应文件的，应当先行撤回原文件，补充、修改后重新传输提交。提交响应文件截止时间前未成功将电子响应文件上传“广西政府采购云平台”平台的，视为未提交响应文件。</w:t>
            </w:r>
          </w:p>
          <w:p w14:paraId="046244A8">
            <w:pPr>
              <w:pStyle w:val="12"/>
              <w:spacing w:line="360" w:lineRule="exact"/>
              <w:rPr>
                <w:rFonts w:hint="eastAsia"/>
                <w:color w:val="auto"/>
                <w:sz w:val="21"/>
                <w:szCs w:val="21"/>
                <w:highlight w:val="none"/>
              </w:rPr>
            </w:pPr>
            <w:r>
              <w:rPr>
                <w:rFonts w:hint="eastAsia" w:cs="宋体"/>
                <w:color w:val="auto"/>
                <w:sz w:val="21"/>
                <w:szCs w:val="21"/>
                <w:highlight w:val="none"/>
                <w:lang w:bidi="ar-SA"/>
              </w:rPr>
              <w:t>16.2在提交响应文件截止时间后的响应文件有效期内，供应商不得撤回其响应文件。</w:t>
            </w:r>
          </w:p>
        </w:tc>
      </w:tr>
      <w:tr w14:paraId="409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1572F552">
            <w:pPr>
              <w:pStyle w:val="41"/>
              <w:spacing w:line="360" w:lineRule="exact"/>
              <w:jc w:val="center"/>
              <w:rPr>
                <w:rFonts w:hint="eastAsia"/>
                <w:color w:val="auto"/>
                <w:sz w:val="21"/>
                <w:szCs w:val="21"/>
                <w:highlight w:val="none"/>
              </w:rPr>
            </w:pPr>
            <w:r>
              <w:rPr>
                <w:rFonts w:hint="eastAsia"/>
                <w:color w:val="auto"/>
                <w:sz w:val="21"/>
                <w:szCs w:val="21"/>
                <w:highlight w:val="none"/>
              </w:rPr>
              <w:t>20</w:t>
            </w:r>
          </w:p>
        </w:tc>
        <w:tc>
          <w:tcPr>
            <w:tcW w:w="898" w:type="dxa"/>
            <w:noWrap w:val="0"/>
            <w:vAlign w:val="center"/>
          </w:tcPr>
          <w:p w14:paraId="5E38E833">
            <w:pPr>
              <w:pStyle w:val="41"/>
              <w:spacing w:line="360" w:lineRule="exact"/>
              <w:jc w:val="center"/>
              <w:rPr>
                <w:rFonts w:hint="eastAsia"/>
                <w:color w:val="auto"/>
                <w:sz w:val="21"/>
                <w:szCs w:val="21"/>
                <w:highlight w:val="none"/>
              </w:rPr>
            </w:pPr>
            <w:r>
              <w:rPr>
                <w:rFonts w:hint="eastAsia"/>
                <w:color w:val="auto"/>
                <w:sz w:val="21"/>
                <w:szCs w:val="21"/>
                <w:highlight w:val="none"/>
              </w:rPr>
              <w:t>17</w:t>
            </w:r>
          </w:p>
        </w:tc>
        <w:tc>
          <w:tcPr>
            <w:tcW w:w="1417" w:type="dxa"/>
            <w:noWrap w:val="0"/>
            <w:vAlign w:val="center"/>
          </w:tcPr>
          <w:p w14:paraId="622442B5">
            <w:pPr>
              <w:pStyle w:val="12"/>
              <w:spacing w:line="360" w:lineRule="exact"/>
              <w:jc w:val="center"/>
              <w:rPr>
                <w:rFonts w:hint="eastAsia"/>
                <w:color w:val="auto"/>
                <w:sz w:val="21"/>
                <w:szCs w:val="21"/>
                <w:highlight w:val="none"/>
              </w:rPr>
            </w:pPr>
            <w:r>
              <w:rPr>
                <w:rFonts w:hint="eastAsia"/>
                <w:color w:val="auto"/>
                <w:sz w:val="21"/>
                <w:szCs w:val="21"/>
                <w:highlight w:val="none"/>
              </w:rPr>
              <w:t>响应文件有效期</w:t>
            </w:r>
          </w:p>
        </w:tc>
        <w:tc>
          <w:tcPr>
            <w:tcW w:w="6709" w:type="dxa"/>
            <w:noWrap w:val="0"/>
            <w:vAlign w:val="center"/>
          </w:tcPr>
          <w:p w14:paraId="25F7A321">
            <w:pPr>
              <w:pStyle w:val="41"/>
              <w:spacing w:line="360" w:lineRule="exact"/>
              <w:rPr>
                <w:rFonts w:hint="eastAsia"/>
                <w:color w:val="auto"/>
                <w:sz w:val="21"/>
                <w:szCs w:val="21"/>
                <w:highlight w:val="none"/>
              </w:rPr>
            </w:pPr>
            <w:r>
              <w:rPr>
                <w:rFonts w:hint="eastAsia"/>
                <w:color w:val="auto"/>
                <w:sz w:val="21"/>
                <w:szCs w:val="21"/>
                <w:highlight w:val="none"/>
              </w:rPr>
              <w:t>响应文件递交截止日之起</w:t>
            </w:r>
            <w:r>
              <w:rPr>
                <w:rFonts w:hint="eastAsia"/>
                <w:color w:val="auto"/>
                <w:sz w:val="21"/>
                <w:szCs w:val="21"/>
                <w:highlight w:val="none"/>
                <w:u w:val="single"/>
              </w:rPr>
              <w:t>90</w:t>
            </w:r>
            <w:r>
              <w:rPr>
                <w:rFonts w:hint="eastAsia"/>
                <w:color w:val="auto"/>
                <w:sz w:val="21"/>
                <w:szCs w:val="21"/>
                <w:highlight w:val="none"/>
              </w:rPr>
              <w:t>日。</w:t>
            </w:r>
          </w:p>
        </w:tc>
      </w:tr>
      <w:tr w14:paraId="1F48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29B1DE72">
            <w:pPr>
              <w:pStyle w:val="41"/>
              <w:spacing w:line="360" w:lineRule="exact"/>
              <w:jc w:val="center"/>
              <w:rPr>
                <w:rFonts w:hint="eastAsia"/>
                <w:color w:val="auto"/>
                <w:sz w:val="21"/>
                <w:szCs w:val="21"/>
                <w:highlight w:val="none"/>
              </w:rPr>
            </w:pPr>
            <w:r>
              <w:rPr>
                <w:rFonts w:hint="eastAsia"/>
                <w:color w:val="auto"/>
                <w:sz w:val="21"/>
                <w:szCs w:val="21"/>
                <w:highlight w:val="none"/>
              </w:rPr>
              <w:t>21</w:t>
            </w:r>
          </w:p>
        </w:tc>
        <w:tc>
          <w:tcPr>
            <w:tcW w:w="898" w:type="dxa"/>
            <w:noWrap w:val="0"/>
            <w:vAlign w:val="center"/>
          </w:tcPr>
          <w:p w14:paraId="5A0B38AA">
            <w:pPr>
              <w:pStyle w:val="41"/>
              <w:spacing w:line="360" w:lineRule="exact"/>
              <w:jc w:val="center"/>
              <w:rPr>
                <w:rFonts w:hint="eastAsia"/>
                <w:color w:val="auto"/>
                <w:sz w:val="21"/>
                <w:szCs w:val="21"/>
                <w:highlight w:val="none"/>
              </w:rPr>
            </w:pPr>
            <w:r>
              <w:rPr>
                <w:rFonts w:hint="eastAsia"/>
                <w:color w:val="auto"/>
                <w:sz w:val="21"/>
                <w:szCs w:val="21"/>
                <w:highlight w:val="none"/>
              </w:rPr>
              <w:t>18.1</w:t>
            </w:r>
          </w:p>
        </w:tc>
        <w:tc>
          <w:tcPr>
            <w:tcW w:w="1417" w:type="dxa"/>
            <w:noWrap w:val="0"/>
            <w:vAlign w:val="center"/>
          </w:tcPr>
          <w:p w14:paraId="296DAF45">
            <w:pPr>
              <w:pStyle w:val="41"/>
              <w:spacing w:line="360" w:lineRule="exact"/>
              <w:jc w:val="center"/>
              <w:rPr>
                <w:rFonts w:hint="eastAsia" w:eastAsia="宋体"/>
                <w:color w:val="auto"/>
                <w:sz w:val="21"/>
                <w:szCs w:val="21"/>
                <w:highlight w:val="none"/>
                <w:lang w:eastAsia="zh-CN"/>
              </w:rPr>
            </w:pPr>
            <w:r>
              <w:rPr>
                <w:rFonts w:hint="eastAsia"/>
                <w:color w:val="auto"/>
                <w:sz w:val="21"/>
                <w:szCs w:val="21"/>
                <w:highlight w:val="none"/>
              </w:rPr>
              <w:t>本工程预算总造价、</w:t>
            </w:r>
            <w:r>
              <w:rPr>
                <w:rFonts w:hint="eastAsia"/>
                <w:color w:val="auto"/>
                <w:sz w:val="21"/>
                <w:szCs w:val="21"/>
                <w:highlight w:val="none"/>
                <w:lang w:eastAsia="zh-CN"/>
              </w:rPr>
              <w:t>最高磋商限价</w:t>
            </w:r>
          </w:p>
        </w:tc>
        <w:tc>
          <w:tcPr>
            <w:tcW w:w="6709" w:type="dxa"/>
            <w:noWrap w:val="0"/>
            <w:vAlign w:val="center"/>
          </w:tcPr>
          <w:p w14:paraId="161D7C1C">
            <w:pPr>
              <w:snapToGrid w:val="0"/>
              <w:spacing w:line="420" w:lineRule="exact"/>
              <w:ind w:firstLine="315" w:firstLineChars="150"/>
              <w:rPr>
                <w:rFonts w:hint="eastAsia"/>
                <w:color w:val="auto"/>
                <w:sz w:val="21"/>
                <w:szCs w:val="21"/>
                <w:highlight w:val="none"/>
              </w:rPr>
            </w:pPr>
            <w:r>
              <w:rPr>
                <w:rFonts w:hint="eastAsia"/>
                <w:color w:val="auto"/>
                <w:sz w:val="21"/>
                <w:szCs w:val="21"/>
                <w:highlight w:val="none"/>
              </w:rPr>
              <w:t>本</w:t>
            </w:r>
            <w:r>
              <w:rPr>
                <w:rFonts w:hint="eastAsia"/>
                <w:color w:val="auto"/>
                <w:sz w:val="21"/>
                <w:szCs w:val="21"/>
                <w:highlight w:val="none"/>
                <w:lang w:eastAsia="zh-CN"/>
              </w:rPr>
              <w:t>项目</w:t>
            </w:r>
            <w:r>
              <w:rPr>
                <w:rFonts w:hint="eastAsia"/>
                <w:color w:val="auto"/>
                <w:sz w:val="21"/>
                <w:szCs w:val="21"/>
                <w:highlight w:val="none"/>
              </w:rPr>
              <w:t>工程招标控制总造价（最高磋商限价）为</w:t>
            </w:r>
            <w:r>
              <w:rPr>
                <w:rFonts w:hint="eastAsia"/>
                <w:color w:val="auto"/>
                <w:sz w:val="21"/>
                <w:szCs w:val="21"/>
                <w:highlight w:val="none"/>
                <w:lang w:eastAsia="zh-CN"/>
              </w:rPr>
              <w:t>人民币</w:t>
            </w:r>
            <w:r>
              <w:rPr>
                <w:rFonts w:hint="eastAsia" w:ascii="宋体"/>
                <w:color w:val="auto"/>
                <w:sz w:val="21"/>
                <w:szCs w:val="21"/>
                <w:highlight w:val="none"/>
                <w:lang w:val="en-US" w:eastAsia="zh-CN"/>
              </w:rPr>
              <w:t>1022385.56</w:t>
            </w:r>
            <w:r>
              <w:rPr>
                <w:rFonts w:hint="eastAsia"/>
                <w:color w:val="auto"/>
                <w:sz w:val="21"/>
                <w:szCs w:val="21"/>
                <w:highlight w:val="none"/>
              </w:rPr>
              <w:t>元，</w:t>
            </w:r>
            <w:r>
              <w:rPr>
                <w:rFonts w:hint="eastAsia"/>
                <w:color w:val="auto"/>
                <w:sz w:val="21"/>
                <w:szCs w:val="21"/>
                <w:highlight w:val="none"/>
                <w:lang w:eastAsia="zh-CN"/>
              </w:rPr>
              <w:t>供应商</w:t>
            </w:r>
            <w:r>
              <w:rPr>
                <w:rFonts w:hint="eastAsia"/>
                <w:color w:val="auto"/>
                <w:sz w:val="21"/>
                <w:szCs w:val="21"/>
                <w:highlight w:val="none"/>
              </w:rPr>
              <w:t>的</w:t>
            </w:r>
            <w:r>
              <w:rPr>
                <w:rFonts w:hint="eastAsia"/>
                <w:color w:val="auto"/>
                <w:sz w:val="21"/>
                <w:szCs w:val="21"/>
                <w:highlight w:val="none"/>
                <w:lang w:eastAsia="zh-CN"/>
              </w:rPr>
              <w:t>最后磋商</w:t>
            </w:r>
            <w:r>
              <w:rPr>
                <w:rFonts w:hint="eastAsia"/>
                <w:color w:val="auto"/>
                <w:sz w:val="21"/>
                <w:szCs w:val="21"/>
                <w:highlight w:val="none"/>
              </w:rPr>
              <w:t>总报价高于本</w:t>
            </w:r>
            <w:r>
              <w:rPr>
                <w:rFonts w:hint="eastAsia"/>
                <w:color w:val="auto"/>
                <w:sz w:val="21"/>
                <w:szCs w:val="21"/>
                <w:highlight w:val="none"/>
                <w:lang w:eastAsia="zh-CN"/>
              </w:rPr>
              <w:t>项目</w:t>
            </w:r>
            <w:r>
              <w:rPr>
                <w:rFonts w:hint="eastAsia"/>
                <w:color w:val="auto"/>
                <w:sz w:val="21"/>
                <w:szCs w:val="21"/>
                <w:highlight w:val="none"/>
              </w:rPr>
              <w:t>工程招标控制总造价（最高磋商限价）为无效</w:t>
            </w:r>
            <w:r>
              <w:rPr>
                <w:rFonts w:hint="eastAsia"/>
                <w:color w:val="auto"/>
                <w:sz w:val="21"/>
                <w:szCs w:val="21"/>
                <w:highlight w:val="none"/>
                <w:lang w:eastAsia="zh-CN"/>
              </w:rPr>
              <w:t>报价</w:t>
            </w:r>
            <w:r>
              <w:rPr>
                <w:rFonts w:hint="eastAsia"/>
                <w:color w:val="auto"/>
                <w:sz w:val="21"/>
                <w:szCs w:val="21"/>
                <w:highlight w:val="none"/>
              </w:rPr>
              <w:t>。</w:t>
            </w:r>
          </w:p>
          <w:p w14:paraId="2FE24DA9">
            <w:pPr>
              <w:snapToGrid w:val="0"/>
              <w:spacing w:line="420" w:lineRule="exact"/>
              <w:ind w:firstLine="316" w:firstLineChars="150"/>
              <w:rPr>
                <w:rFonts w:hint="eastAsia"/>
                <w:color w:val="auto"/>
                <w:sz w:val="21"/>
                <w:szCs w:val="21"/>
                <w:highlight w:val="none"/>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eastAsia="zh-CN"/>
              </w:rPr>
              <w:t>供应商的磋商报价不得超过本工程</w:t>
            </w:r>
            <w:r>
              <w:rPr>
                <w:rFonts w:hint="eastAsia" w:ascii="宋体" w:hAnsi="宋体" w:eastAsia="宋体" w:cs="宋体"/>
                <w:b/>
                <w:bCs/>
                <w:color w:val="auto"/>
                <w:sz w:val="21"/>
                <w:szCs w:val="21"/>
                <w:highlight w:val="none"/>
              </w:rPr>
              <w:t>最高磋商限价</w:t>
            </w:r>
            <w:r>
              <w:rPr>
                <w:rFonts w:hint="eastAsia" w:ascii="宋体" w:hAnsi="宋体" w:eastAsia="宋体" w:cs="宋体"/>
                <w:b/>
                <w:bCs/>
                <w:color w:val="auto"/>
                <w:kern w:val="0"/>
                <w:sz w:val="21"/>
                <w:szCs w:val="21"/>
                <w:highlight w:val="none"/>
                <w:lang w:eastAsia="zh-CN"/>
              </w:rPr>
              <w:t>，否则作无效标处理；</w:t>
            </w:r>
            <w:r>
              <w:rPr>
                <w:rFonts w:hint="eastAsia" w:ascii="宋体" w:hAnsi="宋体" w:eastAsia="宋体" w:cs="宋体"/>
                <w:b/>
                <w:color w:val="auto"/>
                <w:sz w:val="21"/>
                <w:szCs w:val="21"/>
                <w:highlight w:val="none"/>
              </w:rPr>
              <w:t>供应商的第二次磋商报价不得高于该供应商第一次磋商报价，否则做无效标处理。如供应商维持</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报价不变，以原磋商报价作为供应商最后报价</w:t>
            </w:r>
            <w:r>
              <w:rPr>
                <w:rFonts w:hint="eastAsia" w:ascii="宋体" w:hAnsi="宋体" w:eastAsia="宋体" w:cs="宋体"/>
                <w:b/>
                <w:bCs/>
                <w:color w:val="auto"/>
                <w:sz w:val="21"/>
                <w:szCs w:val="21"/>
                <w:highlight w:val="none"/>
              </w:rPr>
              <w:t>；如供应商需要改变原磋商报价时，</w:t>
            </w:r>
            <w:r>
              <w:rPr>
                <w:rFonts w:hint="eastAsia" w:ascii="宋体" w:hAnsi="宋体" w:eastAsia="宋体" w:cs="宋体"/>
                <w:b/>
                <w:color w:val="auto"/>
                <w:sz w:val="21"/>
                <w:szCs w:val="21"/>
                <w:highlight w:val="none"/>
              </w:rPr>
              <w:t>供应商应预先准备好调整后的</w:t>
            </w:r>
            <w:r>
              <w:rPr>
                <w:rFonts w:hint="eastAsia" w:ascii="宋体" w:hAnsi="宋体" w:eastAsia="宋体" w:cs="宋体"/>
                <w:b/>
                <w:color w:val="auto"/>
                <w:sz w:val="21"/>
                <w:szCs w:val="21"/>
                <w:highlight w:val="none"/>
                <w:lang w:eastAsia="zh-CN"/>
              </w:rPr>
              <w:t>已标价的工程量清单</w:t>
            </w:r>
            <w:r>
              <w:rPr>
                <w:rFonts w:hint="eastAsia" w:ascii="宋体" w:hAnsi="宋体" w:eastAsia="宋体" w:cs="宋体"/>
                <w:b/>
                <w:color w:val="auto"/>
                <w:sz w:val="21"/>
                <w:szCs w:val="21"/>
                <w:highlight w:val="none"/>
              </w:rPr>
              <w:t>。</w:t>
            </w:r>
          </w:p>
        </w:tc>
      </w:tr>
      <w:tr w14:paraId="7CD4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32" w:type="dxa"/>
            <w:noWrap w:val="0"/>
            <w:vAlign w:val="center"/>
          </w:tcPr>
          <w:p w14:paraId="49F3F209">
            <w:pPr>
              <w:pStyle w:val="41"/>
              <w:spacing w:line="360" w:lineRule="exact"/>
              <w:jc w:val="center"/>
              <w:rPr>
                <w:rFonts w:hint="eastAsia"/>
                <w:color w:val="auto"/>
                <w:sz w:val="21"/>
                <w:szCs w:val="21"/>
                <w:highlight w:val="none"/>
              </w:rPr>
            </w:pPr>
            <w:r>
              <w:rPr>
                <w:rFonts w:hint="eastAsia"/>
                <w:color w:val="auto"/>
                <w:sz w:val="21"/>
                <w:szCs w:val="21"/>
                <w:highlight w:val="none"/>
              </w:rPr>
              <w:t>22</w:t>
            </w:r>
          </w:p>
        </w:tc>
        <w:tc>
          <w:tcPr>
            <w:tcW w:w="898" w:type="dxa"/>
            <w:noWrap w:val="0"/>
            <w:vAlign w:val="center"/>
          </w:tcPr>
          <w:p w14:paraId="7030F5EB">
            <w:pPr>
              <w:pStyle w:val="41"/>
              <w:spacing w:line="360" w:lineRule="exact"/>
              <w:jc w:val="center"/>
              <w:rPr>
                <w:rFonts w:hint="eastAsia"/>
                <w:color w:val="auto"/>
                <w:sz w:val="21"/>
                <w:szCs w:val="21"/>
                <w:highlight w:val="none"/>
              </w:rPr>
            </w:pPr>
            <w:r>
              <w:rPr>
                <w:rFonts w:hint="eastAsia"/>
                <w:color w:val="auto"/>
                <w:sz w:val="21"/>
                <w:szCs w:val="21"/>
                <w:highlight w:val="none"/>
              </w:rPr>
              <w:t>18.2</w:t>
            </w:r>
          </w:p>
        </w:tc>
        <w:tc>
          <w:tcPr>
            <w:tcW w:w="1417" w:type="dxa"/>
            <w:noWrap w:val="0"/>
            <w:vAlign w:val="center"/>
          </w:tcPr>
          <w:p w14:paraId="7CD5C04D">
            <w:pPr>
              <w:pStyle w:val="41"/>
              <w:spacing w:line="360" w:lineRule="exact"/>
              <w:jc w:val="center"/>
              <w:rPr>
                <w:rFonts w:hint="eastAsia"/>
                <w:color w:val="auto"/>
                <w:sz w:val="21"/>
                <w:szCs w:val="21"/>
                <w:highlight w:val="none"/>
              </w:rPr>
            </w:pPr>
            <w:r>
              <w:rPr>
                <w:rFonts w:hint="eastAsia"/>
                <w:color w:val="auto"/>
                <w:sz w:val="21"/>
                <w:szCs w:val="21"/>
                <w:highlight w:val="none"/>
              </w:rPr>
              <w:t>磋商报价</w:t>
            </w:r>
          </w:p>
        </w:tc>
        <w:tc>
          <w:tcPr>
            <w:tcW w:w="6709" w:type="dxa"/>
            <w:noWrap w:val="0"/>
            <w:vAlign w:val="center"/>
          </w:tcPr>
          <w:p w14:paraId="501885F1">
            <w:pPr>
              <w:tabs>
                <w:tab w:val="right" w:leader="dot" w:pos="9000"/>
              </w:tabs>
              <w:spacing w:line="360" w:lineRule="exact"/>
              <w:rPr>
                <w:rFonts w:hint="eastAsia" w:ascii="宋体"/>
                <w:color w:val="auto"/>
                <w:sz w:val="21"/>
                <w:szCs w:val="21"/>
                <w:highlight w:val="none"/>
              </w:rPr>
            </w:pPr>
            <w:r>
              <w:rPr>
                <w:rFonts w:hint="eastAsia" w:ascii="宋体"/>
                <w:color w:val="auto"/>
                <w:sz w:val="21"/>
                <w:szCs w:val="21"/>
                <w:highlight w:val="none"/>
              </w:rPr>
              <w:t>18.2.1供应商应按第五章“工程量清单”的要求填写相应表格。磋商供应商必须就《工程量清单》中所有的工程内容作完整唯一报价，否则，其响应文件无效。响应文件只允许有一个报价，有选择的或有条件的报价将不予接受。</w:t>
            </w:r>
          </w:p>
        </w:tc>
      </w:tr>
      <w:tr w14:paraId="6834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32" w:type="dxa"/>
            <w:noWrap w:val="0"/>
            <w:vAlign w:val="center"/>
          </w:tcPr>
          <w:p w14:paraId="2D2AC8C4">
            <w:pPr>
              <w:pStyle w:val="41"/>
              <w:spacing w:line="360" w:lineRule="exact"/>
              <w:jc w:val="center"/>
              <w:rPr>
                <w:rFonts w:hint="eastAsia"/>
                <w:color w:val="auto"/>
                <w:sz w:val="21"/>
                <w:szCs w:val="21"/>
                <w:highlight w:val="none"/>
              </w:rPr>
            </w:pPr>
            <w:r>
              <w:rPr>
                <w:rFonts w:hint="eastAsia"/>
                <w:color w:val="auto"/>
                <w:sz w:val="21"/>
                <w:szCs w:val="21"/>
                <w:highlight w:val="none"/>
              </w:rPr>
              <w:t>23</w:t>
            </w:r>
          </w:p>
        </w:tc>
        <w:tc>
          <w:tcPr>
            <w:tcW w:w="898" w:type="dxa"/>
            <w:noWrap w:val="0"/>
            <w:vAlign w:val="center"/>
          </w:tcPr>
          <w:p w14:paraId="45228E53">
            <w:pPr>
              <w:pStyle w:val="12"/>
              <w:spacing w:line="360" w:lineRule="exact"/>
              <w:jc w:val="center"/>
              <w:rPr>
                <w:rFonts w:hint="eastAsia"/>
                <w:color w:val="auto"/>
                <w:sz w:val="21"/>
                <w:szCs w:val="21"/>
                <w:highlight w:val="none"/>
              </w:rPr>
            </w:pPr>
            <w:r>
              <w:rPr>
                <w:rFonts w:hint="eastAsia"/>
                <w:color w:val="auto"/>
                <w:sz w:val="21"/>
                <w:szCs w:val="21"/>
                <w:highlight w:val="none"/>
              </w:rPr>
              <w:t>19.1</w:t>
            </w:r>
          </w:p>
        </w:tc>
        <w:tc>
          <w:tcPr>
            <w:tcW w:w="1417" w:type="dxa"/>
            <w:noWrap w:val="0"/>
            <w:vAlign w:val="center"/>
          </w:tcPr>
          <w:p w14:paraId="35DBD431">
            <w:pPr>
              <w:pStyle w:val="41"/>
              <w:spacing w:line="360" w:lineRule="exact"/>
              <w:jc w:val="center"/>
              <w:rPr>
                <w:rFonts w:hint="eastAsia"/>
                <w:color w:val="auto"/>
                <w:sz w:val="21"/>
                <w:szCs w:val="21"/>
                <w:highlight w:val="none"/>
              </w:rPr>
            </w:pPr>
            <w:r>
              <w:rPr>
                <w:rFonts w:hint="eastAsia"/>
                <w:color w:val="auto"/>
                <w:sz w:val="21"/>
                <w:szCs w:val="21"/>
                <w:highlight w:val="none"/>
              </w:rPr>
              <w:t>响应文件提交截止时间及地点</w:t>
            </w:r>
          </w:p>
        </w:tc>
        <w:tc>
          <w:tcPr>
            <w:tcW w:w="6709" w:type="dxa"/>
            <w:noWrap w:val="0"/>
            <w:vAlign w:val="center"/>
          </w:tcPr>
          <w:p w14:paraId="13D55CB0">
            <w:pPr>
              <w:pStyle w:val="41"/>
              <w:spacing w:line="360" w:lineRule="exact"/>
              <w:rPr>
                <w:rFonts w:hint="eastAsia"/>
                <w:b/>
                <w:bCs/>
                <w:color w:val="auto"/>
                <w:sz w:val="21"/>
                <w:szCs w:val="21"/>
                <w:highlight w:val="none"/>
              </w:rPr>
            </w:pPr>
            <w:r>
              <w:rPr>
                <w:rFonts w:hint="eastAsia"/>
                <w:color w:val="auto"/>
                <w:sz w:val="21"/>
                <w:szCs w:val="21"/>
                <w:highlight w:val="none"/>
              </w:rPr>
              <w:t>19.1.1响应文件提交截止时间：</w:t>
            </w:r>
            <w:r>
              <w:rPr>
                <w:rFonts w:hint="eastAsia" w:ascii="宋体"/>
                <w:color w:val="auto"/>
                <w:sz w:val="21"/>
                <w:szCs w:val="21"/>
                <w:highlight w:val="none"/>
              </w:rPr>
              <w:t>202</w:t>
            </w:r>
            <w:r>
              <w:rPr>
                <w:rFonts w:hint="eastAsia"/>
                <w:color w:val="auto"/>
                <w:sz w:val="21"/>
                <w:szCs w:val="21"/>
                <w:highlight w:val="none"/>
                <w:lang w:val="en-US" w:eastAsia="zh-CN"/>
              </w:rPr>
              <w:t>6</w:t>
            </w:r>
            <w:r>
              <w:rPr>
                <w:rFonts w:hint="eastAsia" w:ascii="宋体"/>
                <w:color w:val="auto"/>
                <w:sz w:val="21"/>
                <w:szCs w:val="21"/>
                <w:highlight w:val="none"/>
              </w:rPr>
              <w:t>年</w:t>
            </w:r>
            <w:r>
              <w:rPr>
                <w:rFonts w:hint="eastAsia"/>
                <w:color w:val="auto"/>
                <w:sz w:val="21"/>
                <w:szCs w:val="21"/>
                <w:highlight w:val="none"/>
                <w:lang w:val="en-US" w:eastAsia="zh-CN"/>
              </w:rPr>
              <w:t>07</w:t>
            </w:r>
            <w:r>
              <w:rPr>
                <w:rFonts w:hint="eastAsia" w:ascii="宋体"/>
                <w:color w:val="auto"/>
                <w:sz w:val="21"/>
                <w:szCs w:val="21"/>
                <w:highlight w:val="none"/>
              </w:rPr>
              <w:t>月</w:t>
            </w:r>
            <w:r>
              <w:rPr>
                <w:rFonts w:hint="eastAsia"/>
                <w:color w:val="auto"/>
                <w:sz w:val="21"/>
                <w:szCs w:val="21"/>
                <w:highlight w:val="none"/>
                <w:lang w:val="en-US" w:eastAsia="zh-CN"/>
              </w:rPr>
              <w:t>20</w:t>
            </w:r>
            <w:r>
              <w:rPr>
                <w:rFonts w:hint="eastAsia" w:ascii="宋体"/>
                <w:color w:val="auto"/>
                <w:sz w:val="21"/>
                <w:szCs w:val="21"/>
                <w:highlight w:val="none"/>
              </w:rPr>
              <w:t>日</w:t>
            </w:r>
            <w:r>
              <w:rPr>
                <w:rFonts w:hint="eastAsia"/>
                <w:color w:val="auto"/>
                <w:sz w:val="21"/>
                <w:szCs w:val="21"/>
                <w:highlight w:val="none"/>
                <w:lang w:val="en-US" w:eastAsia="zh-CN"/>
              </w:rPr>
              <w:t>09</w:t>
            </w:r>
            <w:r>
              <w:rPr>
                <w:rFonts w:hint="eastAsia" w:ascii="宋体"/>
                <w:color w:val="auto"/>
                <w:sz w:val="21"/>
                <w:szCs w:val="21"/>
                <w:highlight w:val="none"/>
              </w:rPr>
              <w:t>时</w:t>
            </w:r>
            <w:r>
              <w:rPr>
                <w:rFonts w:hint="eastAsia"/>
                <w:color w:val="auto"/>
                <w:sz w:val="21"/>
                <w:szCs w:val="21"/>
                <w:highlight w:val="none"/>
                <w:lang w:val="en-US" w:eastAsia="zh-CN"/>
              </w:rPr>
              <w:t>30</w:t>
            </w:r>
            <w:r>
              <w:rPr>
                <w:rFonts w:hint="eastAsia" w:ascii="宋体"/>
                <w:color w:val="auto"/>
                <w:sz w:val="21"/>
                <w:szCs w:val="21"/>
                <w:highlight w:val="none"/>
              </w:rPr>
              <w:t xml:space="preserve"> 分</w:t>
            </w:r>
            <w:r>
              <w:rPr>
                <w:rFonts w:hint="eastAsia"/>
                <w:color w:val="auto"/>
                <w:sz w:val="21"/>
                <w:szCs w:val="21"/>
                <w:highlight w:val="none"/>
              </w:rPr>
              <w:t>（北京时间），逾期提交的响应文件，“广西政府采购云平台”平台将以拒收。</w:t>
            </w:r>
          </w:p>
          <w:p w14:paraId="7EF0EBAE">
            <w:pPr>
              <w:tabs>
                <w:tab w:val="right" w:leader="dot" w:pos="9000"/>
              </w:tabs>
              <w:spacing w:line="360" w:lineRule="exact"/>
              <w:rPr>
                <w:rFonts w:hint="eastAsia" w:ascii="宋体"/>
                <w:color w:val="auto"/>
                <w:sz w:val="21"/>
                <w:szCs w:val="21"/>
                <w:highlight w:val="none"/>
              </w:rPr>
            </w:pPr>
            <w:r>
              <w:rPr>
                <w:rFonts w:hint="eastAsia" w:ascii="宋体"/>
                <w:color w:val="auto"/>
                <w:sz w:val="21"/>
                <w:szCs w:val="21"/>
                <w:highlight w:val="none"/>
              </w:rPr>
              <w:t>19.1.2地点（网址）：通过“广西政府采购云平台”平台在线提交响应文件。</w:t>
            </w:r>
          </w:p>
        </w:tc>
      </w:tr>
      <w:tr w14:paraId="1B90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32" w:type="dxa"/>
            <w:noWrap w:val="0"/>
            <w:vAlign w:val="center"/>
          </w:tcPr>
          <w:p w14:paraId="659F229F">
            <w:pPr>
              <w:pStyle w:val="41"/>
              <w:spacing w:line="360" w:lineRule="exact"/>
              <w:jc w:val="center"/>
              <w:rPr>
                <w:rFonts w:hint="eastAsia"/>
                <w:color w:val="auto"/>
                <w:sz w:val="21"/>
                <w:szCs w:val="21"/>
                <w:highlight w:val="none"/>
              </w:rPr>
            </w:pPr>
            <w:r>
              <w:rPr>
                <w:rFonts w:hint="eastAsia"/>
                <w:color w:val="auto"/>
                <w:sz w:val="21"/>
                <w:szCs w:val="21"/>
                <w:highlight w:val="none"/>
              </w:rPr>
              <w:t>24</w:t>
            </w:r>
          </w:p>
        </w:tc>
        <w:tc>
          <w:tcPr>
            <w:tcW w:w="898" w:type="dxa"/>
            <w:noWrap w:val="0"/>
            <w:vAlign w:val="center"/>
          </w:tcPr>
          <w:p w14:paraId="1A1929E2">
            <w:pPr>
              <w:pStyle w:val="41"/>
              <w:spacing w:line="360" w:lineRule="exact"/>
              <w:jc w:val="center"/>
              <w:rPr>
                <w:rFonts w:hint="eastAsia"/>
                <w:color w:val="auto"/>
                <w:sz w:val="21"/>
                <w:szCs w:val="21"/>
                <w:highlight w:val="none"/>
              </w:rPr>
            </w:pPr>
            <w:r>
              <w:rPr>
                <w:rFonts w:hint="eastAsia"/>
                <w:color w:val="auto"/>
                <w:sz w:val="21"/>
                <w:szCs w:val="21"/>
                <w:highlight w:val="none"/>
              </w:rPr>
              <w:t>19.2</w:t>
            </w:r>
          </w:p>
        </w:tc>
        <w:tc>
          <w:tcPr>
            <w:tcW w:w="1417" w:type="dxa"/>
            <w:noWrap w:val="0"/>
            <w:vAlign w:val="center"/>
          </w:tcPr>
          <w:p w14:paraId="407E5D73">
            <w:pPr>
              <w:pStyle w:val="41"/>
              <w:spacing w:line="360" w:lineRule="exact"/>
              <w:jc w:val="center"/>
              <w:rPr>
                <w:rFonts w:hint="eastAsia"/>
                <w:color w:val="auto"/>
                <w:sz w:val="21"/>
                <w:szCs w:val="21"/>
                <w:highlight w:val="none"/>
              </w:rPr>
            </w:pPr>
            <w:r>
              <w:rPr>
                <w:rFonts w:hint="eastAsia"/>
                <w:color w:val="auto"/>
                <w:sz w:val="21"/>
                <w:szCs w:val="21"/>
                <w:highlight w:val="none"/>
              </w:rPr>
              <w:t>响应文件解密</w:t>
            </w:r>
          </w:p>
        </w:tc>
        <w:tc>
          <w:tcPr>
            <w:tcW w:w="6709" w:type="dxa"/>
            <w:noWrap w:val="0"/>
            <w:vAlign w:val="center"/>
          </w:tcPr>
          <w:p w14:paraId="48B77216">
            <w:pPr>
              <w:pStyle w:val="41"/>
              <w:spacing w:line="360" w:lineRule="exact"/>
              <w:rPr>
                <w:rFonts w:hint="eastAsia"/>
                <w:color w:val="auto"/>
                <w:sz w:val="21"/>
                <w:szCs w:val="21"/>
                <w:highlight w:val="none"/>
              </w:rPr>
            </w:pPr>
            <w:r>
              <w:rPr>
                <w:rFonts w:hint="eastAsia"/>
                <w:bCs/>
                <w:color w:val="auto"/>
                <w:sz w:val="21"/>
                <w:szCs w:val="21"/>
                <w:highlight w:val="none"/>
              </w:rPr>
              <w:t>响应文件提交截止时间后，“广西政府采购云平台”平台自动提取所有供应商响应文件，各供应商须在提交响应文件截止</w:t>
            </w:r>
            <w:r>
              <w:rPr>
                <w:rFonts w:hint="eastAsia" w:cs="宋体"/>
                <w:bCs/>
                <w:color w:val="auto"/>
                <w:sz w:val="21"/>
                <w:szCs w:val="21"/>
                <w:highlight w:val="none"/>
                <w:lang w:bidi="ar-SA"/>
              </w:rPr>
              <w:t>后30分钟内（</w:t>
            </w:r>
            <w:r>
              <w:rPr>
                <w:rFonts w:hint="eastAsia" w:ascii="宋体"/>
                <w:color w:val="auto"/>
                <w:sz w:val="21"/>
                <w:szCs w:val="21"/>
                <w:highlight w:val="none"/>
              </w:rPr>
              <w:t>202</w:t>
            </w:r>
            <w:r>
              <w:rPr>
                <w:rFonts w:hint="eastAsia"/>
                <w:color w:val="auto"/>
                <w:sz w:val="21"/>
                <w:szCs w:val="21"/>
                <w:highlight w:val="none"/>
                <w:lang w:val="en-US" w:eastAsia="zh-CN"/>
              </w:rPr>
              <w:t>6</w:t>
            </w:r>
            <w:r>
              <w:rPr>
                <w:rFonts w:hint="eastAsia" w:ascii="宋体"/>
                <w:color w:val="auto"/>
                <w:sz w:val="21"/>
                <w:szCs w:val="21"/>
                <w:highlight w:val="none"/>
              </w:rPr>
              <w:t>年</w:t>
            </w:r>
            <w:r>
              <w:rPr>
                <w:rFonts w:hint="eastAsia"/>
                <w:color w:val="auto"/>
                <w:sz w:val="21"/>
                <w:szCs w:val="21"/>
                <w:highlight w:val="none"/>
                <w:lang w:val="en-US" w:eastAsia="zh-CN"/>
              </w:rPr>
              <w:t>07</w:t>
            </w:r>
            <w:r>
              <w:rPr>
                <w:rFonts w:hint="eastAsia" w:ascii="宋体"/>
                <w:color w:val="auto"/>
                <w:sz w:val="21"/>
                <w:szCs w:val="21"/>
                <w:highlight w:val="none"/>
              </w:rPr>
              <w:t>月</w:t>
            </w:r>
            <w:r>
              <w:rPr>
                <w:rFonts w:hint="eastAsia"/>
                <w:color w:val="auto"/>
                <w:sz w:val="21"/>
                <w:szCs w:val="21"/>
                <w:highlight w:val="none"/>
                <w:lang w:val="en-US" w:eastAsia="zh-CN"/>
              </w:rPr>
              <w:t>20</w:t>
            </w:r>
            <w:r>
              <w:rPr>
                <w:rFonts w:hint="eastAsia" w:ascii="宋体"/>
                <w:color w:val="auto"/>
                <w:sz w:val="21"/>
                <w:szCs w:val="21"/>
                <w:highlight w:val="none"/>
              </w:rPr>
              <w:t>日</w:t>
            </w:r>
            <w:r>
              <w:rPr>
                <w:rFonts w:hint="eastAsia"/>
                <w:color w:val="auto"/>
                <w:sz w:val="21"/>
                <w:szCs w:val="21"/>
                <w:highlight w:val="none"/>
                <w:lang w:val="en-US" w:eastAsia="zh-CN"/>
              </w:rPr>
              <w:t>09</w:t>
            </w:r>
            <w:r>
              <w:rPr>
                <w:rFonts w:hint="eastAsia" w:ascii="宋体"/>
                <w:color w:val="auto"/>
                <w:sz w:val="21"/>
                <w:szCs w:val="21"/>
                <w:highlight w:val="none"/>
              </w:rPr>
              <w:t>时</w:t>
            </w:r>
            <w:r>
              <w:rPr>
                <w:rFonts w:hint="eastAsia"/>
                <w:color w:val="auto"/>
                <w:sz w:val="21"/>
                <w:szCs w:val="21"/>
                <w:highlight w:val="none"/>
                <w:lang w:val="en-US" w:eastAsia="zh-CN"/>
              </w:rPr>
              <w:t>30</w:t>
            </w:r>
            <w:r>
              <w:rPr>
                <w:rFonts w:hint="eastAsia" w:ascii="宋体"/>
                <w:color w:val="auto"/>
                <w:sz w:val="21"/>
                <w:szCs w:val="21"/>
                <w:highlight w:val="none"/>
              </w:rPr>
              <w:t>分</w:t>
            </w:r>
            <w:r>
              <w:rPr>
                <w:rFonts w:hint="eastAsia" w:ascii="宋体" w:cs="宋体"/>
                <w:bCs/>
                <w:color w:val="auto"/>
                <w:sz w:val="21"/>
                <w:szCs w:val="21"/>
                <w:highlight w:val="none"/>
                <w:lang w:bidi="ar-SA"/>
              </w:rPr>
              <w:t>至</w:t>
            </w:r>
            <w:r>
              <w:rPr>
                <w:rFonts w:hint="eastAsia" w:cs="宋体"/>
                <w:bCs/>
                <w:color w:val="auto"/>
                <w:sz w:val="21"/>
                <w:szCs w:val="21"/>
                <w:highlight w:val="none"/>
                <w:lang w:val="en-US" w:eastAsia="zh-CN" w:bidi="ar-SA"/>
              </w:rPr>
              <w:t>10</w:t>
            </w:r>
            <w:r>
              <w:rPr>
                <w:rFonts w:hint="eastAsia" w:ascii="宋体" w:cs="宋体"/>
                <w:bCs/>
                <w:color w:val="auto"/>
                <w:sz w:val="21"/>
                <w:szCs w:val="21"/>
                <w:highlight w:val="none"/>
                <w:lang w:bidi="ar-SA"/>
              </w:rPr>
              <w:t>时</w:t>
            </w:r>
            <w:r>
              <w:rPr>
                <w:rFonts w:hint="eastAsia" w:cs="宋体"/>
                <w:bCs/>
                <w:color w:val="auto"/>
                <w:sz w:val="21"/>
                <w:szCs w:val="21"/>
                <w:highlight w:val="none"/>
                <w:lang w:val="en-US" w:eastAsia="zh-CN" w:bidi="ar-SA"/>
              </w:rPr>
              <w:t>00</w:t>
            </w:r>
            <w:r>
              <w:rPr>
                <w:rFonts w:hint="eastAsia" w:ascii="宋体" w:cs="宋体"/>
                <w:bCs/>
                <w:color w:val="auto"/>
                <w:sz w:val="21"/>
                <w:szCs w:val="21"/>
                <w:highlight w:val="none"/>
                <w:lang w:bidi="ar-SA"/>
              </w:rPr>
              <w:t>分</w:t>
            </w:r>
            <w:r>
              <w:rPr>
                <w:rFonts w:hint="eastAsia" w:cs="宋体"/>
                <w:bCs/>
                <w:color w:val="auto"/>
                <w:sz w:val="21"/>
                <w:szCs w:val="21"/>
                <w:highlight w:val="none"/>
                <w:lang w:bidi="ar-SA"/>
              </w:rPr>
              <w:t>)，登录“广西政府采购云平台”平台，通过“项目采购-开标评标”功能解密电子响应文件。若供应商在规定时间内无法解密或解密失败或超时解密的，系统默认自动放弃，响应文件按无效响应文件处理。</w:t>
            </w:r>
          </w:p>
        </w:tc>
      </w:tr>
      <w:tr w14:paraId="00C2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2" w:type="dxa"/>
            <w:noWrap w:val="0"/>
            <w:vAlign w:val="center"/>
          </w:tcPr>
          <w:p w14:paraId="6F8B4655">
            <w:pPr>
              <w:pStyle w:val="41"/>
              <w:spacing w:line="360" w:lineRule="exact"/>
              <w:jc w:val="center"/>
              <w:rPr>
                <w:rFonts w:hint="eastAsia"/>
                <w:color w:val="auto"/>
                <w:sz w:val="21"/>
                <w:szCs w:val="21"/>
                <w:highlight w:val="none"/>
              </w:rPr>
            </w:pPr>
            <w:r>
              <w:rPr>
                <w:rFonts w:hint="eastAsia"/>
                <w:color w:val="auto"/>
                <w:sz w:val="21"/>
                <w:szCs w:val="21"/>
                <w:highlight w:val="none"/>
              </w:rPr>
              <w:t>25</w:t>
            </w:r>
          </w:p>
        </w:tc>
        <w:tc>
          <w:tcPr>
            <w:tcW w:w="898" w:type="dxa"/>
            <w:noWrap w:val="0"/>
            <w:vAlign w:val="center"/>
          </w:tcPr>
          <w:p w14:paraId="1D4DCF3F">
            <w:pPr>
              <w:pStyle w:val="12"/>
              <w:spacing w:line="360" w:lineRule="exact"/>
              <w:jc w:val="center"/>
              <w:rPr>
                <w:rFonts w:hint="eastAsia"/>
                <w:color w:val="auto"/>
                <w:sz w:val="21"/>
                <w:szCs w:val="21"/>
                <w:highlight w:val="none"/>
              </w:rPr>
            </w:pPr>
            <w:r>
              <w:rPr>
                <w:rFonts w:hint="eastAsia"/>
                <w:color w:val="auto"/>
                <w:sz w:val="21"/>
                <w:szCs w:val="21"/>
                <w:highlight w:val="none"/>
              </w:rPr>
              <w:t>20</w:t>
            </w:r>
          </w:p>
        </w:tc>
        <w:tc>
          <w:tcPr>
            <w:tcW w:w="1417" w:type="dxa"/>
            <w:noWrap w:val="0"/>
            <w:vAlign w:val="center"/>
          </w:tcPr>
          <w:p w14:paraId="3FD794B6">
            <w:pPr>
              <w:pStyle w:val="12"/>
              <w:spacing w:line="360" w:lineRule="exact"/>
              <w:jc w:val="center"/>
              <w:rPr>
                <w:rFonts w:hint="eastAsia"/>
                <w:color w:val="auto"/>
                <w:sz w:val="21"/>
                <w:szCs w:val="21"/>
                <w:highlight w:val="none"/>
              </w:rPr>
            </w:pPr>
            <w:r>
              <w:rPr>
                <w:rFonts w:hint="eastAsia"/>
                <w:color w:val="auto"/>
                <w:sz w:val="21"/>
                <w:szCs w:val="21"/>
                <w:highlight w:val="none"/>
              </w:rPr>
              <w:t>磋商小组组成</w:t>
            </w:r>
          </w:p>
        </w:tc>
        <w:tc>
          <w:tcPr>
            <w:tcW w:w="6709" w:type="dxa"/>
            <w:noWrap w:val="0"/>
            <w:vAlign w:val="center"/>
          </w:tcPr>
          <w:p w14:paraId="1C2CC0AE">
            <w:pPr>
              <w:pStyle w:val="41"/>
              <w:spacing w:line="360" w:lineRule="exact"/>
              <w:rPr>
                <w:rFonts w:hint="eastAsia"/>
                <w:color w:val="auto"/>
                <w:sz w:val="21"/>
                <w:szCs w:val="21"/>
                <w:highlight w:val="none"/>
              </w:rPr>
            </w:pPr>
            <w:r>
              <w:rPr>
                <w:rFonts w:hint="eastAsia"/>
                <w:color w:val="auto"/>
                <w:sz w:val="21"/>
                <w:szCs w:val="21"/>
                <w:highlight w:val="none"/>
              </w:rPr>
              <w:t>20.1磋商及评审组织工作由采购代理机构负责，具体磋商、评审工作由依法组建的磋商小组负责。</w:t>
            </w:r>
          </w:p>
          <w:p w14:paraId="66FCFD4E">
            <w:pPr>
              <w:pStyle w:val="41"/>
              <w:spacing w:line="360" w:lineRule="exact"/>
              <w:rPr>
                <w:rFonts w:hint="eastAsia"/>
                <w:color w:val="auto"/>
                <w:sz w:val="21"/>
                <w:szCs w:val="21"/>
                <w:highlight w:val="none"/>
              </w:rPr>
            </w:pPr>
            <w:r>
              <w:rPr>
                <w:rFonts w:hint="eastAsia"/>
                <w:color w:val="auto"/>
                <w:sz w:val="21"/>
                <w:szCs w:val="21"/>
                <w:highlight w:val="none"/>
              </w:rPr>
              <w:t>20.2磋商小组的构成：3人，其中采购人代表1人，评审专家：2人。</w:t>
            </w:r>
          </w:p>
          <w:p w14:paraId="2C103544">
            <w:pPr>
              <w:pStyle w:val="41"/>
              <w:spacing w:line="360" w:lineRule="exact"/>
              <w:rPr>
                <w:rFonts w:hint="eastAsia"/>
                <w:color w:val="auto"/>
                <w:sz w:val="21"/>
                <w:szCs w:val="21"/>
                <w:highlight w:val="none"/>
              </w:rPr>
            </w:pPr>
            <w:r>
              <w:rPr>
                <w:rFonts w:hint="eastAsia"/>
                <w:color w:val="auto"/>
                <w:sz w:val="21"/>
                <w:szCs w:val="21"/>
                <w:highlight w:val="none"/>
              </w:rPr>
              <w:t>20.3专家确定方式：开标前从广西壮族自治区政府采购专家库中通过电脑随机抽取。</w:t>
            </w:r>
          </w:p>
        </w:tc>
      </w:tr>
      <w:tr w14:paraId="5227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2" w:type="dxa"/>
            <w:noWrap w:val="0"/>
            <w:vAlign w:val="center"/>
          </w:tcPr>
          <w:p w14:paraId="3FC05534">
            <w:pPr>
              <w:pStyle w:val="41"/>
              <w:spacing w:line="360" w:lineRule="exact"/>
              <w:jc w:val="center"/>
              <w:rPr>
                <w:rFonts w:hint="eastAsia"/>
                <w:color w:val="auto"/>
                <w:sz w:val="21"/>
                <w:szCs w:val="21"/>
                <w:highlight w:val="none"/>
              </w:rPr>
            </w:pPr>
            <w:r>
              <w:rPr>
                <w:rFonts w:hint="eastAsia"/>
                <w:color w:val="auto"/>
                <w:sz w:val="21"/>
                <w:szCs w:val="21"/>
                <w:highlight w:val="none"/>
              </w:rPr>
              <w:t>26</w:t>
            </w:r>
          </w:p>
        </w:tc>
        <w:tc>
          <w:tcPr>
            <w:tcW w:w="898" w:type="dxa"/>
            <w:noWrap w:val="0"/>
            <w:vAlign w:val="center"/>
          </w:tcPr>
          <w:p w14:paraId="4ED42BB1">
            <w:pPr>
              <w:pStyle w:val="41"/>
              <w:spacing w:line="360" w:lineRule="exact"/>
              <w:jc w:val="center"/>
              <w:rPr>
                <w:rFonts w:hint="eastAsia"/>
                <w:color w:val="auto"/>
                <w:sz w:val="21"/>
                <w:szCs w:val="21"/>
                <w:highlight w:val="none"/>
              </w:rPr>
            </w:pPr>
            <w:r>
              <w:rPr>
                <w:rFonts w:hint="eastAsia"/>
                <w:color w:val="auto"/>
                <w:sz w:val="21"/>
                <w:szCs w:val="21"/>
                <w:highlight w:val="none"/>
              </w:rPr>
              <w:t>21.2</w:t>
            </w:r>
          </w:p>
        </w:tc>
        <w:tc>
          <w:tcPr>
            <w:tcW w:w="1417" w:type="dxa"/>
            <w:noWrap w:val="0"/>
            <w:vAlign w:val="center"/>
          </w:tcPr>
          <w:p w14:paraId="32DA2718">
            <w:pPr>
              <w:pStyle w:val="41"/>
              <w:spacing w:line="360" w:lineRule="exact"/>
              <w:jc w:val="center"/>
              <w:rPr>
                <w:rFonts w:hint="eastAsia"/>
                <w:color w:val="auto"/>
                <w:sz w:val="21"/>
                <w:szCs w:val="21"/>
                <w:highlight w:val="none"/>
              </w:rPr>
            </w:pPr>
            <w:r>
              <w:rPr>
                <w:rFonts w:hint="eastAsia"/>
                <w:color w:val="auto"/>
                <w:sz w:val="21"/>
                <w:szCs w:val="21"/>
                <w:highlight w:val="none"/>
              </w:rPr>
              <w:t>磋商时间、地点、人员</w:t>
            </w:r>
          </w:p>
        </w:tc>
        <w:tc>
          <w:tcPr>
            <w:tcW w:w="6709" w:type="dxa"/>
            <w:noWrap w:val="0"/>
            <w:vAlign w:val="center"/>
          </w:tcPr>
          <w:p w14:paraId="0C99D95A">
            <w:pPr>
              <w:spacing w:line="360" w:lineRule="exact"/>
              <w:rPr>
                <w:rFonts w:hint="eastAsia" w:ascii="宋体"/>
                <w:color w:val="auto"/>
                <w:sz w:val="21"/>
                <w:szCs w:val="21"/>
                <w:highlight w:val="none"/>
              </w:rPr>
            </w:pPr>
            <w:r>
              <w:rPr>
                <w:rFonts w:hint="eastAsia" w:ascii="宋体"/>
                <w:color w:val="auto"/>
                <w:sz w:val="21"/>
                <w:szCs w:val="21"/>
                <w:highlight w:val="none"/>
              </w:rPr>
              <w:t xml:space="preserve">21.2.1磋商时间：提交响应文件截止时间后; </w:t>
            </w:r>
          </w:p>
          <w:p w14:paraId="0F6FAB21">
            <w:pPr>
              <w:spacing w:line="360" w:lineRule="exact"/>
              <w:rPr>
                <w:rFonts w:hint="eastAsia" w:ascii="宋体"/>
                <w:color w:val="auto"/>
                <w:sz w:val="21"/>
                <w:szCs w:val="21"/>
                <w:highlight w:val="none"/>
              </w:rPr>
            </w:pPr>
            <w:r>
              <w:rPr>
                <w:rFonts w:hint="eastAsia" w:ascii="宋体"/>
                <w:color w:val="auto"/>
                <w:sz w:val="21"/>
                <w:szCs w:val="21"/>
                <w:highlight w:val="none"/>
              </w:rPr>
              <w:t xml:space="preserve">21.2.2磋商地点：通过“广西政府采购云平台”平台在线磋商; </w:t>
            </w:r>
          </w:p>
          <w:p w14:paraId="345E1C50">
            <w:pPr>
              <w:spacing w:line="360" w:lineRule="exact"/>
              <w:rPr>
                <w:rFonts w:hint="eastAsia" w:ascii="宋体" w:cs="宋体"/>
                <w:color w:val="auto"/>
                <w:sz w:val="21"/>
                <w:szCs w:val="21"/>
                <w:highlight w:val="none"/>
                <w:lang w:bidi="ar-SA"/>
              </w:rPr>
            </w:pPr>
            <w:r>
              <w:rPr>
                <w:rFonts w:hint="eastAsia" w:ascii="宋体"/>
                <w:color w:val="auto"/>
                <w:sz w:val="21"/>
                <w:szCs w:val="21"/>
                <w:highlight w:val="none"/>
              </w:rPr>
              <w:t>21.2.3</w:t>
            </w:r>
            <w:r>
              <w:rPr>
                <w:rFonts w:hint="eastAsia" w:ascii="宋体" w:cs="宋体"/>
                <w:color w:val="auto"/>
                <w:sz w:val="21"/>
                <w:szCs w:val="21"/>
                <w:highlight w:val="none"/>
                <w:lang w:bidi="ar-SA"/>
              </w:rPr>
              <w:t xml:space="preserve">磋商参加人员：法定代表人或委托代理人参加磋商; </w:t>
            </w:r>
          </w:p>
          <w:p w14:paraId="3E70E7F7">
            <w:pPr>
              <w:pStyle w:val="41"/>
              <w:spacing w:line="360" w:lineRule="exact"/>
              <w:rPr>
                <w:rFonts w:hint="eastAsia"/>
                <w:color w:val="auto"/>
                <w:sz w:val="21"/>
                <w:szCs w:val="21"/>
                <w:highlight w:val="none"/>
              </w:rPr>
            </w:pPr>
            <w:r>
              <w:rPr>
                <w:rFonts w:hint="eastAsia"/>
                <w:b/>
                <w:color w:val="auto"/>
                <w:sz w:val="21"/>
                <w:szCs w:val="21"/>
                <w:highlight w:val="none"/>
              </w:rPr>
              <w:t>21.2.4本项目需要供应商代表在响应文件提交截止时间当天，按磋商小组要求及时登录“广西政府采购云平台”平台等候在线磋商及提交最后报价。</w:t>
            </w:r>
          </w:p>
        </w:tc>
      </w:tr>
      <w:tr w14:paraId="7A53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F1DCD72">
            <w:pPr>
              <w:pStyle w:val="41"/>
              <w:spacing w:line="360" w:lineRule="exact"/>
              <w:jc w:val="center"/>
              <w:rPr>
                <w:rFonts w:hint="eastAsia"/>
                <w:color w:val="auto"/>
                <w:sz w:val="21"/>
                <w:szCs w:val="21"/>
                <w:highlight w:val="none"/>
              </w:rPr>
            </w:pPr>
            <w:r>
              <w:rPr>
                <w:rFonts w:hint="eastAsia"/>
                <w:color w:val="auto"/>
                <w:sz w:val="21"/>
                <w:szCs w:val="21"/>
                <w:highlight w:val="none"/>
              </w:rPr>
              <w:t>27</w:t>
            </w:r>
          </w:p>
        </w:tc>
        <w:tc>
          <w:tcPr>
            <w:tcW w:w="898" w:type="dxa"/>
            <w:noWrap w:val="0"/>
            <w:vAlign w:val="center"/>
          </w:tcPr>
          <w:p w14:paraId="315B9309">
            <w:pPr>
              <w:pStyle w:val="41"/>
              <w:spacing w:line="360" w:lineRule="exact"/>
              <w:jc w:val="center"/>
              <w:rPr>
                <w:rFonts w:hint="eastAsia"/>
                <w:color w:val="auto"/>
                <w:sz w:val="21"/>
                <w:szCs w:val="21"/>
                <w:highlight w:val="none"/>
              </w:rPr>
            </w:pPr>
            <w:r>
              <w:rPr>
                <w:rFonts w:hint="eastAsia"/>
                <w:color w:val="auto"/>
                <w:sz w:val="21"/>
                <w:szCs w:val="21"/>
                <w:highlight w:val="none"/>
              </w:rPr>
              <w:t>22.2</w:t>
            </w:r>
          </w:p>
        </w:tc>
        <w:tc>
          <w:tcPr>
            <w:tcW w:w="1417" w:type="dxa"/>
            <w:noWrap w:val="0"/>
            <w:vAlign w:val="center"/>
          </w:tcPr>
          <w:p w14:paraId="2D885973">
            <w:pPr>
              <w:pStyle w:val="41"/>
              <w:spacing w:line="360" w:lineRule="exact"/>
              <w:jc w:val="center"/>
              <w:rPr>
                <w:rFonts w:hint="eastAsia"/>
                <w:color w:val="auto"/>
                <w:sz w:val="21"/>
                <w:szCs w:val="21"/>
                <w:highlight w:val="none"/>
              </w:rPr>
            </w:pPr>
            <w:r>
              <w:rPr>
                <w:rFonts w:hint="eastAsia"/>
                <w:color w:val="auto"/>
                <w:sz w:val="21"/>
                <w:szCs w:val="21"/>
                <w:highlight w:val="none"/>
              </w:rPr>
              <w:t>评审办法</w:t>
            </w:r>
          </w:p>
        </w:tc>
        <w:tc>
          <w:tcPr>
            <w:tcW w:w="6709" w:type="dxa"/>
            <w:noWrap w:val="0"/>
            <w:vAlign w:val="center"/>
          </w:tcPr>
          <w:p w14:paraId="649C04D5">
            <w:pPr>
              <w:pStyle w:val="41"/>
              <w:spacing w:line="360" w:lineRule="exact"/>
              <w:rPr>
                <w:rFonts w:hint="eastAsia"/>
                <w:color w:val="auto"/>
                <w:sz w:val="21"/>
                <w:szCs w:val="21"/>
                <w:highlight w:val="none"/>
              </w:rPr>
            </w:pPr>
            <w:r>
              <w:rPr>
                <w:rFonts w:hint="eastAsia"/>
                <w:color w:val="auto"/>
                <w:sz w:val="21"/>
                <w:szCs w:val="21"/>
                <w:highlight w:val="none"/>
              </w:rPr>
              <w:t>综合评分法（详细见第</w:t>
            </w:r>
            <w:r>
              <w:rPr>
                <w:color w:val="auto"/>
                <w:sz w:val="21"/>
                <w:szCs w:val="21"/>
                <w:highlight w:val="none"/>
              </w:rPr>
              <w:t>三</w:t>
            </w:r>
            <w:r>
              <w:rPr>
                <w:rFonts w:hint="eastAsia"/>
                <w:color w:val="auto"/>
                <w:sz w:val="21"/>
                <w:szCs w:val="21"/>
                <w:highlight w:val="none"/>
              </w:rPr>
              <w:t>章《评审方法》 ）</w:t>
            </w:r>
          </w:p>
        </w:tc>
      </w:tr>
      <w:tr w14:paraId="538A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075B2D2B">
            <w:pPr>
              <w:pStyle w:val="41"/>
              <w:spacing w:line="360" w:lineRule="exact"/>
              <w:jc w:val="center"/>
              <w:rPr>
                <w:rFonts w:hint="eastAsia"/>
                <w:color w:val="auto"/>
                <w:sz w:val="21"/>
                <w:szCs w:val="21"/>
                <w:highlight w:val="none"/>
              </w:rPr>
            </w:pPr>
            <w:r>
              <w:rPr>
                <w:rFonts w:hint="eastAsia"/>
                <w:color w:val="auto"/>
                <w:sz w:val="21"/>
                <w:szCs w:val="21"/>
                <w:highlight w:val="none"/>
              </w:rPr>
              <w:t>28</w:t>
            </w:r>
          </w:p>
        </w:tc>
        <w:tc>
          <w:tcPr>
            <w:tcW w:w="898" w:type="dxa"/>
            <w:noWrap w:val="0"/>
            <w:vAlign w:val="center"/>
          </w:tcPr>
          <w:p w14:paraId="1874F61B">
            <w:pPr>
              <w:pStyle w:val="41"/>
              <w:spacing w:line="360" w:lineRule="exact"/>
              <w:jc w:val="center"/>
              <w:rPr>
                <w:rFonts w:hint="eastAsia"/>
                <w:color w:val="auto"/>
                <w:sz w:val="21"/>
                <w:szCs w:val="21"/>
                <w:highlight w:val="none"/>
              </w:rPr>
            </w:pPr>
            <w:r>
              <w:rPr>
                <w:rFonts w:hint="eastAsia"/>
                <w:color w:val="auto"/>
                <w:sz w:val="21"/>
                <w:szCs w:val="21"/>
                <w:highlight w:val="none"/>
              </w:rPr>
              <w:t>24.4</w:t>
            </w:r>
          </w:p>
        </w:tc>
        <w:tc>
          <w:tcPr>
            <w:tcW w:w="1417" w:type="dxa"/>
            <w:noWrap w:val="0"/>
            <w:vAlign w:val="center"/>
          </w:tcPr>
          <w:p w14:paraId="5417BAF0">
            <w:pPr>
              <w:pStyle w:val="41"/>
              <w:spacing w:line="360" w:lineRule="exact"/>
              <w:jc w:val="center"/>
              <w:rPr>
                <w:rFonts w:hint="eastAsia"/>
                <w:color w:val="auto"/>
                <w:sz w:val="21"/>
                <w:szCs w:val="21"/>
                <w:highlight w:val="none"/>
              </w:rPr>
            </w:pPr>
            <w:r>
              <w:rPr>
                <w:rFonts w:hint="eastAsia"/>
                <w:color w:val="auto"/>
                <w:sz w:val="21"/>
                <w:szCs w:val="21"/>
                <w:highlight w:val="none"/>
              </w:rPr>
              <w:t>成交人信用信息查询</w:t>
            </w:r>
          </w:p>
        </w:tc>
        <w:tc>
          <w:tcPr>
            <w:tcW w:w="6709" w:type="dxa"/>
            <w:noWrap w:val="0"/>
            <w:vAlign w:val="center"/>
          </w:tcPr>
          <w:p w14:paraId="0392631C">
            <w:pPr>
              <w:autoSpaceDE w:val="0"/>
              <w:autoSpaceDN w:val="0"/>
              <w:snapToGrid w:val="0"/>
              <w:spacing w:line="360" w:lineRule="exact"/>
              <w:textAlignment w:val="bottom"/>
              <w:rPr>
                <w:rFonts w:hint="eastAsia" w:ascii="宋体"/>
                <w:color w:val="auto"/>
                <w:sz w:val="21"/>
                <w:szCs w:val="21"/>
                <w:highlight w:val="none"/>
              </w:rPr>
            </w:pPr>
            <w:r>
              <w:rPr>
                <w:rFonts w:hint="eastAsia" w:ascii="宋体"/>
                <w:color w:val="auto"/>
                <w:sz w:val="21"/>
                <w:szCs w:val="21"/>
                <w:highlight w:val="none"/>
              </w:rPr>
              <w:t>成交人信用信息查询：</w:t>
            </w:r>
          </w:p>
          <w:p w14:paraId="0FD93419">
            <w:pPr>
              <w:autoSpaceDE w:val="0"/>
              <w:autoSpaceDN w:val="0"/>
              <w:snapToGrid w:val="0"/>
              <w:spacing w:line="360" w:lineRule="exact"/>
              <w:textAlignment w:val="bottom"/>
              <w:rPr>
                <w:rFonts w:hint="eastAsia" w:ascii="宋体"/>
                <w:color w:val="auto"/>
                <w:sz w:val="21"/>
                <w:szCs w:val="21"/>
                <w:highlight w:val="none"/>
              </w:rPr>
            </w:pPr>
            <w:r>
              <w:rPr>
                <w:rFonts w:hint="eastAsia" w:ascii="宋体"/>
                <w:color w:val="auto"/>
                <w:sz w:val="21"/>
                <w:szCs w:val="21"/>
                <w:highlight w:val="none"/>
              </w:rPr>
              <w:t>根据《关于做好政府采购有关信用主体标识码登记及在政府采购活动中查询使用信用记录有关问题的通知》桂财采〔2016〕37号的通知，在对成交人进行信用查询：</w:t>
            </w:r>
          </w:p>
          <w:p w14:paraId="573259C2">
            <w:pPr>
              <w:autoSpaceDE w:val="0"/>
              <w:autoSpaceDN w:val="0"/>
              <w:snapToGrid w:val="0"/>
              <w:spacing w:line="360" w:lineRule="exact"/>
              <w:textAlignment w:val="bottom"/>
              <w:rPr>
                <w:rFonts w:hint="eastAsia" w:ascii="宋体"/>
                <w:color w:val="auto"/>
                <w:sz w:val="21"/>
                <w:szCs w:val="21"/>
                <w:highlight w:val="none"/>
              </w:rPr>
            </w:pPr>
            <w:r>
              <w:rPr>
                <w:rFonts w:hint="eastAsia" w:ascii="宋体"/>
                <w:color w:val="auto"/>
                <w:sz w:val="21"/>
                <w:szCs w:val="21"/>
                <w:highlight w:val="none"/>
              </w:rPr>
              <w:t>（1）查询渠道：“信用中国”网站(www.creditchina.gov.cn)或“中国执行信息公开网”（https://zxgk.court.gov.cn/）、中国政府采购网(www.ccgp.gov.cn)等；</w:t>
            </w:r>
          </w:p>
          <w:p w14:paraId="627A3825">
            <w:pPr>
              <w:autoSpaceDE w:val="0"/>
              <w:autoSpaceDN w:val="0"/>
              <w:snapToGrid w:val="0"/>
              <w:spacing w:line="360" w:lineRule="exact"/>
              <w:textAlignment w:val="bottom"/>
              <w:rPr>
                <w:rFonts w:hint="eastAsia" w:ascii="宋体"/>
                <w:color w:val="auto"/>
                <w:sz w:val="21"/>
                <w:szCs w:val="21"/>
                <w:highlight w:val="none"/>
              </w:rPr>
            </w:pPr>
            <w:r>
              <w:rPr>
                <w:rFonts w:hint="eastAsia" w:ascii="宋体"/>
                <w:color w:val="auto"/>
                <w:sz w:val="21"/>
                <w:szCs w:val="21"/>
                <w:highlight w:val="none"/>
              </w:rPr>
              <w:t>（2）查询截止时点：成交通知书发出前；</w:t>
            </w:r>
          </w:p>
          <w:p w14:paraId="7C08C3DB">
            <w:pPr>
              <w:autoSpaceDE w:val="0"/>
              <w:autoSpaceDN w:val="0"/>
              <w:snapToGrid w:val="0"/>
              <w:spacing w:line="360" w:lineRule="exact"/>
              <w:textAlignment w:val="bottom"/>
              <w:rPr>
                <w:rFonts w:hint="eastAsia" w:ascii="宋体"/>
                <w:color w:val="auto"/>
                <w:sz w:val="21"/>
                <w:szCs w:val="21"/>
                <w:highlight w:val="none"/>
              </w:rPr>
            </w:pPr>
            <w:r>
              <w:rPr>
                <w:rFonts w:hint="eastAsia" w:ascii="宋体"/>
                <w:color w:val="auto"/>
                <w:sz w:val="21"/>
                <w:szCs w:val="21"/>
                <w:highlight w:val="none"/>
              </w:rPr>
              <w:t>（3）信用信息查询记录和证据留存方式：在查询网站中直接打印查询记录，打印材料作为采购活动资料保存。</w:t>
            </w:r>
          </w:p>
          <w:p w14:paraId="5D2BA12A">
            <w:pPr>
              <w:pStyle w:val="41"/>
              <w:spacing w:line="360" w:lineRule="exact"/>
              <w:rPr>
                <w:rFonts w:hint="eastAsia"/>
                <w:color w:val="auto"/>
                <w:sz w:val="21"/>
                <w:szCs w:val="21"/>
                <w:highlight w:val="none"/>
              </w:rPr>
            </w:pPr>
            <w:r>
              <w:rPr>
                <w:rFonts w:hint="eastAsia"/>
                <w:color w:val="auto"/>
                <w:sz w:val="21"/>
                <w:szCs w:val="21"/>
                <w:highlight w:val="none"/>
              </w:rPr>
              <w:t>（4）信用信息使用规则：对在“信用中国”网站(www.creditchina.gov.cn)或“中国执行信息公开网”（https://zxgk.court.gov.cn/）、中国政府采购网(www.ccgp.gov.cn)等渠道列入失信被执行人、重大税收违法失信主体、政府采购严重违法失信行为记录名单的供应商，不得参与采购活动，取消其成交候选人资格。采购人依法按照评审报告中磋商小组推荐成交候选人排序表确定排名第二的成交候选人为成交供应商或者重新组织采购。</w:t>
            </w:r>
          </w:p>
        </w:tc>
      </w:tr>
      <w:tr w14:paraId="22E2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57EC4A22">
            <w:pPr>
              <w:pStyle w:val="41"/>
              <w:spacing w:line="360" w:lineRule="exact"/>
              <w:jc w:val="center"/>
              <w:rPr>
                <w:rFonts w:hint="eastAsia"/>
                <w:color w:val="auto"/>
                <w:sz w:val="21"/>
                <w:szCs w:val="21"/>
                <w:highlight w:val="none"/>
              </w:rPr>
            </w:pPr>
            <w:r>
              <w:rPr>
                <w:rFonts w:hint="eastAsia"/>
                <w:color w:val="auto"/>
                <w:sz w:val="21"/>
                <w:szCs w:val="21"/>
                <w:highlight w:val="none"/>
              </w:rPr>
              <w:t>29</w:t>
            </w:r>
          </w:p>
        </w:tc>
        <w:tc>
          <w:tcPr>
            <w:tcW w:w="898" w:type="dxa"/>
            <w:noWrap w:val="0"/>
            <w:vAlign w:val="center"/>
          </w:tcPr>
          <w:p w14:paraId="71060531">
            <w:pPr>
              <w:pStyle w:val="41"/>
              <w:spacing w:line="360" w:lineRule="exact"/>
              <w:jc w:val="center"/>
              <w:rPr>
                <w:rFonts w:hint="eastAsia"/>
                <w:color w:val="auto"/>
                <w:sz w:val="21"/>
                <w:szCs w:val="21"/>
                <w:highlight w:val="none"/>
              </w:rPr>
            </w:pPr>
            <w:r>
              <w:rPr>
                <w:rFonts w:hint="eastAsia"/>
                <w:color w:val="auto"/>
                <w:sz w:val="21"/>
                <w:szCs w:val="21"/>
                <w:highlight w:val="none"/>
              </w:rPr>
              <w:t>25.1</w:t>
            </w:r>
          </w:p>
          <w:p w14:paraId="42D0F5F9">
            <w:pPr>
              <w:pStyle w:val="12"/>
              <w:spacing w:line="360" w:lineRule="exact"/>
              <w:jc w:val="center"/>
              <w:rPr>
                <w:rFonts w:hint="eastAsia"/>
                <w:color w:val="auto"/>
                <w:sz w:val="21"/>
                <w:szCs w:val="21"/>
                <w:highlight w:val="none"/>
              </w:rPr>
            </w:pPr>
            <w:r>
              <w:rPr>
                <w:rFonts w:hint="eastAsia"/>
                <w:color w:val="auto"/>
                <w:sz w:val="21"/>
                <w:szCs w:val="21"/>
                <w:highlight w:val="none"/>
              </w:rPr>
              <w:t>25.2</w:t>
            </w:r>
          </w:p>
        </w:tc>
        <w:tc>
          <w:tcPr>
            <w:tcW w:w="1417" w:type="dxa"/>
            <w:noWrap w:val="0"/>
            <w:vAlign w:val="center"/>
          </w:tcPr>
          <w:p w14:paraId="13C6E660">
            <w:pPr>
              <w:pStyle w:val="41"/>
              <w:spacing w:line="360" w:lineRule="exact"/>
              <w:jc w:val="center"/>
              <w:rPr>
                <w:rFonts w:hint="eastAsia"/>
                <w:color w:val="auto"/>
                <w:sz w:val="21"/>
                <w:szCs w:val="21"/>
                <w:highlight w:val="none"/>
              </w:rPr>
            </w:pPr>
            <w:r>
              <w:rPr>
                <w:rFonts w:hint="eastAsia"/>
                <w:color w:val="auto"/>
                <w:sz w:val="21"/>
                <w:szCs w:val="21"/>
                <w:highlight w:val="none"/>
              </w:rPr>
              <w:t>成交结果公告、成交通知书</w:t>
            </w:r>
          </w:p>
        </w:tc>
        <w:tc>
          <w:tcPr>
            <w:tcW w:w="6709" w:type="dxa"/>
            <w:noWrap w:val="0"/>
            <w:vAlign w:val="center"/>
          </w:tcPr>
          <w:p w14:paraId="01552F72">
            <w:pPr>
              <w:spacing w:line="360" w:lineRule="exact"/>
              <w:rPr>
                <w:rFonts w:hint="eastAsia" w:ascii="宋体"/>
                <w:color w:val="auto"/>
                <w:sz w:val="21"/>
                <w:szCs w:val="21"/>
                <w:highlight w:val="none"/>
              </w:rPr>
            </w:pPr>
            <w:r>
              <w:rPr>
                <w:rFonts w:hint="eastAsia" w:ascii="宋体"/>
                <w:color w:val="auto"/>
                <w:sz w:val="21"/>
                <w:szCs w:val="21"/>
                <w:highlight w:val="none"/>
              </w:rPr>
              <w:t>25.1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在指定竞争性磋商公告发布媒体上公告成交结果信息。</w:t>
            </w:r>
          </w:p>
          <w:p w14:paraId="360B6A7F">
            <w:pPr>
              <w:pStyle w:val="41"/>
              <w:spacing w:line="360" w:lineRule="exact"/>
              <w:rPr>
                <w:rFonts w:hint="eastAsia"/>
                <w:color w:val="auto"/>
                <w:sz w:val="21"/>
                <w:szCs w:val="21"/>
                <w:highlight w:val="none"/>
              </w:rPr>
            </w:pPr>
            <w:r>
              <w:rPr>
                <w:rFonts w:hint="eastAsia"/>
                <w:color w:val="auto"/>
                <w:sz w:val="21"/>
                <w:szCs w:val="21"/>
                <w:highlight w:val="none"/>
              </w:rPr>
              <w:t>25.2 在发布成交结果公告的同时，采购代理机构在线向成交供应商发出成交通知书。</w:t>
            </w:r>
          </w:p>
        </w:tc>
      </w:tr>
      <w:tr w14:paraId="7374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2AB2926C">
            <w:pPr>
              <w:pStyle w:val="41"/>
              <w:spacing w:line="360" w:lineRule="exact"/>
              <w:jc w:val="center"/>
              <w:rPr>
                <w:rFonts w:hint="eastAsia"/>
                <w:color w:val="auto"/>
                <w:sz w:val="21"/>
                <w:szCs w:val="21"/>
                <w:highlight w:val="none"/>
              </w:rPr>
            </w:pPr>
            <w:r>
              <w:rPr>
                <w:rFonts w:hint="eastAsia"/>
                <w:color w:val="auto"/>
                <w:sz w:val="21"/>
                <w:szCs w:val="21"/>
                <w:highlight w:val="none"/>
              </w:rPr>
              <w:t>30</w:t>
            </w:r>
          </w:p>
        </w:tc>
        <w:tc>
          <w:tcPr>
            <w:tcW w:w="898" w:type="dxa"/>
            <w:noWrap w:val="0"/>
            <w:vAlign w:val="center"/>
          </w:tcPr>
          <w:p w14:paraId="320F4FB3">
            <w:pPr>
              <w:pStyle w:val="41"/>
              <w:spacing w:line="360" w:lineRule="exact"/>
              <w:jc w:val="center"/>
              <w:rPr>
                <w:rFonts w:hint="eastAsia"/>
                <w:color w:val="auto"/>
                <w:sz w:val="21"/>
                <w:szCs w:val="21"/>
                <w:highlight w:val="none"/>
              </w:rPr>
            </w:pPr>
            <w:r>
              <w:rPr>
                <w:rFonts w:hint="eastAsia"/>
                <w:color w:val="auto"/>
                <w:sz w:val="21"/>
                <w:szCs w:val="21"/>
                <w:highlight w:val="none"/>
              </w:rPr>
              <w:t>26.1</w:t>
            </w:r>
          </w:p>
        </w:tc>
        <w:tc>
          <w:tcPr>
            <w:tcW w:w="1417" w:type="dxa"/>
            <w:noWrap w:val="0"/>
            <w:vAlign w:val="center"/>
          </w:tcPr>
          <w:p w14:paraId="2AEB30FF">
            <w:pPr>
              <w:pStyle w:val="41"/>
              <w:spacing w:line="360" w:lineRule="exact"/>
              <w:jc w:val="center"/>
              <w:rPr>
                <w:rFonts w:hint="eastAsia"/>
                <w:color w:val="auto"/>
                <w:sz w:val="21"/>
                <w:szCs w:val="21"/>
                <w:highlight w:val="none"/>
              </w:rPr>
            </w:pPr>
            <w:r>
              <w:rPr>
                <w:rFonts w:hint="eastAsia"/>
                <w:color w:val="auto"/>
                <w:sz w:val="21"/>
                <w:szCs w:val="21"/>
                <w:highlight w:val="none"/>
              </w:rPr>
              <w:t>履约保证金</w:t>
            </w:r>
          </w:p>
        </w:tc>
        <w:tc>
          <w:tcPr>
            <w:tcW w:w="6709" w:type="dxa"/>
            <w:noWrap w:val="0"/>
            <w:vAlign w:val="center"/>
          </w:tcPr>
          <w:p w14:paraId="35E526DA">
            <w:pPr>
              <w:autoSpaceDE w:val="0"/>
              <w:autoSpaceDN w:val="0"/>
              <w:snapToGrid w:val="0"/>
              <w:spacing w:line="360" w:lineRule="exact"/>
              <w:textAlignment w:val="bottom"/>
              <w:rPr>
                <w:rFonts w:hint="eastAsia" w:ascii="宋体"/>
                <w:color w:val="auto"/>
                <w:sz w:val="21"/>
                <w:szCs w:val="21"/>
                <w:highlight w:val="none"/>
              </w:rPr>
            </w:pPr>
            <w:r>
              <w:rPr>
                <w:rFonts w:hint="eastAsia"/>
                <w:b/>
                <w:bCs/>
                <w:color w:val="auto"/>
                <w:sz w:val="21"/>
                <w:szCs w:val="21"/>
                <w:highlight w:val="none"/>
              </w:rPr>
              <w:t>本项目免收履约保证金。</w:t>
            </w:r>
          </w:p>
        </w:tc>
      </w:tr>
      <w:tr w14:paraId="3425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601A0059">
            <w:pPr>
              <w:pStyle w:val="41"/>
              <w:spacing w:line="360" w:lineRule="exact"/>
              <w:jc w:val="center"/>
              <w:rPr>
                <w:rFonts w:hint="eastAsia"/>
                <w:color w:val="auto"/>
                <w:sz w:val="21"/>
                <w:szCs w:val="21"/>
                <w:highlight w:val="none"/>
              </w:rPr>
            </w:pPr>
            <w:r>
              <w:rPr>
                <w:rFonts w:hint="eastAsia"/>
                <w:color w:val="auto"/>
                <w:sz w:val="21"/>
                <w:szCs w:val="21"/>
                <w:highlight w:val="none"/>
              </w:rPr>
              <w:t>31</w:t>
            </w:r>
          </w:p>
        </w:tc>
        <w:tc>
          <w:tcPr>
            <w:tcW w:w="898" w:type="dxa"/>
            <w:noWrap w:val="0"/>
            <w:vAlign w:val="center"/>
          </w:tcPr>
          <w:p w14:paraId="475CD899">
            <w:pPr>
              <w:pStyle w:val="41"/>
              <w:spacing w:line="360" w:lineRule="exact"/>
              <w:jc w:val="center"/>
              <w:rPr>
                <w:rFonts w:hint="eastAsia"/>
                <w:color w:val="auto"/>
                <w:sz w:val="21"/>
                <w:szCs w:val="21"/>
                <w:highlight w:val="none"/>
              </w:rPr>
            </w:pPr>
            <w:r>
              <w:rPr>
                <w:rFonts w:hint="eastAsia"/>
                <w:color w:val="auto"/>
                <w:sz w:val="21"/>
                <w:szCs w:val="21"/>
                <w:highlight w:val="none"/>
              </w:rPr>
              <w:t>26.2</w:t>
            </w:r>
          </w:p>
        </w:tc>
        <w:tc>
          <w:tcPr>
            <w:tcW w:w="1417" w:type="dxa"/>
            <w:noWrap w:val="0"/>
            <w:vAlign w:val="center"/>
          </w:tcPr>
          <w:p w14:paraId="226458DA">
            <w:pPr>
              <w:pStyle w:val="41"/>
              <w:spacing w:line="360" w:lineRule="exact"/>
              <w:jc w:val="center"/>
              <w:rPr>
                <w:rFonts w:hint="eastAsia"/>
                <w:color w:val="auto"/>
                <w:sz w:val="21"/>
                <w:szCs w:val="21"/>
                <w:highlight w:val="none"/>
              </w:rPr>
            </w:pPr>
            <w:r>
              <w:rPr>
                <w:rFonts w:hint="eastAsia"/>
                <w:color w:val="auto"/>
                <w:sz w:val="21"/>
                <w:szCs w:val="21"/>
                <w:highlight w:val="none"/>
              </w:rPr>
              <w:t>签订合同时间</w:t>
            </w:r>
          </w:p>
        </w:tc>
        <w:tc>
          <w:tcPr>
            <w:tcW w:w="6709" w:type="dxa"/>
            <w:noWrap w:val="0"/>
            <w:vAlign w:val="center"/>
          </w:tcPr>
          <w:p w14:paraId="0B840842">
            <w:pPr>
              <w:autoSpaceDE w:val="0"/>
              <w:autoSpaceDN w:val="0"/>
              <w:snapToGrid w:val="0"/>
              <w:spacing w:line="360" w:lineRule="exact"/>
              <w:textAlignment w:val="bottom"/>
              <w:rPr>
                <w:rFonts w:hint="eastAsia" w:ascii="宋体"/>
                <w:color w:val="auto"/>
                <w:sz w:val="21"/>
                <w:szCs w:val="21"/>
                <w:highlight w:val="none"/>
              </w:rPr>
            </w:pPr>
            <w:r>
              <w:rPr>
                <w:rFonts w:hint="eastAsia" w:ascii="宋体" w:hAnsi="宋体" w:eastAsia="宋体" w:cs="宋体"/>
                <w:bCs/>
                <w:color w:val="auto"/>
                <w:kern w:val="0"/>
                <w:sz w:val="21"/>
                <w:szCs w:val="21"/>
                <w:highlight w:val="none"/>
              </w:rPr>
              <w:t>成交通知书发出之日起</w:t>
            </w:r>
            <w:r>
              <w:rPr>
                <w:rFonts w:hint="eastAsia" w:ascii="宋体" w:hAnsi="宋体" w:eastAsia="宋体" w:cs="宋体"/>
                <w:b w:val="0"/>
                <w:bCs/>
                <w:color w:val="auto"/>
                <w:kern w:val="0"/>
                <w:sz w:val="21"/>
                <w:szCs w:val="21"/>
                <w:highlight w:val="none"/>
                <w:lang w:val="en-US" w:eastAsia="zh-CN"/>
              </w:rPr>
              <w:t>八</w:t>
            </w:r>
            <w:r>
              <w:rPr>
                <w:rFonts w:hint="eastAsia" w:ascii="宋体" w:hAnsi="宋体" w:eastAsia="宋体" w:cs="宋体"/>
                <w:bCs/>
                <w:color w:val="auto"/>
                <w:kern w:val="0"/>
                <w:sz w:val="21"/>
                <w:szCs w:val="21"/>
                <w:highlight w:val="none"/>
                <w:lang w:val="en-US" w:eastAsia="zh-CN"/>
              </w:rPr>
              <w:t>个工作</w:t>
            </w:r>
            <w:r>
              <w:rPr>
                <w:rFonts w:hint="eastAsia" w:ascii="宋体" w:hAnsi="宋体" w:eastAsia="宋体" w:cs="宋体"/>
                <w:bCs/>
                <w:color w:val="auto"/>
                <w:kern w:val="0"/>
                <w:sz w:val="21"/>
                <w:szCs w:val="21"/>
                <w:highlight w:val="none"/>
              </w:rPr>
              <w:t>日内签订合同</w:t>
            </w:r>
            <w:r>
              <w:rPr>
                <w:rFonts w:hint="eastAsia" w:ascii="宋体" w:hAnsi="宋体" w:eastAsia="宋体" w:cs="宋体"/>
                <w:color w:val="auto"/>
                <w:sz w:val="21"/>
                <w:szCs w:val="21"/>
                <w:highlight w:val="none"/>
              </w:rPr>
              <w:t>。成交供应商领取成交通知书后，应按规定与采购人签订合同。</w:t>
            </w:r>
          </w:p>
        </w:tc>
      </w:tr>
      <w:tr w14:paraId="58D4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3E79DAC3">
            <w:pPr>
              <w:pStyle w:val="41"/>
              <w:spacing w:line="360" w:lineRule="exact"/>
              <w:jc w:val="center"/>
              <w:rPr>
                <w:rFonts w:hint="eastAsia"/>
                <w:color w:val="auto"/>
                <w:sz w:val="21"/>
                <w:szCs w:val="21"/>
                <w:highlight w:val="none"/>
              </w:rPr>
            </w:pPr>
            <w:r>
              <w:rPr>
                <w:rFonts w:hint="eastAsia"/>
                <w:color w:val="auto"/>
                <w:sz w:val="21"/>
                <w:szCs w:val="21"/>
                <w:highlight w:val="none"/>
              </w:rPr>
              <w:t>32</w:t>
            </w:r>
          </w:p>
        </w:tc>
        <w:tc>
          <w:tcPr>
            <w:tcW w:w="898" w:type="dxa"/>
            <w:noWrap w:val="0"/>
            <w:vAlign w:val="center"/>
          </w:tcPr>
          <w:p w14:paraId="3D3CE605">
            <w:pPr>
              <w:pStyle w:val="41"/>
              <w:spacing w:line="360" w:lineRule="exact"/>
              <w:jc w:val="center"/>
              <w:rPr>
                <w:rFonts w:hint="eastAsia"/>
                <w:color w:val="auto"/>
                <w:sz w:val="21"/>
                <w:szCs w:val="21"/>
                <w:highlight w:val="none"/>
              </w:rPr>
            </w:pPr>
            <w:r>
              <w:rPr>
                <w:rFonts w:hint="eastAsia"/>
                <w:color w:val="auto"/>
                <w:sz w:val="21"/>
                <w:szCs w:val="21"/>
                <w:highlight w:val="none"/>
              </w:rPr>
              <w:t>26.3</w:t>
            </w:r>
          </w:p>
        </w:tc>
        <w:tc>
          <w:tcPr>
            <w:tcW w:w="1417" w:type="dxa"/>
            <w:noWrap w:val="0"/>
            <w:vAlign w:val="center"/>
          </w:tcPr>
          <w:p w14:paraId="508862AF">
            <w:pPr>
              <w:pStyle w:val="41"/>
              <w:spacing w:line="360" w:lineRule="exact"/>
              <w:jc w:val="center"/>
              <w:rPr>
                <w:rFonts w:hint="eastAsia"/>
                <w:color w:val="auto"/>
                <w:sz w:val="21"/>
                <w:szCs w:val="21"/>
                <w:highlight w:val="none"/>
              </w:rPr>
            </w:pPr>
            <w:r>
              <w:rPr>
                <w:rFonts w:hint="eastAsia"/>
                <w:color w:val="auto"/>
                <w:sz w:val="21"/>
                <w:szCs w:val="21"/>
                <w:highlight w:val="none"/>
              </w:rPr>
              <w:t>合同备案存档</w:t>
            </w:r>
          </w:p>
        </w:tc>
        <w:tc>
          <w:tcPr>
            <w:tcW w:w="6709" w:type="dxa"/>
            <w:noWrap w:val="0"/>
            <w:vAlign w:val="center"/>
          </w:tcPr>
          <w:p w14:paraId="3741E539">
            <w:pPr>
              <w:autoSpaceDE w:val="0"/>
              <w:autoSpaceDN w:val="0"/>
              <w:snapToGrid w:val="0"/>
              <w:spacing w:line="360" w:lineRule="exact"/>
              <w:textAlignment w:val="bottom"/>
              <w:rPr>
                <w:rFonts w:hint="eastAsia" w:ascii="宋体"/>
                <w:color w:val="auto"/>
                <w:sz w:val="21"/>
                <w:szCs w:val="21"/>
                <w:highlight w:val="none"/>
              </w:rPr>
            </w:pPr>
            <w:r>
              <w:rPr>
                <w:rFonts w:hint="eastAsia" w:ascii="宋体"/>
                <w:color w:val="auto"/>
                <w:sz w:val="21"/>
                <w:szCs w:val="21"/>
                <w:highlight w:val="none"/>
              </w:rPr>
              <w:t>政府采购合同双方自签订之日起1个工作日内将合同原件壹份交采购代理机构存档。采购代理机构将政府采购合同在省级以上人民政府财政部门指定媒体上公告并在政采云系统中进行备案。</w:t>
            </w:r>
          </w:p>
        </w:tc>
      </w:tr>
      <w:tr w14:paraId="615A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65082EA">
            <w:pPr>
              <w:pStyle w:val="41"/>
              <w:spacing w:line="360" w:lineRule="exact"/>
              <w:jc w:val="center"/>
              <w:rPr>
                <w:rFonts w:hint="eastAsia"/>
                <w:color w:val="auto"/>
                <w:sz w:val="21"/>
                <w:szCs w:val="21"/>
                <w:highlight w:val="none"/>
              </w:rPr>
            </w:pPr>
            <w:r>
              <w:rPr>
                <w:rFonts w:hint="eastAsia"/>
                <w:color w:val="auto"/>
                <w:sz w:val="21"/>
                <w:szCs w:val="21"/>
                <w:highlight w:val="none"/>
              </w:rPr>
              <w:t>33</w:t>
            </w:r>
          </w:p>
        </w:tc>
        <w:tc>
          <w:tcPr>
            <w:tcW w:w="898" w:type="dxa"/>
            <w:noWrap w:val="0"/>
            <w:vAlign w:val="center"/>
          </w:tcPr>
          <w:p w14:paraId="4426AB77">
            <w:pPr>
              <w:pStyle w:val="41"/>
              <w:spacing w:line="360" w:lineRule="exact"/>
              <w:jc w:val="center"/>
              <w:rPr>
                <w:rFonts w:hint="eastAsia"/>
                <w:color w:val="auto"/>
                <w:sz w:val="21"/>
                <w:szCs w:val="21"/>
                <w:highlight w:val="none"/>
              </w:rPr>
            </w:pPr>
            <w:r>
              <w:rPr>
                <w:rFonts w:hint="eastAsia"/>
                <w:color w:val="auto"/>
                <w:sz w:val="21"/>
                <w:szCs w:val="21"/>
                <w:highlight w:val="none"/>
              </w:rPr>
              <w:t>28.1</w:t>
            </w:r>
          </w:p>
        </w:tc>
        <w:tc>
          <w:tcPr>
            <w:tcW w:w="1417" w:type="dxa"/>
            <w:noWrap w:val="0"/>
            <w:vAlign w:val="center"/>
          </w:tcPr>
          <w:p w14:paraId="4B4171BE">
            <w:pPr>
              <w:pStyle w:val="41"/>
              <w:spacing w:line="360" w:lineRule="exact"/>
              <w:jc w:val="center"/>
              <w:rPr>
                <w:rFonts w:hint="eastAsia"/>
                <w:color w:val="auto"/>
                <w:sz w:val="21"/>
                <w:szCs w:val="21"/>
                <w:highlight w:val="none"/>
              </w:rPr>
            </w:pPr>
            <w:r>
              <w:rPr>
                <w:rFonts w:hint="eastAsia"/>
                <w:color w:val="auto"/>
                <w:sz w:val="21"/>
                <w:szCs w:val="21"/>
                <w:highlight w:val="none"/>
              </w:rPr>
              <w:t>采购代理服务费</w:t>
            </w:r>
          </w:p>
        </w:tc>
        <w:tc>
          <w:tcPr>
            <w:tcW w:w="6709" w:type="dxa"/>
            <w:noWrap w:val="0"/>
            <w:vAlign w:val="center"/>
          </w:tcPr>
          <w:p w14:paraId="565580E4">
            <w:pPr>
              <w:spacing w:line="360" w:lineRule="exact"/>
              <w:rPr>
                <w:rFonts w:hint="eastAsia" w:ascii="宋体"/>
                <w:color w:val="auto"/>
                <w:szCs w:val="21"/>
              </w:rPr>
            </w:pPr>
            <w:r>
              <w:rPr>
                <w:rFonts w:hint="eastAsia" w:ascii="宋体"/>
                <w:color w:val="auto"/>
                <w:szCs w:val="21"/>
              </w:rPr>
              <w:t>本项目的采购代理服务收费标准参照计价格〔2002〕1980号《招标代理服务收费管理暂行办法》工程类收费标准向成交人收取，由成交人在领取成交通知书前，向采购代理机构一次付清代理服务费。</w:t>
            </w:r>
          </w:p>
          <w:p w14:paraId="5C1F34C6">
            <w:pPr>
              <w:spacing w:line="360" w:lineRule="exact"/>
              <w:ind w:firstLine="413" w:firstLineChars="196"/>
              <w:rPr>
                <w:rFonts w:hint="eastAsia" w:ascii="宋体"/>
                <w:color w:val="auto"/>
                <w:sz w:val="21"/>
                <w:szCs w:val="21"/>
                <w:highlight w:val="none"/>
              </w:rPr>
            </w:pPr>
            <w:r>
              <w:rPr>
                <w:rFonts w:hint="eastAsia" w:ascii="宋体" w:cs="宋体"/>
                <w:b/>
                <w:color w:val="auto"/>
                <w:sz w:val="21"/>
                <w:szCs w:val="21"/>
                <w:highlight w:val="none"/>
                <w:lang w:bidi="ar-SA"/>
              </w:rPr>
              <w:t>代理服务费的缴纳账户：</w:t>
            </w:r>
          </w:p>
          <w:p w14:paraId="3160C5B2">
            <w:pPr>
              <w:spacing w:line="360" w:lineRule="exact"/>
              <w:rPr>
                <w:rFonts w:hint="eastAsia" w:ascii="宋体" w:eastAsia="宋体"/>
                <w:color w:val="auto"/>
                <w:sz w:val="21"/>
                <w:szCs w:val="21"/>
                <w:highlight w:val="none"/>
                <w:lang w:eastAsia="zh-CN"/>
              </w:rPr>
            </w:pPr>
            <w:r>
              <w:rPr>
                <w:rFonts w:hint="eastAsia" w:ascii="宋体" w:eastAsia="宋体"/>
                <w:color w:val="auto"/>
                <w:sz w:val="21"/>
                <w:szCs w:val="21"/>
                <w:highlight w:val="none"/>
                <w:lang w:eastAsia="zh-CN"/>
              </w:rPr>
              <w:t>账户名称：广西国兴项目管理有限公司桂林分公司</w:t>
            </w:r>
          </w:p>
          <w:p w14:paraId="6B410D19">
            <w:pPr>
              <w:spacing w:line="360" w:lineRule="exact"/>
              <w:rPr>
                <w:rFonts w:hint="eastAsia" w:ascii="宋体" w:eastAsia="宋体"/>
                <w:color w:val="auto"/>
                <w:sz w:val="21"/>
                <w:szCs w:val="21"/>
                <w:highlight w:val="none"/>
                <w:lang w:eastAsia="zh-CN"/>
              </w:rPr>
            </w:pPr>
            <w:r>
              <w:rPr>
                <w:rFonts w:hint="eastAsia" w:ascii="宋体" w:eastAsia="宋体"/>
                <w:color w:val="auto"/>
                <w:sz w:val="21"/>
                <w:szCs w:val="21"/>
                <w:highlight w:val="none"/>
                <w:lang w:eastAsia="zh-CN"/>
              </w:rPr>
              <w:t>开户银行：桂林银行股份有限公司临桂支行</w:t>
            </w:r>
          </w:p>
          <w:p w14:paraId="167EB6B5">
            <w:pPr>
              <w:spacing w:line="360" w:lineRule="exact"/>
              <w:rPr>
                <w:rFonts w:hint="eastAsia" w:ascii="宋体" w:eastAsia="宋体"/>
                <w:color w:val="auto"/>
                <w:sz w:val="21"/>
                <w:szCs w:val="21"/>
                <w:highlight w:val="none"/>
                <w:lang w:eastAsia="zh-CN"/>
              </w:rPr>
            </w:pPr>
            <w:r>
              <w:rPr>
                <w:rFonts w:hint="eastAsia" w:ascii="宋体" w:eastAsia="宋体"/>
                <w:color w:val="auto"/>
                <w:sz w:val="21"/>
                <w:szCs w:val="21"/>
                <w:highlight w:val="none"/>
                <w:lang w:eastAsia="zh-CN"/>
              </w:rPr>
              <w:t>银行账号：660000021548700019</w:t>
            </w:r>
          </w:p>
        </w:tc>
      </w:tr>
      <w:tr w14:paraId="11120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2" w:type="dxa"/>
            <w:noWrap w:val="0"/>
            <w:vAlign w:val="center"/>
          </w:tcPr>
          <w:p w14:paraId="4395862C">
            <w:pPr>
              <w:pStyle w:val="41"/>
              <w:spacing w:line="360" w:lineRule="exact"/>
              <w:jc w:val="center"/>
              <w:rPr>
                <w:rFonts w:hint="eastAsia"/>
                <w:color w:val="auto"/>
                <w:sz w:val="21"/>
                <w:szCs w:val="21"/>
                <w:highlight w:val="none"/>
              </w:rPr>
            </w:pPr>
            <w:r>
              <w:rPr>
                <w:rFonts w:hint="eastAsia"/>
                <w:color w:val="auto"/>
                <w:sz w:val="21"/>
                <w:szCs w:val="21"/>
                <w:highlight w:val="none"/>
              </w:rPr>
              <w:t>34</w:t>
            </w:r>
          </w:p>
        </w:tc>
        <w:tc>
          <w:tcPr>
            <w:tcW w:w="898" w:type="dxa"/>
            <w:noWrap w:val="0"/>
            <w:vAlign w:val="center"/>
          </w:tcPr>
          <w:p w14:paraId="17DBEC9F">
            <w:pPr>
              <w:pStyle w:val="41"/>
              <w:spacing w:line="360" w:lineRule="exact"/>
              <w:jc w:val="center"/>
              <w:rPr>
                <w:rFonts w:hint="eastAsia"/>
                <w:color w:val="auto"/>
                <w:sz w:val="21"/>
                <w:szCs w:val="21"/>
                <w:highlight w:val="none"/>
              </w:rPr>
            </w:pPr>
            <w:r>
              <w:rPr>
                <w:rFonts w:hint="eastAsia"/>
                <w:color w:val="auto"/>
                <w:sz w:val="21"/>
                <w:szCs w:val="21"/>
                <w:highlight w:val="none"/>
              </w:rPr>
              <w:t>32</w:t>
            </w:r>
          </w:p>
        </w:tc>
        <w:tc>
          <w:tcPr>
            <w:tcW w:w="1417" w:type="dxa"/>
            <w:noWrap w:val="0"/>
            <w:vAlign w:val="center"/>
          </w:tcPr>
          <w:p w14:paraId="5D14D519">
            <w:pPr>
              <w:pStyle w:val="41"/>
              <w:spacing w:line="360" w:lineRule="exact"/>
              <w:jc w:val="center"/>
              <w:rPr>
                <w:rFonts w:hint="eastAsia"/>
                <w:color w:val="auto"/>
                <w:sz w:val="21"/>
                <w:szCs w:val="21"/>
                <w:highlight w:val="none"/>
              </w:rPr>
            </w:pPr>
            <w:r>
              <w:rPr>
                <w:color w:val="auto"/>
                <w:sz w:val="21"/>
                <w:szCs w:val="21"/>
                <w:highlight w:val="none"/>
              </w:rPr>
              <w:t>监督</w:t>
            </w:r>
            <w:r>
              <w:rPr>
                <w:rFonts w:hint="eastAsia"/>
                <w:color w:val="auto"/>
                <w:sz w:val="21"/>
                <w:szCs w:val="21"/>
                <w:highlight w:val="none"/>
              </w:rPr>
              <w:t>管理</w:t>
            </w:r>
          </w:p>
          <w:p w14:paraId="419C0554">
            <w:pPr>
              <w:pStyle w:val="41"/>
              <w:spacing w:line="360" w:lineRule="exact"/>
              <w:jc w:val="center"/>
              <w:rPr>
                <w:rFonts w:hint="eastAsia"/>
                <w:color w:val="auto"/>
                <w:sz w:val="21"/>
                <w:szCs w:val="21"/>
                <w:highlight w:val="none"/>
              </w:rPr>
            </w:pPr>
            <w:r>
              <w:rPr>
                <w:rFonts w:hint="eastAsia"/>
                <w:color w:val="auto"/>
                <w:sz w:val="21"/>
                <w:szCs w:val="21"/>
                <w:highlight w:val="none"/>
              </w:rPr>
              <w:t>部门</w:t>
            </w:r>
          </w:p>
        </w:tc>
        <w:tc>
          <w:tcPr>
            <w:tcW w:w="6709" w:type="dxa"/>
            <w:noWrap w:val="0"/>
            <w:vAlign w:val="center"/>
          </w:tcPr>
          <w:p w14:paraId="19BE59E2">
            <w:pPr>
              <w:spacing w:line="360" w:lineRule="exact"/>
              <w:rPr>
                <w:rFonts w:hint="eastAsia" w:ascii="宋体"/>
                <w:color w:val="auto"/>
                <w:sz w:val="21"/>
                <w:szCs w:val="21"/>
                <w:highlight w:val="none"/>
              </w:rPr>
            </w:pPr>
            <w:r>
              <w:rPr>
                <w:rFonts w:hint="eastAsia" w:ascii="宋体" w:hAnsi="Times New Roman" w:eastAsia="宋体" w:cs="Times New Roman"/>
                <w:color w:val="auto"/>
                <w:kern w:val="2"/>
                <w:sz w:val="21"/>
                <w:szCs w:val="21"/>
                <w:lang w:val="en-US" w:eastAsia="zh-CN" w:bidi="ar-SA"/>
              </w:rPr>
              <w:t>龙胜各族自治县政府采购管理办公室    联系电话：0773-7511322</w:t>
            </w:r>
          </w:p>
        </w:tc>
      </w:tr>
      <w:tr w14:paraId="39E1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32" w:type="dxa"/>
            <w:noWrap w:val="0"/>
            <w:vAlign w:val="center"/>
          </w:tcPr>
          <w:p w14:paraId="34E786D8">
            <w:pPr>
              <w:spacing w:line="360" w:lineRule="exact"/>
              <w:jc w:val="center"/>
              <w:rPr>
                <w:rFonts w:hint="eastAsia" w:ascii="宋体"/>
                <w:color w:val="auto"/>
                <w:sz w:val="21"/>
                <w:szCs w:val="21"/>
                <w:highlight w:val="none"/>
              </w:rPr>
            </w:pPr>
            <w:r>
              <w:rPr>
                <w:rFonts w:hint="eastAsia" w:ascii="宋体"/>
                <w:color w:val="auto"/>
                <w:sz w:val="21"/>
                <w:szCs w:val="21"/>
                <w:highlight w:val="none"/>
              </w:rPr>
              <w:t>35</w:t>
            </w:r>
          </w:p>
        </w:tc>
        <w:tc>
          <w:tcPr>
            <w:tcW w:w="898" w:type="dxa"/>
            <w:noWrap w:val="0"/>
            <w:vAlign w:val="center"/>
          </w:tcPr>
          <w:p w14:paraId="694ED107">
            <w:pPr>
              <w:spacing w:line="360" w:lineRule="exact"/>
              <w:jc w:val="center"/>
              <w:rPr>
                <w:rFonts w:hint="eastAsia" w:ascii="宋体"/>
                <w:color w:val="auto"/>
                <w:sz w:val="21"/>
                <w:szCs w:val="21"/>
                <w:highlight w:val="none"/>
              </w:rPr>
            </w:pPr>
            <w:r>
              <w:rPr>
                <w:rFonts w:hint="eastAsia" w:ascii="宋体"/>
                <w:color w:val="auto"/>
                <w:sz w:val="21"/>
                <w:szCs w:val="21"/>
                <w:highlight w:val="none"/>
              </w:rPr>
              <w:t>33</w:t>
            </w:r>
          </w:p>
        </w:tc>
        <w:tc>
          <w:tcPr>
            <w:tcW w:w="1417" w:type="dxa"/>
            <w:noWrap w:val="0"/>
            <w:vAlign w:val="center"/>
          </w:tcPr>
          <w:p w14:paraId="4492A279">
            <w:pPr>
              <w:spacing w:line="360" w:lineRule="exact"/>
              <w:jc w:val="center"/>
              <w:rPr>
                <w:rFonts w:hint="eastAsia" w:ascii="宋体"/>
                <w:color w:val="auto"/>
                <w:sz w:val="21"/>
                <w:szCs w:val="21"/>
                <w:highlight w:val="none"/>
              </w:rPr>
            </w:pPr>
            <w:r>
              <w:rPr>
                <w:rFonts w:hint="eastAsia" w:ascii="宋体"/>
                <w:bCs/>
                <w:color w:val="auto"/>
                <w:sz w:val="21"/>
                <w:szCs w:val="21"/>
                <w:highlight w:val="none"/>
              </w:rPr>
              <w:t>解释权</w:t>
            </w:r>
          </w:p>
        </w:tc>
        <w:tc>
          <w:tcPr>
            <w:tcW w:w="6709" w:type="dxa"/>
            <w:noWrap w:val="0"/>
            <w:vAlign w:val="center"/>
          </w:tcPr>
          <w:p w14:paraId="7A662B83">
            <w:pPr>
              <w:pStyle w:val="12"/>
              <w:spacing w:line="360" w:lineRule="exact"/>
              <w:rPr>
                <w:rFonts w:hint="eastAsia"/>
                <w:b/>
                <w:color w:val="auto"/>
                <w:sz w:val="21"/>
                <w:szCs w:val="21"/>
                <w:highlight w:val="none"/>
              </w:rPr>
            </w:pPr>
            <w:r>
              <w:rPr>
                <w:rFonts w:hint="eastAsia"/>
                <w:color w:val="auto"/>
                <w:spacing w:val="-4"/>
                <w:sz w:val="21"/>
                <w:szCs w:val="21"/>
                <w:highlight w:val="none"/>
              </w:rPr>
              <w:t>本</w:t>
            </w:r>
            <w:r>
              <w:rPr>
                <w:rFonts w:hint="eastAsia"/>
                <w:color w:val="auto"/>
                <w:sz w:val="21"/>
                <w:szCs w:val="21"/>
                <w:highlight w:val="none"/>
              </w:rPr>
              <w:t>竞争性磋商文件</w:t>
            </w:r>
            <w:r>
              <w:rPr>
                <w:rFonts w:hint="eastAsia"/>
                <w:color w:val="auto"/>
                <w:spacing w:val="-4"/>
                <w:sz w:val="21"/>
                <w:szCs w:val="21"/>
                <w:highlight w:val="none"/>
              </w:rPr>
              <w:t>解释权属</w:t>
            </w:r>
            <w:r>
              <w:rPr>
                <w:rFonts w:hint="eastAsia"/>
                <w:color w:val="auto"/>
                <w:spacing w:val="-4"/>
                <w:sz w:val="21"/>
                <w:szCs w:val="21"/>
                <w:highlight w:val="none"/>
                <w:lang w:eastAsia="zh-CN"/>
              </w:rPr>
              <w:t>广西国兴项目管理有限公司</w:t>
            </w:r>
            <w:r>
              <w:rPr>
                <w:rFonts w:hint="eastAsia"/>
                <w:color w:val="auto"/>
                <w:spacing w:val="-4"/>
                <w:sz w:val="21"/>
                <w:szCs w:val="21"/>
                <w:highlight w:val="none"/>
              </w:rPr>
              <w:t>。</w:t>
            </w:r>
          </w:p>
        </w:tc>
      </w:tr>
    </w:tbl>
    <w:p w14:paraId="159EF877">
      <w:pPr>
        <w:spacing w:line="350" w:lineRule="exact"/>
        <w:ind w:firstLine="527" w:firstLineChars="250"/>
        <w:rPr>
          <w:rFonts w:hint="eastAsia" w:ascii="宋体"/>
          <w:b/>
          <w:color w:val="auto"/>
          <w:szCs w:val="21"/>
          <w:highlight w:val="none"/>
        </w:rPr>
      </w:pPr>
      <w:r>
        <w:rPr>
          <w:rFonts w:hint="eastAsia" w:ascii="宋体"/>
          <w:b/>
          <w:color w:val="auto"/>
          <w:szCs w:val="21"/>
          <w:highlight w:val="none"/>
        </w:rPr>
        <w:br w:type="page"/>
      </w:r>
      <w:r>
        <w:rPr>
          <w:rFonts w:hint="eastAsia" w:ascii="宋体"/>
          <w:b/>
          <w:color w:val="auto"/>
          <w:szCs w:val="21"/>
          <w:highlight w:val="none"/>
        </w:rPr>
        <w:t>一、总　则</w:t>
      </w:r>
    </w:p>
    <w:p w14:paraId="7BD5E856">
      <w:pPr>
        <w:spacing w:line="350" w:lineRule="exact"/>
        <w:ind w:firstLine="420" w:firstLineChars="200"/>
        <w:rPr>
          <w:rFonts w:hint="eastAsia" w:ascii="宋体"/>
          <w:color w:val="auto"/>
          <w:szCs w:val="21"/>
          <w:highlight w:val="none"/>
        </w:rPr>
      </w:pPr>
      <w:r>
        <w:rPr>
          <w:rFonts w:hint="eastAsia" w:ascii="宋体"/>
          <w:color w:val="auto"/>
          <w:szCs w:val="21"/>
          <w:highlight w:val="none"/>
        </w:rPr>
        <w:t>1. 项目概况：</w:t>
      </w:r>
    </w:p>
    <w:p w14:paraId="3BFD15A1">
      <w:pPr>
        <w:spacing w:line="350" w:lineRule="exact"/>
        <w:ind w:firstLine="420" w:firstLineChars="200"/>
        <w:rPr>
          <w:rFonts w:hint="eastAsia" w:ascii="宋体"/>
          <w:color w:val="auto"/>
          <w:szCs w:val="21"/>
          <w:highlight w:val="none"/>
        </w:rPr>
      </w:pPr>
      <w:r>
        <w:rPr>
          <w:rFonts w:hint="eastAsia" w:ascii="宋体"/>
          <w:color w:val="auto"/>
          <w:szCs w:val="21"/>
          <w:highlight w:val="none"/>
        </w:rPr>
        <w:t>1.1本采购项目采购人：详见磋商供应商须知前附表第1条。</w:t>
      </w:r>
    </w:p>
    <w:p w14:paraId="4BA8A9D5">
      <w:pPr>
        <w:spacing w:line="350" w:lineRule="exact"/>
        <w:ind w:firstLine="420" w:firstLineChars="200"/>
        <w:rPr>
          <w:rFonts w:hint="eastAsia" w:ascii="宋体"/>
          <w:color w:val="auto"/>
          <w:szCs w:val="21"/>
          <w:highlight w:val="none"/>
        </w:rPr>
      </w:pPr>
      <w:r>
        <w:rPr>
          <w:rFonts w:hint="eastAsia" w:ascii="宋体"/>
          <w:color w:val="auto"/>
          <w:szCs w:val="21"/>
          <w:highlight w:val="none"/>
        </w:rPr>
        <w:t>1.2本工程采购代理机构：详见磋商供应商须知前附表第2条。</w:t>
      </w:r>
    </w:p>
    <w:p w14:paraId="31EA2C34">
      <w:pPr>
        <w:spacing w:line="350" w:lineRule="exact"/>
        <w:ind w:firstLine="420" w:firstLineChars="200"/>
        <w:rPr>
          <w:rFonts w:hint="eastAsia" w:ascii="宋体"/>
          <w:color w:val="auto"/>
          <w:szCs w:val="21"/>
          <w:highlight w:val="none"/>
        </w:rPr>
      </w:pPr>
      <w:r>
        <w:rPr>
          <w:rFonts w:hint="eastAsia" w:ascii="宋体"/>
          <w:color w:val="auto"/>
          <w:szCs w:val="21"/>
          <w:highlight w:val="none"/>
        </w:rPr>
        <w:t>1.3本采购项目名称及项目编号：详见磋商供应商须知前附表第3条。</w:t>
      </w:r>
    </w:p>
    <w:p w14:paraId="0A3B229B">
      <w:pPr>
        <w:spacing w:line="350" w:lineRule="exact"/>
        <w:ind w:firstLine="420" w:firstLineChars="200"/>
        <w:rPr>
          <w:rFonts w:hint="eastAsia" w:ascii="宋体"/>
          <w:color w:val="auto"/>
          <w:szCs w:val="21"/>
          <w:highlight w:val="none"/>
        </w:rPr>
      </w:pPr>
      <w:r>
        <w:rPr>
          <w:rFonts w:hint="eastAsia" w:ascii="宋体"/>
          <w:color w:val="auto"/>
          <w:szCs w:val="21"/>
          <w:highlight w:val="none"/>
        </w:rPr>
        <w:t>1.4本工程建设地点：详见磋商供应商须知前附表第4条。</w:t>
      </w:r>
    </w:p>
    <w:p w14:paraId="175230CE">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2.</w:t>
      </w:r>
      <w:r>
        <w:rPr>
          <w:rFonts w:hint="eastAsia" w:ascii="宋体"/>
          <w:color w:val="auto"/>
          <w:szCs w:val="21"/>
          <w:highlight w:val="none"/>
        </w:rPr>
        <w:t xml:space="preserve"> </w:t>
      </w:r>
      <w:r>
        <w:rPr>
          <w:rFonts w:hint="eastAsia" w:ascii="宋体"/>
          <w:b/>
          <w:color w:val="auto"/>
          <w:szCs w:val="21"/>
          <w:highlight w:val="none"/>
        </w:rPr>
        <w:t>资金来源和落实情况</w:t>
      </w:r>
    </w:p>
    <w:p w14:paraId="387EF30C">
      <w:pPr>
        <w:spacing w:line="350" w:lineRule="exact"/>
        <w:ind w:firstLine="420" w:firstLineChars="200"/>
        <w:rPr>
          <w:rFonts w:hint="eastAsia" w:ascii="宋体"/>
          <w:color w:val="auto"/>
          <w:szCs w:val="21"/>
          <w:highlight w:val="none"/>
        </w:rPr>
      </w:pPr>
      <w:r>
        <w:rPr>
          <w:rFonts w:hint="eastAsia" w:ascii="宋体"/>
          <w:color w:val="auto"/>
          <w:szCs w:val="21"/>
          <w:highlight w:val="none"/>
        </w:rPr>
        <w:t>2.1资金来源：详见磋商供应商须知前附表第5条。</w:t>
      </w:r>
    </w:p>
    <w:p w14:paraId="137BF3E7">
      <w:pPr>
        <w:spacing w:line="350" w:lineRule="exact"/>
        <w:ind w:firstLine="420" w:firstLineChars="200"/>
        <w:rPr>
          <w:rFonts w:hint="eastAsia" w:ascii="宋体"/>
          <w:color w:val="auto"/>
          <w:szCs w:val="21"/>
          <w:highlight w:val="none"/>
        </w:rPr>
      </w:pPr>
      <w:r>
        <w:rPr>
          <w:rFonts w:hint="eastAsia" w:ascii="宋体"/>
          <w:color w:val="auto"/>
          <w:szCs w:val="21"/>
          <w:highlight w:val="none"/>
        </w:rPr>
        <w:t>2.2出资比例：详见磋商供应商须知前附表第6条。</w:t>
      </w:r>
    </w:p>
    <w:p w14:paraId="2977827E">
      <w:pPr>
        <w:spacing w:line="350" w:lineRule="exact"/>
        <w:ind w:firstLine="420" w:firstLineChars="200"/>
        <w:rPr>
          <w:rFonts w:hint="eastAsia" w:ascii="宋体"/>
          <w:color w:val="auto"/>
          <w:szCs w:val="21"/>
          <w:highlight w:val="none"/>
        </w:rPr>
      </w:pPr>
      <w:r>
        <w:rPr>
          <w:rFonts w:hint="eastAsia" w:ascii="宋体"/>
          <w:color w:val="auto"/>
          <w:szCs w:val="21"/>
          <w:highlight w:val="none"/>
        </w:rPr>
        <w:t>2.3 资金落实情况：详见磋商供应商须知前附表第7条。</w:t>
      </w:r>
    </w:p>
    <w:p w14:paraId="7161559B">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3. 采购范围、计划工期和质量要求</w:t>
      </w:r>
    </w:p>
    <w:p w14:paraId="7B8F4066">
      <w:pPr>
        <w:spacing w:line="350" w:lineRule="exact"/>
        <w:ind w:firstLine="420" w:firstLineChars="200"/>
        <w:rPr>
          <w:rFonts w:hint="eastAsia" w:ascii="宋体"/>
          <w:color w:val="auto"/>
          <w:szCs w:val="21"/>
          <w:highlight w:val="none"/>
        </w:rPr>
      </w:pPr>
      <w:r>
        <w:rPr>
          <w:rFonts w:hint="eastAsia" w:ascii="宋体"/>
          <w:color w:val="auto"/>
          <w:szCs w:val="21"/>
          <w:highlight w:val="none"/>
        </w:rPr>
        <w:t>3.1  本次采购范围：详见磋商供应商须知前附表第8条。</w:t>
      </w:r>
    </w:p>
    <w:p w14:paraId="6F231A08">
      <w:pPr>
        <w:spacing w:line="350" w:lineRule="exact"/>
        <w:ind w:firstLine="420" w:firstLineChars="200"/>
        <w:rPr>
          <w:rFonts w:hint="eastAsia" w:ascii="宋体"/>
          <w:color w:val="auto"/>
          <w:szCs w:val="21"/>
          <w:highlight w:val="none"/>
        </w:rPr>
      </w:pPr>
      <w:r>
        <w:rPr>
          <w:rFonts w:hint="eastAsia" w:ascii="宋体"/>
          <w:color w:val="auto"/>
          <w:szCs w:val="21"/>
          <w:highlight w:val="none"/>
        </w:rPr>
        <w:t>3.2  本工程的要求工期：详见磋商供应商须知前附表第9条。</w:t>
      </w:r>
    </w:p>
    <w:p w14:paraId="7425B413">
      <w:pPr>
        <w:spacing w:line="350" w:lineRule="exact"/>
        <w:ind w:firstLine="420" w:firstLineChars="200"/>
        <w:rPr>
          <w:rFonts w:hint="eastAsia" w:ascii="宋体"/>
          <w:color w:val="auto"/>
          <w:szCs w:val="21"/>
          <w:highlight w:val="none"/>
        </w:rPr>
      </w:pPr>
      <w:r>
        <w:rPr>
          <w:rFonts w:hint="eastAsia" w:ascii="宋体"/>
          <w:color w:val="auto"/>
          <w:szCs w:val="21"/>
          <w:highlight w:val="none"/>
        </w:rPr>
        <w:t>3.3  本工程的质量要求：详见磋商供应商须知前附表第10条。</w:t>
      </w:r>
    </w:p>
    <w:p w14:paraId="4669D9CE">
      <w:pPr>
        <w:spacing w:line="350" w:lineRule="exact"/>
        <w:ind w:firstLine="420" w:firstLineChars="200"/>
        <w:rPr>
          <w:rFonts w:hint="eastAsia" w:ascii="宋体"/>
          <w:color w:val="auto"/>
          <w:szCs w:val="21"/>
          <w:highlight w:val="none"/>
        </w:rPr>
      </w:pPr>
      <w:r>
        <w:rPr>
          <w:rFonts w:hint="eastAsia" w:ascii="宋体"/>
          <w:color w:val="auto"/>
          <w:szCs w:val="21"/>
          <w:highlight w:val="none"/>
        </w:rPr>
        <w:t>3.4  本工程的标段划分：详见磋商供应商须知前附表第11条。</w:t>
      </w:r>
    </w:p>
    <w:p w14:paraId="6FE5AB3F">
      <w:pPr>
        <w:spacing w:line="350" w:lineRule="exact"/>
        <w:ind w:firstLine="422" w:firstLineChars="200"/>
        <w:rPr>
          <w:rFonts w:hint="eastAsia" w:ascii="宋体"/>
          <w:color w:val="auto"/>
          <w:szCs w:val="21"/>
          <w:highlight w:val="none"/>
        </w:rPr>
      </w:pPr>
      <w:r>
        <w:rPr>
          <w:rFonts w:hint="eastAsia" w:ascii="宋体"/>
          <w:b/>
          <w:color w:val="auto"/>
          <w:szCs w:val="21"/>
          <w:highlight w:val="none"/>
        </w:rPr>
        <w:t>4. 磋商供应商的资格要求：</w:t>
      </w:r>
      <w:r>
        <w:rPr>
          <w:rFonts w:hint="eastAsia" w:ascii="宋体"/>
          <w:color w:val="auto"/>
          <w:szCs w:val="21"/>
          <w:highlight w:val="none"/>
        </w:rPr>
        <w:t>详见磋商供应商须知前附表第12条。</w:t>
      </w:r>
    </w:p>
    <w:p w14:paraId="73ED4B54">
      <w:pPr>
        <w:spacing w:line="350" w:lineRule="exact"/>
        <w:ind w:firstLine="422" w:firstLineChars="200"/>
        <w:rPr>
          <w:rFonts w:hint="eastAsia" w:ascii="宋体"/>
          <w:color w:val="auto"/>
          <w:szCs w:val="21"/>
          <w:highlight w:val="none"/>
        </w:rPr>
      </w:pPr>
      <w:r>
        <w:rPr>
          <w:rFonts w:hint="eastAsia" w:ascii="宋体"/>
          <w:b/>
          <w:color w:val="auto"/>
          <w:szCs w:val="21"/>
          <w:highlight w:val="none"/>
        </w:rPr>
        <w:t>5. 踏勘现场：</w:t>
      </w:r>
      <w:r>
        <w:rPr>
          <w:rFonts w:hint="eastAsia" w:ascii="宋体"/>
          <w:color w:val="auto"/>
          <w:szCs w:val="21"/>
          <w:highlight w:val="none"/>
        </w:rPr>
        <w:t>详见磋商供应商须知前附表第13条。</w:t>
      </w:r>
    </w:p>
    <w:p w14:paraId="77EAD790">
      <w:pPr>
        <w:spacing w:line="350" w:lineRule="exact"/>
        <w:ind w:firstLine="422" w:firstLineChars="200"/>
        <w:rPr>
          <w:rFonts w:hint="eastAsia" w:ascii="宋体"/>
          <w:color w:val="auto"/>
          <w:szCs w:val="21"/>
          <w:highlight w:val="none"/>
        </w:rPr>
      </w:pPr>
      <w:r>
        <w:rPr>
          <w:rFonts w:hint="eastAsia" w:ascii="宋体"/>
          <w:b/>
          <w:color w:val="auto"/>
          <w:szCs w:val="21"/>
          <w:highlight w:val="none"/>
        </w:rPr>
        <w:t>6. 参与在线响应（电子响应）的准备工作及磋商费用：</w:t>
      </w:r>
    </w:p>
    <w:p w14:paraId="4858A0BE">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6.1参与在线响应（电子响应）的准备工作</w:t>
      </w:r>
    </w:p>
    <w:p w14:paraId="76B31547">
      <w:pPr>
        <w:spacing w:line="350" w:lineRule="exact"/>
        <w:ind w:firstLine="420" w:firstLineChars="200"/>
        <w:rPr>
          <w:rFonts w:hint="eastAsia" w:ascii="宋体"/>
          <w:color w:val="auto"/>
          <w:szCs w:val="21"/>
          <w:highlight w:val="none"/>
        </w:rPr>
      </w:pPr>
      <w:r>
        <w:rPr>
          <w:rFonts w:hint="eastAsia" w:ascii="宋体"/>
          <w:color w:val="auto"/>
          <w:szCs w:val="21"/>
          <w:highlight w:val="none"/>
        </w:rPr>
        <w:t>6.1.1本项目实行全流程电子化采购，供应商通过“广西政府采购云平台”平台参与在线响应（电子响应），并应做好以下相关准备工作：①在“广西政府采购云平台”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政采云电子投标客户端”）并安装成功，供应商应当在提交响应文件截止时间前在“广西政府采购云平台”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1697AD91">
      <w:pPr>
        <w:spacing w:line="350" w:lineRule="exact"/>
        <w:ind w:firstLine="420" w:firstLineChars="200"/>
        <w:rPr>
          <w:rFonts w:hint="eastAsia" w:ascii="宋体"/>
          <w:color w:val="auto"/>
          <w:szCs w:val="21"/>
          <w:highlight w:val="none"/>
        </w:rPr>
      </w:pPr>
      <w:r>
        <w:rPr>
          <w:rFonts w:hint="eastAsia" w:ascii="宋体"/>
          <w:color w:val="auto"/>
          <w:szCs w:val="21"/>
          <w:highlight w:val="none"/>
        </w:rPr>
        <w:t>6.1.2在线响应（电子响应）具体操作流程参考《政府采购项目电子交易管理操作指南-供应商》（详见广西壮族自治区政府采购网—办事服务—下载专区-广西壮族自治区全流程电子招投标项目管理系统--供应商客户端）；如遇平台技术问题详询95763。</w:t>
      </w:r>
    </w:p>
    <w:p w14:paraId="0A446182">
      <w:pPr>
        <w:spacing w:line="350" w:lineRule="exact"/>
        <w:ind w:firstLine="422" w:firstLineChars="200"/>
        <w:rPr>
          <w:rFonts w:hint="eastAsia" w:ascii="宋体"/>
          <w:color w:val="auto"/>
          <w:szCs w:val="21"/>
          <w:highlight w:val="none"/>
        </w:rPr>
      </w:pPr>
      <w:r>
        <w:rPr>
          <w:rFonts w:hint="eastAsia" w:ascii="宋体"/>
          <w:b/>
          <w:color w:val="auto"/>
          <w:szCs w:val="21"/>
          <w:highlight w:val="none"/>
        </w:rPr>
        <w:t>6.2磋商费用：</w:t>
      </w:r>
      <w:r>
        <w:rPr>
          <w:rFonts w:hint="eastAsia" w:ascii="宋体"/>
          <w:color w:val="auto"/>
          <w:szCs w:val="21"/>
          <w:highlight w:val="none"/>
        </w:rPr>
        <w:t>供应商应自行承担所有与编写和提交竞争性磋商响应文件有关的费用，不论磋商结果如何，采购人和采购代理机构在任何情况下无义务和责任承担此类费用。</w:t>
      </w:r>
    </w:p>
    <w:p w14:paraId="2DB5F3F7">
      <w:pPr>
        <w:tabs>
          <w:tab w:val="left" w:pos="1635"/>
        </w:tabs>
        <w:spacing w:line="350" w:lineRule="exact"/>
        <w:ind w:firstLine="435"/>
        <w:rPr>
          <w:rFonts w:hint="eastAsia" w:ascii="宋体"/>
          <w:b/>
          <w:color w:val="auto"/>
          <w:szCs w:val="21"/>
          <w:highlight w:val="none"/>
        </w:rPr>
      </w:pPr>
      <w:r>
        <w:rPr>
          <w:rFonts w:hint="eastAsia" w:ascii="宋体"/>
          <w:b/>
          <w:color w:val="auto"/>
          <w:szCs w:val="21"/>
          <w:highlight w:val="none"/>
        </w:rPr>
        <w:t>7.分包：</w:t>
      </w:r>
    </w:p>
    <w:p w14:paraId="6EB28E47">
      <w:pPr>
        <w:tabs>
          <w:tab w:val="left" w:pos="1635"/>
        </w:tabs>
        <w:spacing w:line="350" w:lineRule="exact"/>
        <w:ind w:firstLine="435"/>
        <w:rPr>
          <w:rFonts w:hint="eastAsia" w:ascii="宋体"/>
          <w:color w:val="auto"/>
          <w:szCs w:val="21"/>
          <w:highlight w:val="none"/>
        </w:rPr>
      </w:pPr>
      <w:r>
        <w:rPr>
          <w:rFonts w:hint="eastAsia" w:ascii="宋体"/>
          <w:color w:val="auto"/>
          <w:szCs w:val="21"/>
          <w:highlight w:val="none"/>
        </w:rPr>
        <w:t>供应商拟在成交后将中标项目的部分非主体、非关键性工作进行分包的，应符合磋商供应商须知前附表规定的分包内容、分包金额和接受分包的第三人资质要求等限制性条件。详见磋商供应商须知前附表第15条。</w:t>
      </w:r>
    </w:p>
    <w:p w14:paraId="4DF1E1C0">
      <w:pPr>
        <w:tabs>
          <w:tab w:val="left" w:pos="1635"/>
        </w:tabs>
        <w:spacing w:line="350" w:lineRule="exact"/>
        <w:ind w:firstLine="435"/>
        <w:rPr>
          <w:rFonts w:hint="eastAsia" w:ascii="宋体"/>
          <w:b/>
          <w:color w:val="auto"/>
          <w:szCs w:val="21"/>
          <w:highlight w:val="none"/>
        </w:rPr>
      </w:pPr>
      <w:r>
        <w:rPr>
          <w:rFonts w:hint="eastAsia" w:ascii="宋体"/>
          <w:b/>
          <w:color w:val="auto"/>
          <w:szCs w:val="21"/>
          <w:highlight w:val="none"/>
        </w:rPr>
        <w:t>8.</w:t>
      </w:r>
      <w:r>
        <w:rPr>
          <w:rFonts w:hint="eastAsia" w:ascii="宋体"/>
          <w:b/>
          <w:color w:val="auto"/>
          <w:kern w:val="0"/>
          <w:szCs w:val="21"/>
          <w:highlight w:val="none"/>
        </w:rPr>
        <w:t xml:space="preserve"> </w:t>
      </w:r>
      <w:r>
        <w:rPr>
          <w:rFonts w:hint="eastAsia" w:ascii="宋体"/>
          <w:b/>
          <w:color w:val="auto"/>
          <w:szCs w:val="21"/>
          <w:highlight w:val="none"/>
        </w:rPr>
        <w:t>偏离</w:t>
      </w:r>
    </w:p>
    <w:p w14:paraId="2808538A">
      <w:pPr>
        <w:tabs>
          <w:tab w:val="left" w:pos="1635"/>
        </w:tabs>
        <w:spacing w:line="350" w:lineRule="exact"/>
        <w:ind w:firstLine="435"/>
        <w:rPr>
          <w:rFonts w:hint="eastAsia" w:ascii="宋体"/>
          <w:color w:val="auto"/>
          <w:szCs w:val="21"/>
          <w:highlight w:val="none"/>
        </w:rPr>
      </w:pPr>
      <w:r>
        <w:rPr>
          <w:rFonts w:hint="eastAsia" w:ascii="宋体"/>
          <w:color w:val="auto"/>
          <w:szCs w:val="21"/>
          <w:highlight w:val="none"/>
        </w:rPr>
        <w:t>磋商供应商须知前附表允许响应文件偏离竞争性磋商文件某些要求的，偏离应当符竞争性磋商规定的偏离范围和幅度。详见磋商供应商须知前附表第16条。</w:t>
      </w:r>
    </w:p>
    <w:p w14:paraId="47413534">
      <w:pPr>
        <w:spacing w:line="400" w:lineRule="exact"/>
        <w:ind w:firstLine="413" w:firstLineChars="196"/>
        <w:rPr>
          <w:rFonts w:hint="eastAsia" w:ascii="宋体"/>
          <w:b/>
          <w:color w:val="auto"/>
          <w:szCs w:val="21"/>
          <w:highlight w:val="none"/>
        </w:rPr>
      </w:pPr>
      <w:r>
        <w:rPr>
          <w:rFonts w:hint="eastAsia" w:ascii="宋体"/>
          <w:b/>
          <w:color w:val="auto"/>
          <w:szCs w:val="21"/>
          <w:highlight w:val="none"/>
        </w:rPr>
        <w:t>9.询问、质疑和投诉</w:t>
      </w:r>
    </w:p>
    <w:p w14:paraId="5A7727D9">
      <w:pPr>
        <w:pStyle w:val="12"/>
        <w:adjustRightInd w:val="0"/>
        <w:snapToGrid w:val="0"/>
        <w:spacing w:line="400" w:lineRule="exact"/>
        <w:ind w:firstLine="420" w:firstLineChars="200"/>
        <w:rPr>
          <w:rFonts w:hint="eastAsia"/>
          <w:color w:val="auto"/>
          <w:highlight w:val="none"/>
        </w:rPr>
      </w:pPr>
      <w:r>
        <w:rPr>
          <w:rFonts w:hint="eastAsia"/>
          <w:color w:val="auto"/>
          <w:highlight w:val="none"/>
        </w:rPr>
        <w:t>9.1供应商对政府采购活动事项有疑问的，可以向采购人、采购代理机构提出询问。</w:t>
      </w:r>
    </w:p>
    <w:p w14:paraId="1A3FA4B7">
      <w:pPr>
        <w:pStyle w:val="12"/>
        <w:adjustRightInd w:val="0"/>
        <w:snapToGrid w:val="0"/>
        <w:spacing w:line="400" w:lineRule="exact"/>
        <w:ind w:firstLine="420" w:firstLineChars="200"/>
        <w:rPr>
          <w:rFonts w:hint="eastAsia"/>
          <w:color w:val="auto"/>
          <w:highlight w:val="none"/>
        </w:rPr>
      </w:pPr>
      <w:r>
        <w:rPr>
          <w:rFonts w:hint="eastAsia"/>
          <w:color w:val="auto"/>
          <w:highlight w:val="none"/>
        </w:rPr>
        <w:t>9.2供应商认为竞争性磋商文件、采购过程或成交结果使自己的合法权益受到损害的，应当在知道或者应知其权益受到损害之日起七个工作日内，以书面形式向采购人、采购代理机构提出质疑。具体计算时间如下：</w:t>
      </w:r>
    </w:p>
    <w:p w14:paraId="67DC35C1">
      <w:pPr>
        <w:pStyle w:val="12"/>
        <w:adjustRightInd w:val="0"/>
        <w:snapToGrid w:val="0"/>
        <w:spacing w:line="400" w:lineRule="exact"/>
        <w:ind w:firstLine="310" w:firstLineChars="147"/>
        <w:rPr>
          <w:rFonts w:hint="eastAsia"/>
          <w:bCs/>
          <w:color w:val="auto"/>
          <w:highlight w:val="none"/>
        </w:rPr>
      </w:pPr>
      <w:r>
        <w:rPr>
          <w:rFonts w:hint="eastAsia"/>
          <w:b/>
          <w:color w:val="auto"/>
          <w:highlight w:val="none"/>
        </w:rPr>
        <w:t>（1）对可以质疑的竞争性磋商文件提出质疑的，为获取采购文件之日；</w:t>
      </w:r>
    </w:p>
    <w:p w14:paraId="741499F0">
      <w:pPr>
        <w:widowControl/>
        <w:adjustRightInd w:val="0"/>
        <w:snapToGrid w:val="0"/>
        <w:spacing w:line="400" w:lineRule="exact"/>
        <w:jc w:val="left"/>
        <w:rPr>
          <w:rFonts w:hint="eastAsia" w:cs="Courier New"/>
          <w:b/>
          <w:color w:val="auto"/>
          <w:szCs w:val="21"/>
          <w:highlight w:val="none"/>
          <w:lang w:bidi="ar-SA"/>
        </w:rPr>
      </w:pPr>
      <w:r>
        <w:rPr>
          <w:rFonts w:hint="eastAsia" w:cs="Courier New"/>
          <w:color w:val="auto"/>
          <w:szCs w:val="21"/>
          <w:highlight w:val="none"/>
          <w:lang w:bidi="ar-SA"/>
        </w:rPr>
        <w:t xml:space="preserve">　 </w:t>
      </w:r>
      <w:r>
        <w:rPr>
          <w:rFonts w:hint="eastAsia" w:cs="Courier New"/>
          <w:b/>
          <w:color w:val="auto"/>
          <w:szCs w:val="21"/>
          <w:highlight w:val="none"/>
          <w:lang w:bidi="ar-SA"/>
        </w:rPr>
        <w:t>（2）对竞争性磋商过程提出质疑的，为各采购程序环节结束之日；</w:t>
      </w:r>
    </w:p>
    <w:p w14:paraId="728F0C94">
      <w:pPr>
        <w:widowControl/>
        <w:adjustRightInd w:val="0"/>
        <w:snapToGrid w:val="0"/>
        <w:spacing w:line="400" w:lineRule="exact"/>
        <w:ind w:firstLine="103" w:firstLineChars="49"/>
        <w:jc w:val="left"/>
        <w:rPr>
          <w:rFonts w:hint="eastAsia" w:cs="Courier New"/>
          <w:b/>
          <w:color w:val="auto"/>
          <w:szCs w:val="21"/>
          <w:highlight w:val="none"/>
          <w:lang w:bidi="ar-SA"/>
        </w:rPr>
      </w:pPr>
      <w:r>
        <w:rPr>
          <w:rFonts w:hint="eastAsia" w:cs="Courier New"/>
          <w:b/>
          <w:color w:val="auto"/>
          <w:szCs w:val="21"/>
          <w:highlight w:val="none"/>
          <w:lang w:bidi="ar-SA"/>
        </w:rPr>
        <w:t xml:space="preserve">  （3）对成交结果提出质疑的，为成交结果公告期限届满之日。供应商对采购人、采购代理机构的质疑答复不满意或者采购人、采购代理机构未在规定时间内作出答复的，可以在答复期满后十五个工作日内向</w:t>
      </w:r>
      <w:r>
        <w:rPr>
          <w:rFonts w:hint="eastAsia" w:cs="Courier New"/>
          <w:b/>
          <w:color w:val="auto"/>
          <w:szCs w:val="21"/>
          <w:lang w:val="en-US" w:eastAsia="zh-CN" w:bidi="ar-SA"/>
        </w:rPr>
        <w:t>龙胜各族自治县政府采购管理办公室</w:t>
      </w:r>
      <w:r>
        <w:rPr>
          <w:rFonts w:hint="eastAsia" w:cs="Courier New"/>
          <w:b/>
          <w:color w:val="auto"/>
          <w:szCs w:val="21"/>
          <w:highlight w:val="none"/>
          <w:lang w:bidi="ar-SA"/>
        </w:rPr>
        <w:t>投诉。</w:t>
      </w:r>
    </w:p>
    <w:p w14:paraId="28AD763B">
      <w:pPr>
        <w:pStyle w:val="12"/>
        <w:adjustRightInd w:val="0"/>
        <w:snapToGrid w:val="0"/>
        <w:spacing w:line="400" w:lineRule="exact"/>
        <w:ind w:firstLine="420" w:firstLineChars="200"/>
        <w:rPr>
          <w:rFonts w:hint="eastAsia"/>
          <w:b/>
          <w:bCs/>
          <w:color w:val="auto"/>
          <w:highlight w:val="none"/>
        </w:rPr>
      </w:pPr>
      <w:r>
        <w:rPr>
          <w:rFonts w:hint="eastAsia"/>
          <w:bCs/>
          <w:color w:val="auto"/>
          <w:highlight w:val="none"/>
        </w:rPr>
        <w:t>9.3质疑、投诉应当采用书面形式，质疑书、投诉书均应明确阐述采购文件、采购过程、成交结果中使自己合法权益受到损害的实质性内容，提供相关事实、明确的请求、必要的证明材料，便于有关单位调查、答复和处理。</w:t>
      </w:r>
      <w:r>
        <w:rPr>
          <w:rFonts w:hint="eastAsia"/>
          <w:b/>
          <w:bCs/>
          <w:color w:val="auto"/>
          <w:highlight w:val="none"/>
        </w:rPr>
        <w:t>质疑格式见附件1。</w:t>
      </w:r>
    </w:p>
    <w:p w14:paraId="57A637B2">
      <w:pPr>
        <w:pStyle w:val="12"/>
        <w:adjustRightInd w:val="0"/>
        <w:snapToGrid w:val="0"/>
        <w:spacing w:line="400" w:lineRule="exact"/>
        <w:ind w:firstLine="420" w:firstLineChars="200"/>
        <w:rPr>
          <w:rFonts w:hint="default" w:eastAsia="宋体"/>
          <w:color w:val="auto"/>
          <w:highlight w:val="none"/>
          <w:lang w:val="en-US" w:eastAsia="zh-CN"/>
        </w:rPr>
      </w:pPr>
      <w:r>
        <w:rPr>
          <w:rFonts w:hint="eastAsia"/>
          <w:bCs/>
          <w:color w:val="auto"/>
          <w:highlight w:val="none"/>
        </w:rPr>
        <w:t>①质疑部门及电话为：</w:t>
      </w:r>
      <w:r>
        <w:rPr>
          <w:rFonts w:hint="eastAsia"/>
          <w:color w:val="auto"/>
          <w:highlight w:val="none"/>
          <w:lang w:eastAsia="zh-CN"/>
        </w:rPr>
        <w:t>广西国兴项目管理有限公司</w:t>
      </w:r>
      <w:r>
        <w:rPr>
          <w:rFonts w:hint="eastAsia"/>
          <w:color w:val="auto"/>
          <w:highlight w:val="none"/>
        </w:rPr>
        <w:t xml:space="preserve">    联系电话：</w:t>
      </w:r>
      <w:r>
        <w:rPr>
          <w:rFonts w:hint="eastAsia"/>
          <w:color w:val="auto"/>
          <w:highlight w:val="none"/>
          <w:lang w:val="en-US" w:eastAsia="zh-CN"/>
        </w:rPr>
        <w:t>15296810982</w:t>
      </w:r>
    </w:p>
    <w:p w14:paraId="6505FF93">
      <w:pPr>
        <w:pStyle w:val="12"/>
        <w:adjustRightInd w:val="0"/>
        <w:snapToGrid w:val="0"/>
        <w:spacing w:line="400" w:lineRule="exact"/>
        <w:ind w:firstLine="420" w:firstLineChars="200"/>
        <w:rPr>
          <w:rFonts w:hint="eastAsia"/>
          <w:bCs/>
          <w:color w:val="auto"/>
          <w:highlight w:val="none"/>
        </w:rPr>
      </w:pPr>
      <w:r>
        <w:rPr>
          <w:rFonts w:hint="eastAsia"/>
          <w:bCs/>
          <w:color w:val="auto"/>
          <w:highlight w:val="none"/>
        </w:rPr>
        <w:t>②投诉联系部门及电话为：</w:t>
      </w:r>
      <w:r>
        <w:rPr>
          <w:rFonts w:hint="eastAsia" w:ascii="宋体" w:hAnsi="Times New Roman" w:eastAsia="宋体"/>
          <w:bCs/>
          <w:color w:val="auto"/>
          <w:lang w:val="en-US" w:eastAsia="zh-CN"/>
        </w:rPr>
        <w:t>龙胜各族自治县政府采购管理办公室</w:t>
      </w:r>
      <w:r>
        <w:rPr>
          <w:rFonts w:hint="eastAsia" w:ascii="宋体" w:hAnsi="Times New Roman" w:eastAsia="宋体"/>
          <w:bCs/>
          <w:color w:val="auto"/>
        </w:rPr>
        <w:t xml:space="preserve">    联系电话</w:t>
      </w:r>
      <w:r>
        <w:rPr>
          <w:rFonts w:hint="eastAsia" w:ascii="宋体" w:hAnsi="Times New Roman" w:eastAsia="宋体"/>
          <w:bCs/>
          <w:color w:val="auto"/>
          <w:lang w:eastAsia="zh-CN"/>
        </w:rPr>
        <w:t>：</w:t>
      </w:r>
      <w:r>
        <w:rPr>
          <w:rFonts w:hint="eastAsia" w:ascii="宋体" w:hAnsi="Times New Roman" w:eastAsia="宋体"/>
          <w:bCs/>
          <w:color w:val="auto"/>
          <w:lang w:val="en-US" w:eastAsia="zh-CN"/>
        </w:rPr>
        <w:t>0773-7511322</w:t>
      </w:r>
    </w:p>
    <w:p w14:paraId="432DFE79">
      <w:pPr>
        <w:spacing w:line="400" w:lineRule="exact"/>
        <w:ind w:firstLine="422" w:firstLineChars="200"/>
        <w:rPr>
          <w:rFonts w:hint="eastAsia" w:ascii="宋体"/>
          <w:b/>
          <w:color w:val="auto"/>
          <w:szCs w:val="21"/>
          <w:highlight w:val="none"/>
        </w:rPr>
      </w:pPr>
      <w:r>
        <w:rPr>
          <w:rFonts w:hint="eastAsia" w:ascii="宋体"/>
          <w:b/>
          <w:color w:val="auto"/>
          <w:szCs w:val="21"/>
          <w:highlight w:val="none"/>
        </w:rPr>
        <w:t>10.特别说明</w:t>
      </w:r>
    </w:p>
    <w:p w14:paraId="554B9672">
      <w:pPr>
        <w:spacing w:line="400" w:lineRule="exact"/>
        <w:ind w:firstLine="420" w:firstLineChars="200"/>
        <w:rPr>
          <w:rFonts w:hint="eastAsia" w:ascii="宋体"/>
          <w:color w:val="auto"/>
          <w:szCs w:val="21"/>
          <w:highlight w:val="none"/>
        </w:rPr>
      </w:pPr>
      <w:r>
        <w:rPr>
          <w:rFonts w:hint="eastAsia" w:ascii="宋体"/>
          <w:color w:val="auto"/>
          <w:szCs w:val="21"/>
          <w:highlight w:val="none"/>
        </w:rPr>
        <w:t>10.1单位负责人为同一人或者存在直接控股、管理关系的，不得参加同一分标磋商或未划分分标的同一合同项下的磋商，否则，响应文件无效。</w:t>
      </w:r>
    </w:p>
    <w:p w14:paraId="3B21DEB8">
      <w:pPr>
        <w:spacing w:line="400" w:lineRule="exact"/>
        <w:ind w:firstLine="420" w:firstLineChars="200"/>
        <w:rPr>
          <w:rFonts w:hint="eastAsia" w:ascii="宋体"/>
          <w:color w:val="auto"/>
          <w:szCs w:val="21"/>
          <w:highlight w:val="none"/>
        </w:rPr>
      </w:pPr>
      <w:r>
        <w:rPr>
          <w:rFonts w:hint="eastAsia" w:ascii="宋体"/>
          <w:color w:val="auto"/>
          <w:szCs w:val="21"/>
          <w:highlight w:val="none"/>
        </w:rPr>
        <w:t>除单一来源采购项目外，为采购项目提供整体设计、规范编制或者项目管理、监理、检测等服务的供应商，不得再参加该采购项目的其他采购活动，否则响应文件无效。</w:t>
      </w:r>
    </w:p>
    <w:p w14:paraId="3276F16A">
      <w:pPr>
        <w:spacing w:line="400" w:lineRule="exact"/>
        <w:ind w:firstLine="420" w:firstLineChars="200"/>
        <w:rPr>
          <w:rFonts w:hint="eastAsia" w:ascii="宋体"/>
          <w:color w:val="auto"/>
          <w:szCs w:val="21"/>
          <w:highlight w:val="none"/>
        </w:rPr>
      </w:pPr>
      <w:r>
        <w:rPr>
          <w:rFonts w:hint="eastAsia" w:ascii="宋体"/>
          <w:color w:val="auto"/>
          <w:szCs w:val="21"/>
          <w:highlight w:val="none"/>
        </w:rPr>
        <w:t>10.2供应商磋商所使用的资格、信誉、荣誉、业绩与企业认证必须为本法人所拥有。供应商磋商所使用的采购项目实施人员必须为本法人员工（或必须为本法人或控股公司正式员工）。</w:t>
      </w:r>
    </w:p>
    <w:p w14:paraId="11EA5808">
      <w:pPr>
        <w:spacing w:line="400" w:lineRule="exact"/>
        <w:ind w:firstLine="420" w:firstLineChars="200"/>
        <w:rPr>
          <w:rFonts w:hint="eastAsia" w:ascii="宋体"/>
          <w:color w:val="auto"/>
          <w:szCs w:val="21"/>
          <w:highlight w:val="none"/>
        </w:rPr>
      </w:pPr>
      <w:r>
        <w:rPr>
          <w:rFonts w:hint="eastAsia" w:ascii="宋体"/>
          <w:color w:val="auto"/>
          <w:szCs w:val="21"/>
          <w:highlight w:val="none"/>
        </w:rPr>
        <w:t>10.3供应商应仔细阅读竞争性磋商文件的所有内容，按照竞争性磋商文件的要求提交响应文件，并对所提供的全部资料的真实性承担法律责任。</w:t>
      </w:r>
    </w:p>
    <w:p w14:paraId="272E1548">
      <w:pPr>
        <w:spacing w:line="400" w:lineRule="exact"/>
        <w:ind w:firstLine="420" w:firstLineChars="200"/>
        <w:rPr>
          <w:rFonts w:hint="eastAsia" w:ascii="宋体"/>
          <w:color w:val="auto"/>
          <w:szCs w:val="21"/>
          <w:highlight w:val="none"/>
        </w:rPr>
      </w:pPr>
      <w:r>
        <w:rPr>
          <w:rFonts w:hint="eastAsia" w:ascii="宋体"/>
          <w:color w:val="auto"/>
          <w:szCs w:val="21"/>
          <w:highlight w:val="none"/>
        </w:rPr>
        <w:t>10.4供应商在磋商活动中提供任何虚假材料，其响应文件无效，并报监管部门查处；成交后发现的，成交人须依照《中华人民共和国消费者权益保护法》第49条之规定双倍赔偿采购人，且民事赔偿并不免除违法供应商的行政与刑事责任。</w:t>
      </w:r>
    </w:p>
    <w:p w14:paraId="3A606E57">
      <w:pPr>
        <w:snapToGrid w:val="0"/>
        <w:spacing w:line="400" w:lineRule="exact"/>
        <w:ind w:firstLine="420"/>
        <w:jc w:val="left"/>
        <w:rPr>
          <w:rFonts w:hint="eastAsia" w:ascii="宋体"/>
          <w:color w:val="auto"/>
          <w:szCs w:val="21"/>
          <w:highlight w:val="none"/>
        </w:rPr>
      </w:pPr>
      <w:r>
        <w:rPr>
          <w:rFonts w:hint="eastAsia" w:ascii="宋体"/>
          <w:color w:val="auto"/>
          <w:szCs w:val="21"/>
          <w:highlight w:val="none"/>
        </w:rPr>
        <w:t>10.5根据财库〔2017〕141号《三部门联合发布关于促进残疾人就业政府采购政策的通知》第三条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81AEE86">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10.5.1符合条件的残疾人福利性单位在参加政府采购活动时，应当提供本通知规定的《残疾人福利性单位声明函》（见本竞争性磋商文件第六章附件），并对声明的真实性负责。</w:t>
      </w:r>
    </w:p>
    <w:p w14:paraId="3F1C4B89">
      <w:pPr>
        <w:widowControl/>
        <w:spacing w:line="400" w:lineRule="exact"/>
        <w:ind w:firstLine="422" w:firstLineChars="200"/>
        <w:jc w:val="left"/>
        <w:rPr>
          <w:rFonts w:hint="eastAsia" w:ascii="宋体"/>
          <w:b/>
          <w:color w:val="auto"/>
          <w:szCs w:val="21"/>
          <w:highlight w:val="none"/>
        </w:rPr>
      </w:pPr>
      <w:r>
        <w:rPr>
          <w:rFonts w:hint="eastAsia" w:ascii="宋体"/>
          <w:b/>
          <w:color w:val="auto"/>
          <w:szCs w:val="21"/>
          <w:highlight w:val="none"/>
        </w:rPr>
        <w:t>中标、成交供应商为残疾人福利性单位的，采购人或者其委托的采购代理机构应当随中标、成交结果同时公告其《残疾人福利性单位声明函》，接受社会监督。</w:t>
      </w:r>
    </w:p>
    <w:p w14:paraId="561FA13F">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10.5.2供应商提供的《残疾人福利性单位声明函》与事实不符的，依照《政府采购法》第七十七条第一款的规定追究法律责任。</w:t>
      </w:r>
    </w:p>
    <w:p w14:paraId="66F01AE0">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10.5.3享受政府采购支持政策的残疾人福利性单位应当同时满足以下条件：</w:t>
      </w:r>
    </w:p>
    <w:p w14:paraId="7A51A477">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（1）安置的残疾人占本单位在职职工人数的比例不低于25%（含25%），并且安置的残疾人人数不少于10人（含10人）；</w:t>
      </w:r>
    </w:p>
    <w:p w14:paraId="062F5E9C">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（2）依法与安置的每位残疾人签订了一年以上（含一年）的劳动合同或服务协议；</w:t>
      </w:r>
    </w:p>
    <w:p w14:paraId="5A9AB7E6">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（3）为安置的每位残疾人按月足额缴纳了基本养老保险、基本医疗保险、失业保险、工伤保险和生育保险等社会保险费；</w:t>
      </w:r>
    </w:p>
    <w:p w14:paraId="188AFF3A">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（4）通过银行等金融机构向安置的每位残疾人，按月支付了不低于单位所在区县适用的经省级人民政府批准的月最低工资标准的工资；</w:t>
      </w:r>
    </w:p>
    <w:p w14:paraId="449520D0">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（5）提供本单位制造的货物、承担的工程或者服务（以下简称产品），或者提供其他残疾人福利性单位制造的货物（不包括使用非残疾人福利性单位注册商标的货物）。</w:t>
      </w:r>
    </w:p>
    <w:p w14:paraId="5AC6F41C">
      <w:pPr>
        <w:widowControl/>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014CC5C">
      <w:pPr>
        <w:tabs>
          <w:tab w:val="left" w:pos="1635"/>
        </w:tabs>
        <w:spacing w:line="350" w:lineRule="exact"/>
        <w:ind w:firstLine="435"/>
        <w:rPr>
          <w:rFonts w:hint="eastAsia" w:ascii="宋体"/>
          <w:b/>
          <w:color w:val="auto"/>
          <w:szCs w:val="21"/>
          <w:highlight w:val="none"/>
        </w:rPr>
      </w:pPr>
      <w:r>
        <w:rPr>
          <w:rFonts w:hint="eastAsia" w:ascii="宋体"/>
          <w:b/>
          <w:color w:val="auto"/>
          <w:szCs w:val="21"/>
          <w:highlight w:val="none"/>
        </w:rPr>
        <w:t>二、竞争性磋商文件（简称磋商文件）</w:t>
      </w:r>
    </w:p>
    <w:p w14:paraId="7BEDA45A">
      <w:pPr>
        <w:tabs>
          <w:tab w:val="left" w:pos="2190"/>
        </w:tabs>
        <w:spacing w:line="350" w:lineRule="exact"/>
        <w:ind w:firstLine="437"/>
        <w:rPr>
          <w:rFonts w:hint="eastAsia" w:ascii="宋体"/>
          <w:b/>
          <w:color w:val="auto"/>
          <w:szCs w:val="21"/>
          <w:highlight w:val="none"/>
        </w:rPr>
      </w:pPr>
      <w:r>
        <w:rPr>
          <w:rFonts w:hint="eastAsia" w:ascii="宋体"/>
          <w:b/>
          <w:color w:val="auto"/>
          <w:szCs w:val="21"/>
          <w:highlight w:val="none"/>
        </w:rPr>
        <w:t>11.磋商文件的构成</w:t>
      </w:r>
    </w:p>
    <w:p w14:paraId="47EA2429">
      <w:pPr>
        <w:tabs>
          <w:tab w:val="left" w:pos="2190"/>
        </w:tabs>
        <w:spacing w:line="350" w:lineRule="exact"/>
        <w:ind w:firstLine="437"/>
        <w:rPr>
          <w:rFonts w:hint="eastAsia" w:ascii="宋体"/>
          <w:color w:val="auto"/>
          <w:szCs w:val="21"/>
          <w:highlight w:val="none"/>
        </w:rPr>
      </w:pPr>
      <w:r>
        <w:rPr>
          <w:rFonts w:hint="eastAsia" w:ascii="宋体"/>
          <w:color w:val="auto"/>
          <w:szCs w:val="21"/>
          <w:highlight w:val="none"/>
        </w:rPr>
        <w:t>（1）竞争性磋商公告；</w:t>
      </w:r>
    </w:p>
    <w:p w14:paraId="5CF35335">
      <w:pPr>
        <w:tabs>
          <w:tab w:val="left" w:pos="2190"/>
        </w:tabs>
        <w:spacing w:line="350" w:lineRule="exact"/>
        <w:ind w:firstLine="437"/>
        <w:rPr>
          <w:rFonts w:hint="eastAsia" w:ascii="宋体"/>
          <w:color w:val="auto"/>
          <w:szCs w:val="21"/>
          <w:highlight w:val="none"/>
        </w:rPr>
      </w:pPr>
      <w:r>
        <w:rPr>
          <w:rFonts w:hint="eastAsia" w:ascii="宋体"/>
          <w:color w:val="auto"/>
          <w:szCs w:val="21"/>
          <w:highlight w:val="none"/>
        </w:rPr>
        <w:t>（2）磋商供应商须知；</w:t>
      </w:r>
    </w:p>
    <w:p w14:paraId="25AFCAE9">
      <w:pPr>
        <w:tabs>
          <w:tab w:val="left" w:pos="2190"/>
        </w:tabs>
        <w:spacing w:line="350" w:lineRule="exact"/>
        <w:ind w:firstLine="437"/>
        <w:rPr>
          <w:rFonts w:hint="eastAsia" w:ascii="宋体"/>
          <w:color w:val="auto"/>
          <w:szCs w:val="21"/>
          <w:highlight w:val="none"/>
        </w:rPr>
      </w:pPr>
      <w:r>
        <w:rPr>
          <w:rFonts w:hint="eastAsia" w:ascii="宋体"/>
          <w:color w:val="auto"/>
          <w:szCs w:val="21"/>
          <w:highlight w:val="none"/>
        </w:rPr>
        <w:t>（3）评审方法；</w:t>
      </w:r>
    </w:p>
    <w:p w14:paraId="64626499">
      <w:pPr>
        <w:tabs>
          <w:tab w:val="left" w:pos="2190"/>
        </w:tabs>
        <w:spacing w:line="350" w:lineRule="exact"/>
        <w:ind w:firstLine="437"/>
        <w:rPr>
          <w:rFonts w:hint="eastAsia" w:ascii="宋体"/>
          <w:color w:val="auto"/>
          <w:szCs w:val="21"/>
          <w:highlight w:val="none"/>
        </w:rPr>
      </w:pPr>
      <w:r>
        <w:rPr>
          <w:rFonts w:hint="eastAsia" w:ascii="宋体"/>
          <w:color w:val="auto"/>
          <w:szCs w:val="21"/>
          <w:highlight w:val="none"/>
        </w:rPr>
        <w:t>（4）合同条款</w:t>
      </w:r>
      <w:r>
        <w:rPr>
          <w:rFonts w:hint="eastAsia" w:ascii="宋体"/>
          <w:color w:val="auto"/>
          <w:szCs w:val="21"/>
          <w:highlight w:val="none"/>
          <w:lang w:eastAsia="zh-CN"/>
        </w:rPr>
        <w:t>及格式</w:t>
      </w:r>
      <w:r>
        <w:rPr>
          <w:rFonts w:hint="eastAsia" w:ascii="宋体"/>
          <w:color w:val="auto"/>
          <w:szCs w:val="21"/>
          <w:highlight w:val="none"/>
        </w:rPr>
        <w:t>；</w:t>
      </w:r>
    </w:p>
    <w:p w14:paraId="7529D780">
      <w:pPr>
        <w:tabs>
          <w:tab w:val="left" w:pos="2190"/>
        </w:tabs>
        <w:spacing w:line="350" w:lineRule="exact"/>
        <w:ind w:firstLine="437"/>
        <w:rPr>
          <w:rFonts w:hint="eastAsia" w:ascii="宋体"/>
          <w:color w:val="auto"/>
          <w:szCs w:val="21"/>
          <w:highlight w:val="none"/>
        </w:rPr>
      </w:pPr>
      <w:r>
        <w:rPr>
          <w:rFonts w:hint="eastAsia" w:ascii="宋体"/>
          <w:color w:val="auto"/>
          <w:szCs w:val="21"/>
          <w:highlight w:val="none"/>
        </w:rPr>
        <w:t>（5）工程量清单；</w:t>
      </w:r>
    </w:p>
    <w:p w14:paraId="4D46327E">
      <w:pPr>
        <w:tabs>
          <w:tab w:val="left" w:pos="2190"/>
        </w:tabs>
        <w:spacing w:line="350" w:lineRule="exact"/>
        <w:ind w:firstLine="437"/>
        <w:rPr>
          <w:rFonts w:hint="eastAsia" w:ascii="宋体" w:eastAsia="宋体"/>
          <w:color w:val="auto"/>
          <w:szCs w:val="21"/>
          <w:highlight w:val="none"/>
          <w:lang w:eastAsia="zh-CN"/>
        </w:rPr>
      </w:pPr>
      <w:r>
        <w:rPr>
          <w:rFonts w:hint="eastAsia" w:ascii="宋体"/>
          <w:color w:val="auto"/>
          <w:szCs w:val="21"/>
          <w:highlight w:val="none"/>
          <w:lang w:eastAsia="zh-CN"/>
        </w:rPr>
        <w:t>（</w:t>
      </w:r>
      <w:r>
        <w:rPr>
          <w:rFonts w:hint="eastAsia" w:ascii="宋体"/>
          <w:color w:val="auto"/>
          <w:szCs w:val="21"/>
          <w:highlight w:val="none"/>
          <w:lang w:val="en-US" w:eastAsia="zh-CN"/>
        </w:rPr>
        <w:t>6</w:t>
      </w:r>
      <w:r>
        <w:rPr>
          <w:rFonts w:hint="eastAsia" w:ascii="宋体"/>
          <w:color w:val="auto"/>
          <w:szCs w:val="21"/>
          <w:highlight w:val="none"/>
          <w:lang w:eastAsia="zh-CN"/>
        </w:rPr>
        <w:t>）技术标准和要求；</w:t>
      </w:r>
    </w:p>
    <w:p w14:paraId="50207FA9">
      <w:pPr>
        <w:tabs>
          <w:tab w:val="left" w:pos="2190"/>
        </w:tabs>
        <w:spacing w:line="350" w:lineRule="exact"/>
        <w:ind w:firstLine="437"/>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）竞争性磋商响应文件格式；</w:t>
      </w:r>
    </w:p>
    <w:p w14:paraId="295BE5ED">
      <w:pPr>
        <w:tabs>
          <w:tab w:val="left" w:pos="2190"/>
        </w:tabs>
        <w:spacing w:line="350" w:lineRule="exact"/>
        <w:ind w:firstLine="437"/>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）图 纸（自行下载）。</w:t>
      </w:r>
    </w:p>
    <w:p w14:paraId="6E64B0F7">
      <w:pPr>
        <w:tabs>
          <w:tab w:val="left" w:pos="2190"/>
        </w:tabs>
        <w:spacing w:line="350" w:lineRule="exact"/>
        <w:ind w:firstLine="437"/>
        <w:rPr>
          <w:rFonts w:hint="eastAsia" w:ascii="宋体"/>
          <w:b/>
          <w:color w:val="auto"/>
          <w:szCs w:val="21"/>
          <w:highlight w:val="none"/>
        </w:rPr>
      </w:pPr>
      <w:r>
        <w:rPr>
          <w:rFonts w:hint="eastAsia" w:ascii="宋体"/>
          <w:b/>
          <w:color w:val="auto"/>
          <w:szCs w:val="21"/>
          <w:highlight w:val="none"/>
        </w:rPr>
        <w:t>12.磋商文件的澄清与修改</w:t>
      </w:r>
    </w:p>
    <w:p w14:paraId="7CF52B58">
      <w:pPr>
        <w:tabs>
          <w:tab w:val="left" w:pos="2190"/>
        </w:tabs>
        <w:spacing w:line="350" w:lineRule="exact"/>
        <w:ind w:firstLine="437"/>
        <w:rPr>
          <w:rFonts w:hint="eastAsia" w:ascii="宋体"/>
          <w:color w:val="auto"/>
          <w:szCs w:val="21"/>
          <w:highlight w:val="none"/>
        </w:rPr>
      </w:pPr>
      <w:r>
        <w:rPr>
          <w:rFonts w:hint="eastAsia" w:ascii="宋体"/>
          <w:color w:val="auto"/>
          <w:szCs w:val="21"/>
          <w:highlight w:val="none"/>
        </w:rPr>
        <w:t>12.1供应商应认真阅读竞争性磋商文件，发现其中有误或有不合理要求的，应在规定的时间前要求澄清，否则，由此产生的后果由供应商负责。</w:t>
      </w:r>
    </w:p>
    <w:p w14:paraId="40E4EFCA">
      <w:pPr>
        <w:tabs>
          <w:tab w:val="left" w:pos="2190"/>
        </w:tabs>
        <w:spacing w:line="400" w:lineRule="exact"/>
        <w:ind w:firstLine="437"/>
        <w:rPr>
          <w:rFonts w:hint="eastAsia" w:ascii="宋体"/>
          <w:color w:val="auto"/>
          <w:szCs w:val="21"/>
          <w:highlight w:val="none"/>
        </w:rPr>
      </w:pPr>
      <w:r>
        <w:rPr>
          <w:rFonts w:hint="eastAsia" w:ascii="宋体"/>
          <w:color w:val="auto"/>
          <w:szCs w:val="21"/>
          <w:highlight w:val="none"/>
        </w:rPr>
        <w:t>12.2提交首次响应文件截止之日前，采购代理机构可以对已发出的磋商文件进行必要澄清或者修改，澄清或者修改的内容可能影响响应文件编制的，应当在响应文件递交截止时间5日前在本磋商项目竞争性磋商公告发布的同一媒体上发布更正公告，并以书面形式通知所有竞争性磋商文件收受人；不足5日的，应当顺延提交首次响应文件截止时间。</w:t>
      </w:r>
    </w:p>
    <w:p w14:paraId="50FDBEC7">
      <w:pPr>
        <w:tabs>
          <w:tab w:val="left" w:pos="2190"/>
        </w:tabs>
        <w:spacing w:line="400" w:lineRule="exact"/>
        <w:ind w:firstLine="437"/>
        <w:rPr>
          <w:rFonts w:hint="eastAsia" w:ascii="宋体"/>
          <w:color w:val="auto"/>
          <w:szCs w:val="21"/>
          <w:highlight w:val="none"/>
        </w:rPr>
      </w:pPr>
      <w:r>
        <w:rPr>
          <w:rFonts w:hint="eastAsia" w:ascii="宋体"/>
          <w:color w:val="auto"/>
          <w:szCs w:val="21"/>
          <w:highlight w:val="none"/>
        </w:rPr>
        <w:t>12.3采购人和采购代理机构在竞争性磋商公告发布的相关网站发布更正公告的同时，视同供应商已知晓竞争性磋商文件的澄清或者修改，供应商应将澄清或者修改的内容考虑在响应文件中，供应商在响应文件递交截止前未登录竞争性磋商公告发布的相关网站查看澄清或者修改的，造成供应商的响应文件不符合竞争性磋商文件要求或废标的，由供应商自行承担责任。</w:t>
      </w:r>
    </w:p>
    <w:p w14:paraId="33EF365D">
      <w:pPr>
        <w:tabs>
          <w:tab w:val="left" w:pos="2190"/>
        </w:tabs>
        <w:spacing w:line="400" w:lineRule="exact"/>
        <w:ind w:firstLine="437"/>
        <w:rPr>
          <w:rFonts w:hint="eastAsia" w:ascii="宋体"/>
          <w:color w:val="auto"/>
          <w:szCs w:val="21"/>
          <w:highlight w:val="none"/>
        </w:rPr>
      </w:pPr>
      <w:r>
        <w:rPr>
          <w:rFonts w:hint="eastAsia" w:ascii="宋体"/>
          <w:color w:val="auto"/>
          <w:szCs w:val="21"/>
          <w:highlight w:val="none"/>
        </w:rPr>
        <w:t>12.4澄清、答复、修改、补充的内容为磋商文件的组成部分。当澄清、答复、修改、补充通知就同一内容的表述不一致时，以最后发出的文件为准。</w:t>
      </w:r>
    </w:p>
    <w:p w14:paraId="7D59B17B">
      <w:pPr>
        <w:tabs>
          <w:tab w:val="left" w:pos="2190"/>
        </w:tabs>
        <w:spacing w:line="400" w:lineRule="exact"/>
        <w:ind w:firstLine="437"/>
        <w:rPr>
          <w:rFonts w:hint="eastAsia" w:ascii="宋体"/>
          <w:color w:val="auto"/>
          <w:szCs w:val="21"/>
          <w:highlight w:val="none"/>
        </w:rPr>
      </w:pPr>
      <w:r>
        <w:rPr>
          <w:rFonts w:hint="eastAsia" w:ascii="宋体"/>
          <w:color w:val="auto"/>
          <w:szCs w:val="21"/>
          <w:highlight w:val="none"/>
        </w:rPr>
        <w:t>12.5竞争性磋商文件的澄清、答复、修改或补充都应该通过本项目采购代理机构以法定形式发布，采购人非通过本机构，不得擅自澄清、答复、修改或补充磋商文件。</w:t>
      </w:r>
    </w:p>
    <w:p w14:paraId="0FE6A21E">
      <w:pPr>
        <w:tabs>
          <w:tab w:val="left" w:pos="2190"/>
        </w:tabs>
        <w:spacing w:line="400" w:lineRule="exact"/>
        <w:ind w:firstLine="437"/>
        <w:rPr>
          <w:rFonts w:hint="eastAsia" w:ascii="宋体"/>
          <w:color w:val="auto"/>
          <w:szCs w:val="21"/>
          <w:highlight w:val="none"/>
        </w:rPr>
      </w:pPr>
      <w:r>
        <w:rPr>
          <w:rFonts w:hint="eastAsia" w:ascii="宋体"/>
          <w:color w:val="auto"/>
          <w:szCs w:val="21"/>
          <w:highlight w:val="none"/>
        </w:rPr>
        <w:t>12.6采购人和采购代理机构可以视采购具体情况，延长响应文件截止时间和磋商时间，在本项目竞争性磋商公告发布的同一媒体上发布更正公告，供应商自行登录竞争性磋商公告发布的相关网站进行查询，未在进行查询的，造成供应商未在规定的时间递交响应文件的，由供应商自行承担责任。</w:t>
      </w:r>
    </w:p>
    <w:p w14:paraId="508BB43B">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三、竞争性磋商响应文件的编制</w:t>
      </w:r>
    </w:p>
    <w:p w14:paraId="5D7A9751">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13.竞争性磋商响应文件编制基本要求：</w:t>
      </w:r>
    </w:p>
    <w:p w14:paraId="243FD4DB">
      <w:pPr>
        <w:spacing w:line="400" w:lineRule="exact"/>
        <w:ind w:firstLine="420" w:firstLineChars="200"/>
        <w:rPr>
          <w:rFonts w:hint="eastAsia" w:ascii="宋体"/>
          <w:color w:val="auto"/>
          <w:szCs w:val="21"/>
          <w:highlight w:val="none"/>
        </w:rPr>
      </w:pPr>
      <w:r>
        <w:rPr>
          <w:rFonts w:hint="eastAsia" w:ascii="宋体"/>
          <w:color w:val="auto"/>
          <w:szCs w:val="21"/>
          <w:highlight w:val="none"/>
        </w:rPr>
        <w:t>13.1供应商提交的竞争性磋商响应文件以及供应商与采购代理机构和采购人就有关磋商的所有来往函电均应使用中文。供应商提交的支持文件和印刷的文献可以使用别的语言，但其相应内容必须附有中文翻译文本，在解释竞争性磋商响应文件时以翻译文本为主。</w:t>
      </w:r>
    </w:p>
    <w:p w14:paraId="3A490169">
      <w:pPr>
        <w:spacing w:line="400" w:lineRule="exact"/>
        <w:ind w:firstLine="420" w:firstLineChars="200"/>
        <w:rPr>
          <w:rFonts w:hint="eastAsia" w:ascii="宋体"/>
          <w:color w:val="auto"/>
          <w:szCs w:val="21"/>
          <w:highlight w:val="none"/>
        </w:rPr>
      </w:pPr>
      <w:r>
        <w:rPr>
          <w:rFonts w:hint="eastAsia" w:ascii="宋体"/>
          <w:color w:val="auto"/>
          <w:szCs w:val="21"/>
          <w:highlight w:val="none"/>
        </w:rPr>
        <w:t>13.2磋商供应商应认真阅读、并充分理解本文件的全部内容（包括所有的澄清、更改、补充、答疑等内容），承诺并履行本文件中各项条款规定及要求。</w:t>
      </w:r>
    </w:p>
    <w:p w14:paraId="4A89F23B">
      <w:pPr>
        <w:spacing w:line="400" w:lineRule="exact"/>
        <w:ind w:firstLine="420" w:firstLineChars="200"/>
        <w:rPr>
          <w:rFonts w:hint="eastAsia" w:ascii="宋体"/>
          <w:color w:val="auto"/>
          <w:szCs w:val="21"/>
          <w:highlight w:val="none"/>
        </w:rPr>
      </w:pPr>
      <w:r>
        <w:rPr>
          <w:rFonts w:hint="eastAsia" w:ascii="宋体"/>
          <w:color w:val="auto"/>
          <w:szCs w:val="21"/>
          <w:highlight w:val="none"/>
        </w:rPr>
        <w:t>13.3竞争性磋商响应文件必须按本文件的全部内容，包括所有的澄清、更改、补充、答疑等内容及附件进行编制。</w:t>
      </w:r>
    </w:p>
    <w:p w14:paraId="781528E2">
      <w:pPr>
        <w:spacing w:line="400" w:lineRule="exact"/>
        <w:ind w:firstLine="420" w:firstLineChars="200"/>
        <w:rPr>
          <w:rFonts w:hint="eastAsia" w:ascii="宋体"/>
          <w:color w:val="auto"/>
          <w:szCs w:val="21"/>
          <w:highlight w:val="none"/>
        </w:rPr>
      </w:pPr>
      <w:r>
        <w:rPr>
          <w:rFonts w:hint="eastAsia" w:ascii="宋体"/>
          <w:color w:val="auto"/>
          <w:szCs w:val="21"/>
          <w:highlight w:val="none"/>
        </w:rPr>
        <w:t>13.4如因供应商只填写和提供了本文件要求的部分内容和附件，而给磋商小组评审造成困难，其可能导致的结果和责任由磋商供应商自行承担。</w:t>
      </w:r>
    </w:p>
    <w:p w14:paraId="6E138C08">
      <w:pPr>
        <w:spacing w:line="400" w:lineRule="exact"/>
        <w:ind w:firstLine="420" w:firstLineChars="200"/>
        <w:rPr>
          <w:rFonts w:hint="eastAsia" w:ascii="宋体"/>
          <w:color w:val="auto"/>
          <w:szCs w:val="21"/>
          <w:highlight w:val="none"/>
        </w:rPr>
      </w:pPr>
      <w:r>
        <w:rPr>
          <w:rFonts w:hint="eastAsia" w:ascii="宋体"/>
          <w:color w:val="auto"/>
          <w:szCs w:val="21"/>
          <w:highlight w:val="none"/>
        </w:rPr>
        <w:t>13.5 计量单位：除技术要求中另有规定外，本文件所要求使用的计量单位均应采用国家法定计量单位。</w:t>
      </w:r>
    </w:p>
    <w:p w14:paraId="0FEBEA95">
      <w:pPr>
        <w:spacing w:line="400" w:lineRule="exact"/>
        <w:ind w:firstLine="422" w:firstLineChars="200"/>
        <w:rPr>
          <w:rFonts w:hint="eastAsia" w:ascii="宋体"/>
          <w:b/>
          <w:color w:val="auto"/>
          <w:szCs w:val="21"/>
          <w:highlight w:val="none"/>
        </w:rPr>
      </w:pPr>
      <w:r>
        <w:rPr>
          <w:rFonts w:hint="eastAsia" w:ascii="宋体"/>
          <w:b/>
          <w:color w:val="auto"/>
          <w:szCs w:val="21"/>
          <w:highlight w:val="none"/>
        </w:rPr>
        <w:t>14.竞争性磋商响应文件的组成：竞争性磋商响应文件应由资格性证明文件、商务、技术响应证明材料组成。</w:t>
      </w:r>
    </w:p>
    <w:p w14:paraId="741C804D">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14.1资格证明文件</w:t>
      </w:r>
    </w:p>
    <w:p w14:paraId="3D6B6C66">
      <w:pPr>
        <w:snapToGrid w:val="0"/>
        <w:spacing w:line="350" w:lineRule="exact"/>
        <w:ind w:firstLine="411" w:firstLineChars="196"/>
        <w:jc w:val="left"/>
        <w:rPr>
          <w:rFonts w:hint="eastAsia" w:ascii="宋体"/>
          <w:color w:val="auto"/>
          <w:szCs w:val="21"/>
          <w:highlight w:val="none"/>
        </w:rPr>
      </w:pPr>
      <w:r>
        <w:rPr>
          <w:rFonts w:hint="eastAsia" w:ascii="宋体"/>
          <w:color w:val="auto"/>
          <w:szCs w:val="21"/>
          <w:highlight w:val="none"/>
        </w:rPr>
        <w:t>（1）法定代表人的</w:t>
      </w:r>
      <w:r>
        <w:rPr>
          <w:rStyle w:val="37"/>
          <w:rFonts w:hint="eastAsia" w:ascii="宋体"/>
          <w:color w:val="auto"/>
          <w:szCs w:val="21"/>
          <w:highlight w:val="none"/>
        </w:rPr>
        <w:t>正反两面</w:t>
      </w:r>
      <w:r>
        <w:rPr>
          <w:rFonts w:hint="eastAsia" w:ascii="宋体"/>
          <w:color w:val="auto"/>
          <w:szCs w:val="21"/>
          <w:highlight w:val="none"/>
        </w:rPr>
        <w:t>身份证扫描件</w:t>
      </w:r>
      <w:r>
        <w:rPr>
          <w:rFonts w:hint="eastAsia" w:ascii="宋体"/>
          <w:b/>
          <w:color w:val="auto"/>
          <w:szCs w:val="21"/>
          <w:highlight w:val="none"/>
        </w:rPr>
        <w:t>（必须提供）；</w:t>
      </w:r>
      <w:r>
        <w:rPr>
          <w:rFonts w:hint="eastAsia" w:ascii="宋体"/>
          <w:color w:val="auto"/>
          <w:szCs w:val="21"/>
          <w:highlight w:val="none"/>
        </w:rPr>
        <w:t xml:space="preserve"> </w:t>
      </w:r>
    </w:p>
    <w:p w14:paraId="57D56FD4">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color w:val="auto"/>
          <w:szCs w:val="21"/>
          <w:highlight w:val="none"/>
        </w:rPr>
        <w:t>（2）</w:t>
      </w:r>
      <w:bookmarkStart w:id="3" w:name="OLE_LINK22"/>
      <w:r>
        <w:rPr>
          <w:rFonts w:hint="eastAsia" w:ascii="宋体" w:hAnsi="宋体" w:eastAsia="宋体" w:cs="宋体"/>
          <w:color w:val="auto"/>
          <w:szCs w:val="21"/>
          <w:highlight w:val="none"/>
        </w:rPr>
        <w:t>供应商的授权委托书原件、委托代理人身份证正反面</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以及由县级以上（含县级）社会养老保险经办机构出具的供应商为委托代理人交纳的响应文件递交截止时间前</w:t>
      </w:r>
      <w:r>
        <w:rPr>
          <w:rFonts w:hint="eastAsia" w:ascii="宋体" w:hAnsi="宋体" w:eastAsia="宋体" w:cs="宋体"/>
          <w:color w:val="auto"/>
          <w:szCs w:val="21"/>
          <w:highlight w:val="none"/>
          <w:lang w:val="en-US" w:eastAsia="zh-CN"/>
        </w:rPr>
        <w:t>半年内任意一个月</w:t>
      </w:r>
      <w:r>
        <w:rPr>
          <w:rFonts w:hint="eastAsia" w:ascii="宋体" w:hAnsi="宋体" w:eastAsia="宋体" w:cs="宋体"/>
          <w:color w:val="auto"/>
          <w:szCs w:val="21"/>
          <w:highlight w:val="none"/>
        </w:rPr>
        <w:t>社保证明</w:t>
      </w:r>
      <w:bookmarkEnd w:id="3"/>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（委托代理时必须提供）</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除供应商为以下三种情形的：</w:t>
      </w:r>
    </w:p>
    <w:p w14:paraId="6359CAA6">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①如供应商为截标时间前60日以内成立的公司，可以提供供应商与委托代理人签订的劳动合同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代替社保证明</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w:t>
      </w:r>
    </w:p>
    <w:p w14:paraId="1A1B0D01">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②如供应商为事业单位，可以提供事业单位机构编制管理证</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或事业单位机构为其发放工资的工资条</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代替社保证明</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w:t>
      </w:r>
    </w:p>
    <w:p w14:paraId="425422A9">
      <w:pPr>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③如委托代理人为免缴纳社保人员，提供免缴纳社保的证明材料</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及供应商与委托代理人签订的劳动合同</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代替社保证明</w:t>
      </w:r>
      <w:r>
        <w:rPr>
          <w:rFonts w:hint="eastAsia" w:ascii="宋体" w:hAnsi="宋体" w:cs="宋体"/>
          <w:color w:val="auto"/>
          <w:szCs w:val="21"/>
          <w:highlight w:val="none"/>
          <w:lang w:eastAsia="zh-CN"/>
        </w:rPr>
        <w:t>扫描件</w:t>
      </w:r>
      <w:r>
        <w:rPr>
          <w:rFonts w:hint="eastAsia" w:ascii="宋体" w:hAnsi="宋体" w:eastAsia="宋体" w:cs="宋体"/>
          <w:color w:val="auto"/>
          <w:szCs w:val="21"/>
          <w:highlight w:val="none"/>
        </w:rPr>
        <w:t>。</w:t>
      </w:r>
    </w:p>
    <w:p w14:paraId="093567C4">
      <w:pPr>
        <w:spacing w:line="350" w:lineRule="exact"/>
        <w:ind w:firstLine="422" w:firstLineChars="200"/>
        <w:rPr>
          <w:rFonts w:hint="eastAsia" w:ascii="宋体"/>
          <w:b/>
          <w:color w:val="auto"/>
          <w:szCs w:val="21"/>
          <w:highlight w:val="none"/>
        </w:rPr>
      </w:pPr>
      <w:r>
        <w:rPr>
          <w:rFonts w:hint="eastAsia" w:ascii="宋体" w:hAnsi="宋体" w:eastAsia="宋体" w:cs="宋体"/>
          <w:b/>
          <w:bCs/>
          <w:color w:val="auto"/>
          <w:szCs w:val="21"/>
          <w:highlight w:val="none"/>
        </w:rPr>
        <w:t>【属自然人的应提供由县级以上（含县级）社会养老保险经办机构出具的自然人本人及委托代理人所交纳的响应文件递交截止时间前</w:t>
      </w:r>
      <w:r>
        <w:rPr>
          <w:rFonts w:hint="eastAsia" w:ascii="宋体" w:hAnsi="宋体" w:eastAsia="宋体" w:cs="宋体"/>
          <w:b/>
          <w:bCs/>
          <w:color w:val="auto"/>
          <w:szCs w:val="21"/>
          <w:highlight w:val="none"/>
          <w:lang w:val="en-US" w:eastAsia="zh-CN"/>
        </w:rPr>
        <w:t>半年内任意一个月</w:t>
      </w:r>
      <w:r>
        <w:rPr>
          <w:rFonts w:hint="eastAsia" w:ascii="宋体" w:hAnsi="宋体" w:eastAsia="宋体" w:cs="宋体"/>
          <w:b/>
          <w:bCs/>
          <w:color w:val="auto"/>
          <w:szCs w:val="21"/>
          <w:highlight w:val="none"/>
        </w:rPr>
        <w:t>社保证明</w:t>
      </w:r>
      <w:r>
        <w:rPr>
          <w:rFonts w:hint="eastAsia" w:ascii="宋体" w:hAnsi="宋体" w:cs="宋体"/>
          <w:b/>
          <w:bCs/>
          <w:color w:val="auto"/>
          <w:szCs w:val="21"/>
          <w:highlight w:val="none"/>
          <w:lang w:eastAsia="zh-CN"/>
        </w:rPr>
        <w:t>扫描件</w:t>
      </w:r>
      <w:r>
        <w:rPr>
          <w:rFonts w:hint="eastAsia" w:ascii="宋体" w:hAnsi="宋体" w:eastAsia="宋体" w:cs="宋体"/>
          <w:color w:val="auto"/>
          <w:szCs w:val="21"/>
          <w:highlight w:val="none"/>
        </w:rPr>
        <w:t>】</w:t>
      </w:r>
      <w:r>
        <w:rPr>
          <w:rFonts w:hint="eastAsia" w:ascii="宋体"/>
          <w:b/>
          <w:color w:val="auto"/>
          <w:szCs w:val="21"/>
          <w:highlight w:val="none"/>
        </w:rPr>
        <w:t>；</w:t>
      </w:r>
    </w:p>
    <w:p w14:paraId="2EA320C5">
      <w:pPr>
        <w:spacing w:line="350" w:lineRule="exact"/>
        <w:ind w:firstLine="420" w:firstLineChars="200"/>
        <w:rPr>
          <w:rFonts w:hint="eastAsia" w:ascii="宋体"/>
          <w:color w:val="auto"/>
          <w:szCs w:val="21"/>
          <w:highlight w:val="none"/>
        </w:rPr>
      </w:pPr>
      <w:r>
        <w:rPr>
          <w:rFonts w:hint="eastAsia" w:ascii="宋体"/>
          <w:color w:val="auto"/>
          <w:szCs w:val="21"/>
          <w:highlight w:val="none"/>
        </w:rPr>
        <w:t>（3）供应商有效的营业执照副本扫描件</w:t>
      </w:r>
      <w:r>
        <w:rPr>
          <w:rFonts w:hint="eastAsia" w:ascii="宋体"/>
          <w:b/>
          <w:color w:val="auto"/>
          <w:szCs w:val="21"/>
          <w:highlight w:val="none"/>
        </w:rPr>
        <w:t>（必须提供）；</w:t>
      </w:r>
    </w:p>
    <w:p w14:paraId="0723DB3E">
      <w:pPr>
        <w:spacing w:line="350" w:lineRule="exact"/>
        <w:ind w:firstLine="420" w:firstLineChars="200"/>
        <w:rPr>
          <w:rFonts w:hint="eastAsia" w:ascii="宋体"/>
          <w:b/>
          <w:color w:val="auto"/>
          <w:szCs w:val="21"/>
          <w:highlight w:val="none"/>
        </w:rPr>
      </w:pPr>
      <w:r>
        <w:rPr>
          <w:rFonts w:hint="eastAsia" w:ascii="宋体"/>
          <w:color w:val="auto"/>
          <w:szCs w:val="21"/>
          <w:highlight w:val="none"/>
        </w:rPr>
        <w:t>（4）供应商相应有效的企业资质证书副本及安全生产许可证证副本扫描件、拟投入项目经理的注册建造师执业资格证书及安全生产考核合格证书（B类）扫描件</w:t>
      </w:r>
      <w:r>
        <w:rPr>
          <w:rFonts w:hint="eastAsia" w:ascii="宋体"/>
          <w:b/>
          <w:color w:val="auto"/>
          <w:szCs w:val="21"/>
          <w:highlight w:val="none"/>
        </w:rPr>
        <w:t>（必须提供）；</w:t>
      </w:r>
    </w:p>
    <w:p w14:paraId="1AA82D36">
      <w:pPr>
        <w:spacing w:line="350" w:lineRule="exact"/>
        <w:ind w:firstLine="420" w:firstLineChars="200"/>
        <w:rPr>
          <w:rFonts w:hint="eastAsia" w:ascii="宋体"/>
          <w:b/>
          <w:color w:val="auto"/>
          <w:highlight w:val="none"/>
        </w:rPr>
      </w:pPr>
      <w:r>
        <w:rPr>
          <w:rFonts w:hint="eastAsia" w:ascii="宋体" w:cs="Arial"/>
          <w:color w:val="auto"/>
          <w:kern w:val="0"/>
          <w:szCs w:val="21"/>
          <w:highlight w:val="none"/>
          <w:lang w:bidi="ar-SA"/>
        </w:rPr>
        <w:t>（5）项目经理无在建工程承诺书</w:t>
      </w:r>
      <w:r>
        <w:rPr>
          <w:rFonts w:hint="eastAsia" w:ascii="宋体"/>
          <w:b/>
          <w:color w:val="auto"/>
          <w:highlight w:val="none"/>
        </w:rPr>
        <w:t>（</w:t>
      </w:r>
      <w:r>
        <w:rPr>
          <w:rFonts w:hint="eastAsia" w:ascii="宋体" w:cs="宋体"/>
          <w:b/>
          <w:bCs/>
          <w:color w:val="auto"/>
          <w:highlight w:val="none"/>
          <w:lang w:bidi="ar-SA"/>
        </w:rPr>
        <w:t>格式自拟，</w:t>
      </w:r>
      <w:r>
        <w:rPr>
          <w:rFonts w:hint="eastAsia" w:ascii="宋体"/>
          <w:b/>
          <w:color w:val="auto"/>
          <w:highlight w:val="none"/>
        </w:rPr>
        <w:t>必须提供）；</w:t>
      </w:r>
    </w:p>
    <w:p w14:paraId="32DF3B86">
      <w:pPr>
        <w:widowControl w:val="0"/>
        <w:adjustRightInd/>
        <w:snapToGrid/>
        <w:spacing w:after="0" w:line="380" w:lineRule="exact"/>
        <w:ind w:firstLine="435"/>
        <w:jc w:val="both"/>
        <w:rPr>
          <w:rFonts w:hint="eastAsia" w:ascii="宋体" w:hAnsi="宋体" w:eastAsia="宋体" w:cs="Times New Roman"/>
          <w:b/>
          <w:bCs/>
          <w:color w:val="auto"/>
          <w:kern w:val="2"/>
          <w:sz w:val="21"/>
          <w:szCs w:val="21"/>
          <w:highlight w:val="none"/>
        </w:rPr>
      </w:pPr>
      <w:r>
        <w:rPr>
          <w:rFonts w:hint="eastAsia" w:ascii="宋体" w:hAnsi="宋体" w:eastAsia="宋体" w:cs="Times New Roman"/>
          <w:b w:val="0"/>
          <w:bCs w:val="0"/>
          <w:color w:val="auto"/>
          <w:kern w:val="2"/>
          <w:sz w:val="21"/>
          <w:szCs w:val="21"/>
          <w:highlight w:val="none"/>
        </w:rPr>
        <w:t>（</w:t>
      </w:r>
      <w:r>
        <w:rPr>
          <w:rFonts w:hint="eastAsia" w:ascii="宋体" w:hAnsi="宋体" w:eastAsia="宋体" w:cs="Times New Roman"/>
          <w:b w:val="0"/>
          <w:bCs w:val="0"/>
          <w:color w:val="auto"/>
          <w:kern w:val="2"/>
          <w:sz w:val="21"/>
          <w:szCs w:val="21"/>
          <w:highlight w:val="none"/>
          <w:lang w:val="en-US" w:eastAsia="zh-CN"/>
        </w:rPr>
        <w:t>6</w:t>
      </w:r>
      <w:r>
        <w:rPr>
          <w:rFonts w:hint="eastAsia" w:ascii="宋体" w:hAnsi="宋体" w:eastAsia="宋体" w:cs="Times New Roman"/>
          <w:b w:val="0"/>
          <w:bCs w:val="0"/>
          <w:color w:val="auto"/>
          <w:kern w:val="2"/>
          <w:sz w:val="21"/>
          <w:szCs w:val="21"/>
          <w:highlight w:val="none"/>
        </w:rPr>
        <w:t>）</w:t>
      </w:r>
      <w:r>
        <w:rPr>
          <w:rFonts w:hint="eastAsia" w:ascii="宋体" w:hAnsi="宋体" w:eastAsia="宋体" w:cs="Times New Roman"/>
          <w:b w:val="0"/>
          <w:bCs w:val="0"/>
          <w:color w:val="auto"/>
          <w:kern w:val="2"/>
          <w:sz w:val="21"/>
          <w:szCs w:val="21"/>
          <w:highlight w:val="none"/>
          <w:lang w:eastAsia="zh-CN"/>
        </w:rPr>
        <w:t>供应商</w:t>
      </w:r>
      <w:r>
        <w:rPr>
          <w:rFonts w:hint="eastAsia" w:ascii="宋体" w:hAnsi="宋体" w:eastAsia="宋体" w:cs="Times New Roman"/>
          <w:b w:val="0"/>
          <w:bCs w:val="0"/>
          <w:color w:val="auto"/>
          <w:kern w:val="2"/>
          <w:sz w:val="21"/>
          <w:szCs w:val="21"/>
          <w:highlight w:val="none"/>
        </w:rPr>
        <w:t>202</w:t>
      </w:r>
      <w:r>
        <w:rPr>
          <w:rFonts w:hint="eastAsia" w:ascii="宋体" w:hAnsi="宋体" w:eastAsia="宋体" w:cs="Times New Roman"/>
          <w:b w:val="0"/>
          <w:bCs w:val="0"/>
          <w:color w:val="auto"/>
          <w:kern w:val="2"/>
          <w:sz w:val="21"/>
          <w:szCs w:val="21"/>
          <w:highlight w:val="none"/>
          <w:lang w:val="en-US" w:eastAsia="zh-CN"/>
        </w:rPr>
        <w:t>4</w:t>
      </w:r>
      <w:r>
        <w:rPr>
          <w:rFonts w:hint="eastAsia" w:ascii="宋体" w:hAnsi="宋体" w:eastAsia="宋体" w:cs="Times New Roman"/>
          <w:b w:val="0"/>
          <w:bCs w:val="0"/>
          <w:color w:val="auto"/>
          <w:kern w:val="2"/>
          <w:sz w:val="21"/>
          <w:szCs w:val="21"/>
          <w:highlight w:val="none"/>
        </w:rPr>
        <w:t>年度以来任意一个年度的财务状况报告</w:t>
      </w:r>
      <w:r>
        <w:rPr>
          <w:rFonts w:hint="eastAsia" w:ascii="宋体" w:hAnsi="宋体" w:eastAsia="宋体" w:cs="Times New Roman"/>
          <w:b w:val="0"/>
          <w:bCs w:val="0"/>
          <w:color w:val="auto"/>
          <w:kern w:val="2"/>
          <w:sz w:val="21"/>
          <w:szCs w:val="21"/>
          <w:highlight w:val="none"/>
          <w:lang w:eastAsia="zh-CN"/>
        </w:rPr>
        <w:t>【</w:t>
      </w:r>
      <w:r>
        <w:rPr>
          <w:rFonts w:hint="eastAsia" w:ascii="宋体" w:hAnsi="宋体" w:eastAsia="宋体" w:cs="Times New Roman"/>
          <w:color w:val="auto"/>
          <w:kern w:val="2"/>
          <w:sz w:val="21"/>
          <w:szCs w:val="21"/>
          <w:highlight w:val="none"/>
        </w:rPr>
        <w:t>提供第三方出具的财务审计报告，或供应商出具的财务报表（格式自拟，须提供现金流量表、负债表及利润表），</w:t>
      </w:r>
      <w:r>
        <w:rPr>
          <w:rFonts w:hint="eastAsia" w:ascii="宋体" w:hAnsi="宋体" w:eastAsia="宋体" w:cs="Times New Roman"/>
          <w:b w:val="0"/>
          <w:bCs w:val="0"/>
          <w:color w:val="auto"/>
          <w:kern w:val="2"/>
          <w:sz w:val="21"/>
          <w:szCs w:val="21"/>
          <w:highlight w:val="none"/>
        </w:rPr>
        <w:t>或</w:t>
      </w:r>
      <w:r>
        <w:rPr>
          <w:rFonts w:hint="eastAsia" w:ascii="宋体" w:hAnsi="宋体" w:eastAsia="宋体" w:cs="Times New Roman"/>
          <w:b w:val="0"/>
          <w:bCs w:val="0"/>
          <w:color w:val="auto"/>
          <w:kern w:val="2"/>
          <w:sz w:val="21"/>
          <w:szCs w:val="21"/>
          <w:highlight w:val="none"/>
          <w:lang w:eastAsia="zh-CN"/>
        </w:rPr>
        <w:t>2026</w:t>
      </w:r>
      <w:r>
        <w:rPr>
          <w:rFonts w:hint="eastAsia" w:ascii="宋体" w:hAnsi="宋体" w:eastAsia="宋体" w:cs="Times New Roman"/>
          <w:b w:val="0"/>
          <w:bCs w:val="0"/>
          <w:color w:val="auto"/>
          <w:kern w:val="2"/>
          <w:sz w:val="21"/>
          <w:szCs w:val="21"/>
          <w:highlight w:val="none"/>
        </w:rPr>
        <w:t>年以来</w:t>
      </w:r>
      <w:r>
        <w:rPr>
          <w:rFonts w:hint="eastAsia" w:ascii="宋体" w:hAnsi="宋体" w:eastAsia="宋体" w:cs="Times New Roman"/>
          <w:color w:val="auto"/>
          <w:kern w:val="2"/>
          <w:sz w:val="21"/>
          <w:szCs w:val="21"/>
          <w:highlight w:val="none"/>
        </w:rPr>
        <w:t>其基本开户银行出具的资信证明</w:t>
      </w:r>
      <w:r>
        <w:rPr>
          <w:rFonts w:hint="eastAsia" w:ascii="宋体" w:hAnsi="宋体" w:eastAsia="宋体" w:cs="Times New Roman"/>
          <w:b w:val="0"/>
          <w:bCs w:val="0"/>
          <w:color w:val="auto"/>
          <w:kern w:val="2"/>
          <w:sz w:val="21"/>
          <w:szCs w:val="21"/>
          <w:highlight w:val="none"/>
          <w:lang w:eastAsia="zh-CN"/>
        </w:rPr>
        <w:t>】</w:t>
      </w:r>
      <w:r>
        <w:rPr>
          <w:rFonts w:hint="eastAsia" w:ascii="宋体" w:hAnsi="宋体" w:eastAsia="宋体" w:cs="Times New Roman"/>
          <w:color w:val="auto"/>
          <w:kern w:val="2"/>
          <w:sz w:val="21"/>
          <w:szCs w:val="21"/>
          <w:highlight w:val="none"/>
        </w:rPr>
        <w:t>扫描件</w:t>
      </w:r>
      <w:r>
        <w:rPr>
          <w:rFonts w:hint="eastAsia" w:ascii="宋体" w:hAnsi="宋体" w:eastAsia="宋体" w:cs="Times New Roman"/>
          <w:b/>
          <w:bCs/>
          <w:color w:val="auto"/>
          <w:kern w:val="2"/>
          <w:sz w:val="21"/>
          <w:szCs w:val="21"/>
          <w:highlight w:val="none"/>
        </w:rPr>
        <w:t>（必须提供）；</w:t>
      </w:r>
    </w:p>
    <w:p w14:paraId="2B8D8879">
      <w:pPr>
        <w:pageBreakBefore w:val="0"/>
        <w:widowControl w:val="0"/>
        <w:numPr>
          <w:ilvl w:val="0"/>
          <w:numId w:val="0"/>
        </w:numPr>
        <w:kinsoku/>
        <w:wordWrap/>
        <w:overflowPunct/>
        <w:topLinePunct w:val="0"/>
        <w:bidi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bookmarkStart w:id="4" w:name="OLE_LINK50"/>
      <w:r>
        <w:rPr>
          <w:rFonts w:hint="eastAsia" w:ascii="宋体" w:hAnsi="宋体" w:eastAsia="宋体" w:cs="宋体"/>
          <w:color w:val="auto"/>
          <w:szCs w:val="21"/>
          <w:highlight w:val="none"/>
        </w:rPr>
        <w:t>供</w:t>
      </w:r>
      <w:bookmarkStart w:id="5" w:name="OLE_LINK65"/>
      <w:r>
        <w:rPr>
          <w:rFonts w:hint="eastAsia" w:ascii="宋体" w:hAnsi="宋体" w:eastAsia="宋体" w:cs="宋体"/>
          <w:color w:val="auto"/>
          <w:szCs w:val="21"/>
          <w:highlight w:val="none"/>
        </w:rPr>
        <w:t>应商近半年内任意一个月或任一季度依法缴纳税收的证明材料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增值税</w:t>
      </w:r>
      <w:r>
        <w:rPr>
          <w:rFonts w:hint="eastAsia" w:ascii="宋体" w:hAnsi="宋体" w:cs="宋体"/>
          <w:color w:val="auto"/>
          <w:szCs w:val="21"/>
          <w:highlight w:val="none"/>
          <w:lang w:eastAsia="zh-CN"/>
        </w:rPr>
        <w:t>缴纳</w:t>
      </w:r>
      <w:r>
        <w:rPr>
          <w:rFonts w:hint="eastAsia" w:ascii="宋体" w:hAnsi="宋体" w:eastAsia="宋体" w:cs="宋体"/>
          <w:color w:val="auto"/>
          <w:szCs w:val="21"/>
          <w:highlight w:val="none"/>
        </w:rPr>
        <w:t>发票(税收完税证明)或企业所得税完税证明或税务部门出具的免税证明</w:t>
      </w:r>
      <w:r>
        <w:rPr>
          <w:rFonts w:hint="eastAsia" w:ascii="宋体" w:hAnsi="宋体" w:cs="宋体"/>
          <w:color w:val="auto"/>
          <w:szCs w:val="21"/>
          <w:highlight w:val="none"/>
          <w:lang w:val="en-US" w:eastAsia="zh-CN"/>
        </w:rPr>
        <w:t>]</w:t>
      </w:r>
      <w:bookmarkEnd w:id="4"/>
      <w:bookmarkEnd w:id="5"/>
      <w:r>
        <w:rPr>
          <w:rFonts w:hint="eastAsia" w:ascii="宋体" w:hAnsi="宋体" w:cs="宋体"/>
          <w:color w:val="auto"/>
          <w:szCs w:val="21"/>
          <w:highlight w:val="none"/>
          <w:lang w:eastAsia="zh-CN"/>
        </w:rPr>
        <w:t>扫描件</w:t>
      </w:r>
      <w:r>
        <w:rPr>
          <w:rFonts w:hint="eastAsia" w:ascii="宋体" w:hAnsi="宋体" w:eastAsia="宋体" w:cs="宋体"/>
          <w:b/>
          <w:bCs/>
          <w:color w:val="auto"/>
          <w:szCs w:val="21"/>
          <w:highlight w:val="none"/>
        </w:rPr>
        <w:t>（必须提供）。</w:t>
      </w:r>
    </w:p>
    <w:p w14:paraId="1365E41B">
      <w:pPr>
        <w:snapToGrid w:val="0"/>
        <w:spacing w:line="350" w:lineRule="exact"/>
        <w:ind w:firstLine="420" w:firstLineChars="200"/>
        <w:jc w:val="left"/>
        <w:rPr>
          <w:rFonts w:hint="eastAsia" w:ascii="宋体" w:cs="Arial"/>
          <w:color w:val="auto"/>
          <w:kern w:val="0"/>
          <w:szCs w:val="21"/>
          <w:highlight w:val="none"/>
          <w:lang w:bidi="ar-SA"/>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）供应商参加政府采购活动前3年内在经营活动中没有重大违法记录及有关信用信息、前期服务情况的书面声明</w:t>
      </w:r>
      <w:r>
        <w:rPr>
          <w:rFonts w:hint="eastAsia" w:ascii="宋体"/>
          <w:b/>
          <w:color w:val="auto"/>
          <w:szCs w:val="21"/>
          <w:highlight w:val="none"/>
        </w:rPr>
        <w:t>（格式见附件，必须提供）</w:t>
      </w:r>
      <w:r>
        <w:rPr>
          <w:rFonts w:hint="eastAsia" w:ascii="宋体" w:cs="Arial"/>
          <w:color w:val="auto"/>
          <w:kern w:val="0"/>
          <w:szCs w:val="21"/>
          <w:highlight w:val="none"/>
          <w:lang w:bidi="ar-SA"/>
        </w:rPr>
        <w:t xml:space="preserve"> ；</w:t>
      </w:r>
    </w:p>
    <w:p w14:paraId="2EC9C41D">
      <w:pPr>
        <w:pStyle w:val="12"/>
        <w:spacing w:line="400" w:lineRule="exact"/>
        <w:ind w:firstLine="420" w:firstLineChars="200"/>
        <w:rPr>
          <w:rFonts w:hint="eastAsia"/>
          <w:b/>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）中小企业相应有效的证明文件</w:t>
      </w:r>
      <w:r>
        <w:rPr>
          <w:rFonts w:hint="eastAsia"/>
          <w:b/>
          <w:color w:val="auto"/>
          <w:highlight w:val="none"/>
        </w:rPr>
        <w:t>（必须提供）；</w:t>
      </w:r>
    </w:p>
    <w:p w14:paraId="14FAAE15">
      <w:pPr>
        <w:pStyle w:val="12"/>
        <w:spacing w:line="400" w:lineRule="exact"/>
        <w:ind w:firstLine="422" w:firstLineChars="200"/>
        <w:rPr>
          <w:rFonts w:hint="eastAsia"/>
          <w:color w:val="auto"/>
          <w:highlight w:val="none"/>
        </w:rPr>
      </w:pPr>
      <w:r>
        <w:rPr>
          <w:rFonts w:hint="eastAsia"/>
          <w:b/>
          <w:color w:val="auto"/>
          <w:highlight w:val="none"/>
        </w:rPr>
        <w:t>根据企业所属类型，必须提供以下材料之一</w:t>
      </w:r>
      <w:r>
        <w:rPr>
          <w:rFonts w:hint="eastAsia"/>
          <w:color w:val="auto"/>
          <w:highlight w:val="none"/>
        </w:rPr>
        <w:t>：</w:t>
      </w:r>
    </w:p>
    <w:p w14:paraId="5F516537">
      <w:pPr>
        <w:pStyle w:val="12"/>
        <w:spacing w:line="400" w:lineRule="exact"/>
        <w:ind w:firstLine="420" w:firstLineChars="200"/>
        <w:rPr>
          <w:rFonts w:hint="eastAsia"/>
          <w:color w:val="auto"/>
          <w:highlight w:val="none"/>
        </w:rPr>
      </w:pPr>
      <w:r>
        <w:rPr>
          <w:rFonts w:hint="eastAsia"/>
          <w:color w:val="auto"/>
          <w:highlight w:val="none"/>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110012F2">
      <w:pPr>
        <w:spacing w:line="400" w:lineRule="exact"/>
        <w:ind w:firstLine="420" w:firstLineChars="200"/>
        <w:rPr>
          <w:rFonts w:hint="eastAsia" w:ascii="宋体"/>
          <w:color w:val="auto"/>
          <w:highlight w:val="none"/>
        </w:rPr>
      </w:pPr>
      <w:r>
        <w:rPr>
          <w:rFonts w:hint="eastAsia" w:ascii="宋体"/>
          <w:color w:val="auto"/>
          <w:highlight w:val="none"/>
        </w:rPr>
        <w:t>②监狱企业的证明文件【</w:t>
      </w:r>
      <w:r>
        <w:rPr>
          <w:rFonts w:hint="eastAsia"/>
          <w:color w:val="auto"/>
          <w:highlight w:val="none"/>
        </w:rPr>
        <w:t>如工程由监狱企业承建</w:t>
      </w:r>
      <w:r>
        <w:rPr>
          <w:rFonts w:hint="eastAsia" w:ascii="宋体"/>
          <w:color w:val="auto"/>
          <w:highlight w:val="none"/>
        </w:rPr>
        <w:t>，供应商应当提供由省级以上监狱管理局、戒毒管理局（含新疆生产建设兵团）出具的属于监狱企业的证明文件，否则不予享受中小企业政策】；</w:t>
      </w:r>
    </w:p>
    <w:p w14:paraId="3ABF0912">
      <w:pPr>
        <w:tabs>
          <w:tab w:val="left" w:pos="1305"/>
        </w:tabs>
        <w:spacing w:line="400" w:lineRule="exact"/>
        <w:ind w:firstLine="420" w:firstLineChars="200"/>
        <w:rPr>
          <w:rFonts w:hint="eastAsia" w:ascii="宋体"/>
          <w:color w:val="auto"/>
          <w:highlight w:val="none"/>
        </w:rPr>
      </w:pPr>
      <w:r>
        <w:rPr>
          <w:rFonts w:hint="eastAsia" w:ascii="宋体"/>
          <w:color w:val="auto"/>
          <w:highlight w:val="none"/>
        </w:rPr>
        <w:t>③《残疾人福利性单位声明函》【符合条件的残疾人福利性单位在参加政府采购活动时，供应商应如实声明并对出具的声明函（格式见附件）真实性负责，否则不予享受中小企业政策】。</w:t>
      </w:r>
    </w:p>
    <w:p w14:paraId="2A3EB0CB">
      <w:pPr>
        <w:tabs>
          <w:tab w:val="left" w:pos="1305"/>
        </w:tabs>
        <w:spacing w:line="400" w:lineRule="exact"/>
        <w:ind w:firstLine="422" w:firstLineChars="200"/>
        <w:rPr>
          <w:rFonts w:hint="eastAsia"/>
          <w:b/>
          <w:color w:val="auto"/>
          <w:highlight w:val="none"/>
        </w:rPr>
      </w:pPr>
      <w:r>
        <w:rPr>
          <w:rFonts w:hint="eastAsia" w:ascii="宋体"/>
          <w:b/>
          <w:color w:val="auto"/>
          <w:highlight w:val="none"/>
        </w:rPr>
        <w:t>注：</w:t>
      </w:r>
      <w:r>
        <w:rPr>
          <w:rFonts w:hint="eastAsia" w:ascii="宋体"/>
          <w:b/>
          <w:color w:val="auto"/>
        </w:rPr>
        <w:t>专门面向小</w:t>
      </w:r>
      <w:r>
        <w:rPr>
          <w:rFonts w:hint="eastAsia" w:ascii="宋体"/>
          <w:b/>
          <w:color w:val="auto"/>
          <w:lang w:eastAsia="zh-CN"/>
        </w:rPr>
        <w:t>微</w:t>
      </w:r>
      <w:r>
        <w:rPr>
          <w:rFonts w:hint="eastAsia" w:ascii="宋体"/>
          <w:b/>
          <w:color w:val="auto"/>
        </w:rPr>
        <w:t xml:space="preserve">企业采购的项目（供应商应为小微企业、监狱企业、残疾人福利性单位) </w:t>
      </w:r>
      <w:r>
        <w:rPr>
          <w:rFonts w:hint="eastAsia"/>
          <w:b/>
          <w:color w:val="auto"/>
          <w:highlight w:val="none"/>
        </w:rPr>
        <w:t>，</w:t>
      </w:r>
      <w:r>
        <w:rPr>
          <w:b/>
          <w:color w:val="auto"/>
          <w:highlight w:val="none"/>
        </w:rPr>
        <w:t>不接受非上述企业参与</w:t>
      </w:r>
      <w:r>
        <w:rPr>
          <w:rFonts w:hint="eastAsia"/>
          <w:b/>
          <w:color w:val="auto"/>
          <w:highlight w:val="none"/>
        </w:rPr>
        <w:t>磋商。</w:t>
      </w:r>
    </w:p>
    <w:p w14:paraId="222BA66B">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14.2商务、技术响应证明材料</w:t>
      </w:r>
    </w:p>
    <w:p w14:paraId="1E6744C3">
      <w:pPr>
        <w:tabs>
          <w:tab w:val="left" w:pos="1305"/>
        </w:tabs>
        <w:snapToGrid w:val="0"/>
        <w:spacing w:line="350" w:lineRule="exact"/>
        <w:ind w:firstLine="527" w:firstLineChars="250"/>
        <w:rPr>
          <w:rFonts w:hint="eastAsia"/>
          <w:color w:val="auto"/>
          <w:highlight w:val="none"/>
        </w:rPr>
      </w:pPr>
      <w:r>
        <w:rPr>
          <w:rStyle w:val="37"/>
          <w:rFonts w:hint="eastAsia" w:ascii="宋体"/>
          <w:b/>
          <w:color w:val="auto"/>
          <w:szCs w:val="21"/>
          <w:highlight w:val="none"/>
        </w:rPr>
        <w:t>符合性响应证明材料：</w:t>
      </w:r>
    </w:p>
    <w:p w14:paraId="006A5D7A">
      <w:pPr>
        <w:spacing w:line="350" w:lineRule="exact"/>
        <w:ind w:firstLine="420" w:firstLineChars="200"/>
        <w:rPr>
          <w:rFonts w:hint="eastAsia" w:ascii="宋体"/>
          <w:color w:val="auto"/>
          <w:szCs w:val="21"/>
          <w:highlight w:val="none"/>
        </w:rPr>
      </w:pPr>
      <w:r>
        <w:rPr>
          <w:rFonts w:hint="eastAsia" w:ascii="宋体"/>
          <w:color w:val="auto"/>
          <w:szCs w:val="21"/>
          <w:highlight w:val="none"/>
        </w:rPr>
        <w:t>（1）响应函及响应函附录</w:t>
      </w:r>
      <w:r>
        <w:rPr>
          <w:rFonts w:hint="eastAsia" w:ascii="宋体"/>
          <w:b/>
          <w:color w:val="auto"/>
          <w:szCs w:val="21"/>
          <w:highlight w:val="none"/>
        </w:rPr>
        <w:t>（格式见附件，必须提供）；</w:t>
      </w:r>
    </w:p>
    <w:p w14:paraId="30A134F9">
      <w:pPr>
        <w:snapToGrid w:val="0"/>
        <w:spacing w:line="350" w:lineRule="exact"/>
        <w:ind w:firstLine="420" w:firstLineChars="200"/>
        <w:outlineLvl w:val="4"/>
        <w:rPr>
          <w:rFonts w:hint="eastAsia" w:ascii="宋体"/>
          <w:color w:val="auto"/>
          <w:szCs w:val="21"/>
          <w:highlight w:val="none"/>
        </w:rPr>
      </w:pPr>
      <w:r>
        <w:rPr>
          <w:rFonts w:hint="eastAsia" w:ascii="宋体"/>
          <w:color w:val="auto"/>
          <w:szCs w:val="21"/>
          <w:highlight w:val="none"/>
        </w:rPr>
        <w:t>（2）已标价工程量清单</w:t>
      </w:r>
      <w:r>
        <w:rPr>
          <w:rFonts w:hint="eastAsia" w:ascii="宋体"/>
          <w:b/>
          <w:color w:val="auto"/>
          <w:szCs w:val="21"/>
          <w:highlight w:val="none"/>
        </w:rPr>
        <w:t>（必须提供）</w:t>
      </w:r>
      <w:r>
        <w:rPr>
          <w:rFonts w:hint="eastAsia" w:ascii="宋体"/>
          <w:color w:val="auto"/>
          <w:szCs w:val="21"/>
          <w:highlight w:val="none"/>
        </w:rPr>
        <w:t xml:space="preserve"> ；</w:t>
      </w:r>
    </w:p>
    <w:p w14:paraId="1D78BE18">
      <w:pPr>
        <w:spacing w:line="350" w:lineRule="exact"/>
        <w:ind w:firstLine="420" w:firstLineChars="200"/>
        <w:rPr>
          <w:rFonts w:hint="eastAsia" w:ascii="宋体"/>
          <w:color w:val="auto"/>
          <w:szCs w:val="21"/>
          <w:highlight w:val="none"/>
        </w:rPr>
      </w:pPr>
      <w:r>
        <w:rPr>
          <w:rFonts w:hint="eastAsia" w:ascii="宋体"/>
          <w:color w:val="auto"/>
          <w:szCs w:val="21"/>
          <w:highlight w:val="none"/>
        </w:rPr>
        <w:t>（3）项目管理机构组成表</w:t>
      </w:r>
      <w:r>
        <w:rPr>
          <w:rFonts w:hint="eastAsia" w:ascii="宋体"/>
          <w:b/>
          <w:color w:val="auto"/>
          <w:szCs w:val="21"/>
          <w:highlight w:val="none"/>
        </w:rPr>
        <w:t>【</w:t>
      </w:r>
      <w:r>
        <w:rPr>
          <w:rFonts w:hint="eastAsia" w:ascii="宋体" w:cs="MingLiU"/>
          <w:color w:val="auto"/>
          <w:kern w:val="0"/>
          <w:szCs w:val="21"/>
          <w:highlight w:val="none"/>
          <w:lang w:bidi="ar-SA"/>
        </w:rPr>
        <w:t>项目经理应附身份证、注册建造师执业资格证书、安全生产考核合格证书（B类）、职称证书（如有）的</w:t>
      </w:r>
      <w:r>
        <w:rPr>
          <w:rFonts w:hint="eastAsia" w:ascii="宋体"/>
          <w:color w:val="auto"/>
          <w:kern w:val="0"/>
          <w:szCs w:val="21"/>
          <w:highlight w:val="none"/>
        </w:rPr>
        <w:t>扫描件</w:t>
      </w:r>
      <w:r>
        <w:rPr>
          <w:rFonts w:hint="eastAsia" w:ascii="宋体" w:cs="MingLiU"/>
          <w:color w:val="auto"/>
          <w:kern w:val="0"/>
          <w:szCs w:val="21"/>
          <w:highlight w:val="none"/>
          <w:lang w:bidi="ar-SA"/>
        </w:rPr>
        <w:t>；项目技术负责人应附身份证</w:t>
      </w:r>
      <w:r>
        <w:rPr>
          <w:rFonts w:hint="eastAsia" w:ascii="宋体"/>
          <w:color w:val="auto"/>
          <w:kern w:val="0"/>
          <w:szCs w:val="21"/>
          <w:highlight w:val="none"/>
        </w:rPr>
        <w:t>扫描件</w:t>
      </w:r>
      <w:r>
        <w:rPr>
          <w:rFonts w:hint="eastAsia" w:ascii="宋体" w:cs="MingLiU"/>
          <w:color w:val="auto"/>
          <w:kern w:val="0"/>
          <w:szCs w:val="21"/>
          <w:highlight w:val="none"/>
          <w:lang w:bidi="ar-SA"/>
        </w:rPr>
        <w:t>、职称证书</w:t>
      </w:r>
      <w:r>
        <w:rPr>
          <w:rFonts w:hint="eastAsia" w:ascii="宋体"/>
          <w:color w:val="auto"/>
          <w:kern w:val="0"/>
          <w:szCs w:val="21"/>
          <w:highlight w:val="none"/>
        </w:rPr>
        <w:t>扫描件</w:t>
      </w:r>
      <w:r>
        <w:rPr>
          <w:rFonts w:hint="eastAsia" w:ascii="宋体" w:cs="MingLiU"/>
          <w:color w:val="auto"/>
          <w:kern w:val="0"/>
          <w:szCs w:val="21"/>
          <w:highlight w:val="none"/>
          <w:lang w:bidi="ar-SA"/>
        </w:rPr>
        <w:t>；专职安全生产管理人员应附身份证、专职安全员安全生产考核合格证书（C类）、职称证书（如有）</w:t>
      </w:r>
      <w:r>
        <w:rPr>
          <w:rFonts w:hint="eastAsia" w:ascii="宋体"/>
          <w:color w:val="auto"/>
          <w:kern w:val="0"/>
          <w:szCs w:val="21"/>
          <w:highlight w:val="none"/>
        </w:rPr>
        <w:t>扫描件</w:t>
      </w:r>
      <w:r>
        <w:rPr>
          <w:rFonts w:hint="eastAsia" w:ascii="宋体" w:cs="MingLiU"/>
          <w:color w:val="auto"/>
          <w:kern w:val="0"/>
          <w:szCs w:val="21"/>
          <w:highlight w:val="none"/>
          <w:lang w:bidi="ar-SA"/>
        </w:rPr>
        <w:t>；其他主要人员应附执业证或上岗证书、职称证书（如有）</w:t>
      </w:r>
      <w:r>
        <w:rPr>
          <w:rFonts w:hint="eastAsia" w:ascii="宋体"/>
          <w:color w:val="auto"/>
          <w:kern w:val="0"/>
          <w:szCs w:val="21"/>
          <w:highlight w:val="none"/>
        </w:rPr>
        <w:t>扫描件；提供以上人员由社保部门出具的供应商为其缴纳的响应文件递交截止时间前半年内任意一个月社保证明扫描件，除供应商为以下三种情形的：①如供应商为截标时间前60日以内成立的公司，可以提供供应商与委托代理人签订的劳动合同扫描件代替社保证明扫描件；②如供应商为事业单位，可以提供事业单位机构编制管理证扫描件或事业单位机构为其发放工资的工资条扫描件代替社保证明扫描件；③如委托代理人为免缴纳社保人员，提供免缴纳社保的证明材料扫描件及供应商与委托代理人签订的劳动合同扫描件代替社保证明扫描件。</w:t>
      </w:r>
      <w:r>
        <w:rPr>
          <w:rFonts w:hint="eastAsia" w:ascii="宋体" w:cs="MingLiU"/>
          <w:color w:val="auto"/>
          <w:kern w:val="0"/>
          <w:szCs w:val="21"/>
          <w:highlight w:val="none"/>
          <w:lang w:bidi="ar-SA"/>
        </w:rPr>
        <w:t>】</w:t>
      </w:r>
      <w:r>
        <w:rPr>
          <w:rFonts w:hint="eastAsia" w:ascii="宋体"/>
          <w:b/>
          <w:color w:val="auto"/>
          <w:szCs w:val="21"/>
          <w:highlight w:val="none"/>
        </w:rPr>
        <w:t>（格式见附件，必须提供）</w:t>
      </w:r>
      <w:r>
        <w:rPr>
          <w:rFonts w:hint="eastAsia" w:ascii="宋体"/>
          <w:color w:val="auto"/>
          <w:szCs w:val="21"/>
          <w:highlight w:val="none"/>
        </w:rPr>
        <w:t>；</w:t>
      </w:r>
    </w:p>
    <w:p w14:paraId="61837546">
      <w:pPr>
        <w:spacing w:line="350" w:lineRule="exact"/>
        <w:ind w:firstLine="420" w:firstLineChars="200"/>
        <w:rPr>
          <w:rFonts w:hint="eastAsia" w:ascii="宋体" w:cs="MingLiU"/>
          <w:color w:val="auto"/>
          <w:kern w:val="0"/>
          <w:szCs w:val="21"/>
          <w:highlight w:val="none"/>
          <w:lang w:bidi="ar-SA"/>
        </w:rPr>
      </w:pPr>
      <w:r>
        <w:rPr>
          <w:rFonts w:hint="eastAsia" w:ascii="宋体"/>
          <w:color w:val="auto"/>
          <w:szCs w:val="21"/>
          <w:highlight w:val="none"/>
        </w:rPr>
        <w:t>（4）施工组织设计（根据工程量清单及工程情况自行编制）</w:t>
      </w:r>
      <w:r>
        <w:rPr>
          <w:rFonts w:hint="eastAsia" w:ascii="宋体"/>
          <w:b/>
          <w:color w:val="auto"/>
          <w:szCs w:val="21"/>
          <w:highlight w:val="none"/>
        </w:rPr>
        <w:t>（格式自拟，必须提供）</w:t>
      </w:r>
      <w:r>
        <w:rPr>
          <w:rFonts w:hint="eastAsia" w:ascii="宋体"/>
          <w:color w:val="auto"/>
          <w:szCs w:val="21"/>
          <w:highlight w:val="none"/>
        </w:rPr>
        <w:t>；</w:t>
      </w:r>
    </w:p>
    <w:p w14:paraId="270B2DCE">
      <w:pPr>
        <w:spacing w:line="350" w:lineRule="exact"/>
        <w:ind w:firstLine="420" w:firstLineChars="200"/>
        <w:rPr>
          <w:rFonts w:hint="eastAsia" w:ascii="宋体"/>
          <w:color w:val="auto"/>
          <w:highlight w:val="none"/>
        </w:rPr>
      </w:pPr>
      <w:r>
        <w:rPr>
          <w:rFonts w:hint="eastAsia" w:ascii="宋体"/>
          <w:color w:val="auto"/>
          <w:highlight w:val="none"/>
        </w:rPr>
        <w:t>（</w:t>
      </w:r>
      <w:r>
        <w:rPr>
          <w:rFonts w:hint="eastAsia" w:ascii="宋体"/>
          <w:color w:val="auto"/>
          <w:highlight w:val="none"/>
          <w:lang w:val="en-US" w:eastAsia="zh-CN"/>
        </w:rPr>
        <w:t>5</w:t>
      </w:r>
      <w:r>
        <w:rPr>
          <w:rFonts w:hint="eastAsia" w:ascii="宋体"/>
          <w:color w:val="auto"/>
          <w:highlight w:val="none"/>
        </w:rPr>
        <w:t>）</w:t>
      </w:r>
      <w:r>
        <w:rPr>
          <w:rFonts w:hint="eastAsia" w:ascii="宋体"/>
          <w:color w:val="auto"/>
          <w:szCs w:val="21"/>
          <w:highlight w:val="none"/>
        </w:rPr>
        <w:t>建设工程项目管理承诺书</w:t>
      </w:r>
      <w:r>
        <w:rPr>
          <w:rFonts w:hint="eastAsia" w:ascii="宋体"/>
          <w:b/>
          <w:color w:val="auto"/>
          <w:szCs w:val="21"/>
          <w:highlight w:val="none"/>
        </w:rPr>
        <w:t>（格式见附件，必须提供）；</w:t>
      </w:r>
    </w:p>
    <w:p w14:paraId="3A3870B5">
      <w:pPr>
        <w:spacing w:line="350" w:lineRule="exact"/>
        <w:ind w:firstLine="420" w:firstLineChars="200"/>
        <w:rPr>
          <w:rFonts w:hint="eastAsia" w:ascii="宋体"/>
          <w:b/>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w:t>
      </w:r>
      <w:r>
        <w:rPr>
          <w:rFonts w:hint="eastAsia" w:ascii="宋体" w:hAnsi="宋体" w:cs="宋体"/>
          <w:bCs/>
          <w:color w:val="auto"/>
          <w:kern w:val="0"/>
          <w:szCs w:val="21"/>
          <w:highlight w:val="none"/>
        </w:rPr>
        <w:t>城乡清洁</w:t>
      </w:r>
      <w:r>
        <w:rPr>
          <w:rFonts w:hint="eastAsia" w:ascii="宋体"/>
          <w:color w:val="auto"/>
          <w:szCs w:val="21"/>
          <w:highlight w:val="none"/>
        </w:rPr>
        <w:t>工程渣土清运承诺书</w:t>
      </w:r>
      <w:r>
        <w:rPr>
          <w:rFonts w:hint="eastAsia" w:ascii="宋体"/>
          <w:b/>
          <w:color w:val="auto"/>
          <w:szCs w:val="21"/>
          <w:highlight w:val="none"/>
        </w:rPr>
        <w:t>（必须提供）；</w:t>
      </w:r>
    </w:p>
    <w:p w14:paraId="72D9F68A">
      <w:pPr>
        <w:tabs>
          <w:tab w:val="left" w:pos="1305"/>
        </w:tabs>
        <w:snapToGrid w:val="0"/>
        <w:spacing w:line="350" w:lineRule="exact"/>
        <w:ind w:firstLine="422" w:firstLineChars="200"/>
        <w:rPr>
          <w:rFonts w:hint="eastAsia"/>
          <w:color w:val="auto"/>
          <w:highlight w:val="none"/>
        </w:rPr>
      </w:pPr>
      <w:r>
        <w:rPr>
          <w:rStyle w:val="37"/>
          <w:rFonts w:hint="eastAsia" w:ascii="宋体"/>
          <w:b/>
          <w:color w:val="auto"/>
          <w:szCs w:val="21"/>
          <w:highlight w:val="none"/>
        </w:rPr>
        <w:t>其他响应证明材料：</w:t>
      </w:r>
    </w:p>
    <w:p w14:paraId="4EB197AC">
      <w:pPr>
        <w:spacing w:line="350" w:lineRule="exact"/>
        <w:ind w:firstLine="420" w:firstLineChars="200"/>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）磋商供应商认为需要提供的有关资料。</w:t>
      </w:r>
    </w:p>
    <w:p w14:paraId="591DF1A3">
      <w:pPr>
        <w:spacing w:line="400" w:lineRule="exact"/>
        <w:ind w:firstLine="422" w:firstLineChars="200"/>
        <w:rPr>
          <w:rFonts w:hint="eastAsia"/>
          <w:b/>
          <w:color w:val="auto"/>
          <w:highlight w:val="none"/>
        </w:rPr>
      </w:pPr>
      <w:r>
        <w:rPr>
          <w:rFonts w:hint="eastAsia" w:ascii="宋体"/>
          <w:b/>
          <w:color w:val="auto"/>
          <w:szCs w:val="21"/>
          <w:highlight w:val="none"/>
        </w:rPr>
        <w:t>以上有关材料应真实有效，属于“必须提供”的文件均必须于本项目响应文件提交截止前作为竞争性磋商响应文件提交，并加盖供应商CA证书签章，否则响应文件无效；</w:t>
      </w:r>
      <w:r>
        <w:rPr>
          <w:b/>
          <w:color w:val="auto"/>
          <w:highlight w:val="none"/>
        </w:rPr>
        <w:t>其余由供应商视自身情况自行提交</w:t>
      </w:r>
      <w:r>
        <w:rPr>
          <w:rFonts w:hint="eastAsia"/>
          <w:b/>
          <w:color w:val="auto"/>
          <w:szCs w:val="21"/>
          <w:highlight w:val="none"/>
        </w:rPr>
        <w:t>。</w:t>
      </w:r>
    </w:p>
    <w:p w14:paraId="2BB840C9">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15.电子响应文件的制作、加密、供应商公章及签字：</w:t>
      </w:r>
    </w:p>
    <w:p w14:paraId="0D78A1D8">
      <w:pPr>
        <w:spacing w:line="400" w:lineRule="exact"/>
        <w:ind w:firstLine="422" w:firstLineChars="200"/>
        <w:rPr>
          <w:rFonts w:hint="eastAsia" w:ascii="宋体"/>
          <w:b/>
          <w:color w:val="auto"/>
          <w:szCs w:val="21"/>
          <w:highlight w:val="none"/>
        </w:rPr>
      </w:pPr>
      <w:r>
        <w:rPr>
          <w:rFonts w:hint="eastAsia" w:ascii="宋体"/>
          <w:b/>
          <w:color w:val="auto"/>
          <w:szCs w:val="21"/>
          <w:highlight w:val="none"/>
        </w:rPr>
        <w:t>15.1电子响应文件的制作、加密</w:t>
      </w:r>
    </w:p>
    <w:p w14:paraId="669BBBE3">
      <w:pPr>
        <w:spacing w:line="34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15.1.1供应商制作电子响应文件前，必须登录“广西政府采购云平台”平台进行竞争性磋商文件获取的操作。</w:t>
      </w:r>
    </w:p>
    <w:p w14:paraId="503E88D2">
      <w:pPr>
        <w:spacing w:line="34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15.1.2供应商下载或获取竞争性磋商文件后，登录“政采云电子投标客户端”，按照本竞争性磋商文件规定的响应文件格式、顺序以及“广西政府采购云平台”平台的要求，通过“政采云电子投标客户端”编制电子响应文件。</w:t>
      </w:r>
    </w:p>
    <w:p w14:paraId="7B98AF92">
      <w:pPr>
        <w:spacing w:line="34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15.1.3供应商应按“政采云电子投标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2F091C7F">
      <w:pPr>
        <w:spacing w:line="34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15.1.4电子响应文件不得涂改，若有修改错漏处，须加盖法定代表人或授权委托代理人通过“政采云电子投标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的格式上传。因响应文件字迹潦草、表达不清、内容不完整、编排混乱导致响应文件被误读、漏读，或者按竞争性磋商文件规定的部位查找不到相关内容的，其不利后果由供应商自行承担。</w:t>
      </w:r>
    </w:p>
    <w:p w14:paraId="689F7059">
      <w:pPr>
        <w:spacing w:line="400" w:lineRule="exact"/>
        <w:ind w:firstLine="420" w:firstLineChars="200"/>
        <w:rPr>
          <w:rFonts w:hint="eastAsia" w:ascii="宋体"/>
          <w:color w:val="auto"/>
          <w:szCs w:val="21"/>
          <w:highlight w:val="none"/>
        </w:rPr>
      </w:pPr>
      <w:r>
        <w:rPr>
          <w:rFonts w:hint="eastAsia" w:ascii="宋体" w:cs="宋体"/>
          <w:color w:val="auto"/>
          <w:szCs w:val="21"/>
          <w:highlight w:val="none"/>
          <w:lang w:bidi="ar-SA"/>
        </w:rPr>
        <w:t>15.1.5供应商编制、生成电子响应文件后应当进行加密。供应商未按规定编制并加密的响应文件，“广西政府采购云平台”平台将予以拒收。</w:t>
      </w:r>
    </w:p>
    <w:p w14:paraId="1CDE2DFF">
      <w:pPr>
        <w:spacing w:line="340" w:lineRule="exact"/>
        <w:ind w:firstLine="422" w:firstLineChars="200"/>
        <w:rPr>
          <w:rFonts w:hint="eastAsia" w:ascii="宋体" w:cs="宋体"/>
          <w:color w:val="auto"/>
          <w:szCs w:val="21"/>
          <w:highlight w:val="none"/>
          <w:lang w:bidi="ar-SA"/>
        </w:rPr>
      </w:pPr>
      <w:r>
        <w:rPr>
          <w:rFonts w:hint="eastAsia" w:ascii="宋体"/>
          <w:b/>
          <w:color w:val="auto"/>
          <w:szCs w:val="21"/>
          <w:highlight w:val="none"/>
        </w:rPr>
        <w:t>15.2</w:t>
      </w:r>
      <w:r>
        <w:rPr>
          <w:rFonts w:hint="eastAsia"/>
          <w:b/>
          <w:color w:val="auto"/>
          <w:highlight w:val="none"/>
        </w:rPr>
        <w:t xml:space="preserve"> </w:t>
      </w:r>
      <w:r>
        <w:rPr>
          <w:rFonts w:hint="eastAsia" w:ascii="宋体"/>
          <w:b/>
          <w:color w:val="auto"/>
          <w:szCs w:val="21"/>
          <w:highlight w:val="none"/>
        </w:rPr>
        <w:t>供应商公章及签字：</w:t>
      </w:r>
    </w:p>
    <w:p w14:paraId="10DD0DBB">
      <w:pPr>
        <w:spacing w:line="34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15.2.1本竞争性磋商文件中描述供应商的“公章”是指供应商通过指定电子化政府采购平台办理数字证书（CA认证证书）获得的以法定主体行为名称制作的电子印章。</w:t>
      </w:r>
    </w:p>
    <w:p w14:paraId="137A4F3E">
      <w:pPr>
        <w:spacing w:line="340" w:lineRule="exact"/>
        <w:ind w:firstLine="420" w:firstLineChars="200"/>
        <w:rPr>
          <w:rFonts w:hint="eastAsia" w:ascii="宋体" w:cs="宋体"/>
          <w:color w:val="auto"/>
          <w:szCs w:val="21"/>
          <w:highlight w:val="none"/>
          <w:lang w:bidi="ar-SA"/>
        </w:rPr>
      </w:pPr>
      <w:r>
        <w:rPr>
          <w:rFonts w:hint="eastAsia" w:ascii="宋体" w:cs="宋体"/>
          <w:color w:val="auto"/>
          <w:szCs w:val="21"/>
          <w:highlight w:val="none"/>
          <w:lang w:bidi="ar-SA"/>
        </w:rPr>
        <w:t>15.2.2本竞争性磋商文件中要求供应商对其电子响应文件的相关内容加盖公章的，均指采用CA证书签章。</w:t>
      </w:r>
    </w:p>
    <w:p w14:paraId="12393037">
      <w:pPr>
        <w:spacing w:line="400" w:lineRule="exact"/>
        <w:ind w:firstLine="420" w:firstLineChars="200"/>
        <w:rPr>
          <w:rFonts w:hint="eastAsia" w:ascii="宋体"/>
          <w:b/>
          <w:color w:val="auto"/>
          <w:szCs w:val="21"/>
          <w:highlight w:val="none"/>
        </w:rPr>
      </w:pPr>
      <w:r>
        <w:rPr>
          <w:rFonts w:hint="eastAsia" w:ascii="宋体" w:cs="宋体"/>
          <w:color w:val="auto"/>
          <w:szCs w:val="21"/>
          <w:highlight w:val="none"/>
          <w:lang w:bidi="ar-SA"/>
        </w:rPr>
        <w:t>15.2.3本竞争性磋商文件中描述供应商的“签字”是指供应商通过指定电子化政府采购平台办理数字证书（CA认证证书）获得的以供应商法定代表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14:paraId="534D7AB2">
      <w:pPr>
        <w:snapToGrid w:val="0"/>
        <w:spacing w:line="400" w:lineRule="exact"/>
        <w:ind w:firstLine="422" w:firstLineChars="200"/>
        <w:jc w:val="left"/>
        <w:rPr>
          <w:rFonts w:hint="eastAsia" w:ascii="宋体"/>
          <w:b/>
          <w:color w:val="auto"/>
          <w:szCs w:val="21"/>
          <w:highlight w:val="none"/>
        </w:rPr>
      </w:pPr>
      <w:r>
        <w:rPr>
          <w:rFonts w:hint="eastAsia" w:ascii="宋体"/>
          <w:b/>
          <w:color w:val="auto"/>
          <w:szCs w:val="21"/>
          <w:highlight w:val="none"/>
        </w:rPr>
        <w:t>16.</w:t>
      </w:r>
      <w:r>
        <w:rPr>
          <w:rFonts w:hint="eastAsia"/>
          <w:color w:val="auto"/>
          <w:highlight w:val="none"/>
        </w:rPr>
        <w:t xml:space="preserve"> </w:t>
      </w:r>
      <w:r>
        <w:rPr>
          <w:rFonts w:hint="eastAsia" w:ascii="宋体"/>
          <w:b/>
          <w:color w:val="auto"/>
          <w:szCs w:val="21"/>
          <w:highlight w:val="none"/>
        </w:rPr>
        <w:t>响应文件的补充、修改和撤回</w:t>
      </w:r>
    </w:p>
    <w:p w14:paraId="14B613A1">
      <w:pPr>
        <w:adjustRightInd w:val="0"/>
        <w:snapToGrid w:val="0"/>
        <w:spacing w:line="340" w:lineRule="exact"/>
        <w:ind w:firstLine="420" w:firstLineChars="200"/>
        <w:rPr>
          <w:rFonts w:hint="eastAsia" w:ascii="宋体" w:cs="宋体"/>
          <w:bCs/>
          <w:color w:val="auto"/>
          <w:szCs w:val="21"/>
          <w:highlight w:val="none"/>
          <w:lang w:bidi="ar-SA"/>
        </w:rPr>
      </w:pPr>
      <w:r>
        <w:rPr>
          <w:rFonts w:hint="eastAsia" w:ascii="宋体" w:cs="宋体"/>
          <w:bCs/>
          <w:color w:val="auto"/>
          <w:szCs w:val="21"/>
          <w:highlight w:val="none"/>
          <w:lang w:bidi="ar-SA"/>
        </w:rPr>
        <w:t>16.1供应商应当在</w:t>
      </w:r>
      <w:r>
        <w:rPr>
          <w:rFonts w:hint="eastAsia" w:ascii="宋体"/>
          <w:bCs/>
          <w:color w:val="auto"/>
          <w:highlight w:val="none"/>
        </w:rPr>
        <w:t>提交响应文件截止时间</w:t>
      </w:r>
      <w:r>
        <w:rPr>
          <w:rFonts w:hint="eastAsia" w:ascii="宋体" w:cs="宋体"/>
          <w:bCs/>
          <w:color w:val="auto"/>
          <w:szCs w:val="21"/>
          <w:highlight w:val="none"/>
          <w:lang w:bidi="ar-SA"/>
        </w:rPr>
        <w:t>前，将生成的电子响应文件上传提交至“广西政府采购云平台”平台。响应文件提交截止时间前可以补充、修改或撤回电子响应文件，补充、修改电子响应文件的，应当先行撤回原文件，补充、修改后重新传输提交。</w:t>
      </w:r>
      <w:r>
        <w:rPr>
          <w:rFonts w:hint="eastAsia" w:ascii="宋体"/>
          <w:bCs/>
          <w:color w:val="auto"/>
          <w:highlight w:val="none"/>
        </w:rPr>
        <w:t>提交响应文件截止时间</w:t>
      </w:r>
      <w:r>
        <w:rPr>
          <w:rFonts w:hint="eastAsia" w:ascii="宋体" w:cs="宋体"/>
          <w:bCs/>
          <w:color w:val="auto"/>
          <w:szCs w:val="21"/>
          <w:highlight w:val="none"/>
          <w:lang w:bidi="ar-SA"/>
        </w:rPr>
        <w:t>前未成功将电子响应文件上传“广西政府采购云平台”平台的，视为未提交响应文件。</w:t>
      </w:r>
    </w:p>
    <w:p w14:paraId="51DCE608">
      <w:pPr>
        <w:spacing w:line="340" w:lineRule="exact"/>
        <w:ind w:firstLine="435"/>
        <w:rPr>
          <w:rFonts w:hint="eastAsia" w:ascii="宋体"/>
          <w:color w:val="auto"/>
          <w:szCs w:val="21"/>
          <w:highlight w:val="none"/>
        </w:rPr>
      </w:pPr>
      <w:r>
        <w:rPr>
          <w:rFonts w:hint="eastAsia" w:ascii="宋体" w:cs="宋体"/>
          <w:bCs/>
          <w:color w:val="auto"/>
          <w:szCs w:val="21"/>
          <w:highlight w:val="none"/>
          <w:lang w:bidi="ar-SA"/>
        </w:rPr>
        <w:t>16.2</w:t>
      </w:r>
      <w:r>
        <w:rPr>
          <w:rFonts w:hint="eastAsia" w:ascii="宋体"/>
          <w:color w:val="auto"/>
          <w:szCs w:val="21"/>
          <w:highlight w:val="none"/>
        </w:rPr>
        <w:t>在提交响应文件截止时间后的响应文件有效期内，供应商不得撤回或修改其响应文件。</w:t>
      </w:r>
    </w:p>
    <w:p w14:paraId="019CB65C">
      <w:pPr>
        <w:tabs>
          <w:tab w:val="left" w:pos="1305"/>
        </w:tabs>
        <w:spacing w:line="400" w:lineRule="exact"/>
        <w:ind w:firstLine="422" w:firstLineChars="200"/>
        <w:rPr>
          <w:rFonts w:hint="eastAsia" w:ascii="宋体"/>
          <w:b/>
          <w:color w:val="auto"/>
          <w:szCs w:val="21"/>
          <w:highlight w:val="none"/>
        </w:rPr>
      </w:pPr>
      <w:r>
        <w:rPr>
          <w:rFonts w:hint="eastAsia" w:ascii="宋体"/>
          <w:b/>
          <w:color w:val="auto"/>
          <w:szCs w:val="21"/>
          <w:highlight w:val="none"/>
        </w:rPr>
        <w:t>17. 响应文件有效期</w:t>
      </w:r>
    </w:p>
    <w:p w14:paraId="11BA9421">
      <w:pPr>
        <w:tabs>
          <w:tab w:val="left" w:pos="1305"/>
        </w:tabs>
        <w:spacing w:line="400" w:lineRule="exact"/>
        <w:ind w:firstLine="420" w:firstLineChars="200"/>
        <w:rPr>
          <w:rFonts w:hint="eastAsia" w:ascii="宋体"/>
          <w:color w:val="auto"/>
          <w:szCs w:val="21"/>
          <w:highlight w:val="none"/>
        </w:rPr>
      </w:pPr>
      <w:r>
        <w:rPr>
          <w:rFonts w:hint="eastAsia" w:ascii="宋体"/>
          <w:color w:val="auto"/>
          <w:szCs w:val="21"/>
          <w:highlight w:val="none"/>
        </w:rPr>
        <w:t>17.1 响应文件有效期：见磋商供应商须知前附表第20条。</w:t>
      </w:r>
    </w:p>
    <w:p w14:paraId="3EDC98ED">
      <w:pPr>
        <w:tabs>
          <w:tab w:val="left" w:pos="1305"/>
        </w:tabs>
        <w:spacing w:line="400" w:lineRule="exact"/>
        <w:ind w:firstLine="420" w:firstLineChars="200"/>
        <w:rPr>
          <w:rFonts w:hint="eastAsia" w:ascii="宋体"/>
          <w:color w:val="auto"/>
          <w:szCs w:val="21"/>
          <w:highlight w:val="none"/>
        </w:rPr>
      </w:pPr>
      <w:r>
        <w:rPr>
          <w:rFonts w:hint="eastAsia" w:ascii="宋体"/>
          <w:color w:val="auto"/>
          <w:szCs w:val="21"/>
          <w:highlight w:val="none"/>
        </w:rPr>
        <w:t>17.2 出现特殊情况下，需要延长响应文件有效期的，采购代理机构以书面形式通知供应商延长响应文件有效期。供应商同意延长的，但不能修改响应文件。供应商拒绝延长的，其响应文件无效。</w:t>
      </w:r>
    </w:p>
    <w:p w14:paraId="551B2F4B">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四、工程预算总造价、</w:t>
      </w:r>
      <w:r>
        <w:rPr>
          <w:rFonts w:hint="eastAsia" w:ascii="宋体"/>
          <w:b/>
          <w:color w:val="auto"/>
          <w:szCs w:val="21"/>
          <w:highlight w:val="none"/>
          <w:lang w:eastAsia="zh-CN"/>
        </w:rPr>
        <w:t>最高磋商限价</w:t>
      </w:r>
      <w:r>
        <w:rPr>
          <w:rFonts w:hint="eastAsia" w:ascii="宋体"/>
          <w:b/>
          <w:color w:val="auto"/>
          <w:szCs w:val="21"/>
          <w:highlight w:val="none"/>
        </w:rPr>
        <w:t>及磋商报价要求</w:t>
      </w:r>
    </w:p>
    <w:p w14:paraId="71306F80">
      <w:pPr>
        <w:spacing w:line="350" w:lineRule="exact"/>
        <w:ind w:firstLine="420" w:firstLineChars="200"/>
        <w:rPr>
          <w:rFonts w:hint="eastAsia" w:ascii="宋体"/>
          <w:color w:val="auto"/>
          <w:szCs w:val="21"/>
          <w:highlight w:val="none"/>
        </w:rPr>
      </w:pPr>
      <w:r>
        <w:rPr>
          <w:rFonts w:hint="eastAsia" w:ascii="宋体"/>
          <w:color w:val="auto"/>
          <w:szCs w:val="21"/>
          <w:highlight w:val="none"/>
        </w:rPr>
        <w:t>18.1本工程预算总造价、</w:t>
      </w:r>
      <w:r>
        <w:rPr>
          <w:rFonts w:hint="eastAsia"/>
          <w:color w:val="auto"/>
          <w:szCs w:val="21"/>
          <w:highlight w:val="none"/>
          <w:lang w:eastAsia="zh-CN"/>
        </w:rPr>
        <w:t>最高磋商限价</w:t>
      </w:r>
      <w:r>
        <w:rPr>
          <w:rFonts w:hint="eastAsia" w:ascii="宋体"/>
          <w:color w:val="auto"/>
          <w:szCs w:val="21"/>
          <w:highlight w:val="none"/>
        </w:rPr>
        <w:t>：详见磋商供应商须知前附表第21条。</w:t>
      </w:r>
    </w:p>
    <w:p w14:paraId="4D72A89D">
      <w:pPr>
        <w:spacing w:line="350" w:lineRule="exact"/>
        <w:ind w:firstLine="420" w:firstLineChars="200"/>
        <w:rPr>
          <w:rFonts w:hint="eastAsia" w:ascii="宋体"/>
          <w:color w:val="auto"/>
          <w:szCs w:val="21"/>
          <w:highlight w:val="none"/>
        </w:rPr>
      </w:pPr>
      <w:r>
        <w:rPr>
          <w:rFonts w:hint="eastAsia" w:ascii="宋体"/>
          <w:color w:val="auto"/>
          <w:szCs w:val="21"/>
          <w:highlight w:val="none"/>
        </w:rPr>
        <w:t>18.2磋商报价：</w:t>
      </w:r>
    </w:p>
    <w:p w14:paraId="13384E7C">
      <w:pPr>
        <w:spacing w:line="350" w:lineRule="exact"/>
        <w:ind w:firstLine="420" w:firstLineChars="200"/>
        <w:rPr>
          <w:rFonts w:hint="eastAsia" w:ascii="宋体"/>
          <w:color w:val="auto"/>
          <w:szCs w:val="21"/>
          <w:highlight w:val="none"/>
        </w:rPr>
      </w:pPr>
      <w:r>
        <w:rPr>
          <w:rFonts w:hint="eastAsia" w:ascii="宋体"/>
          <w:color w:val="auto"/>
          <w:szCs w:val="21"/>
          <w:highlight w:val="none"/>
        </w:rPr>
        <w:t>18.2.1供应商应按第五章“工程量清单”的要求填写相应表格。磋商供应商必须就《工程量清单》中所有的工程内容作完整唯一报价，否则，其响应文件无效。响应文件只允许有一个报价，有选择的或有条件的报价将不予接受。</w:t>
      </w:r>
    </w:p>
    <w:p w14:paraId="1079BCAA">
      <w:pPr>
        <w:spacing w:line="350" w:lineRule="exact"/>
        <w:ind w:firstLine="420" w:firstLineChars="200"/>
        <w:rPr>
          <w:rFonts w:hint="eastAsia" w:ascii="宋体"/>
          <w:color w:val="auto"/>
          <w:szCs w:val="21"/>
          <w:highlight w:val="none"/>
        </w:rPr>
      </w:pPr>
      <w:r>
        <w:rPr>
          <w:rFonts w:hint="eastAsia" w:ascii="宋体"/>
          <w:color w:val="auto"/>
          <w:szCs w:val="21"/>
          <w:highlight w:val="none"/>
        </w:rPr>
        <w:t>18.2.2供应商在响应文件提交截止时间前修改报价表中的磋商报价的，应同时修改第五章“工程量清单”中的相应报价。此修改须符合本章第15款的有关要求。</w:t>
      </w:r>
    </w:p>
    <w:p w14:paraId="0D8D83CF">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五、竞争性磋商响应文件的提交</w:t>
      </w:r>
    </w:p>
    <w:p w14:paraId="03B335F6">
      <w:pPr>
        <w:spacing w:line="350" w:lineRule="exact"/>
        <w:ind w:firstLine="435"/>
        <w:rPr>
          <w:rFonts w:hint="eastAsia" w:ascii="宋体" w:cs="宋体"/>
          <w:b/>
          <w:color w:val="auto"/>
          <w:szCs w:val="21"/>
          <w:highlight w:val="none"/>
          <w:lang w:bidi="ar-SA"/>
        </w:rPr>
      </w:pPr>
      <w:r>
        <w:rPr>
          <w:rFonts w:hint="eastAsia" w:ascii="宋体" w:cs="宋体"/>
          <w:b/>
          <w:color w:val="auto"/>
          <w:szCs w:val="21"/>
          <w:highlight w:val="none"/>
          <w:lang w:bidi="ar-SA"/>
        </w:rPr>
        <w:t>19. 响应文件提交截止时间及地点、响应文件解密</w:t>
      </w:r>
    </w:p>
    <w:p w14:paraId="251C83BD">
      <w:pPr>
        <w:tabs>
          <w:tab w:val="left" w:pos="1305"/>
        </w:tabs>
        <w:spacing w:line="350" w:lineRule="exact"/>
        <w:ind w:firstLine="420" w:firstLineChars="200"/>
        <w:rPr>
          <w:rFonts w:hint="eastAsia" w:ascii="宋体" w:cs="宋体"/>
          <w:b/>
          <w:color w:val="auto"/>
          <w:szCs w:val="21"/>
          <w:highlight w:val="none"/>
          <w:lang w:bidi="ar-SA"/>
        </w:rPr>
      </w:pPr>
      <w:r>
        <w:rPr>
          <w:rFonts w:hint="eastAsia" w:ascii="宋体" w:cs="宋体"/>
          <w:color w:val="auto"/>
          <w:szCs w:val="21"/>
          <w:highlight w:val="none"/>
          <w:lang w:bidi="ar-SA"/>
        </w:rPr>
        <w:t>19.1</w:t>
      </w:r>
      <w:r>
        <w:rPr>
          <w:rFonts w:hint="eastAsia" w:ascii="宋体" w:cs="宋体"/>
          <w:b/>
          <w:color w:val="auto"/>
          <w:szCs w:val="21"/>
          <w:highlight w:val="none"/>
          <w:lang w:bidi="ar-SA"/>
        </w:rPr>
        <w:t>响应文件提交截止时间及地点</w:t>
      </w:r>
    </w:p>
    <w:p w14:paraId="57085CFE">
      <w:pPr>
        <w:spacing w:line="340" w:lineRule="exact"/>
        <w:ind w:firstLine="420" w:firstLineChars="200"/>
        <w:rPr>
          <w:rFonts w:hint="eastAsia" w:ascii="宋体"/>
          <w:color w:val="auto"/>
          <w:szCs w:val="21"/>
          <w:highlight w:val="none"/>
        </w:rPr>
      </w:pPr>
      <w:r>
        <w:rPr>
          <w:rFonts w:hint="eastAsia" w:ascii="宋体"/>
          <w:color w:val="auto"/>
          <w:szCs w:val="21"/>
          <w:highlight w:val="none"/>
        </w:rPr>
        <w:t>19.1.1</w:t>
      </w:r>
      <w:r>
        <w:rPr>
          <w:rFonts w:hint="eastAsia" w:ascii="宋体" w:cs="宋体"/>
          <w:color w:val="auto"/>
          <w:spacing w:val="-4"/>
          <w:szCs w:val="21"/>
          <w:highlight w:val="none"/>
          <w:lang w:bidi="ar-SA"/>
        </w:rPr>
        <w:t>响应文件提交</w:t>
      </w:r>
      <w:r>
        <w:rPr>
          <w:rFonts w:hint="eastAsia" w:ascii="宋体"/>
          <w:color w:val="auto"/>
          <w:szCs w:val="21"/>
          <w:highlight w:val="none"/>
        </w:rPr>
        <w:t>截止时间：</w:t>
      </w:r>
      <w:r>
        <w:rPr>
          <w:rFonts w:hint="eastAsia" w:ascii="宋体" w:cs="宋体"/>
          <w:color w:val="auto"/>
          <w:szCs w:val="21"/>
          <w:highlight w:val="none"/>
          <w:lang w:bidi="ar-SA"/>
        </w:rPr>
        <w:t>见磋商供应商须知前附表第21条内容</w:t>
      </w:r>
      <w:r>
        <w:rPr>
          <w:rFonts w:hint="eastAsia" w:ascii="宋体"/>
          <w:color w:val="auto"/>
          <w:szCs w:val="21"/>
          <w:highlight w:val="none"/>
        </w:rPr>
        <w:t>。</w:t>
      </w:r>
    </w:p>
    <w:p w14:paraId="74CB099A">
      <w:pPr>
        <w:tabs>
          <w:tab w:val="left" w:pos="1305"/>
        </w:tabs>
        <w:spacing w:line="350" w:lineRule="exact"/>
        <w:ind w:firstLine="420" w:firstLineChars="200"/>
        <w:rPr>
          <w:rFonts w:hint="eastAsia" w:ascii="宋体"/>
          <w:color w:val="auto"/>
          <w:szCs w:val="21"/>
          <w:highlight w:val="none"/>
        </w:rPr>
      </w:pPr>
      <w:r>
        <w:rPr>
          <w:rFonts w:hint="eastAsia" w:ascii="宋体"/>
          <w:color w:val="auto"/>
          <w:szCs w:val="21"/>
          <w:highlight w:val="none"/>
        </w:rPr>
        <w:t>19.1.2地点（网址）：</w:t>
      </w:r>
      <w:r>
        <w:rPr>
          <w:rFonts w:hint="eastAsia" w:ascii="宋体" w:cs="宋体"/>
          <w:color w:val="auto"/>
          <w:szCs w:val="21"/>
          <w:highlight w:val="none"/>
          <w:lang w:bidi="ar-SA"/>
        </w:rPr>
        <w:t>见磋商供应商须知前附表第21条内容</w:t>
      </w:r>
      <w:r>
        <w:rPr>
          <w:rFonts w:hint="eastAsia" w:ascii="宋体"/>
          <w:color w:val="auto"/>
          <w:szCs w:val="21"/>
          <w:highlight w:val="none"/>
        </w:rPr>
        <w:t>。</w:t>
      </w:r>
    </w:p>
    <w:p w14:paraId="7067362F">
      <w:pPr>
        <w:tabs>
          <w:tab w:val="left" w:pos="1305"/>
        </w:tabs>
        <w:spacing w:line="350" w:lineRule="exact"/>
        <w:ind w:firstLine="420" w:firstLineChars="200"/>
        <w:rPr>
          <w:rFonts w:hint="eastAsia" w:ascii="宋体"/>
          <w:color w:val="auto"/>
          <w:szCs w:val="21"/>
          <w:highlight w:val="none"/>
        </w:rPr>
      </w:pPr>
      <w:r>
        <w:rPr>
          <w:rFonts w:hint="eastAsia" w:ascii="宋体"/>
          <w:color w:val="auto"/>
          <w:szCs w:val="21"/>
          <w:highlight w:val="none"/>
        </w:rPr>
        <w:t>19.1.3除竞争性磋商文件另有规定外，供应商所提交的响应文件不予退还。</w:t>
      </w:r>
    </w:p>
    <w:p w14:paraId="273EC45F">
      <w:pPr>
        <w:tabs>
          <w:tab w:val="left" w:pos="1305"/>
        </w:tabs>
        <w:spacing w:line="350" w:lineRule="exact"/>
        <w:ind w:firstLine="420" w:firstLineChars="200"/>
        <w:rPr>
          <w:rFonts w:hint="eastAsia" w:ascii="宋体"/>
          <w:color w:val="auto"/>
          <w:szCs w:val="21"/>
          <w:highlight w:val="none"/>
        </w:rPr>
      </w:pPr>
      <w:r>
        <w:rPr>
          <w:rFonts w:hint="eastAsia" w:ascii="宋体"/>
          <w:color w:val="auto"/>
          <w:szCs w:val="21"/>
          <w:highlight w:val="none"/>
        </w:rPr>
        <w:t>19.1.4响应文件提交截止时间后提交的响应文件，“广西政府采购云平台”平台将拒收。</w:t>
      </w:r>
    </w:p>
    <w:p w14:paraId="02A5C0F6">
      <w:pPr>
        <w:tabs>
          <w:tab w:val="left" w:pos="1305"/>
        </w:tabs>
        <w:spacing w:line="350" w:lineRule="exact"/>
        <w:ind w:firstLine="420" w:firstLineChars="200"/>
        <w:rPr>
          <w:rFonts w:hint="eastAsia" w:ascii="宋体"/>
          <w:color w:val="auto"/>
          <w:szCs w:val="21"/>
          <w:highlight w:val="none"/>
        </w:rPr>
      </w:pPr>
      <w:r>
        <w:rPr>
          <w:rFonts w:hint="eastAsia" w:ascii="宋体"/>
          <w:color w:val="auto"/>
          <w:szCs w:val="21"/>
          <w:highlight w:val="none"/>
        </w:rPr>
        <w:t>19.1.5如有特殊情况，采购代理机构延长响应文件提交截止时间，采购代理机构和供应商的权利和义务将受到新的响应文件提交截止时间和评审时间的约束。</w:t>
      </w:r>
    </w:p>
    <w:p w14:paraId="6FDDC37A">
      <w:pPr>
        <w:tabs>
          <w:tab w:val="left" w:pos="1305"/>
        </w:tabs>
        <w:spacing w:line="350" w:lineRule="exact"/>
        <w:ind w:firstLine="422" w:firstLineChars="200"/>
        <w:rPr>
          <w:rFonts w:hint="eastAsia" w:ascii="宋体"/>
          <w:color w:val="auto"/>
          <w:szCs w:val="21"/>
          <w:highlight w:val="none"/>
        </w:rPr>
      </w:pPr>
      <w:r>
        <w:rPr>
          <w:rFonts w:hint="eastAsia" w:ascii="宋体" w:cs="宋体"/>
          <w:b/>
          <w:color w:val="auto"/>
          <w:szCs w:val="21"/>
          <w:highlight w:val="none"/>
          <w:lang w:bidi="ar-SA"/>
        </w:rPr>
        <w:t>19.2</w:t>
      </w:r>
      <w:r>
        <w:rPr>
          <w:rFonts w:hint="eastAsia" w:ascii="宋体"/>
          <w:b/>
          <w:color w:val="auto"/>
          <w:szCs w:val="21"/>
          <w:highlight w:val="none"/>
        </w:rPr>
        <w:t>响应文件解密：</w:t>
      </w:r>
      <w:r>
        <w:rPr>
          <w:rFonts w:hint="eastAsia" w:ascii="宋体" w:cs="宋体"/>
          <w:color w:val="auto"/>
          <w:szCs w:val="21"/>
          <w:highlight w:val="none"/>
          <w:lang w:bidi="ar-SA"/>
        </w:rPr>
        <w:t>见</w:t>
      </w:r>
      <w:r>
        <w:rPr>
          <w:rFonts w:hint="eastAsia" w:ascii="宋体"/>
          <w:color w:val="auto"/>
          <w:szCs w:val="21"/>
          <w:highlight w:val="none"/>
        </w:rPr>
        <w:t>磋商</w:t>
      </w:r>
      <w:r>
        <w:rPr>
          <w:rFonts w:hint="eastAsia" w:ascii="宋体" w:cs="宋体"/>
          <w:color w:val="auto"/>
          <w:szCs w:val="21"/>
          <w:highlight w:val="none"/>
          <w:lang w:bidi="ar-SA"/>
        </w:rPr>
        <w:t>供应商须知前附表第24条内容。</w:t>
      </w:r>
    </w:p>
    <w:p w14:paraId="5BA2B7C4">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六、竞争性磋商（简称磋商）与评审</w:t>
      </w:r>
    </w:p>
    <w:p w14:paraId="40F01D4B">
      <w:pPr>
        <w:spacing w:line="400" w:lineRule="exact"/>
        <w:ind w:firstLine="422" w:firstLineChars="200"/>
        <w:rPr>
          <w:rFonts w:hint="eastAsia" w:ascii="宋体"/>
          <w:b/>
          <w:color w:val="auto"/>
          <w:szCs w:val="21"/>
          <w:highlight w:val="none"/>
        </w:rPr>
      </w:pPr>
      <w:r>
        <w:rPr>
          <w:rFonts w:hint="eastAsia" w:ascii="宋体"/>
          <w:b/>
          <w:color w:val="auto"/>
          <w:szCs w:val="21"/>
          <w:highlight w:val="none"/>
        </w:rPr>
        <w:t>20.磋商小组组成</w:t>
      </w:r>
    </w:p>
    <w:p w14:paraId="534B69EF">
      <w:pPr>
        <w:spacing w:line="400" w:lineRule="exact"/>
        <w:ind w:firstLine="420" w:firstLineChars="200"/>
        <w:rPr>
          <w:rFonts w:hint="eastAsia" w:ascii="宋体"/>
          <w:color w:val="auto"/>
          <w:szCs w:val="21"/>
          <w:highlight w:val="none"/>
        </w:rPr>
      </w:pPr>
      <w:r>
        <w:rPr>
          <w:rFonts w:hint="eastAsia" w:ascii="宋体"/>
          <w:color w:val="auto"/>
          <w:szCs w:val="21"/>
          <w:highlight w:val="none"/>
        </w:rPr>
        <w:t>20.1磋商及评审组织工作由采购代理机构负责，具体磋商、评审工作由依法组建的磋商小组负责。</w:t>
      </w:r>
    </w:p>
    <w:p w14:paraId="32D6DE58">
      <w:pPr>
        <w:spacing w:line="400" w:lineRule="exact"/>
        <w:ind w:firstLine="420" w:firstLineChars="200"/>
        <w:rPr>
          <w:rFonts w:hint="eastAsia" w:ascii="宋体"/>
          <w:color w:val="auto"/>
          <w:szCs w:val="21"/>
          <w:highlight w:val="none"/>
        </w:rPr>
      </w:pPr>
      <w:r>
        <w:rPr>
          <w:rFonts w:hint="eastAsia" w:ascii="宋体"/>
          <w:color w:val="auto"/>
          <w:szCs w:val="21"/>
          <w:highlight w:val="none"/>
        </w:rPr>
        <w:t>20.2磋商小组的构成：3人，其中采购人代表1人，评审专家：2人。</w:t>
      </w:r>
    </w:p>
    <w:p w14:paraId="0598CD77">
      <w:pPr>
        <w:spacing w:line="400" w:lineRule="exact"/>
        <w:ind w:firstLine="420" w:firstLineChars="200"/>
        <w:rPr>
          <w:rFonts w:hint="eastAsia" w:ascii="宋体"/>
          <w:color w:val="auto"/>
          <w:szCs w:val="21"/>
          <w:highlight w:val="none"/>
        </w:rPr>
      </w:pPr>
      <w:r>
        <w:rPr>
          <w:rFonts w:hint="eastAsia" w:ascii="宋体"/>
          <w:color w:val="auto"/>
          <w:szCs w:val="21"/>
          <w:highlight w:val="none"/>
        </w:rPr>
        <w:t>20.3专家确定方式：开标前从广西壮族自治区政府采购专家库中通过电脑随机抽取。</w:t>
      </w:r>
    </w:p>
    <w:p w14:paraId="2F942232">
      <w:pPr>
        <w:spacing w:line="400" w:lineRule="exact"/>
        <w:ind w:firstLine="422" w:firstLineChars="200"/>
        <w:rPr>
          <w:rFonts w:hint="eastAsia" w:ascii="宋体"/>
          <w:b/>
          <w:color w:val="auto"/>
          <w:szCs w:val="21"/>
          <w:highlight w:val="none"/>
        </w:rPr>
      </w:pPr>
      <w:r>
        <w:rPr>
          <w:rFonts w:hint="eastAsia" w:ascii="宋体"/>
          <w:b/>
          <w:color w:val="auto"/>
          <w:szCs w:val="21"/>
          <w:highlight w:val="none"/>
        </w:rPr>
        <w:t>21. 响应文件开启、磋商时间、地点、人员</w:t>
      </w:r>
    </w:p>
    <w:p w14:paraId="7AEB9F40">
      <w:pPr>
        <w:spacing w:line="400" w:lineRule="exact"/>
        <w:ind w:firstLine="422" w:firstLineChars="200"/>
        <w:rPr>
          <w:rFonts w:hint="eastAsia" w:ascii="宋体"/>
          <w:b/>
          <w:color w:val="auto"/>
          <w:szCs w:val="21"/>
          <w:highlight w:val="none"/>
        </w:rPr>
      </w:pPr>
      <w:r>
        <w:rPr>
          <w:rFonts w:hint="eastAsia" w:ascii="宋体"/>
          <w:b/>
          <w:color w:val="auto"/>
          <w:szCs w:val="21"/>
          <w:highlight w:val="none"/>
        </w:rPr>
        <w:t>21.1响应文件开启</w:t>
      </w:r>
    </w:p>
    <w:p w14:paraId="70F7D561">
      <w:pPr>
        <w:tabs>
          <w:tab w:val="left" w:pos="1140"/>
        </w:tabs>
        <w:spacing w:line="400" w:lineRule="exact"/>
        <w:ind w:left="420" w:leftChars="200"/>
        <w:rPr>
          <w:rFonts w:hint="eastAsia" w:ascii="宋体"/>
          <w:color w:val="auto"/>
          <w:szCs w:val="21"/>
          <w:highlight w:val="none"/>
        </w:rPr>
      </w:pPr>
      <w:r>
        <w:rPr>
          <w:rFonts w:hint="eastAsia" w:ascii="宋体"/>
          <w:color w:val="auto"/>
          <w:szCs w:val="21"/>
          <w:highlight w:val="none"/>
        </w:rPr>
        <w:t>21</w:t>
      </w:r>
      <w:r>
        <w:rPr>
          <w:rFonts w:hint="eastAsia" w:ascii="宋体"/>
          <w:color w:val="auto"/>
          <w:position w:val="-2"/>
          <w:szCs w:val="21"/>
          <w:highlight w:val="none"/>
        </w:rPr>
        <w:t>.1.1开启时间：本项目响应文件提交截止时间后</w:t>
      </w:r>
      <w:r>
        <w:rPr>
          <w:rFonts w:hint="eastAsia" w:ascii="宋体"/>
          <w:color w:val="auto"/>
          <w:szCs w:val="21"/>
          <w:highlight w:val="none"/>
        </w:rPr>
        <w:t>；</w:t>
      </w:r>
    </w:p>
    <w:p w14:paraId="51108C4D">
      <w:pPr>
        <w:tabs>
          <w:tab w:val="left" w:pos="1140"/>
        </w:tabs>
        <w:spacing w:line="400" w:lineRule="exact"/>
        <w:ind w:firstLine="420" w:firstLineChars="200"/>
        <w:rPr>
          <w:rFonts w:hint="eastAsia" w:ascii="宋体"/>
          <w:color w:val="auto"/>
          <w:szCs w:val="21"/>
          <w:highlight w:val="none"/>
        </w:rPr>
      </w:pPr>
      <w:r>
        <w:rPr>
          <w:rFonts w:hint="eastAsia" w:ascii="宋体"/>
          <w:color w:val="auto"/>
          <w:szCs w:val="21"/>
          <w:highlight w:val="none"/>
        </w:rPr>
        <w:t>21.1.2地点：通过“广西政府采购云平台”平台在线解密开启。</w:t>
      </w:r>
    </w:p>
    <w:p w14:paraId="022F9910">
      <w:pPr>
        <w:spacing w:line="400" w:lineRule="exact"/>
        <w:ind w:firstLine="422" w:firstLineChars="200"/>
        <w:rPr>
          <w:rFonts w:hint="eastAsia" w:ascii="宋体"/>
          <w:color w:val="auto"/>
          <w:szCs w:val="21"/>
          <w:highlight w:val="none"/>
        </w:rPr>
      </w:pPr>
      <w:r>
        <w:rPr>
          <w:rFonts w:hint="eastAsia" w:ascii="宋体"/>
          <w:b/>
          <w:color w:val="auto"/>
          <w:szCs w:val="21"/>
          <w:highlight w:val="none"/>
        </w:rPr>
        <w:t>21.2磋商时间、地点、人员</w:t>
      </w:r>
    </w:p>
    <w:p w14:paraId="1DEB365B">
      <w:pPr>
        <w:spacing w:line="400" w:lineRule="exact"/>
        <w:ind w:firstLine="420" w:firstLineChars="200"/>
        <w:rPr>
          <w:rFonts w:hint="eastAsia" w:ascii="宋体"/>
          <w:color w:val="auto"/>
          <w:szCs w:val="21"/>
          <w:highlight w:val="none"/>
        </w:rPr>
      </w:pPr>
      <w:r>
        <w:rPr>
          <w:rFonts w:hint="eastAsia" w:ascii="宋体"/>
          <w:color w:val="auto"/>
          <w:szCs w:val="21"/>
          <w:highlight w:val="none"/>
        </w:rPr>
        <w:t>21.2.1磋商时间：见磋商供应商须知前附表第26条内容。</w:t>
      </w:r>
    </w:p>
    <w:p w14:paraId="34A3B442">
      <w:pPr>
        <w:spacing w:line="400" w:lineRule="exact"/>
        <w:ind w:firstLine="420" w:firstLineChars="200"/>
        <w:rPr>
          <w:rFonts w:hint="eastAsia" w:ascii="宋体"/>
          <w:color w:val="auto"/>
          <w:szCs w:val="21"/>
          <w:highlight w:val="none"/>
        </w:rPr>
      </w:pPr>
      <w:r>
        <w:rPr>
          <w:rFonts w:hint="eastAsia" w:ascii="宋体"/>
          <w:color w:val="auto"/>
          <w:szCs w:val="21"/>
          <w:highlight w:val="none"/>
        </w:rPr>
        <w:t>21.2.2磋商地点：</w:t>
      </w:r>
      <w:r>
        <w:rPr>
          <w:rFonts w:hint="eastAsia" w:ascii="宋体" w:cs="宋体"/>
          <w:color w:val="auto"/>
          <w:szCs w:val="21"/>
          <w:highlight w:val="none"/>
          <w:lang w:bidi="ar-SA"/>
        </w:rPr>
        <w:t>见</w:t>
      </w:r>
      <w:r>
        <w:rPr>
          <w:rFonts w:hint="eastAsia" w:ascii="宋体"/>
          <w:color w:val="auto"/>
          <w:szCs w:val="21"/>
          <w:highlight w:val="none"/>
        </w:rPr>
        <w:t>磋商</w:t>
      </w:r>
      <w:r>
        <w:rPr>
          <w:rFonts w:hint="eastAsia" w:ascii="宋体" w:cs="宋体"/>
          <w:color w:val="auto"/>
          <w:szCs w:val="21"/>
          <w:highlight w:val="none"/>
          <w:lang w:bidi="ar-SA"/>
        </w:rPr>
        <w:t>供应商须知前附表第26条内容</w:t>
      </w:r>
      <w:r>
        <w:rPr>
          <w:rFonts w:hint="eastAsia" w:ascii="宋体"/>
          <w:color w:val="auto"/>
          <w:szCs w:val="21"/>
          <w:highlight w:val="none"/>
        </w:rPr>
        <w:t>；</w:t>
      </w:r>
    </w:p>
    <w:p w14:paraId="7E0B0C13">
      <w:pPr>
        <w:spacing w:line="400" w:lineRule="exact"/>
        <w:ind w:firstLine="420" w:firstLineChars="200"/>
        <w:rPr>
          <w:rFonts w:hint="eastAsia" w:ascii="宋体" w:cs="宋体"/>
          <w:color w:val="auto"/>
          <w:szCs w:val="21"/>
          <w:highlight w:val="none"/>
          <w:lang w:bidi="ar-SA"/>
        </w:rPr>
      </w:pPr>
      <w:r>
        <w:rPr>
          <w:rFonts w:hint="eastAsia" w:ascii="宋体"/>
          <w:color w:val="auto"/>
          <w:szCs w:val="21"/>
          <w:highlight w:val="none"/>
        </w:rPr>
        <w:t>21.2.3磋商参加人员：</w:t>
      </w:r>
      <w:r>
        <w:rPr>
          <w:rFonts w:hint="eastAsia" w:ascii="宋体" w:cs="宋体"/>
          <w:color w:val="auto"/>
          <w:szCs w:val="21"/>
          <w:highlight w:val="none"/>
          <w:lang w:bidi="ar-SA"/>
        </w:rPr>
        <w:t>见</w:t>
      </w:r>
      <w:r>
        <w:rPr>
          <w:rFonts w:hint="eastAsia" w:ascii="宋体"/>
          <w:color w:val="auto"/>
          <w:szCs w:val="21"/>
          <w:highlight w:val="none"/>
        </w:rPr>
        <w:t>磋商</w:t>
      </w:r>
      <w:r>
        <w:rPr>
          <w:rFonts w:hint="eastAsia" w:ascii="宋体" w:cs="宋体"/>
          <w:color w:val="auto"/>
          <w:szCs w:val="21"/>
          <w:highlight w:val="none"/>
          <w:lang w:bidi="ar-SA"/>
        </w:rPr>
        <w:t>供应商须知前附表第26条内容；</w:t>
      </w:r>
    </w:p>
    <w:p w14:paraId="5CCD19B9">
      <w:pPr>
        <w:spacing w:line="400" w:lineRule="exact"/>
        <w:ind w:firstLine="422" w:firstLineChars="200"/>
        <w:rPr>
          <w:rFonts w:hint="eastAsia" w:ascii="宋体"/>
          <w:color w:val="auto"/>
          <w:szCs w:val="21"/>
          <w:highlight w:val="none"/>
        </w:rPr>
      </w:pPr>
      <w:r>
        <w:rPr>
          <w:rFonts w:hint="eastAsia" w:ascii="宋体"/>
          <w:b/>
          <w:color w:val="auto"/>
          <w:szCs w:val="21"/>
          <w:highlight w:val="none"/>
        </w:rPr>
        <w:t>21.2.4本项目需要供应商代表在响应文件提交截止时间当天，按磋商小组要求及时登录“广西政府采购云平台”平台等候在线磋商及提交最后报价。</w:t>
      </w:r>
    </w:p>
    <w:p w14:paraId="7C6BC627">
      <w:pPr>
        <w:tabs>
          <w:tab w:val="left" w:pos="1140"/>
        </w:tabs>
        <w:spacing w:line="350" w:lineRule="exact"/>
        <w:ind w:left="420" w:leftChars="172" w:hanging="59" w:hangingChars="28"/>
        <w:rPr>
          <w:rFonts w:hint="eastAsia" w:ascii="宋体"/>
          <w:b/>
          <w:color w:val="auto"/>
          <w:szCs w:val="21"/>
          <w:highlight w:val="none"/>
        </w:rPr>
      </w:pPr>
      <w:r>
        <w:rPr>
          <w:rFonts w:hint="eastAsia" w:ascii="宋体"/>
          <w:b/>
          <w:color w:val="auto"/>
          <w:szCs w:val="21"/>
          <w:highlight w:val="none"/>
        </w:rPr>
        <w:t>22.评审原则和评审办法</w:t>
      </w:r>
    </w:p>
    <w:p w14:paraId="531ED14C">
      <w:pPr>
        <w:tabs>
          <w:tab w:val="left" w:pos="1140"/>
        </w:tabs>
        <w:spacing w:line="350" w:lineRule="exact"/>
        <w:ind w:firstLine="359" w:firstLineChars="171"/>
        <w:rPr>
          <w:rFonts w:hint="eastAsia" w:ascii="宋体"/>
          <w:color w:val="auto"/>
          <w:szCs w:val="21"/>
          <w:highlight w:val="none"/>
        </w:rPr>
      </w:pPr>
      <w:r>
        <w:rPr>
          <w:rFonts w:hint="eastAsia" w:ascii="宋体"/>
          <w:color w:val="auto"/>
          <w:szCs w:val="21"/>
          <w:highlight w:val="none"/>
        </w:rPr>
        <w:t>22.1磋商小组必须坚持公平、公正、科学和择优的原则。</w:t>
      </w:r>
    </w:p>
    <w:p w14:paraId="6A429FFE">
      <w:pPr>
        <w:tabs>
          <w:tab w:val="left" w:pos="1140"/>
        </w:tabs>
        <w:spacing w:line="350" w:lineRule="exact"/>
        <w:ind w:firstLine="359" w:firstLineChars="171"/>
        <w:rPr>
          <w:rFonts w:hint="eastAsia" w:ascii="宋体"/>
          <w:color w:val="auto"/>
          <w:szCs w:val="21"/>
          <w:highlight w:val="none"/>
        </w:rPr>
      </w:pPr>
      <w:r>
        <w:rPr>
          <w:rFonts w:hint="eastAsia" w:ascii="宋体"/>
          <w:color w:val="auto"/>
          <w:szCs w:val="21"/>
          <w:highlight w:val="none"/>
        </w:rPr>
        <w:t>22.2评审办法：详见供应商须知前附表第27条。</w:t>
      </w:r>
    </w:p>
    <w:p w14:paraId="68EEA84D">
      <w:pPr>
        <w:pStyle w:val="12"/>
        <w:spacing w:line="350" w:lineRule="exact"/>
        <w:ind w:firstLine="359" w:firstLineChars="171"/>
        <w:rPr>
          <w:color w:val="auto"/>
          <w:highlight w:val="none"/>
        </w:rPr>
      </w:pPr>
      <w:r>
        <w:rPr>
          <w:rFonts w:hint="eastAsia"/>
          <w:color w:val="auto"/>
          <w:highlight w:val="none"/>
        </w:rPr>
        <w:t>22.3磋商小组应按竞争性磋商文件进行评标，不得擅自更改评审办法。</w:t>
      </w:r>
    </w:p>
    <w:p w14:paraId="5000E1FD">
      <w:pPr>
        <w:pStyle w:val="12"/>
        <w:spacing w:line="350" w:lineRule="exact"/>
        <w:ind w:firstLine="359" w:firstLineChars="171"/>
        <w:rPr>
          <w:color w:val="auto"/>
          <w:highlight w:val="none"/>
        </w:rPr>
      </w:pPr>
      <w:r>
        <w:rPr>
          <w:rFonts w:hint="eastAsia"/>
          <w:color w:val="auto"/>
          <w:highlight w:val="none"/>
        </w:rPr>
        <w:t>22.4在评审过程中，磋商小组任何人不得对某个供应商发表任何倾向性意见，不得向其他磋商小组成员明示或者暗示自己的评审意见。</w:t>
      </w:r>
    </w:p>
    <w:p w14:paraId="35AA7818">
      <w:pPr>
        <w:tabs>
          <w:tab w:val="left" w:pos="1140"/>
        </w:tabs>
        <w:spacing w:line="350" w:lineRule="exact"/>
        <w:ind w:firstLine="359" w:firstLineChars="171"/>
        <w:rPr>
          <w:rFonts w:hint="eastAsia" w:ascii="宋体"/>
          <w:color w:val="auto"/>
          <w:szCs w:val="21"/>
          <w:highlight w:val="none"/>
        </w:rPr>
      </w:pPr>
      <w:r>
        <w:rPr>
          <w:rFonts w:hint="eastAsia" w:ascii="宋体"/>
          <w:color w:val="auto"/>
          <w:szCs w:val="21"/>
          <w:highlight w:val="none"/>
        </w:rPr>
        <w:t>22.5磋商小组成员对需要共同认定的事项存在争议的，按照少数服从多数的原则作出结论。持不同意见的磋商小组成员应当在评审报告上签署不同意见并说明理由，否则视为同意。</w:t>
      </w:r>
    </w:p>
    <w:p w14:paraId="612980BD">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23.磋商程序及评审</w:t>
      </w:r>
    </w:p>
    <w:p w14:paraId="6D28B4E7">
      <w:pPr>
        <w:spacing w:line="400" w:lineRule="exact"/>
        <w:ind w:firstLine="420" w:firstLineChars="200"/>
        <w:rPr>
          <w:rFonts w:hint="eastAsia" w:ascii="宋体"/>
          <w:color w:val="auto"/>
          <w:szCs w:val="21"/>
          <w:highlight w:val="none"/>
        </w:rPr>
      </w:pPr>
      <w:r>
        <w:rPr>
          <w:rFonts w:hint="eastAsia" w:ascii="宋体"/>
          <w:color w:val="auto"/>
          <w:szCs w:val="21"/>
          <w:highlight w:val="none"/>
        </w:rPr>
        <w:t>23.1采购代理机构核实磋商小组成员身份，告知回避要求，宣布评审工作纪律和程序，统一保管通讯工具或相关电子设备，推选磋商小组组长。</w:t>
      </w:r>
    </w:p>
    <w:p w14:paraId="614D1416">
      <w:pPr>
        <w:spacing w:line="400" w:lineRule="exact"/>
        <w:ind w:firstLine="420" w:firstLineChars="200"/>
        <w:rPr>
          <w:rFonts w:hint="eastAsia" w:ascii="宋体"/>
          <w:color w:val="auto"/>
          <w:szCs w:val="21"/>
          <w:highlight w:val="none"/>
        </w:rPr>
      </w:pPr>
      <w:r>
        <w:rPr>
          <w:rFonts w:hint="eastAsia" w:ascii="宋体"/>
          <w:color w:val="auto"/>
          <w:szCs w:val="21"/>
          <w:highlight w:val="none"/>
        </w:rPr>
        <w:t>在磋商正式开始前由磋商小组对竞争性磋商文件进行确认，认可竞争性磋商文件的内容符合法律法规的规定、不存在歧视性或排他性内容。</w:t>
      </w:r>
    </w:p>
    <w:p w14:paraId="730925BC">
      <w:pPr>
        <w:spacing w:line="400" w:lineRule="exact"/>
        <w:ind w:firstLine="420" w:firstLineChars="200"/>
        <w:rPr>
          <w:rFonts w:hint="eastAsia" w:ascii="宋体"/>
          <w:color w:val="auto"/>
          <w:szCs w:val="21"/>
          <w:highlight w:val="none"/>
        </w:rPr>
      </w:pPr>
      <w:r>
        <w:rPr>
          <w:rFonts w:hint="eastAsia" w:ascii="宋体"/>
          <w:color w:val="auto"/>
          <w:szCs w:val="21"/>
          <w:highlight w:val="none"/>
        </w:rPr>
        <w:t>23.2对响应文件的资格性与符合性审查</w:t>
      </w:r>
    </w:p>
    <w:p w14:paraId="15929E9B">
      <w:pPr>
        <w:spacing w:line="380" w:lineRule="exact"/>
        <w:ind w:firstLine="420" w:firstLineChars="200"/>
        <w:rPr>
          <w:rFonts w:hint="eastAsia" w:ascii="宋体"/>
          <w:color w:val="auto"/>
          <w:szCs w:val="21"/>
          <w:highlight w:val="none"/>
        </w:rPr>
      </w:pPr>
      <w:r>
        <w:rPr>
          <w:rFonts w:hint="eastAsia" w:ascii="宋体"/>
          <w:color w:val="auto"/>
          <w:szCs w:val="21"/>
          <w:highlight w:val="none"/>
        </w:rPr>
        <w:t>磋商小组对供应商资格条件和响应文件的有效性、完整性和响应程度进行审查。</w:t>
      </w:r>
    </w:p>
    <w:p w14:paraId="713A70E1">
      <w:pPr>
        <w:spacing w:line="380" w:lineRule="exact"/>
        <w:ind w:firstLine="315" w:firstLineChars="150"/>
        <w:rPr>
          <w:rFonts w:hint="eastAsia" w:ascii="宋体"/>
          <w:color w:val="auto"/>
          <w:kern w:val="0"/>
          <w:highlight w:val="none"/>
        </w:rPr>
      </w:pPr>
      <w:r>
        <w:rPr>
          <w:rFonts w:hint="eastAsia" w:ascii="宋体" w:cs="宋体"/>
          <w:color w:val="auto"/>
          <w:kern w:val="0"/>
          <w:highlight w:val="none"/>
          <w:lang w:bidi="ar-SA"/>
        </w:rPr>
        <w:t>在进行资格性审查时，磋商小组将进入《国家企业信用信息公示系统》对企业股东及出资等信息进行查询，对存在《中华人民共和国政府采购法实施条例》第十八条第一款情形的，其响应文件将被视为无效文件。</w:t>
      </w:r>
    </w:p>
    <w:p w14:paraId="39D49D9F">
      <w:pPr>
        <w:spacing w:line="380" w:lineRule="exact"/>
        <w:ind w:firstLine="315" w:firstLineChars="150"/>
        <w:rPr>
          <w:rFonts w:hint="eastAsia" w:ascii="宋体"/>
          <w:color w:val="auto"/>
          <w:kern w:val="0"/>
          <w:highlight w:val="none"/>
        </w:rPr>
      </w:pPr>
      <w:r>
        <w:rPr>
          <w:rFonts w:hint="eastAsia" w:ascii="宋体" w:cs="宋体"/>
          <w:color w:val="auto"/>
          <w:kern w:val="0"/>
          <w:highlight w:val="none"/>
          <w:lang w:bidi="ar-SA"/>
        </w:rPr>
        <w:t>审查流程</w:t>
      </w:r>
    </w:p>
    <w:p w14:paraId="060FA101">
      <w:pPr>
        <w:spacing w:line="380" w:lineRule="exact"/>
        <w:ind w:firstLine="315" w:firstLineChars="150"/>
        <w:rPr>
          <w:rFonts w:hint="eastAsia" w:ascii="宋体"/>
          <w:color w:val="auto"/>
          <w:kern w:val="0"/>
          <w:highlight w:val="none"/>
        </w:rPr>
      </w:pPr>
      <w:r>
        <w:rPr>
          <w:rFonts w:hint="eastAsia" w:ascii="宋体" w:cs="宋体"/>
          <w:color w:val="auto"/>
          <w:kern w:val="0"/>
          <w:highlight w:val="none"/>
          <w:lang w:bidi="ar-SA"/>
        </w:rPr>
        <w:t>(1)进入《国家企业信用信息公示系统》（网址：http：//www.gsxt.gov.cn/index.html），输入企业名称，进入企业信息主页面。</w:t>
      </w:r>
    </w:p>
    <w:p w14:paraId="6FD0890E">
      <w:pPr>
        <w:spacing w:line="380" w:lineRule="exact"/>
        <w:ind w:firstLine="315" w:firstLineChars="150"/>
        <w:rPr>
          <w:rFonts w:hint="eastAsia" w:ascii="宋体"/>
          <w:color w:val="auto"/>
          <w:kern w:val="0"/>
          <w:highlight w:val="none"/>
        </w:rPr>
      </w:pPr>
      <w:r>
        <w:rPr>
          <w:rFonts w:hint="eastAsia" w:ascii="宋体" w:cs="宋体"/>
          <w:color w:val="auto"/>
          <w:kern w:val="0"/>
          <w:highlight w:val="none"/>
          <w:lang w:bidi="ar-SA"/>
        </w:rPr>
        <w:t>(2)查看主页“股东及出资信息”栏，或年报中的“股东及出资信息”栏信息。</w:t>
      </w:r>
    </w:p>
    <w:p w14:paraId="0482714C">
      <w:pPr>
        <w:spacing w:line="360" w:lineRule="exact"/>
        <w:ind w:firstLine="315" w:firstLineChars="150"/>
        <w:rPr>
          <w:rFonts w:hint="eastAsia" w:ascii="宋体"/>
          <w:color w:val="auto"/>
          <w:kern w:val="0"/>
          <w:highlight w:val="none"/>
        </w:rPr>
      </w:pPr>
      <w:r>
        <w:rPr>
          <w:rFonts w:hint="eastAsia" w:ascii="宋体" w:cs="宋体"/>
          <w:color w:val="auto"/>
          <w:kern w:val="0"/>
          <w:highlight w:val="none"/>
          <w:lang w:bidi="ar-SA"/>
        </w:rPr>
        <w:t>(3)将各供应商的股东及出资信息进行比对，如发现存在单位负责人为同一人或者存在直接控股、管理关系的不同供应商参加同一合同项下的政府采购活动，按无效处理。</w:t>
      </w:r>
    </w:p>
    <w:p w14:paraId="2AF62D65">
      <w:pPr>
        <w:spacing w:line="360" w:lineRule="exact"/>
        <w:ind w:firstLine="315" w:firstLineChars="150"/>
        <w:rPr>
          <w:rFonts w:hint="eastAsia" w:ascii="宋体" w:cs="宋体"/>
          <w:color w:val="auto"/>
          <w:kern w:val="0"/>
          <w:highlight w:val="none"/>
          <w:lang w:bidi="ar-SA"/>
        </w:rPr>
      </w:pPr>
      <w:r>
        <w:rPr>
          <w:rFonts w:hint="eastAsia" w:ascii="宋体" w:cs="宋体"/>
          <w:color w:val="auto"/>
          <w:kern w:val="0"/>
          <w:highlight w:val="none"/>
          <w:lang w:bidi="ar-SA"/>
        </w:rPr>
        <w:t>(4)将相关资料打印存档。</w:t>
      </w:r>
    </w:p>
    <w:p w14:paraId="0F0A97B3">
      <w:pPr>
        <w:tabs>
          <w:tab w:val="left" w:pos="1140"/>
        </w:tabs>
        <w:spacing w:line="350" w:lineRule="exact"/>
        <w:ind w:firstLine="422" w:firstLineChars="200"/>
        <w:rPr>
          <w:rFonts w:hint="eastAsia" w:ascii="宋体"/>
          <w:b/>
          <w:color w:val="auto"/>
          <w:szCs w:val="21"/>
          <w:highlight w:val="none"/>
        </w:rPr>
      </w:pPr>
      <w:r>
        <w:rPr>
          <w:rFonts w:hint="eastAsia" w:ascii="宋体"/>
          <w:b/>
          <w:color w:val="auto"/>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14:paraId="7BDA41CF">
      <w:pPr>
        <w:spacing w:line="360" w:lineRule="exact"/>
        <w:ind w:firstLine="420" w:firstLineChars="200"/>
        <w:rPr>
          <w:rFonts w:hint="eastAsia" w:ascii="宋体" w:cs="宋体"/>
          <w:color w:val="auto"/>
          <w:highlight w:val="none"/>
          <w:lang w:bidi="ar-SA"/>
        </w:rPr>
      </w:pPr>
      <w:r>
        <w:rPr>
          <w:rFonts w:hint="eastAsia" w:ascii="宋体" w:cs="宋体"/>
          <w:color w:val="auto"/>
          <w:highlight w:val="none"/>
          <w:lang w:bidi="ar-SA"/>
        </w:rPr>
        <w:t>再对通过资格性审查的供应商响应文件的有效性、完整性和对磋商文件的响应程度进行符合性审查，以确定是否对磋商文件的实质性要求做出响应。</w:t>
      </w:r>
    </w:p>
    <w:p w14:paraId="56FD15B8">
      <w:pPr>
        <w:spacing w:line="380" w:lineRule="exact"/>
        <w:ind w:firstLine="420" w:firstLineChars="200"/>
        <w:rPr>
          <w:rFonts w:hint="eastAsia" w:ascii="宋体"/>
          <w:color w:val="auto"/>
          <w:szCs w:val="21"/>
          <w:highlight w:val="none"/>
        </w:rPr>
      </w:pPr>
      <w:r>
        <w:rPr>
          <w:rFonts w:hint="eastAsia" w:ascii="宋体"/>
          <w:color w:val="auto"/>
          <w:szCs w:val="21"/>
          <w:highlight w:val="none"/>
        </w:rPr>
        <w:t>23.3响应文件的澄清</w:t>
      </w:r>
    </w:p>
    <w:p w14:paraId="08F20819">
      <w:pPr>
        <w:widowControl/>
        <w:tabs>
          <w:tab w:val="left" w:pos="540"/>
        </w:tabs>
        <w:spacing w:line="400" w:lineRule="exact"/>
        <w:ind w:firstLine="422" w:firstLineChars="200"/>
        <w:jc w:val="left"/>
        <w:rPr>
          <w:rFonts w:hint="eastAsia" w:ascii="宋体"/>
          <w:b/>
          <w:bCs/>
          <w:color w:val="auto"/>
          <w:szCs w:val="21"/>
          <w:highlight w:val="none"/>
        </w:rPr>
      </w:pPr>
      <w:r>
        <w:rPr>
          <w:rFonts w:hint="eastAsia" w:ascii="宋体" w:hAnsi="宋体" w:eastAsia="宋体" w:cs="宋体"/>
          <w:b/>
          <w:bCs/>
          <w:color w:val="auto"/>
          <w:szCs w:val="21"/>
          <w:highlight w:val="none"/>
        </w:rPr>
        <w:t>磋商小组如发现供应商提供的证明文件不齐全或不符合规定格式的，应一次性告知供应商，供应商应在规定的时间内</w:t>
      </w:r>
      <w:r>
        <w:rPr>
          <w:rFonts w:hint="eastAsia" w:ascii="宋体" w:hAnsi="宋体" w:eastAsia="宋体" w:cs="宋体"/>
          <w:b/>
          <w:bCs/>
          <w:color w:val="auto"/>
          <w:szCs w:val="21"/>
          <w:highlight w:val="none"/>
          <w:lang w:eastAsia="zh-CN"/>
        </w:rPr>
        <w:t>线上</w:t>
      </w:r>
      <w:r>
        <w:rPr>
          <w:rFonts w:hint="eastAsia" w:ascii="宋体" w:hAnsi="宋体" w:eastAsia="宋体" w:cs="宋体"/>
          <w:b/>
          <w:bCs/>
          <w:color w:val="auto"/>
          <w:szCs w:val="21"/>
          <w:highlight w:val="none"/>
        </w:rPr>
        <w:t>补正或更正。</w:t>
      </w:r>
    </w:p>
    <w:p w14:paraId="31D184C7">
      <w:pPr>
        <w:widowControl/>
        <w:tabs>
          <w:tab w:val="left" w:pos="540"/>
        </w:tabs>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磋商小组在对响应文件的有效性、完整性和响应程度进行审查时，可以要求供应商对响应文件中含义不明确、同类问题表述不一致或者有明显文字和计算错误或供应商</w:t>
      </w:r>
      <w:r>
        <w:rPr>
          <w:rFonts w:hint="eastAsia" w:ascii="宋体" w:cs="MingLiU"/>
          <w:color w:val="auto"/>
          <w:kern w:val="0"/>
          <w:szCs w:val="21"/>
          <w:highlight w:val="none"/>
          <w:lang w:bidi="ar-SA"/>
        </w:rPr>
        <w:t>已标价工程量清单的项目名称或项目特征与招标工程量清单不一致</w:t>
      </w:r>
      <w:r>
        <w:rPr>
          <w:rFonts w:hint="eastAsia" w:ascii="宋体"/>
          <w:color w:val="auto"/>
          <w:szCs w:val="21"/>
          <w:highlight w:val="none"/>
        </w:rPr>
        <w:t>等内容作出必要的澄清、说明或者更正。</w:t>
      </w:r>
    </w:p>
    <w:p w14:paraId="2F7CBB14">
      <w:pPr>
        <w:widowControl/>
        <w:tabs>
          <w:tab w:val="left" w:pos="540"/>
        </w:tabs>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供应商的澄清、说明或者更正不得超出响应文件的范围或者改变响应文件的实质性内容。澄清、说明或者更正应当采用书面形式，并由其法定代表人或授权委托代表签字（或加盖个人CA证书签章）或加盖供应商CA证书签章。</w:t>
      </w:r>
    </w:p>
    <w:p w14:paraId="6C82AB1C">
      <w:pPr>
        <w:spacing w:line="350" w:lineRule="exact"/>
        <w:ind w:firstLine="422" w:firstLineChars="200"/>
        <w:rPr>
          <w:rFonts w:hint="eastAsia" w:ascii="宋体"/>
          <w:b/>
          <w:color w:val="auto"/>
          <w:szCs w:val="21"/>
          <w:highlight w:val="none"/>
        </w:rPr>
      </w:pPr>
      <w:r>
        <w:rPr>
          <w:rFonts w:hint="eastAsia"/>
          <w:b/>
          <w:color w:val="auto"/>
          <w:szCs w:val="21"/>
          <w:highlight w:val="none"/>
        </w:rPr>
        <w:t>对未通过资格性审查或符合性审查的供应商，由磋商小组应当以电话或通过“广西政府采购云平台”平台告知供应商未通过的原因并做相应记录。</w:t>
      </w:r>
    </w:p>
    <w:p w14:paraId="5DCB336A">
      <w:pPr>
        <w:widowControl/>
        <w:tabs>
          <w:tab w:val="left" w:pos="540"/>
        </w:tabs>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23.4磋商</w:t>
      </w:r>
    </w:p>
    <w:p w14:paraId="51CD2DD6">
      <w:pPr>
        <w:widowControl/>
        <w:tabs>
          <w:tab w:val="left" w:pos="540"/>
        </w:tabs>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23.4.1磋商小组所有成员应当按已确定的磋商顺序分别与单一供应商分别进行磋商，并给予所有实质性响应竞争性磋商文件要求的供应商平等的磋商机会。</w:t>
      </w:r>
    </w:p>
    <w:p w14:paraId="381518AC">
      <w:pPr>
        <w:widowControl/>
        <w:tabs>
          <w:tab w:val="left" w:pos="540"/>
        </w:tabs>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23.4.2在磋商过程中，磋商小组可以根据竞争性磋商文件和磋商情况实质性变动采购需求中的技术、服务要求以及合同草案条款，但不得变动竞争性磋商文件中的其他内容。实质性变动的内容，须经采购人代表确认。</w:t>
      </w:r>
    </w:p>
    <w:p w14:paraId="54D37077">
      <w:pPr>
        <w:widowControl/>
        <w:tabs>
          <w:tab w:val="left" w:pos="540"/>
        </w:tabs>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对竞争性磋商文件作出的实质性变动是竞争性磋商文件的有效组成部分，磋商小组应当通过“广西政府采购云平台”平台告知知所有参加磋商的供应商。</w:t>
      </w:r>
    </w:p>
    <w:p w14:paraId="1DA66911">
      <w:pPr>
        <w:widowControl/>
        <w:tabs>
          <w:tab w:val="left" w:pos="540"/>
        </w:tabs>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供应商应当按照磋商文件的变动情况和磋商小组的要求在“广西政府采购云平台”平台中重新提交响应文件，并由其法定代表人或授权委托代表签字（或加盖个人CA证书签章）或加盖供应商CA证书签章。逾时未提交的，视同放弃磋商。重新提交的响应文件与竞争性磋商响应文件同具法律效力。</w:t>
      </w:r>
    </w:p>
    <w:p w14:paraId="3B61E17E">
      <w:pPr>
        <w:widowControl/>
        <w:tabs>
          <w:tab w:val="left" w:pos="540"/>
        </w:tabs>
        <w:spacing w:line="400" w:lineRule="exact"/>
        <w:ind w:firstLine="420" w:firstLineChars="200"/>
        <w:jc w:val="left"/>
        <w:rPr>
          <w:rFonts w:hint="eastAsia" w:ascii="宋体"/>
          <w:color w:val="auto"/>
          <w:szCs w:val="21"/>
          <w:highlight w:val="none"/>
        </w:rPr>
      </w:pPr>
      <w:r>
        <w:rPr>
          <w:rFonts w:hint="eastAsia" w:ascii="宋体"/>
          <w:color w:val="auto"/>
          <w:szCs w:val="21"/>
          <w:highlight w:val="none"/>
        </w:rPr>
        <w:t>磋商中，磋商小组不得透露与磋商有关的其他供应商的技术资料、价格和其他信息。</w:t>
      </w:r>
    </w:p>
    <w:p w14:paraId="618E7EC1">
      <w:pPr>
        <w:widowControl/>
        <w:spacing w:line="350" w:lineRule="exact"/>
        <w:ind w:firstLine="420" w:firstLineChars="200"/>
        <w:jc w:val="left"/>
        <w:rPr>
          <w:rFonts w:hint="eastAsia" w:ascii="宋体"/>
          <w:color w:val="auto"/>
          <w:kern w:val="0"/>
          <w:szCs w:val="21"/>
          <w:highlight w:val="none"/>
        </w:rPr>
      </w:pPr>
      <w:r>
        <w:rPr>
          <w:rFonts w:hint="eastAsia" w:ascii="宋体"/>
          <w:color w:val="auto"/>
          <w:kern w:val="0"/>
          <w:szCs w:val="21"/>
          <w:highlight w:val="none"/>
        </w:rPr>
        <w:t>23.5最后报价</w:t>
      </w:r>
    </w:p>
    <w:p w14:paraId="221C56BB">
      <w:pPr>
        <w:widowControl/>
        <w:tabs>
          <w:tab w:val="left" w:pos="540"/>
        </w:tabs>
        <w:spacing w:line="350" w:lineRule="exact"/>
        <w:ind w:firstLine="420" w:firstLineChars="200"/>
        <w:jc w:val="left"/>
        <w:rPr>
          <w:rFonts w:hint="eastAsia" w:ascii="宋体"/>
          <w:color w:val="auto"/>
          <w:kern w:val="0"/>
          <w:szCs w:val="21"/>
          <w:highlight w:val="none"/>
        </w:rPr>
      </w:pPr>
      <w:r>
        <w:rPr>
          <w:rFonts w:hint="eastAsia" w:ascii="宋体"/>
          <w:color w:val="auto"/>
          <w:kern w:val="0"/>
          <w:szCs w:val="21"/>
          <w:highlight w:val="none"/>
        </w:rPr>
        <w:t>23.5.1磋商结束后，磋商小组应当要求所有继续参加磋商的供应商在“广西政府采购云平台”平台规定时间内线上提交最后报价，提交最后报价的供应商不得少于3家。</w:t>
      </w:r>
    </w:p>
    <w:p w14:paraId="2ABFC390">
      <w:pPr>
        <w:widowControl/>
        <w:tabs>
          <w:tab w:val="left" w:pos="540"/>
        </w:tabs>
        <w:spacing w:line="350" w:lineRule="exact"/>
        <w:ind w:firstLine="422" w:firstLineChars="200"/>
        <w:jc w:val="left"/>
        <w:rPr>
          <w:rFonts w:hint="eastAsia" w:ascii="宋体"/>
          <w:b/>
          <w:color w:val="auto"/>
          <w:szCs w:val="21"/>
          <w:highlight w:val="none"/>
        </w:rPr>
      </w:pPr>
      <w:r>
        <w:rPr>
          <w:rFonts w:hint="eastAsia" w:ascii="宋体"/>
          <w:b/>
          <w:color w:val="auto"/>
          <w:szCs w:val="21"/>
          <w:highlight w:val="none"/>
        </w:rPr>
        <w:t>在最后报价过程中，如供应商维持磋商报价不变，以第一次磋商报价作为供应商最后报价；如供应商需要改变原磋商报价时，供应商应采用综合单价进行工程量清单报价，不得采用总价让利或以百分比让利等形式进行报价，供应商应预先准备好调整后的报价清单计价表，在磋商小组或采购代理机构开启新一轮报价时，通过政采云平台“上传附件”功能上传。如供应商在磋商过程中，改变原报价且未按竞争性磋商采购文件要求提供调整后的报价清单计价表的，其报价不予认可，视供应商维持原磋商报价不变。</w:t>
      </w:r>
    </w:p>
    <w:p w14:paraId="45147792">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供应商未在</w:t>
      </w:r>
      <w:r>
        <w:rPr>
          <w:rFonts w:hint="eastAsia" w:cs="宋体"/>
          <w:bCs/>
          <w:color w:val="auto"/>
          <w:szCs w:val="21"/>
          <w:highlight w:val="none"/>
          <w:lang w:bidi="ar-SA"/>
        </w:rPr>
        <w:t>“广西政府采购云平台”平台</w:t>
      </w:r>
      <w:r>
        <w:rPr>
          <w:rFonts w:hint="eastAsia" w:ascii="宋体" w:cs="宋体"/>
          <w:color w:val="auto"/>
          <w:kern w:val="0"/>
          <w:szCs w:val="21"/>
          <w:highlight w:val="none"/>
          <w:lang w:bidi="ar-SA"/>
        </w:rPr>
        <w:t>规定时间内线上提交最后报价的，视同放弃最后报价权利，其响应文件作无效处理。</w:t>
      </w:r>
    </w:p>
    <w:p w14:paraId="0AAE0A8B">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olor w:val="auto"/>
          <w:szCs w:val="21"/>
          <w:highlight w:val="none"/>
        </w:rPr>
        <w:t>23.5</w:t>
      </w:r>
      <w:r>
        <w:rPr>
          <w:rFonts w:hint="eastAsia" w:ascii="宋体" w:cs="宋体"/>
          <w:color w:val="auto"/>
          <w:kern w:val="0"/>
          <w:szCs w:val="21"/>
          <w:highlight w:val="none"/>
          <w:lang w:bidi="ar-SA"/>
        </w:rPr>
        <w:t>.2最后报价是供应商响应文件的有效组成部分。</w:t>
      </w:r>
    </w:p>
    <w:p w14:paraId="065D90BC">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olor w:val="auto"/>
          <w:szCs w:val="21"/>
          <w:highlight w:val="none"/>
        </w:rPr>
        <w:t>23.5</w:t>
      </w:r>
      <w:r>
        <w:rPr>
          <w:rFonts w:hint="eastAsia" w:ascii="宋体" w:cs="宋体"/>
          <w:color w:val="auto"/>
          <w:kern w:val="0"/>
          <w:szCs w:val="21"/>
          <w:highlight w:val="none"/>
          <w:lang w:bidi="ar-SA"/>
        </w:rPr>
        <w:t>.3已提交响应文件的供应商，在提交最后报价之前，可以根据</w:t>
      </w:r>
      <w:r>
        <w:rPr>
          <w:rFonts w:hint="eastAsia" w:ascii="宋体"/>
          <w:color w:val="auto"/>
          <w:szCs w:val="21"/>
          <w:highlight w:val="none"/>
        </w:rPr>
        <w:t>磋商</w:t>
      </w:r>
      <w:r>
        <w:rPr>
          <w:rFonts w:hint="eastAsia" w:ascii="宋体" w:cs="宋体"/>
          <w:color w:val="auto"/>
          <w:kern w:val="0"/>
          <w:szCs w:val="21"/>
          <w:highlight w:val="none"/>
          <w:lang w:bidi="ar-SA"/>
        </w:rPr>
        <w:t>情况在“广西政府采购云平台”平台中书面退出</w:t>
      </w:r>
      <w:r>
        <w:rPr>
          <w:rFonts w:hint="eastAsia" w:ascii="宋体"/>
          <w:color w:val="auto"/>
          <w:szCs w:val="21"/>
          <w:highlight w:val="none"/>
        </w:rPr>
        <w:t>磋商</w:t>
      </w:r>
      <w:r>
        <w:rPr>
          <w:rFonts w:hint="eastAsia" w:ascii="宋体" w:cs="宋体"/>
          <w:color w:val="auto"/>
          <w:kern w:val="0"/>
          <w:szCs w:val="21"/>
          <w:highlight w:val="none"/>
          <w:lang w:bidi="ar-SA"/>
        </w:rPr>
        <w:t>。在“广西政府采购云平台”平台中书面退出磋商的，视同放弃最后报价权利，其响应文件作无效处理。</w:t>
      </w:r>
    </w:p>
    <w:p w14:paraId="5A5D22AC">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olor w:val="auto"/>
          <w:szCs w:val="21"/>
          <w:highlight w:val="none"/>
        </w:rPr>
        <w:t>23.5</w:t>
      </w:r>
      <w:r>
        <w:rPr>
          <w:rFonts w:hint="eastAsia" w:ascii="宋体" w:cs="宋体"/>
          <w:color w:val="auto"/>
          <w:kern w:val="0"/>
          <w:szCs w:val="21"/>
          <w:highlight w:val="none"/>
          <w:lang w:bidi="ar-SA"/>
        </w:rPr>
        <w:t>.4未书面退出磋商的供应商在“广西政府采购云平台”平台规定时间内线上提交最后报价，其最后报价不得超出采购预算价，否则，按响应文件无效处理；磋商过程中磋商文件未作实质性变动的，最后报价不得超过首次报价。</w:t>
      </w:r>
    </w:p>
    <w:p w14:paraId="4EC95258">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olor w:val="auto"/>
          <w:szCs w:val="21"/>
          <w:highlight w:val="none"/>
        </w:rPr>
        <w:t>23.5</w:t>
      </w:r>
      <w:r>
        <w:rPr>
          <w:rFonts w:hint="eastAsia" w:ascii="宋体" w:cs="宋体"/>
          <w:color w:val="auto"/>
          <w:kern w:val="0"/>
          <w:szCs w:val="21"/>
          <w:highlight w:val="none"/>
          <w:lang w:bidi="ar-SA"/>
        </w:rPr>
        <w:t>.5供应商的最后报价均超过了政府采购预算，采购人不能支付的，磋商活动终止。</w:t>
      </w:r>
    </w:p>
    <w:p w14:paraId="1794573A">
      <w:pPr>
        <w:pStyle w:val="12"/>
        <w:spacing w:line="400" w:lineRule="exact"/>
        <w:ind w:firstLine="420"/>
        <w:rPr>
          <w:rFonts w:hint="eastAsia" w:cs="宋体"/>
          <w:color w:val="auto"/>
          <w:kern w:val="0"/>
          <w:highlight w:val="none"/>
          <w:lang w:bidi="ar-SA"/>
        </w:rPr>
      </w:pPr>
      <w:r>
        <w:rPr>
          <w:rFonts w:hint="eastAsia"/>
          <w:color w:val="auto"/>
          <w:highlight w:val="none"/>
        </w:rPr>
        <w:t>23.5</w:t>
      </w:r>
      <w:r>
        <w:rPr>
          <w:rFonts w:hint="eastAsia" w:cs="宋体"/>
          <w:color w:val="auto"/>
          <w:kern w:val="0"/>
          <w:highlight w:val="none"/>
          <w:lang w:bidi="ar-SA"/>
        </w:rPr>
        <w:t>.6响应文件中磋商报价（含最后报价）出现前后不一致的，按照下列规定修正：</w:t>
      </w:r>
    </w:p>
    <w:p w14:paraId="4C634676">
      <w:pPr>
        <w:pStyle w:val="12"/>
        <w:snapToGrid w:val="0"/>
        <w:spacing w:line="360" w:lineRule="exact"/>
        <w:ind w:firstLine="420" w:firstLineChars="200"/>
        <w:rPr>
          <w:color w:val="auto"/>
          <w:highlight w:val="none"/>
        </w:rPr>
      </w:pPr>
      <w:r>
        <w:rPr>
          <w:rFonts w:hint="eastAsia"/>
          <w:color w:val="auto"/>
          <w:highlight w:val="none"/>
        </w:rPr>
        <w:t>（1）响应文件中报价明细表内容与响应文件中相应内容不一致的，以报价明细表为准；</w:t>
      </w:r>
    </w:p>
    <w:p w14:paraId="5B441B2C">
      <w:pPr>
        <w:pStyle w:val="12"/>
        <w:snapToGrid w:val="0"/>
        <w:spacing w:line="360" w:lineRule="exact"/>
        <w:ind w:firstLine="420" w:firstLineChars="200"/>
        <w:rPr>
          <w:color w:val="auto"/>
          <w:highlight w:val="none"/>
        </w:rPr>
      </w:pPr>
      <w:r>
        <w:rPr>
          <w:rFonts w:hint="eastAsia"/>
          <w:color w:val="auto"/>
          <w:highlight w:val="none"/>
        </w:rPr>
        <w:t>（2）大写金额和小写金额不一致的，以大写金额为准；</w:t>
      </w:r>
    </w:p>
    <w:p w14:paraId="4B6CD657">
      <w:pPr>
        <w:pStyle w:val="12"/>
        <w:snapToGrid w:val="0"/>
        <w:spacing w:line="360" w:lineRule="exact"/>
        <w:ind w:firstLine="420" w:firstLineChars="200"/>
        <w:rPr>
          <w:color w:val="auto"/>
          <w:highlight w:val="none"/>
        </w:rPr>
      </w:pPr>
      <w:r>
        <w:rPr>
          <w:rFonts w:hint="eastAsia"/>
          <w:color w:val="auto"/>
          <w:highlight w:val="none"/>
        </w:rPr>
        <w:t>（3）单价金额小数点或者百分比有明显错位的，以报价明细表的总价为准，并修改单价；</w:t>
      </w:r>
    </w:p>
    <w:p w14:paraId="79C4B4B2">
      <w:pPr>
        <w:pStyle w:val="12"/>
        <w:snapToGrid w:val="0"/>
        <w:spacing w:line="360" w:lineRule="exact"/>
        <w:ind w:firstLine="420" w:firstLineChars="200"/>
        <w:rPr>
          <w:color w:val="auto"/>
          <w:highlight w:val="none"/>
        </w:rPr>
      </w:pPr>
      <w:r>
        <w:rPr>
          <w:rFonts w:hint="eastAsia"/>
          <w:color w:val="auto"/>
          <w:highlight w:val="none"/>
        </w:rPr>
        <w:t>（4）总价金额与按单价汇总金额不一致的，以单价金额计算结果为准。</w:t>
      </w:r>
    </w:p>
    <w:p w14:paraId="1FA9BB14">
      <w:pPr>
        <w:pStyle w:val="12"/>
        <w:snapToGrid w:val="0"/>
        <w:spacing w:line="360" w:lineRule="exact"/>
        <w:ind w:firstLine="422" w:firstLineChars="200"/>
        <w:rPr>
          <w:b/>
          <w:bCs/>
          <w:color w:val="auto"/>
          <w:highlight w:val="none"/>
        </w:rPr>
      </w:pPr>
      <w:r>
        <w:rPr>
          <w:rFonts w:hint="eastAsia"/>
          <w:b/>
          <w:color w:val="auto"/>
          <w:highlight w:val="none"/>
        </w:rPr>
        <w:t>同时出现两种以上不一致的，按照第（1）-（4）规定的顺序修正。</w:t>
      </w:r>
      <w:r>
        <w:rPr>
          <w:rFonts w:hint="eastAsia"/>
          <w:b/>
          <w:bCs/>
          <w:color w:val="auto"/>
          <w:highlight w:val="none"/>
        </w:rPr>
        <w:t>修正的报价经供应商确认（须供应商在线签字或加盖个人CA证书签章确认）后产生约束力，供应商不确认的，其响应文件无效。</w:t>
      </w:r>
    </w:p>
    <w:p w14:paraId="00E0FFB6">
      <w:pPr>
        <w:widowControl/>
        <w:spacing w:line="400" w:lineRule="exact"/>
        <w:ind w:firstLine="420" w:firstLineChars="200"/>
        <w:jc w:val="left"/>
        <w:rPr>
          <w:rFonts w:hint="eastAsia"/>
          <w:color w:val="auto"/>
          <w:highlight w:val="none"/>
        </w:rPr>
      </w:pPr>
      <w:r>
        <w:rPr>
          <w:rFonts w:hint="eastAsia"/>
          <w:color w:val="auto"/>
          <w:highlight w:val="none"/>
        </w:rPr>
        <w:t>除上述原因以外，如果因供应商原因引起的报价失误，并在磋商时被接受，其后果由供应商自行承担。</w:t>
      </w:r>
    </w:p>
    <w:p w14:paraId="004ADB5C">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b w:val="0"/>
          <w:bCs w:val="0"/>
          <w:color w:val="auto"/>
          <w:highlight w:val="none"/>
          <w:lang w:val="en-US" w:eastAsia="zh-CN" w:bidi="ar-SA"/>
        </w:rPr>
        <w:t>23.5.7</w:t>
      </w:r>
      <w:r>
        <w:rPr>
          <w:rFonts w:hint="eastAsia" w:cs="宋体"/>
          <w:b/>
          <w:bCs/>
          <w:color w:val="auto"/>
          <w:highlight w:val="none"/>
          <w:lang w:bidi="ar-SA"/>
        </w:rPr>
        <w:t>异常低价响应审查</w:t>
      </w:r>
    </w:p>
    <w:p w14:paraId="698C253F">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（1）磋商小组在评审中发现下列情形之一的，应当启动异常低价响应审查程序：</w:t>
      </w:r>
    </w:p>
    <w:p w14:paraId="4A021BEF">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①响应报价低于全部通过符合性审查供应商响应报价平均值</w:t>
      </w:r>
      <w:r>
        <w:rPr>
          <w:rFonts w:hint="eastAsia" w:cs="宋体"/>
          <w:color w:val="auto"/>
          <w:highlight w:val="none"/>
          <w:lang w:val="en-US" w:eastAsia="zh-CN" w:bidi="ar-SA"/>
        </w:rPr>
        <w:t>65</w:t>
      </w:r>
      <w:r>
        <w:rPr>
          <w:rFonts w:hint="eastAsia" w:cs="宋体"/>
          <w:color w:val="auto"/>
          <w:highlight w:val="none"/>
          <w:lang w:bidi="ar-SA"/>
        </w:rPr>
        <w:t>%的，即响应报价＜全部通过符合性审查供应商响应报价平均值×</w:t>
      </w:r>
      <w:r>
        <w:rPr>
          <w:rFonts w:hint="eastAsia" w:cs="宋体"/>
          <w:color w:val="auto"/>
          <w:highlight w:val="none"/>
          <w:lang w:val="en-US" w:eastAsia="zh-CN" w:bidi="ar-SA"/>
        </w:rPr>
        <w:t>65</w:t>
      </w:r>
      <w:r>
        <w:rPr>
          <w:rFonts w:hint="eastAsia" w:cs="宋体"/>
          <w:color w:val="auto"/>
          <w:highlight w:val="none"/>
          <w:lang w:bidi="ar-SA"/>
        </w:rPr>
        <w:t>%；</w:t>
      </w:r>
    </w:p>
    <w:p w14:paraId="4640410D">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②响应报价低于通过符合性审查的次低报价供应商响应报价</w:t>
      </w:r>
      <w:r>
        <w:rPr>
          <w:rFonts w:hint="eastAsia" w:cs="宋体"/>
          <w:color w:val="auto"/>
          <w:highlight w:val="none"/>
          <w:lang w:val="en-US" w:eastAsia="zh-CN" w:bidi="ar-SA"/>
        </w:rPr>
        <w:t>65</w:t>
      </w:r>
      <w:r>
        <w:rPr>
          <w:rFonts w:hint="eastAsia" w:cs="宋体"/>
          <w:color w:val="auto"/>
          <w:highlight w:val="none"/>
          <w:lang w:bidi="ar-SA"/>
        </w:rPr>
        <w:t>%的，即响应报价＜通过符合性审查的次低报价供应商响应报价×</w:t>
      </w:r>
      <w:r>
        <w:rPr>
          <w:rFonts w:hint="eastAsia" w:cs="宋体"/>
          <w:color w:val="auto"/>
          <w:highlight w:val="none"/>
          <w:lang w:val="en-US" w:eastAsia="zh-CN" w:bidi="ar-SA"/>
        </w:rPr>
        <w:t>65</w:t>
      </w:r>
      <w:r>
        <w:rPr>
          <w:rFonts w:hint="eastAsia" w:cs="宋体"/>
          <w:color w:val="auto"/>
          <w:highlight w:val="none"/>
          <w:lang w:bidi="ar-SA"/>
        </w:rPr>
        <w:t>% ；</w:t>
      </w:r>
    </w:p>
    <w:p w14:paraId="6DC76464">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③响应报价低于采购项目最高限价65%的，即响应报价＜采购项目最高限价×65%；</w:t>
      </w:r>
    </w:p>
    <w:p w14:paraId="6E70CD3C">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④磋商小组基于专业判断，认为供应商报价过低，有可能影响产品质量或者不能诚信履约的其他情形。</w:t>
      </w:r>
    </w:p>
    <w:p w14:paraId="7F60B720">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2）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FB54C6A">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磋商小组依据专业经验，参考同类项目中标（成交）价格、类似产品市场价格水平、行业人工费用标准、国家有关部门指导行业协会发布的行业平均成本等情况，对报价合理性进行判断。</w:t>
      </w:r>
      <w:r>
        <w:rPr>
          <w:rFonts w:hint="eastAsia" w:cs="宋体"/>
          <w:b/>
          <w:bCs/>
          <w:color w:val="auto"/>
          <w:highlight w:val="none"/>
          <w:lang w:bidi="ar-SA"/>
        </w:rPr>
        <w:t>相关供应商不能提供书面说明、证明材料，或者提供的书面说明、证明材料不能证明其报价合理性的，磋商小组应当将其</w:t>
      </w:r>
      <w:r>
        <w:rPr>
          <w:rFonts w:hint="eastAsia" w:cs="宋体"/>
          <w:b/>
          <w:bCs/>
          <w:color w:val="auto"/>
          <w:highlight w:val="none"/>
          <w:lang w:eastAsia="zh-CN" w:bidi="ar-SA"/>
        </w:rPr>
        <w:t>响应文件</w:t>
      </w:r>
      <w:r>
        <w:rPr>
          <w:rFonts w:hint="eastAsia" w:cs="宋体"/>
          <w:b/>
          <w:bCs/>
          <w:color w:val="auto"/>
          <w:highlight w:val="none"/>
          <w:lang w:bidi="ar-SA"/>
        </w:rPr>
        <w:t>作为无效响应处理。</w:t>
      </w:r>
    </w:p>
    <w:p w14:paraId="264A5488">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25C4C26">
      <w:pPr>
        <w:pStyle w:val="1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s="宋体"/>
          <w:color w:val="auto"/>
          <w:highlight w:val="none"/>
          <w:lang w:bidi="ar-SA"/>
        </w:rPr>
      </w:pPr>
      <w:r>
        <w:rPr>
          <w:rFonts w:hint="eastAsia" w:cs="宋体"/>
          <w:color w:val="auto"/>
          <w:highlight w:val="none"/>
          <w:lang w:bidi="ar-SA"/>
        </w:rPr>
        <w:t>异常低价响应审查的启动原因、审查意见和审查结果应当在评审报告中记录，并随供应商提供的相关书面说明及证明材料，以及磋商小组有关互联网浏览、查询历史一并归档。</w:t>
      </w:r>
    </w:p>
    <w:p w14:paraId="7D251847">
      <w:pPr>
        <w:pStyle w:val="12"/>
        <w:spacing w:line="370" w:lineRule="exact"/>
        <w:ind w:firstLine="420" w:firstLineChars="200"/>
        <w:rPr>
          <w:rFonts w:cs="宋体"/>
          <w:color w:val="auto"/>
          <w:highlight w:val="none"/>
          <w:lang w:bidi="ar-SA"/>
        </w:rPr>
      </w:pPr>
      <w:r>
        <w:rPr>
          <w:rFonts w:hint="eastAsia" w:cs="宋体"/>
          <w:color w:val="auto"/>
          <w:highlight w:val="none"/>
          <w:lang w:bidi="ar-SA"/>
        </w:rPr>
        <w:t>23.6</w:t>
      </w:r>
      <w:r>
        <w:rPr>
          <w:rFonts w:cs="宋体"/>
          <w:color w:val="auto"/>
          <w:highlight w:val="none"/>
          <w:lang w:bidi="ar-SA"/>
        </w:rPr>
        <w:t>综合</w:t>
      </w:r>
      <w:r>
        <w:rPr>
          <w:rFonts w:hint="eastAsia" w:cs="宋体"/>
          <w:color w:val="auto"/>
          <w:highlight w:val="none"/>
          <w:lang w:bidi="ar-SA"/>
        </w:rPr>
        <w:t>比较与评价</w:t>
      </w:r>
    </w:p>
    <w:p w14:paraId="6A6252F5">
      <w:pPr>
        <w:pStyle w:val="12"/>
        <w:spacing w:line="370" w:lineRule="exact"/>
        <w:ind w:firstLine="420" w:firstLineChars="200"/>
        <w:rPr>
          <w:rFonts w:cs="宋体"/>
          <w:color w:val="auto"/>
          <w:highlight w:val="none"/>
          <w:lang w:bidi="ar-SA"/>
        </w:rPr>
      </w:pPr>
      <w:r>
        <w:rPr>
          <w:rFonts w:hint="eastAsia" w:cs="宋体"/>
          <w:color w:val="auto"/>
          <w:highlight w:val="none"/>
          <w:lang w:bidi="ar-SA"/>
        </w:rPr>
        <w:t>23.6.1 磋商小组按竞争性磋商文件中规定的评审办法，</w:t>
      </w:r>
      <w:r>
        <w:rPr>
          <w:rFonts w:cs="宋体"/>
          <w:color w:val="auto"/>
          <w:highlight w:val="none"/>
          <w:lang w:bidi="ar-SA"/>
        </w:rPr>
        <w:t>对</w:t>
      </w:r>
      <w:r>
        <w:rPr>
          <w:rFonts w:hint="eastAsia" w:cs="宋体"/>
          <w:color w:val="auto"/>
          <w:highlight w:val="none"/>
          <w:lang w:bidi="ar-SA"/>
        </w:rPr>
        <w:t>资格性审查和符合性审查合格的响应文件进行商务和技术评估，</w:t>
      </w:r>
      <w:r>
        <w:rPr>
          <w:rFonts w:cs="宋体"/>
          <w:color w:val="auto"/>
          <w:highlight w:val="none"/>
          <w:lang w:bidi="ar-SA"/>
        </w:rPr>
        <w:t>综合</w:t>
      </w:r>
      <w:r>
        <w:rPr>
          <w:rFonts w:hint="eastAsia" w:cs="宋体"/>
          <w:color w:val="auto"/>
          <w:highlight w:val="none"/>
          <w:lang w:bidi="ar-SA"/>
        </w:rPr>
        <w:t>比较与评价。</w:t>
      </w:r>
    </w:p>
    <w:p w14:paraId="36CAF369">
      <w:pPr>
        <w:pStyle w:val="12"/>
        <w:spacing w:line="370" w:lineRule="exact"/>
        <w:ind w:firstLine="420" w:firstLineChars="200"/>
        <w:rPr>
          <w:rFonts w:hint="eastAsia" w:cs="宋体"/>
          <w:color w:val="auto"/>
          <w:highlight w:val="none"/>
          <w:lang w:bidi="ar-SA"/>
        </w:rPr>
      </w:pPr>
      <w:r>
        <w:rPr>
          <w:rFonts w:hint="eastAsia" w:cs="宋体"/>
          <w:color w:val="auto"/>
          <w:highlight w:val="none"/>
          <w:lang w:bidi="ar-SA"/>
        </w:rPr>
        <w:t>23.6</w:t>
      </w:r>
      <w:r>
        <w:rPr>
          <w:rFonts w:cs="宋体"/>
          <w:color w:val="auto"/>
          <w:highlight w:val="none"/>
          <w:lang w:bidi="ar-SA"/>
        </w:rPr>
        <w:t xml:space="preserve">.2 </w:t>
      </w:r>
      <w:r>
        <w:rPr>
          <w:rFonts w:hint="eastAsia" w:cs="宋体"/>
          <w:color w:val="auto"/>
          <w:highlight w:val="none"/>
          <w:lang w:bidi="ar-SA"/>
        </w:rPr>
        <w:t>采购代理机构对评审数据进行校对、</w:t>
      </w:r>
      <w:r>
        <w:rPr>
          <w:rFonts w:cs="宋体"/>
          <w:color w:val="auto"/>
          <w:highlight w:val="none"/>
          <w:lang w:bidi="ar-SA"/>
        </w:rPr>
        <w:t>核对</w:t>
      </w:r>
      <w:r>
        <w:rPr>
          <w:rFonts w:hint="eastAsia" w:cs="宋体"/>
          <w:color w:val="auto"/>
          <w:highlight w:val="none"/>
          <w:lang w:bidi="ar-SA"/>
        </w:rPr>
        <w:t>，</w:t>
      </w:r>
      <w:r>
        <w:rPr>
          <w:rFonts w:cs="宋体"/>
          <w:color w:val="auto"/>
          <w:highlight w:val="none"/>
          <w:lang w:bidi="ar-SA"/>
        </w:rPr>
        <w:t>对</w:t>
      </w:r>
      <w:r>
        <w:rPr>
          <w:rFonts w:hint="eastAsia" w:cs="宋体"/>
          <w:color w:val="auto"/>
          <w:highlight w:val="none"/>
          <w:lang w:bidi="ar-SA"/>
        </w:rPr>
        <w:t>畸高、畸低的重大差异评分提示磋商小组复核或书面说明理由。</w:t>
      </w:r>
    </w:p>
    <w:p w14:paraId="707E11F5">
      <w:pPr>
        <w:widowControl/>
        <w:tabs>
          <w:tab w:val="left" w:pos="540"/>
        </w:tabs>
        <w:spacing w:line="350" w:lineRule="exact"/>
        <w:ind w:firstLine="420" w:firstLineChars="200"/>
        <w:jc w:val="left"/>
        <w:rPr>
          <w:rFonts w:hint="eastAsia" w:ascii="宋体"/>
          <w:color w:val="auto"/>
          <w:kern w:val="0"/>
          <w:szCs w:val="21"/>
          <w:highlight w:val="none"/>
        </w:rPr>
      </w:pPr>
      <w:r>
        <w:rPr>
          <w:rFonts w:hint="eastAsia" w:ascii="宋体"/>
          <w:color w:val="auto"/>
          <w:kern w:val="0"/>
          <w:szCs w:val="21"/>
          <w:highlight w:val="none"/>
        </w:rPr>
        <w:t>23.7评审报告</w:t>
      </w:r>
    </w:p>
    <w:p w14:paraId="22F97E85">
      <w:pPr>
        <w:pStyle w:val="12"/>
        <w:tabs>
          <w:tab w:val="left" w:pos="4214"/>
        </w:tabs>
        <w:spacing w:line="370" w:lineRule="exact"/>
        <w:ind w:firstLine="420" w:firstLineChars="200"/>
        <w:rPr>
          <w:rFonts w:hint="eastAsia"/>
          <w:color w:val="auto"/>
          <w:kern w:val="0"/>
          <w:highlight w:val="none"/>
        </w:rPr>
      </w:pPr>
      <w:r>
        <w:rPr>
          <w:rFonts w:hint="eastAsia"/>
          <w:color w:val="auto"/>
          <w:kern w:val="0"/>
          <w:highlight w:val="none"/>
        </w:rPr>
        <w:t>23.7.1</w:t>
      </w:r>
      <w:r>
        <w:rPr>
          <w:rFonts w:hint="eastAsia" w:cs="宋体"/>
          <w:color w:val="auto"/>
          <w:highlight w:val="none"/>
          <w:lang w:bidi="ar-SA"/>
        </w:rPr>
        <w:t>磋商小组将根据得分由高到低排列次序并推荐三名成交候选供应商，并编写评审报告。磋商小组根据综合得分由高到低排列次序，若得分相同时，以评审报价由低到高顺序排列；若得分相同且评审报价相同的，依次按施工组织设计、企业信誉实力得分由高到低顺序排列并推荐成交候选供应商。若仍相同时，则由磋商小组集体讨论确定</w:t>
      </w:r>
      <w:r>
        <w:rPr>
          <w:rFonts w:hint="eastAsia"/>
          <w:color w:val="auto"/>
          <w:kern w:val="0"/>
          <w:highlight w:val="none"/>
        </w:rPr>
        <w:t>。</w:t>
      </w:r>
    </w:p>
    <w:p w14:paraId="0129664B">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23.7.2评审报告应当由磋商小组全体人员签字认可，磋商小组成员对评审报告有异议的，磋商小组按照少数服从多数的原则推荐成交候选人，采购程序继续进行。对评审报告有异议的磋商小组成员，应当在评审报告上签署不同意见及理由，由磋商小组书面记录相关情况。磋商小组成员拒绝在报告上签字又不书面说明其不同意见和理由的，视为同意评审报告。</w:t>
      </w:r>
    </w:p>
    <w:p w14:paraId="6A5C3E29">
      <w:pPr>
        <w:spacing w:line="350" w:lineRule="exact"/>
        <w:ind w:firstLine="420" w:firstLineChars="200"/>
        <w:rPr>
          <w:rFonts w:hint="eastAsia" w:ascii="宋体"/>
          <w:color w:val="auto"/>
          <w:szCs w:val="21"/>
          <w:highlight w:val="none"/>
        </w:rPr>
      </w:pPr>
      <w:r>
        <w:rPr>
          <w:rFonts w:hint="eastAsia" w:ascii="宋体"/>
          <w:color w:val="auto"/>
          <w:szCs w:val="21"/>
          <w:highlight w:val="none"/>
        </w:rPr>
        <w:t>23.8在评审过程中出现法律法规和磋商文件均没有明确规定的情形时，由磋商小组现场协商解决，协商不一致的，由全体磋商小组投票表决，</w:t>
      </w:r>
      <w:r>
        <w:rPr>
          <w:rFonts w:hint="eastAsia" w:ascii="宋体"/>
          <w:color w:val="auto"/>
          <w:szCs w:val="21"/>
          <w:highlight w:val="none"/>
          <w:lang w:eastAsia="zh-CN"/>
        </w:rPr>
        <w:t>按照少数服从多数的原则作出结论。</w:t>
      </w:r>
      <w:r>
        <w:rPr>
          <w:rFonts w:hint="eastAsia" w:ascii="宋体"/>
          <w:color w:val="auto"/>
          <w:szCs w:val="21"/>
          <w:highlight w:val="none"/>
        </w:rPr>
        <w:t>。</w:t>
      </w:r>
    </w:p>
    <w:p w14:paraId="7CA3FAD4">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23.9采购代理机构发现磋商小组有明显的违规倾向或歧视现象，或不按评审办法进行，或其他不正常行为的，应当及时制止。如制止无效，应及时向同级政府采购监督管理机构报告。</w:t>
      </w:r>
    </w:p>
    <w:p w14:paraId="638A7809">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23.10磋商小组判断响应文件的响应性仅基于响应文件本身而不靠外部证据。</w:t>
      </w:r>
    </w:p>
    <w:p w14:paraId="7C5DDD9E">
      <w:pPr>
        <w:widowControl/>
        <w:spacing w:line="400" w:lineRule="exact"/>
        <w:ind w:firstLine="420" w:firstLineChars="20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23.11本项目是以招标控制价为最高限价，超出</w:t>
      </w:r>
      <w:r>
        <w:rPr>
          <w:rFonts w:hint="eastAsia" w:ascii="宋体" w:cs="宋体"/>
          <w:color w:val="auto"/>
          <w:kern w:val="0"/>
          <w:szCs w:val="21"/>
          <w:highlight w:val="none"/>
          <w:lang w:eastAsia="zh-CN" w:bidi="ar-SA"/>
        </w:rPr>
        <w:t>最高磋商限价</w:t>
      </w:r>
      <w:r>
        <w:rPr>
          <w:rFonts w:hint="eastAsia" w:ascii="宋体" w:cs="宋体"/>
          <w:color w:val="auto"/>
          <w:kern w:val="0"/>
          <w:szCs w:val="21"/>
          <w:highlight w:val="none"/>
          <w:lang w:bidi="ar-SA"/>
        </w:rPr>
        <w:t>的最后报价，磋商小组可以不予以评审。当全部最后报价均超出</w:t>
      </w:r>
      <w:r>
        <w:rPr>
          <w:rFonts w:hint="eastAsia" w:ascii="宋体" w:cs="宋体"/>
          <w:color w:val="auto"/>
          <w:kern w:val="0"/>
          <w:szCs w:val="21"/>
          <w:highlight w:val="none"/>
          <w:lang w:eastAsia="zh-CN" w:bidi="ar-SA"/>
        </w:rPr>
        <w:t>最高磋商限价</w:t>
      </w:r>
      <w:r>
        <w:rPr>
          <w:rFonts w:hint="eastAsia" w:ascii="宋体" w:cs="宋体"/>
          <w:color w:val="auto"/>
          <w:kern w:val="0"/>
          <w:szCs w:val="21"/>
          <w:highlight w:val="none"/>
          <w:lang w:bidi="ar-SA"/>
        </w:rPr>
        <w:t>时，磋商小组有权决定全部废标或以书面形式要求所有供应商在规定时间内以书面密封形式重新报价。</w:t>
      </w:r>
    </w:p>
    <w:p w14:paraId="29ED6119">
      <w:pPr>
        <w:widowControl/>
        <w:shd w:val="clear" w:color="auto" w:fill="FFFFFF"/>
        <w:spacing w:line="350" w:lineRule="exact"/>
        <w:ind w:firstLine="480"/>
        <w:jc w:val="left"/>
        <w:rPr>
          <w:rFonts w:hint="eastAsia" w:ascii="宋体"/>
          <w:b/>
          <w:color w:val="auto"/>
          <w:szCs w:val="21"/>
          <w:highlight w:val="none"/>
        </w:rPr>
      </w:pPr>
      <w:r>
        <w:rPr>
          <w:rFonts w:hint="eastAsia" w:ascii="宋体"/>
          <w:b/>
          <w:bCs/>
          <w:color w:val="auto"/>
          <w:szCs w:val="21"/>
          <w:highlight w:val="none"/>
        </w:rPr>
        <w:t>23.12属</w:t>
      </w:r>
      <w:r>
        <w:rPr>
          <w:rFonts w:hint="eastAsia" w:ascii="宋体"/>
          <w:b/>
          <w:color w:val="auto"/>
          <w:szCs w:val="21"/>
          <w:highlight w:val="none"/>
        </w:rPr>
        <w:t>于下列情况之一者，响应文件无效：</w:t>
      </w:r>
    </w:p>
    <w:p w14:paraId="28649469">
      <w:pPr>
        <w:snapToGrid w:val="0"/>
        <w:spacing w:line="350" w:lineRule="exact"/>
        <w:ind w:firstLine="411" w:firstLineChars="196"/>
        <w:outlineLvl w:val="4"/>
        <w:rPr>
          <w:rFonts w:hint="eastAsia" w:ascii="宋体"/>
          <w:color w:val="auto"/>
          <w:szCs w:val="21"/>
          <w:highlight w:val="none"/>
        </w:rPr>
      </w:pPr>
      <w:r>
        <w:rPr>
          <w:rFonts w:hint="eastAsia" w:ascii="宋体"/>
          <w:color w:val="auto"/>
          <w:szCs w:val="21"/>
          <w:highlight w:val="none"/>
        </w:rPr>
        <w:t>（1）未按竞争性磋商文件规定完整提交</w:t>
      </w:r>
      <w:r>
        <w:rPr>
          <w:rFonts w:hint="eastAsia" w:ascii="宋体"/>
          <w:color w:val="auto"/>
          <w:highlight w:val="none"/>
        </w:rPr>
        <w:t>响应</w:t>
      </w:r>
      <w:r>
        <w:rPr>
          <w:rFonts w:hint="eastAsia" w:ascii="宋体"/>
          <w:color w:val="auto"/>
          <w:szCs w:val="21"/>
          <w:highlight w:val="none"/>
        </w:rPr>
        <w:t>文件或未按规定要求签署、盖章的，或未提供法人授权委托书（委托代理的）；</w:t>
      </w:r>
    </w:p>
    <w:p w14:paraId="29F18C0A">
      <w:pPr>
        <w:snapToGrid w:val="0"/>
        <w:spacing w:line="350" w:lineRule="exact"/>
        <w:ind w:firstLine="411" w:firstLineChars="196"/>
        <w:outlineLvl w:val="4"/>
        <w:rPr>
          <w:rFonts w:hint="eastAsia" w:ascii="宋体"/>
          <w:color w:val="auto"/>
          <w:szCs w:val="21"/>
          <w:highlight w:val="none"/>
        </w:rPr>
      </w:pPr>
      <w:r>
        <w:rPr>
          <w:rFonts w:hint="eastAsia" w:ascii="宋体"/>
          <w:color w:val="auto"/>
          <w:szCs w:val="21"/>
          <w:highlight w:val="none"/>
        </w:rPr>
        <w:t>（2）不具备竞争性磋商文件规定的资格要求的；</w:t>
      </w:r>
    </w:p>
    <w:p w14:paraId="7BB404C2">
      <w:pPr>
        <w:snapToGrid w:val="0"/>
        <w:spacing w:line="350" w:lineRule="exact"/>
        <w:ind w:firstLine="411" w:firstLineChars="196"/>
        <w:outlineLvl w:val="4"/>
        <w:rPr>
          <w:rFonts w:hint="eastAsia" w:ascii="宋体"/>
          <w:color w:val="auto"/>
          <w:szCs w:val="21"/>
          <w:highlight w:val="none"/>
        </w:rPr>
      </w:pPr>
      <w:r>
        <w:rPr>
          <w:rFonts w:hint="eastAsia" w:ascii="宋体"/>
          <w:color w:val="auto"/>
          <w:szCs w:val="21"/>
          <w:highlight w:val="none"/>
        </w:rPr>
        <w:t>（3）竞争性磋商响应文件未按竞争性磋商文件的内容和要求编写，或提供虚假材料的；</w:t>
      </w:r>
    </w:p>
    <w:p w14:paraId="6792A17C">
      <w:pPr>
        <w:snapToGrid w:val="0"/>
        <w:spacing w:line="350" w:lineRule="exact"/>
        <w:ind w:firstLine="411" w:firstLineChars="196"/>
        <w:outlineLvl w:val="4"/>
        <w:rPr>
          <w:rFonts w:hint="eastAsia" w:ascii="宋体"/>
          <w:color w:val="auto"/>
          <w:szCs w:val="21"/>
          <w:highlight w:val="none"/>
        </w:rPr>
      </w:pPr>
      <w:r>
        <w:rPr>
          <w:rFonts w:hint="eastAsia" w:ascii="宋体"/>
          <w:color w:val="auto"/>
          <w:szCs w:val="21"/>
          <w:highlight w:val="none"/>
        </w:rPr>
        <w:t>（4）竞争性磋商响应文件有效期、工期、质量等服务不能满足竞争性磋商文件要求的；</w:t>
      </w:r>
    </w:p>
    <w:p w14:paraId="3EDB3FB7">
      <w:pPr>
        <w:snapToGrid w:val="0"/>
        <w:spacing w:line="350" w:lineRule="exact"/>
        <w:ind w:firstLine="411" w:firstLineChars="196"/>
        <w:outlineLvl w:val="4"/>
        <w:rPr>
          <w:rFonts w:hint="eastAsia" w:ascii="宋体"/>
          <w:color w:val="auto"/>
          <w:szCs w:val="21"/>
          <w:highlight w:val="none"/>
        </w:rPr>
      </w:pPr>
      <w:r>
        <w:rPr>
          <w:rFonts w:hint="eastAsia" w:ascii="宋体"/>
          <w:color w:val="auto"/>
          <w:szCs w:val="21"/>
          <w:highlight w:val="none"/>
        </w:rPr>
        <w:t>（5）供应商响应文件的最后磋商报价超出</w:t>
      </w:r>
      <w:r>
        <w:rPr>
          <w:rFonts w:hint="eastAsia"/>
          <w:color w:val="auto"/>
          <w:highlight w:val="none"/>
        </w:rPr>
        <w:t>最高磋商限价</w:t>
      </w:r>
      <w:r>
        <w:rPr>
          <w:rFonts w:hint="eastAsia" w:ascii="宋体"/>
          <w:color w:val="auto"/>
          <w:szCs w:val="21"/>
          <w:highlight w:val="none"/>
        </w:rPr>
        <w:t>的；</w:t>
      </w:r>
    </w:p>
    <w:p w14:paraId="7AAAE100">
      <w:pPr>
        <w:pStyle w:val="12"/>
        <w:spacing w:line="35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）未实质性响应竞争性磋商文件要求的；或者竞争性磋商响应文件有采购人不能接受的附加条件或有备选方案的；</w:t>
      </w:r>
    </w:p>
    <w:p w14:paraId="40B1DCC9">
      <w:pPr>
        <w:snapToGrid w:val="0"/>
        <w:spacing w:line="350" w:lineRule="exact"/>
        <w:ind w:firstLine="352" w:firstLineChars="168"/>
        <w:outlineLvl w:val="4"/>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Calibri" w:hAnsi="Calibri" w:cs="宋体"/>
          <w:color w:val="auto"/>
          <w:szCs w:val="22"/>
          <w:highlight w:val="none"/>
          <w:lang w:bidi="ar-SA"/>
        </w:rPr>
        <w:t>供应商</w:t>
      </w:r>
      <w:r>
        <w:rPr>
          <w:rFonts w:hint="eastAsia" w:ascii="宋体" w:cs="MingLiU"/>
          <w:color w:val="auto"/>
          <w:kern w:val="0"/>
          <w:szCs w:val="21"/>
          <w:highlight w:val="none"/>
          <w:lang w:bidi="ar-SA"/>
        </w:rPr>
        <w:t>已标价工程量清单的项目名称或项目特征与招标工程量清单不一致，评标委员会要求澄清、说明或补正，但</w:t>
      </w:r>
      <w:r>
        <w:rPr>
          <w:rFonts w:hint="eastAsia" w:ascii="Calibri" w:hAnsi="Calibri" w:cs="宋体"/>
          <w:color w:val="auto"/>
          <w:szCs w:val="22"/>
          <w:highlight w:val="none"/>
          <w:lang w:bidi="ar-SA"/>
        </w:rPr>
        <w:t>供应商</w:t>
      </w:r>
      <w:r>
        <w:rPr>
          <w:rFonts w:hint="eastAsia" w:ascii="宋体" w:cs="MingLiU"/>
          <w:color w:val="auto"/>
          <w:kern w:val="0"/>
          <w:szCs w:val="21"/>
          <w:highlight w:val="none"/>
          <w:lang w:bidi="ar-SA"/>
        </w:rPr>
        <w:t>拒绝澄清、说明或补正的；</w:t>
      </w:r>
    </w:p>
    <w:p w14:paraId="48CCBAF2">
      <w:pPr>
        <w:snapToGrid w:val="0"/>
        <w:spacing w:line="350" w:lineRule="exact"/>
        <w:ind w:firstLine="352" w:firstLineChars="168"/>
        <w:outlineLvl w:val="4"/>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8</w:t>
      </w:r>
      <w:r>
        <w:rPr>
          <w:rFonts w:hint="eastAsia" w:ascii="宋体"/>
          <w:color w:val="auto"/>
          <w:szCs w:val="21"/>
          <w:highlight w:val="none"/>
        </w:rPr>
        <w:t>）属于“必须提供”的响应文件未能按时提供的；</w:t>
      </w:r>
    </w:p>
    <w:p w14:paraId="50D088CE">
      <w:pPr>
        <w:snapToGrid w:val="0"/>
        <w:spacing w:line="350" w:lineRule="exact"/>
        <w:ind w:firstLine="352" w:firstLineChars="168"/>
        <w:outlineLvl w:val="4"/>
        <w:rPr>
          <w:rFonts w:hint="eastAsia" w:ascii="宋体" w:eastAsia="宋体"/>
          <w:color w:val="auto"/>
          <w:highlight w:val="none"/>
          <w:lang w:eastAsia="zh-CN"/>
        </w:rPr>
      </w:pPr>
      <w:r>
        <w:rPr>
          <w:rFonts w:hint="eastAsia" w:ascii="宋体"/>
          <w:color w:val="auto"/>
          <w:highlight w:val="none"/>
        </w:rPr>
        <w:t>（</w:t>
      </w:r>
      <w:r>
        <w:rPr>
          <w:rFonts w:hint="eastAsia" w:ascii="宋体"/>
          <w:color w:val="auto"/>
          <w:highlight w:val="none"/>
          <w:lang w:val="en-US" w:eastAsia="zh-CN"/>
        </w:rPr>
        <w:t>9</w:t>
      </w:r>
      <w:r>
        <w:rPr>
          <w:rFonts w:hint="eastAsia" w:ascii="宋体"/>
          <w:color w:val="auto"/>
          <w:highlight w:val="none"/>
        </w:rPr>
        <w:t>）</w:t>
      </w:r>
      <w:r>
        <w:rPr>
          <w:rStyle w:val="37"/>
          <w:rFonts w:hint="eastAsia" w:ascii="宋体"/>
          <w:color w:val="auto"/>
          <w:szCs w:val="21"/>
          <w:highlight w:val="none"/>
        </w:rPr>
        <w:t>响应文件实质性要求未做变动，供应商最后报价高于第一次报价的</w:t>
      </w:r>
      <w:r>
        <w:rPr>
          <w:rStyle w:val="37"/>
          <w:rFonts w:hint="eastAsia" w:ascii="宋体"/>
          <w:color w:val="auto"/>
          <w:szCs w:val="21"/>
          <w:highlight w:val="none"/>
          <w:lang w:eastAsia="zh-CN"/>
        </w:rPr>
        <w:t>；</w:t>
      </w:r>
    </w:p>
    <w:p w14:paraId="726DFCEA">
      <w:pPr>
        <w:snapToGrid w:val="0"/>
        <w:spacing w:line="350" w:lineRule="exact"/>
        <w:ind w:firstLine="352" w:firstLineChars="168"/>
        <w:outlineLvl w:val="4"/>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10</w:t>
      </w:r>
      <w:r>
        <w:rPr>
          <w:rFonts w:hint="eastAsia" w:ascii="宋体"/>
          <w:color w:val="auto"/>
          <w:szCs w:val="21"/>
          <w:highlight w:val="none"/>
        </w:rPr>
        <w:t>）</w:t>
      </w:r>
      <w:r>
        <w:rPr>
          <w:rFonts w:hint="eastAsia" w:ascii="宋体"/>
          <w:color w:val="auto"/>
          <w:highlight w:val="none"/>
        </w:rPr>
        <w:t>未在磋商小组规定的时间内线上提交响应文件（含最后报价）的；</w:t>
      </w:r>
    </w:p>
    <w:p w14:paraId="473F03B1">
      <w:pPr>
        <w:snapToGrid w:val="0"/>
        <w:spacing w:line="350" w:lineRule="exact"/>
        <w:ind w:firstLine="352" w:firstLineChars="168"/>
        <w:outlineLvl w:val="4"/>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11</w:t>
      </w:r>
      <w:r>
        <w:rPr>
          <w:rFonts w:hint="eastAsia" w:ascii="宋体"/>
          <w:color w:val="auto"/>
          <w:szCs w:val="21"/>
          <w:highlight w:val="none"/>
        </w:rPr>
        <w:t>）不符合法律、法规和磋商文件规定的其他实质性要求和条件的。</w:t>
      </w:r>
    </w:p>
    <w:p w14:paraId="23BCEE3F">
      <w:pPr>
        <w:snapToGrid w:val="0"/>
        <w:spacing w:line="350" w:lineRule="exact"/>
        <w:ind w:firstLine="527" w:firstLineChars="250"/>
        <w:outlineLvl w:val="4"/>
        <w:rPr>
          <w:rFonts w:hint="eastAsia" w:ascii="宋体"/>
          <w:b/>
          <w:color w:val="auto"/>
          <w:szCs w:val="21"/>
          <w:highlight w:val="none"/>
        </w:rPr>
      </w:pPr>
      <w:r>
        <w:rPr>
          <w:rFonts w:hint="eastAsia" w:ascii="宋体"/>
          <w:b/>
          <w:color w:val="auto"/>
          <w:szCs w:val="21"/>
          <w:highlight w:val="none"/>
        </w:rPr>
        <w:t>23.13有下列情形之一的视为供应商相互串通投标，响应文件将被视为无效：</w:t>
      </w:r>
    </w:p>
    <w:p w14:paraId="705F8DEF">
      <w:pPr>
        <w:snapToGrid w:val="0"/>
        <w:spacing w:line="350" w:lineRule="exact"/>
        <w:ind w:firstLine="516" w:firstLineChars="246"/>
        <w:outlineLvl w:val="4"/>
        <w:rPr>
          <w:rFonts w:hint="eastAsia" w:ascii="宋体"/>
          <w:color w:val="auto"/>
          <w:szCs w:val="21"/>
          <w:highlight w:val="none"/>
        </w:rPr>
      </w:pPr>
      <w:r>
        <w:rPr>
          <w:rFonts w:hint="eastAsia" w:ascii="宋体"/>
          <w:color w:val="auto"/>
          <w:szCs w:val="21"/>
          <w:highlight w:val="none"/>
        </w:rPr>
        <w:t>（1）不同供应商的响应文件由同一单位或者个人编制；或不同供应商报名的IP地址一致的；</w:t>
      </w:r>
    </w:p>
    <w:p w14:paraId="3FBAC9CC">
      <w:pPr>
        <w:snapToGrid w:val="0"/>
        <w:spacing w:line="350" w:lineRule="exact"/>
        <w:ind w:firstLine="516" w:firstLineChars="246"/>
        <w:outlineLvl w:val="4"/>
        <w:rPr>
          <w:rFonts w:hint="eastAsia" w:ascii="宋体"/>
          <w:color w:val="auto"/>
          <w:szCs w:val="21"/>
          <w:highlight w:val="none"/>
        </w:rPr>
      </w:pPr>
      <w:r>
        <w:rPr>
          <w:rFonts w:hint="eastAsia" w:ascii="宋体"/>
          <w:color w:val="auto"/>
          <w:szCs w:val="21"/>
          <w:highlight w:val="none"/>
        </w:rPr>
        <w:t>（2）不同供应商委托同一单位或者个人办理磋商事宜；</w:t>
      </w:r>
    </w:p>
    <w:p w14:paraId="140F615D">
      <w:pPr>
        <w:snapToGrid w:val="0"/>
        <w:spacing w:line="350" w:lineRule="exact"/>
        <w:ind w:firstLine="516" w:firstLineChars="246"/>
        <w:outlineLvl w:val="4"/>
        <w:rPr>
          <w:rFonts w:hint="eastAsia" w:ascii="宋体"/>
          <w:color w:val="auto"/>
          <w:szCs w:val="21"/>
          <w:highlight w:val="none"/>
        </w:rPr>
      </w:pPr>
      <w:r>
        <w:rPr>
          <w:rFonts w:hint="eastAsia" w:ascii="宋体"/>
          <w:color w:val="auto"/>
          <w:szCs w:val="21"/>
          <w:highlight w:val="none"/>
        </w:rPr>
        <w:t>（3）不同的供应商的响应文件载明的项目管理员为同一个人；</w:t>
      </w:r>
    </w:p>
    <w:p w14:paraId="7AE0A89B">
      <w:pPr>
        <w:snapToGrid w:val="0"/>
        <w:spacing w:line="350" w:lineRule="exact"/>
        <w:ind w:firstLine="516" w:firstLineChars="246"/>
        <w:outlineLvl w:val="4"/>
        <w:rPr>
          <w:rFonts w:hint="eastAsia" w:ascii="宋体"/>
          <w:color w:val="auto"/>
          <w:szCs w:val="21"/>
          <w:highlight w:val="none"/>
        </w:rPr>
      </w:pPr>
      <w:r>
        <w:rPr>
          <w:rFonts w:hint="eastAsia" w:ascii="宋体"/>
          <w:color w:val="auto"/>
          <w:szCs w:val="21"/>
          <w:highlight w:val="none"/>
        </w:rPr>
        <w:t>（4）不同的供应商的响应文件异常一致或磋商报价呈现规律性差异；</w:t>
      </w:r>
    </w:p>
    <w:p w14:paraId="1993936E">
      <w:pPr>
        <w:snapToGrid w:val="0"/>
        <w:spacing w:line="350" w:lineRule="exact"/>
        <w:ind w:firstLine="516" w:firstLineChars="246"/>
        <w:outlineLvl w:val="4"/>
        <w:rPr>
          <w:rFonts w:hint="eastAsia" w:ascii="宋体"/>
          <w:color w:val="auto"/>
          <w:szCs w:val="21"/>
          <w:highlight w:val="none"/>
        </w:rPr>
      </w:pPr>
      <w:r>
        <w:rPr>
          <w:rFonts w:hint="eastAsia" w:ascii="宋体"/>
          <w:color w:val="auto"/>
          <w:szCs w:val="21"/>
          <w:highlight w:val="none"/>
        </w:rPr>
        <w:t>（5）不同供应商的响应文件相互混装。</w:t>
      </w:r>
    </w:p>
    <w:p w14:paraId="0E8769B0">
      <w:pPr>
        <w:spacing w:line="350" w:lineRule="exact"/>
        <w:ind w:firstLine="422" w:firstLineChars="200"/>
        <w:rPr>
          <w:rFonts w:hint="eastAsia" w:ascii="宋体"/>
          <w:b/>
          <w:color w:val="auto"/>
          <w:szCs w:val="21"/>
          <w:highlight w:val="none"/>
        </w:rPr>
      </w:pPr>
      <w:r>
        <w:rPr>
          <w:rFonts w:hint="eastAsia" w:ascii="宋体"/>
          <w:b/>
          <w:color w:val="auto"/>
          <w:szCs w:val="21"/>
          <w:highlight w:val="none"/>
        </w:rPr>
        <w:t>七、确定成交供应商办法</w:t>
      </w:r>
    </w:p>
    <w:p w14:paraId="045D38C5">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24.1采购人应当确定磋商小组推荐排名第一的成交候选人为成交供应商。</w:t>
      </w:r>
    </w:p>
    <w:p w14:paraId="798DC23F">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24.2排名第一的成交候选人放弃成交、因不可抗力提出不能履行合同，或信用信息记录不符合相关规定的，采购人可以确定排名第二的成交候选人为成交供应商或重新采购。</w:t>
      </w:r>
    </w:p>
    <w:p w14:paraId="79899489">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24.3排名第二的成交候选人因前款规定的同样原因不能签订合同的，采购人可以确定排名第三的成交候选人为成交供应商或重新采购。</w:t>
      </w:r>
    </w:p>
    <w:p w14:paraId="2BB3A4B6">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24.4成交人信用信息查询</w:t>
      </w:r>
    </w:p>
    <w:p w14:paraId="6F80E95B">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根据《关于做好政府采购有关信用主体标识码登记及在政府采购活动中查询使用信用记录有关问题的通知》桂财采〔2016〕37号的通知，在对成交人的成交资格进行信用查询：</w:t>
      </w:r>
    </w:p>
    <w:p w14:paraId="368CF4D4">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（1）查询渠道：信用中国网站(www.creditchina.gov.cn)或“中国执行信息公开网”（https://zxgk.court.gov.cn/）、中国政府采购网(www.ccgp.gov.cn)等；</w:t>
      </w:r>
    </w:p>
    <w:p w14:paraId="1A560D99">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（2）查询截止时点：成交通知书发出前；</w:t>
      </w:r>
    </w:p>
    <w:p w14:paraId="0E2E8EFB">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（3）信用信息查询记录和证据留存方式：在查询网站中直接打印查询记录，打印材料作为采购活动资料保存。</w:t>
      </w:r>
    </w:p>
    <w:p w14:paraId="426E8777">
      <w:pPr>
        <w:widowControl/>
        <w:spacing w:line="400" w:lineRule="exact"/>
        <w:ind w:firstLine="525" w:firstLineChars="250"/>
        <w:jc w:val="left"/>
        <w:rPr>
          <w:rFonts w:hint="eastAsia" w:ascii="宋体" w:cs="宋体"/>
          <w:color w:val="auto"/>
          <w:kern w:val="0"/>
          <w:szCs w:val="21"/>
          <w:highlight w:val="none"/>
          <w:lang w:bidi="ar-SA"/>
        </w:rPr>
      </w:pPr>
      <w:r>
        <w:rPr>
          <w:rFonts w:hint="eastAsia" w:ascii="宋体" w:cs="宋体"/>
          <w:color w:val="auto"/>
          <w:kern w:val="0"/>
          <w:szCs w:val="21"/>
          <w:highlight w:val="none"/>
          <w:lang w:bidi="ar-SA"/>
        </w:rPr>
        <w:t>（4）信用信息使用规则：对在“信用中国”网站(www.creditchina.gov.cn)或“中国执行信息公开网”（https://zxgk.court.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3A1663AD">
      <w:pPr>
        <w:autoSpaceDE w:val="0"/>
        <w:autoSpaceDN w:val="0"/>
        <w:snapToGrid w:val="0"/>
        <w:spacing w:line="350" w:lineRule="exact"/>
        <w:ind w:firstLine="422" w:firstLineChars="200"/>
        <w:textAlignment w:val="bottom"/>
        <w:rPr>
          <w:rFonts w:hint="eastAsia" w:ascii="宋体"/>
          <w:b/>
          <w:color w:val="auto"/>
          <w:szCs w:val="21"/>
          <w:highlight w:val="none"/>
        </w:rPr>
      </w:pPr>
      <w:r>
        <w:rPr>
          <w:rFonts w:hint="eastAsia" w:ascii="宋体"/>
          <w:b/>
          <w:color w:val="auto"/>
          <w:szCs w:val="21"/>
          <w:highlight w:val="none"/>
        </w:rPr>
        <w:t>八、成交结果公告、成交通知书</w:t>
      </w:r>
    </w:p>
    <w:p w14:paraId="21ED0F45">
      <w:pPr>
        <w:spacing w:line="400" w:lineRule="exact"/>
        <w:ind w:firstLine="420" w:firstLineChars="200"/>
        <w:rPr>
          <w:rFonts w:hint="eastAsia" w:ascii="宋体"/>
          <w:color w:val="auto"/>
          <w:szCs w:val="21"/>
          <w:highlight w:val="none"/>
        </w:rPr>
      </w:pPr>
      <w:r>
        <w:rPr>
          <w:rFonts w:hint="eastAsia" w:ascii="宋体"/>
          <w:color w:val="auto"/>
          <w:highlight w:val="none"/>
        </w:rPr>
        <w:t>25.1</w:t>
      </w:r>
      <w:r>
        <w:rPr>
          <w:rFonts w:hint="eastAsia" w:ascii="宋体"/>
          <w:color w:val="auto"/>
          <w:szCs w:val="21"/>
          <w:highlight w:val="none"/>
        </w:rPr>
        <w:t>采购代理机构于评审结束后两个工作日内将评审报告送交采购人，采购人应当自收到评审报告五个工作日内在评审报告推荐的成交候选人中按顺序确定成交供应商，采购代理机构在成交供应商确定之日起两个工作日内在指定竞争性磋商公告发布媒体上公告成交结果信息。</w:t>
      </w:r>
    </w:p>
    <w:p w14:paraId="567E92FB">
      <w:pPr>
        <w:spacing w:line="400" w:lineRule="exact"/>
        <w:ind w:firstLine="420" w:firstLineChars="200"/>
        <w:rPr>
          <w:rFonts w:hint="eastAsia" w:ascii="宋体"/>
          <w:color w:val="auto"/>
          <w:szCs w:val="21"/>
          <w:highlight w:val="none"/>
        </w:rPr>
      </w:pPr>
      <w:r>
        <w:rPr>
          <w:rFonts w:hint="eastAsia" w:ascii="宋体"/>
          <w:color w:val="auto"/>
          <w:szCs w:val="21"/>
          <w:highlight w:val="none"/>
        </w:rPr>
        <w:t>25.2 在发布成交结果公告的同时，采购代理机构在线向成交供应商发出成交通知书。</w:t>
      </w:r>
    </w:p>
    <w:p w14:paraId="07496424">
      <w:pPr>
        <w:pStyle w:val="12"/>
        <w:spacing w:line="350" w:lineRule="exact"/>
        <w:rPr>
          <w:rFonts w:hint="eastAsia"/>
          <w:b/>
          <w:color w:val="auto"/>
          <w:highlight w:val="none"/>
        </w:rPr>
      </w:pPr>
      <w:r>
        <w:rPr>
          <w:rFonts w:hint="eastAsia"/>
          <w:color w:val="auto"/>
          <w:highlight w:val="none"/>
        </w:rPr>
        <w:t xml:space="preserve"> </w:t>
      </w:r>
      <w:r>
        <w:rPr>
          <w:color w:val="auto"/>
          <w:highlight w:val="none"/>
        </w:rPr>
        <w:t xml:space="preserve">   </w:t>
      </w:r>
      <w:r>
        <w:rPr>
          <w:rFonts w:hint="eastAsia"/>
          <w:b/>
          <w:color w:val="auto"/>
          <w:highlight w:val="none"/>
        </w:rPr>
        <w:t>九、签订合同</w:t>
      </w:r>
    </w:p>
    <w:p w14:paraId="345686E7">
      <w:pPr>
        <w:autoSpaceDE w:val="0"/>
        <w:autoSpaceDN w:val="0"/>
        <w:snapToGrid w:val="0"/>
        <w:spacing w:line="350" w:lineRule="exact"/>
        <w:ind w:firstLine="315" w:firstLineChars="150"/>
        <w:textAlignment w:val="bottom"/>
        <w:rPr>
          <w:rFonts w:hint="eastAsia" w:ascii="宋体"/>
          <w:color w:val="auto"/>
          <w:szCs w:val="21"/>
          <w:highlight w:val="none"/>
        </w:rPr>
      </w:pPr>
      <w:r>
        <w:rPr>
          <w:rFonts w:hint="eastAsia" w:ascii="宋体"/>
          <w:color w:val="auto"/>
          <w:szCs w:val="21"/>
          <w:highlight w:val="none"/>
        </w:rPr>
        <w:t>26.1履约保证金：详见磋商供应商须知前附表第30条。</w:t>
      </w:r>
    </w:p>
    <w:p w14:paraId="292418D4">
      <w:pPr>
        <w:autoSpaceDE w:val="0"/>
        <w:autoSpaceDN w:val="0"/>
        <w:snapToGrid w:val="0"/>
        <w:spacing w:line="350" w:lineRule="exact"/>
        <w:ind w:firstLine="315" w:firstLineChars="150"/>
        <w:textAlignment w:val="bottom"/>
        <w:rPr>
          <w:rFonts w:hint="eastAsia" w:ascii="宋体"/>
          <w:color w:val="auto"/>
          <w:szCs w:val="21"/>
          <w:highlight w:val="none"/>
        </w:rPr>
      </w:pPr>
      <w:r>
        <w:rPr>
          <w:rFonts w:hint="eastAsia" w:ascii="宋体"/>
          <w:color w:val="auto"/>
          <w:szCs w:val="21"/>
          <w:highlight w:val="none"/>
        </w:rPr>
        <w:t>26.2签订合同时间：详见磋商供应商须知前附表第31条。</w:t>
      </w:r>
    </w:p>
    <w:p w14:paraId="5782EF3E">
      <w:pPr>
        <w:autoSpaceDE w:val="0"/>
        <w:autoSpaceDN w:val="0"/>
        <w:snapToGrid w:val="0"/>
        <w:spacing w:line="350" w:lineRule="exact"/>
        <w:ind w:firstLine="315" w:firstLineChars="150"/>
        <w:textAlignment w:val="bottom"/>
        <w:rPr>
          <w:rFonts w:hint="eastAsia" w:ascii="宋体"/>
          <w:color w:val="auto"/>
          <w:szCs w:val="21"/>
          <w:highlight w:val="none"/>
        </w:rPr>
      </w:pPr>
      <w:r>
        <w:rPr>
          <w:rFonts w:hint="eastAsia" w:ascii="宋体"/>
          <w:color w:val="auto"/>
          <w:szCs w:val="21"/>
          <w:highlight w:val="none"/>
        </w:rPr>
        <w:t>26.3合同备案存档：详见磋商供应商须知前附表第32条。</w:t>
      </w:r>
    </w:p>
    <w:p w14:paraId="77EED677">
      <w:pPr>
        <w:autoSpaceDE w:val="0"/>
        <w:autoSpaceDN w:val="0"/>
        <w:snapToGrid w:val="0"/>
        <w:spacing w:line="350" w:lineRule="exact"/>
        <w:ind w:firstLine="315" w:firstLineChars="150"/>
        <w:textAlignment w:val="bottom"/>
        <w:rPr>
          <w:rFonts w:hint="eastAsia" w:ascii="宋体"/>
          <w:color w:val="auto"/>
          <w:szCs w:val="21"/>
          <w:highlight w:val="none"/>
        </w:rPr>
      </w:pPr>
      <w:r>
        <w:rPr>
          <w:rFonts w:hint="eastAsia" w:ascii="宋体"/>
          <w:color w:val="auto"/>
          <w:szCs w:val="21"/>
          <w:highlight w:val="none"/>
        </w:rPr>
        <w:t>26.4如成交供应商有下列情形之一，采购代理机构将上报同级财政部门，情节严重的，由财政部门将其列入不良行为记录名单，在一至三年内禁止参加政府采购活动，并予以通报。采购人可以从磋商小组推荐的成交侯选人中按顺序重新确定成交供应商或重新组织采购活动。拒绝签订政府采购合同的成交供应商不得参加对该项目重新开展的采购活动。</w:t>
      </w:r>
    </w:p>
    <w:p w14:paraId="556223DC">
      <w:pPr>
        <w:autoSpaceDE w:val="0"/>
        <w:autoSpaceDN w:val="0"/>
        <w:snapToGrid w:val="0"/>
        <w:spacing w:line="350" w:lineRule="exact"/>
        <w:ind w:firstLine="315" w:firstLineChars="150"/>
        <w:textAlignment w:val="bottom"/>
        <w:rPr>
          <w:rFonts w:hint="eastAsia" w:ascii="宋体"/>
          <w:color w:val="auto"/>
          <w:szCs w:val="21"/>
          <w:highlight w:val="none"/>
        </w:rPr>
      </w:pPr>
      <w:r>
        <w:rPr>
          <w:rFonts w:hint="eastAsia" w:ascii="宋体"/>
          <w:color w:val="auto"/>
          <w:szCs w:val="21"/>
          <w:highlight w:val="none"/>
        </w:rPr>
        <w:t>（1）成交后不与采购人签订合同的（不可抗力除外）；</w:t>
      </w:r>
    </w:p>
    <w:p w14:paraId="735B786D">
      <w:pPr>
        <w:autoSpaceDE w:val="0"/>
        <w:autoSpaceDN w:val="0"/>
        <w:snapToGrid w:val="0"/>
        <w:spacing w:line="350" w:lineRule="exact"/>
        <w:ind w:firstLine="315" w:firstLineChars="150"/>
        <w:textAlignment w:val="bottom"/>
        <w:rPr>
          <w:rFonts w:hint="eastAsia" w:ascii="宋体"/>
          <w:color w:val="auto"/>
          <w:szCs w:val="21"/>
          <w:highlight w:val="none"/>
        </w:rPr>
      </w:pPr>
      <w:r>
        <w:rPr>
          <w:rFonts w:hint="eastAsia" w:ascii="宋体"/>
          <w:color w:val="auto"/>
          <w:szCs w:val="21"/>
          <w:highlight w:val="none"/>
        </w:rPr>
        <w:t>（2）将成交项目转让给他人，或者在响应文件中未说明，且未经采购人同意，将成交项目分包给他人的；</w:t>
      </w:r>
    </w:p>
    <w:p w14:paraId="731B4664">
      <w:pPr>
        <w:autoSpaceDE w:val="0"/>
        <w:autoSpaceDN w:val="0"/>
        <w:snapToGrid w:val="0"/>
        <w:spacing w:line="350" w:lineRule="exact"/>
        <w:ind w:firstLine="315" w:firstLineChars="150"/>
        <w:textAlignment w:val="bottom"/>
        <w:rPr>
          <w:rFonts w:hint="eastAsia" w:ascii="宋体"/>
          <w:color w:val="auto"/>
          <w:szCs w:val="21"/>
          <w:highlight w:val="none"/>
        </w:rPr>
      </w:pPr>
      <w:r>
        <w:rPr>
          <w:rFonts w:hint="eastAsia" w:ascii="宋体"/>
          <w:color w:val="auto"/>
          <w:szCs w:val="21"/>
          <w:highlight w:val="none"/>
        </w:rPr>
        <w:t>（3）拒绝履行合同义务的；</w:t>
      </w:r>
    </w:p>
    <w:p w14:paraId="4402893B">
      <w:pPr>
        <w:autoSpaceDE w:val="0"/>
        <w:autoSpaceDN w:val="0"/>
        <w:snapToGrid w:val="0"/>
        <w:spacing w:line="350" w:lineRule="exact"/>
        <w:ind w:firstLine="316" w:firstLineChars="150"/>
        <w:textAlignment w:val="bottom"/>
        <w:rPr>
          <w:rFonts w:hint="eastAsia" w:ascii="宋体"/>
          <w:b/>
          <w:color w:val="auto"/>
          <w:szCs w:val="21"/>
          <w:highlight w:val="none"/>
        </w:rPr>
      </w:pPr>
      <w:r>
        <w:rPr>
          <w:rFonts w:hint="eastAsia" w:ascii="宋体"/>
          <w:b/>
          <w:color w:val="auto"/>
          <w:szCs w:val="21"/>
          <w:highlight w:val="none"/>
        </w:rPr>
        <w:t>十、适用法律</w:t>
      </w:r>
    </w:p>
    <w:p w14:paraId="0980EDD4">
      <w:pPr>
        <w:autoSpaceDE w:val="0"/>
        <w:autoSpaceDN w:val="0"/>
        <w:snapToGrid w:val="0"/>
        <w:spacing w:line="350" w:lineRule="exact"/>
        <w:ind w:firstLine="315" w:firstLineChars="150"/>
        <w:textAlignment w:val="bottom"/>
        <w:rPr>
          <w:rFonts w:hint="eastAsia" w:ascii="宋体"/>
          <w:color w:val="auto"/>
          <w:szCs w:val="21"/>
          <w:highlight w:val="none"/>
        </w:rPr>
      </w:pPr>
      <w:r>
        <w:rPr>
          <w:rFonts w:hint="eastAsia" w:ascii="宋体"/>
          <w:color w:val="auto"/>
          <w:szCs w:val="21"/>
          <w:highlight w:val="none"/>
        </w:rPr>
        <w:t>27.采购当事人的一切活动均适用于《中华人民共和国政府采购法》、《政府采购竞争性磋商采购方式管理暂行办法》及相关规定。</w:t>
      </w:r>
    </w:p>
    <w:p w14:paraId="07B6DE7D">
      <w:pPr>
        <w:spacing w:line="350" w:lineRule="exact"/>
        <w:ind w:firstLine="312" w:firstLineChars="148"/>
        <w:rPr>
          <w:rFonts w:hint="eastAsia" w:ascii="宋体"/>
          <w:b/>
          <w:color w:val="auto"/>
          <w:szCs w:val="21"/>
          <w:highlight w:val="none"/>
        </w:rPr>
      </w:pPr>
      <w:r>
        <w:rPr>
          <w:rFonts w:hint="eastAsia" w:ascii="宋体"/>
          <w:b/>
          <w:color w:val="auto"/>
          <w:szCs w:val="21"/>
          <w:highlight w:val="none"/>
        </w:rPr>
        <w:t>十一、其他事项</w:t>
      </w:r>
    </w:p>
    <w:p w14:paraId="0B1328B3">
      <w:pPr>
        <w:spacing w:line="350" w:lineRule="exact"/>
        <w:ind w:firstLine="315" w:firstLineChars="150"/>
        <w:rPr>
          <w:rFonts w:hint="eastAsia" w:ascii="宋体"/>
          <w:color w:val="auto"/>
          <w:szCs w:val="21"/>
          <w:highlight w:val="none"/>
        </w:rPr>
      </w:pPr>
      <w:r>
        <w:rPr>
          <w:rFonts w:hint="eastAsia" w:ascii="宋体"/>
          <w:color w:val="auto"/>
          <w:szCs w:val="21"/>
          <w:highlight w:val="none"/>
        </w:rPr>
        <w:t>28.1采购代理服务费：详见磋商供应商须知前附表第33条。</w:t>
      </w:r>
    </w:p>
    <w:p w14:paraId="26A7B695">
      <w:pPr>
        <w:spacing w:line="350" w:lineRule="exact"/>
        <w:ind w:firstLine="316" w:firstLineChars="150"/>
        <w:rPr>
          <w:rFonts w:hint="eastAsia" w:ascii="宋体"/>
          <w:b/>
          <w:color w:val="auto"/>
          <w:szCs w:val="21"/>
          <w:highlight w:val="none"/>
        </w:rPr>
      </w:pPr>
      <w:r>
        <w:rPr>
          <w:rFonts w:hint="eastAsia" w:ascii="宋体"/>
          <w:b/>
          <w:color w:val="auto"/>
          <w:szCs w:val="21"/>
          <w:highlight w:val="none"/>
        </w:rPr>
        <w:t>29.工程材料</w:t>
      </w:r>
    </w:p>
    <w:p w14:paraId="051A3B6C">
      <w:pPr>
        <w:spacing w:line="350" w:lineRule="exact"/>
        <w:ind w:firstLine="316" w:firstLineChars="150"/>
        <w:rPr>
          <w:rFonts w:hint="eastAsia" w:ascii="宋体"/>
          <w:b/>
          <w:bCs/>
          <w:color w:val="auto"/>
          <w:szCs w:val="21"/>
          <w:highlight w:val="none"/>
        </w:rPr>
      </w:pPr>
      <w:r>
        <w:rPr>
          <w:rFonts w:hint="eastAsia" w:ascii="宋体"/>
          <w:b/>
          <w:bCs/>
          <w:color w:val="auto"/>
          <w:szCs w:val="21"/>
          <w:highlight w:val="none"/>
        </w:rPr>
        <w:t>29.1施工方施工时所用的所有配件和材料，均要求使用相当于或优于工程量清单中已注明的品牌、型号，履约时随时接受检查，如发现施工方使用与响应文件上所报不相符的配件和材料，或发现施工方使用不合格产品的，采购人有权将其清理出场外，并按违约责任处理，同时施工方还必须在建设方规定时间内退还已付工程款。</w:t>
      </w:r>
    </w:p>
    <w:p w14:paraId="5E348DE3">
      <w:pPr>
        <w:spacing w:line="350" w:lineRule="exact"/>
        <w:ind w:firstLine="413" w:firstLineChars="196"/>
        <w:rPr>
          <w:rFonts w:hint="eastAsia" w:ascii="宋体"/>
          <w:b/>
          <w:color w:val="auto"/>
          <w:szCs w:val="21"/>
          <w:highlight w:val="none"/>
        </w:rPr>
      </w:pPr>
      <w:r>
        <w:rPr>
          <w:rFonts w:hint="eastAsia" w:ascii="宋体"/>
          <w:b/>
          <w:color w:val="auto"/>
          <w:szCs w:val="21"/>
          <w:highlight w:val="none"/>
        </w:rPr>
        <w:t>30.保险</w:t>
      </w:r>
    </w:p>
    <w:p w14:paraId="0EBCCEBE">
      <w:pPr>
        <w:spacing w:line="350" w:lineRule="exact"/>
        <w:ind w:firstLine="420" w:firstLineChars="200"/>
        <w:rPr>
          <w:rFonts w:hint="eastAsia" w:ascii="宋体"/>
          <w:color w:val="auto"/>
          <w:szCs w:val="21"/>
          <w:highlight w:val="none"/>
        </w:rPr>
      </w:pPr>
      <w:r>
        <w:rPr>
          <w:rFonts w:hint="eastAsia" w:ascii="宋体"/>
          <w:color w:val="auto"/>
          <w:szCs w:val="21"/>
          <w:highlight w:val="none"/>
        </w:rPr>
        <w:t>30.1成交人应按规定办理行业职工人身意外伤害保险，并为施工场地内自有人员生命财产和施工机械设备办理保险支付保险费用。</w:t>
      </w:r>
    </w:p>
    <w:p w14:paraId="17365DB8">
      <w:pPr>
        <w:spacing w:line="350" w:lineRule="exact"/>
        <w:ind w:firstLine="422" w:firstLineChars="200"/>
        <w:rPr>
          <w:rFonts w:hint="eastAsia" w:ascii="宋体"/>
          <w:color w:val="auto"/>
          <w:szCs w:val="21"/>
          <w:highlight w:val="none"/>
        </w:rPr>
      </w:pPr>
      <w:r>
        <w:rPr>
          <w:rFonts w:hint="eastAsia" w:ascii="宋体"/>
          <w:b/>
          <w:color w:val="auto"/>
          <w:szCs w:val="21"/>
          <w:highlight w:val="none"/>
        </w:rPr>
        <w:t>31.农民工工资</w:t>
      </w:r>
    </w:p>
    <w:p w14:paraId="3F71158F">
      <w:pPr>
        <w:pStyle w:val="12"/>
        <w:tabs>
          <w:tab w:val="left" w:pos="430"/>
        </w:tabs>
        <w:spacing w:line="350" w:lineRule="exact"/>
        <w:ind w:left="23" w:leftChars="11" w:firstLine="420" w:firstLineChars="200"/>
        <w:rPr>
          <w:rFonts w:hint="eastAsia"/>
          <w:color w:val="auto"/>
          <w:highlight w:val="none"/>
        </w:rPr>
      </w:pPr>
      <w:r>
        <w:rPr>
          <w:rFonts w:hint="eastAsia"/>
          <w:color w:val="auto"/>
          <w:highlight w:val="none"/>
        </w:rPr>
        <w:t>31.1农民工工资按桂林市工程建设领域民工工资支付与监管指（试行）（市人社政规〔2023〕1号）文件执行，由采购人督促成交人按规定自行办理农民工工资保证金的交纳与使用。</w:t>
      </w:r>
    </w:p>
    <w:p w14:paraId="6B375AB7">
      <w:pPr>
        <w:pStyle w:val="12"/>
        <w:spacing w:line="350" w:lineRule="exact"/>
        <w:ind w:firstLine="413" w:firstLineChars="196"/>
        <w:rPr>
          <w:rFonts w:hint="eastAsia" w:ascii="宋体"/>
          <w:color w:val="auto"/>
          <w:szCs w:val="21"/>
          <w:highlight w:val="none"/>
          <w:lang w:eastAsia="zh-CN"/>
        </w:rPr>
      </w:pPr>
      <w:r>
        <w:rPr>
          <w:rFonts w:hint="eastAsia"/>
          <w:b/>
          <w:color w:val="auto"/>
          <w:highlight w:val="none"/>
        </w:rPr>
        <w:t>32.</w:t>
      </w:r>
      <w:r>
        <w:rPr>
          <w:color w:val="auto"/>
          <w:highlight w:val="none"/>
        </w:rPr>
        <w:t xml:space="preserve"> 监督</w:t>
      </w:r>
      <w:r>
        <w:rPr>
          <w:rFonts w:hint="eastAsia"/>
          <w:color w:val="auto"/>
          <w:highlight w:val="none"/>
        </w:rPr>
        <w:t>管理部门：</w:t>
      </w:r>
      <w:r>
        <w:rPr>
          <w:rFonts w:hint="eastAsia" w:ascii="宋体" w:hAnsi="Times New Roman" w:eastAsia="宋体"/>
          <w:color w:val="auto"/>
          <w:lang w:val="en-US" w:eastAsia="zh-CN"/>
        </w:rPr>
        <w:t>龙胜各族自治县政府采购管理办公室</w:t>
      </w:r>
      <w:r>
        <w:rPr>
          <w:rFonts w:hint="eastAsia" w:ascii="宋体" w:hAnsi="Times New Roman" w:eastAsia="宋体"/>
          <w:color w:val="auto"/>
        </w:rPr>
        <w:t xml:space="preserve">    联系电话</w:t>
      </w:r>
      <w:r>
        <w:rPr>
          <w:rFonts w:hint="eastAsia" w:ascii="宋体" w:hAnsi="Times New Roman" w:eastAsia="宋体"/>
          <w:color w:val="auto"/>
          <w:lang w:eastAsia="zh-CN"/>
        </w:rPr>
        <w:t>：</w:t>
      </w:r>
      <w:r>
        <w:rPr>
          <w:rFonts w:hint="eastAsia" w:ascii="宋体" w:hAnsi="Times New Roman" w:eastAsia="宋体"/>
          <w:color w:val="auto"/>
          <w:lang w:val="en-US" w:eastAsia="zh-CN"/>
        </w:rPr>
        <w:t>0773-7511322</w:t>
      </w:r>
    </w:p>
    <w:p w14:paraId="4B858489">
      <w:pPr>
        <w:pStyle w:val="12"/>
        <w:spacing w:line="350" w:lineRule="exact"/>
        <w:ind w:firstLine="413" w:firstLineChars="196"/>
        <w:rPr>
          <w:rFonts w:hint="eastAsia"/>
          <w:b/>
          <w:color w:val="auto"/>
          <w:highlight w:val="none"/>
        </w:rPr>
      </w:pPr>
      <w:r>
        <w:rPr>
          <w:rFonts w:hint="eastAsia"/>
          <w:b/>
          <w:color w:val="auto"/>
          <w:highlight w:val="none"/>
        </w:rPr>
        <w:t>33.解释权</w:t>
      </w:r>
    </w:p>
    <w:p w14:paraId="46488213">
      <w:pPr>
        <w:pStyle w:val="12"/>
        <w:spacing w:line="350" w:lineRule="exact"/>
        <w:ind w:firstLine="404" w:firstLineChars="200"/>
        <w:rPr>
          <w:rFonts w:hint="eastAsia"/>
          <w:color w:val="auto"/>
          <w:spacing w:val="-4"/>
          <w:highlight w:val="none"/>
        </w:rPr>
      </w:pPr>
      <w:r>
        <w:rPr>
          <w:rFonts w:hint="eastAsia"/>
          <w:color w:val="auto"/>
          <w:spacing w:val="-4"/>
          <w:highlight w:val="none"/>
        </w:rPr>
        <w:t>本</w:t>
      </w:r>
      <w:r>
        <w:rPr>
          <w:rFonts w:hint="eastAsia"/>
          <w:color w:val="auto"/>
          <w:highlight w:val="none"/>
        </w:rPr>
        <w:t>竞争性磋商文件</w:t>
      </w:r>
      <w:r>
        <w:rPr>
          <w:rFonts w:hint="eastAsia"/>
          <w:color w:val="auto"/>
          <w:spacing w:val="-4"/>
          <w:highlight w:val="none"/>
        </w:rPr>
        <w:t>解释权属</w:t>
      </w:r>
      <w:r>
        <w:rPr>
          <w:rFonts w:hint="eastAsia"/>
          <w:color w:val="auto"/>
          <w:spacing w:val="-4"/>
          <w:highlight w:val="none"/>
          <w:lang w:eastAsia="zh-CN"/>
        </w:rPr>
        <w:t>广西国兴项目管理有限公司</w:t>
      </w:r>
      <w:r>
        <w:rPr>
          <w:rFonts w:hint="eastAsia"/>
          <w:color w:val="auto"/>
          <w:spacing w:val="-4"/>
          <w:highlight w:val="none"/>
        </w:rPr>
        <w:t>。</w:t>
      </w:r>
    </w:p>
    <w:p w14:paraId="0B0A0B86">
      <w:pPr>
        <w:pStyle w:val="12"/>
        <w:spacing w:line="350" w:lineRule="exact"/>
        <w:ind w:firstLine="413" w:firstLineChars="196"/>
        <w:rPr>
          <w:rFonts w:hint="eastAsia"/>
          <w:color w:val="auto"/>
          <w:highlight w:val="none"/>
        </w:rPr>
      </w:pPr>
      <w:r>
        <w:rPr>
          <w:rFonts w:hint="eastAsia"/>
          <w:b/>
          <w:color w:val="auto"/>
          <w:highlight w:val="none"/>
        </w:rPr>
        <w:t>34.有关事宜</w:t>
      </w:r>
    </w:p>
    <w:p w14:paraId="1A97F23A">
      <w:pPr>
        <w:pStyle w:val="12"/>
        <w:spacing w:line="350" w:lineRule="exact"/>
        <w:ind w:firstLine="420" w:firstLineChars="200"/>
        <w:rPr>
          <w:rFonts w:hint="eastAsia"/>
          <w:color w:val="auto"/>
          <w:highlight w:val="none"/>
        </w:rPr>
      </w:pPr>
      <w:r>
        <w:rPr>
          <w:rFonts w:hint="eastAsia"/>
          <w:color w:val="auto"/>
          <w:highlight w:val="none"/>
        </w:rPr>
        <w:t>所有与本竞争性磋商文件有关的函件请按下列通讯地址联系：</w:t>
      </w:r>
    </w:p>
    <w:p w14:paraId="46058F39">
      <w:pPr>
        <w:pStyle w:val="12"/>
        <w:tabs>
          <w:tab w:val="left" w:pos="1990"/>
        </w:tabs>
        <w:spacing w:line="350" w:lineRule="exact"/>
        <w:ind w:firstLine="824"/>
        <w:rPr>
          <w:rFonts w:hint="eastAsia" w:eastAsia="宋体"/>
          <w:color w:val="auto"/>
          <w:spacing w:val="-4"/>
          <w:highlight w:val="none"/>
          <w:lang w:eastAsia="zh-CN"/>
        </w:rPr>
      </w:pPr>
      <w:r>
        <w:rPr>
          <w:rFonts w:hint="eastAsia"/>
          <w:color w:val="auto"/>
          <w:spacing w:val="-4"/>
          <w:highlight w:val="none"/>
          <w:lang w:eastAsia="zh-CN"/>
        </w:rPr>
        <w:t>广西国兴项目管理有限公司</w:t>
      </w:r>
    </w:p>
    <w:p w14:paraId="63CC3434">
      <w:pPr>
        <w:pStyle w:val="12"/>
        <w:tabs>
          <w:tab w:val="left" w:pos="1990"/>
        </w:tabs>
        <w:spacing w:line="350" w:lineRule="exact"/>
        <w:ind w:firstLine="824"/>
        <w:rPr>
          <w:rFonts w:hint="eastAsia"/>
          <w:color w:val="auto"/>
        </w:rPr>
      </w:pPr>
      <w:r>
        <w:rPr>
          <w:rFonts w:hint="eastAsia"/>
          <w:color w:val="auto"/>
        </w:rPr>
        <w:t>通讯地址：桂林市临桂区临桂镇凤凰路13号金贸中心3-3#幢8层09号</w:t>
      </w:r>
    </w:p>
    <w:p w14:paraId="0B3063D2">
      <w:pPr>
        <w:pStyle w:val="12"/>
        <w:tabs>
          <w:tab w:val="left" w:pos="1990"/>
        </w:tabs>
        <w:spacing w:line="350" w:lineRule="exact"/>
        <w:ind w:firstLine="824"/>
        <w:rPr>
          <w:rFonts w:hint="eastAsia"/>
          <w:color w:val="auto"/>
        </w:rPr>
      </w:pPr>
      <w:r>
        <w:rPr>
          <w:rFonts w:hint="eastAsia"/>
          <w:color w:val="auto"/>
        </w:rPr>
        <w:t xml:space="preserve">电    话：15296810982  </w:t>
      </w:r>
    </w:p>
    <w:p w14:paraId="3913F0FE">
      <w:pPr>
        <w:pStyle w:val="12"/>
        <w:tabs>
          <w:tab w:val="left" w:pos="1990"/>
        </w:tabs>
        <w:spacing w:line="340" w:lineRule="exact"/>
        <w:ind w:firstLine="211" w:firstLineChars="100"/>
        <w:rPr>
          <w:b/>
          <w:color w:val="auto"/>
          <w:highlight w:val="none"/>
        </w:rPr>
      </w:pPr>
      <w:r>
        <w:rPr>
          <w:rFonts w:hint="eastAsia"/>
          <w:b/>
          <w:color w:val="auto"/>
          <w:highlight w:val="none"/>
        </w:rPr>
        <w:t xml:space="preserve">  35.</w:t>
      </w:r>
      <w:r>
        <w:rPr>
          <w:rFonts w:hint="eastAsia"/>
          <w:color w:val="auto"/>
          <w:highlight w:val="none"/>
        </w:rPr>
        <w:t>根据中国人民银行桂林市中心支行 桂林市财政局关于转发《中国人民银行南宁中心支行广西壮族自治区财政厅关于推广线上“政采贷”融资模式的通知》的通知【桂人银发（2021）246号】，支持银行金融机构与政府采购供应商开展线上“政采贷”业务，具体内容详见《广西线上“政采贷”政策告知函》（附后）。</w:t>
      </w:r>
    </w:p>
    <w:p w14:paraId="1BB2952A">
      <w:pPr>
        <w:pStyle w:val="12"/>
        <w:tabs>
          <w:tab w:val="left" w:pos="1990"/>
        </w:tabs>
        <w:spacing w:line="340" w:lineRule="exact"/>
        <w:rPr>
          <w:rFonts w:hint="eastAsia"/>
          <w:b/>
          <w:color w:val="auto"/>
          <w:highlight w:val="none"/>
        </w:rPr>
      </w:pPr>
    </w:p>
    <w:p w14:paraId="387D581E">
      <w:pPr>
        <w:pStyle w:val="12"/>
        <w:tabs>
          <w:tab w:val="left" w:pos="1990"/>
        </w:tabs>
        <w:spacing w:line="340" w:lineRule="exact"/>
        <w:rPr>
          <w:rFonts w:hint="eastAsia"/>
          <w:b/>
          <w:color w:val="auto"/>
          <w:highlight w:val="none"/>
        </w:rPr>
      </w:pPr>
    </w:p>
    <w:p w14:paraId="4DFC6016">
      <w:pPr>
        <w:pStyle w:val="12"/>
        <w:tabs>
          <w:tab w:val="left" w:pos="1990"/>
        </w:tabs>
        <w:spacing w:line="340" w:lineRule="exact"/>
        <w:rPr>
          <w:rFonts w:hint="eastAsia"/>
          <w:b/>
          <w:color w:val="auto"/>
          <w:highlight w:val="none"/>
        </w:rPr>
      </w:pPr>
    </w:p>
    <w:p w14:paraId="7BFA317C">
      <w:pPr>
        <w:pStyle w:val="12"/>
        <w:tabs>
          <w:tab w:val="left" w:pos="1990"/>
        </w:tabs>
        <w:spacing w:line="340" w:lineRule="exact"/>
        <w:rPr>
          <w:rFonts w:hint="eastAsia"/>
          <w:b/>
          <w:color w:val="auto"/>
          <w:highlight w:val="none"/>
        </w:rPr>
      </w:pPr>
    </w:p>
    <w:p w14:paraId="7747C882">
      <w:pPr>
        <w:pStyle w:val="12"/>
        <w:tabs>
          <w:tab w:val="left" w:pos="1990"/>
        </w:tabs>
        <w:spacing w:line="340" w:lineRule="exact"/>
        <w:rPr>
          <w:rFonts w:hint="eastAsia"/>
          <w:b/>
          <w:color w:val="auto"/>
          <w:highlight w:val="none"/>
        </w:rPr>
      </w:pPr>
    </w:p>
    <w:p w14:paraId="77561062">
      <w:pPr>
        <w:jc w:val="both"/>
        <w:rPr>
          <w:rFonts w:hint="eastAsia"/>
          <w:b/>
          <w:color w:val="auto"/>
          <w:sz w:val="36"/>
          <w:szCs w:val="36"/>
          <w:highlight w:val="none"/>
        </w:rPr>
      </w:pPr>
    </w:p>
    <w:p w14:paraId="78CB47B5">
      <w:pPr>
        <w:autoSpaceDE w:val="0"/>
        <w:autoSpaceDN w:val="0"/>
        <w:adjustRightInd w:val="0"/>
        <w:snapToGrid w:val="0"/>
        <w:spacing w:line="300" w:lineRule="auto"/>
        <w:jc w:val="center"/>
        <w:outlineLvl w:val="0"/>
        <w:rPr>
          <w:rFonts w:hint="eastAsia" w:ascii="宋体"/>
          <w:b/>
          <w:color w:val="auto"/>
          <w:kern w:val="0"/>
          <w:sz w:val="44"/>
          <w:szCs w:val="44"/>
          <w:highlight w:val="none"/>
        </w:rPr>
      </w:pPr>
      <w:r>
        <w:rPr>
          <w:rFonts w:hint="eastAsia"/>
          <w:b/>
          <w:color w:val="auto"/>
          <w:sz w:val="36"/>
          <w:szCs w:val="36"/>
          <w:highlight w:val="none"/>
        </w:rPr>
        <w:br w:type="page"/>
      </w:r>
      <w:bookmarkStart w:id="6" w:name="_Toc14909"/>
      <w:r>
        <w:rPr>
          <w:rFonts w:hint="eastAsia"/>
          <w:b/>
          <w:color w:val="auto"/>
          <w:sz w:val="36"/>
          <w:szCs w:val="36"/>
          <w:highlight w:val="none"/>
        </w:rPr>
        <w:t xml:space="preserve">第三章  </w:t>
      </w:r>
      <w:r>
        <w:rPr>
          <w:rFonts w:hint="eastAsia" w:ascii="宋体"/>
          <w:b/>
          <w:color w:val="auto"/>
          <w:kern w:val="0"/>
          <w:sz w:val="44"/>
          <w:szCs w:val="44"/>
          <w:highlight w:val="none"/>
        </w:rPr>
        <w:t>评审方法</w:t>
      </w:r>
      <w:bookmarkEnd w:id="6"/>
    </w:p>
    <w:p w14:paraId="4631D8A8">
      <w:pPr>
        <w:pStyle w:val="12"/>
        <w:spacing w:line="320" w:lineRule="exact"/>
        <w:ind w:firstLine="413" w:firstLineChars="196"/>
        <w:rPr>
          <w:b/>
          <w:bCs/>
          <w:color w:val="auto"/>
          <w:highlight w:val="none"/>
        </w:rPr>
      </w:pPr>
      <w:r>
        <w:rPr>
          <w:rFonts w:hint="eastAsia"/>
          <w:b/>
          <w:bCs/>
          <w:color w:val="auto"/>
          <w:highlight w:val="none"/>
        </w:rPr>
        <w:t>一、评审原则</w:t>
      </w:r>
    </w:p>
    <w:p w14:paraId="2B16BD93">
      <w:pPr>
        <w:pStyle w:val="12"/>
        <w:spacing w:line="320" w:lineRule="exact"/>
        <w:ind w:firstLine="420" w:firstLineChars="200"/>
        <w:rPr>
          <w:color w:val="auto"/>
          <w:highlight w:val="none"/>
        </w:rPr>
      </w:pPr>
      <w:r>
        <w:rPr>
          <w:rFonts w:hint="eastAsia"/>
          <w:color w:val="auto"/>
          <w:highlight w:val="none"/>
        </w:rPr>
        <w:t>1、评审依据：磋商小组以竞争性磋商文件和响应文件为评审依据，对磋商供应商的最后报价、项目管理机构、施工组织设计、企业信誉实力等方面内容按百分制打分。</w:t>
      </w:r>
    </w:p>
    <w:p w14:paraId="7CFC77CE">
      <w:pPr>
        <w:pStyle w:val="12"/>
        <w:spacing w:line="320" w:lineRule="exact"/>
        <w:ind w:firstLine="420" w:firstLineChars="200"/>
        <w:rPr>
          <w:color w:val="auto"/>
          <w:highlight w:val="none"/>
        </w:rPr>
      </w:pPr>
      <w:r>
        <w:rPr>
          <w:rFonts w:hint="eastAsia"/>
          <w:color w:val="auto"/>
          <w:highlight w:val="none"/>
        </w:rPr>
        <w:t>2、评审方式：以封闭方式进行评审。</w:t>
      </w:r>
    </w:p>
    <w:p w14:paraId="014AAB48">
      <w:pPr>
        <w:pStyle w:val="12"/>
        <w:spacing w:line="320" w:lineRule="exact"/>
        <w:ind w:firstLine="420" w:firstLineChars="200"/>
        <w:rPr>
          <w:rFonts w:cs="宋体"/>
          <w:color w:val="auto"/>
          <w:highlight w:val="none"/>
          <w:lang w:bidi="ar-SA"/>
        </w:rPr>
      </w:pPr>
      <w:r>
        <w:rPr>
          <w:rFonts w:hint="eastAsia"/>
          <w:color w:val="auto"/>
          <w:highlight w:val="none"/>
        </w:rPr>
        <w:t>3、根据财库〔2012〕69号文规定，采购人和采购代理机构、磋商小组成员要严格遵守政府采购相关法律制度，依法履行各自职责，公正、客观、审慎地组织和参与评审工作。</w:t>
      </w:r>
    </w:p>
    <w:p w14:paraId="398D6C53">
      <w:pPr>
        <w:pStyle w:val="12"/>
        <w:spacing w:line="320" w:lineRule="exact"/>
        <w:ind w:firstLine="422" w:firstLineChars="200"/>
        <w:rPr>
          <w:b/>
          <w:bCs/>
          <w:color w:val="auto"/>
          <w:highlight w:val="none"/>
        </w:rPr>
      </w:pPr>
      <w:r>
        <w:rPr>
          <w:rFonts w:hint="eastAsia"/>
          <w:b/>
          <w:bCs/>
          <w:color w:val="auto"/>
          <w:highlight w:val="none"/>
        </w:rPr>
        <w:t>二、评审办法</w:t>
      </w:r>
    </w:p>
    <w:p w14:paraId="6E07AF2E">
      <w:pPr>
        <w:pStyle w:val="12"/>
        <w:spacing w:line="320" w:lineRule="exact"/>
        <w:ind w:firstLine="420" w:firstLineChars="200"/>
        <w:rPr>
          <w:bCs/>
          <w:color w:val="auto"/>
          <w:highlight w:val="none"/>
        </w:rPr>
      </w:pPr>
      <w:r>
        <w:rPr>
          <w:rFonts w:hint="eastAsia"/>
          <w:bCs/>
          <w:color w:val="auto"/>
          <w:highlight w:val="none"/>
        </w:rPr>
        <w:t>（一）本次评标采用综合评分法。磋商小组会首先对磋商供应商提交的响应文件进行资格性审查和符合性审查，只有通过了资格性审查和符合性审查才能进入详评。</w:t>
      </w:r>
    </w:p>
    <w:p w14:paraId="7C6746A3">
      <w:pPr>
        <w:pStyle w:val="12"/>
        <w:spacing w:line="320" w:lineRule="exact"/>
        <w:ind w:firstLine="420" w:firstLineChars="200"/>
        <w:rPr>
          <w:rFonts w:hint="eastAsia"/>
          <w:bCs/>
          <w:color w:val="auto"/>
          <w:highlight w:val="none"/>
        </w:rPr>
      </w:pPr>
      <w:r>
        <w:rPr>
          <w:rFonts w:hint="eastAsia"/>
          <w:bCs/>
          <w:color w:val="auto"/>
          <w:highlight w:val="none"/>
        </w:rPr>
        <w:t>（二）计分办法（按四舍五入取至小数点后二位）</w:t>
      </w:r>
    </w:p>
    <w:tbl>
      <w:tblPr>
        <w:tblStyle w:val="20"/>
        <w:tblW w:w="9049" w:type="dxa"/>
        <w:jc w:val="center"/>
        <w:tblLayout w:type="fixed"/>
        <w:tblCellMar>
          <w:top w:w="0" w:type="dxa"/>
          <w:left w:w="108" w:type="dxa"/>
          <w:bottom w:w="0" w:type="dxa"/>
          <w:right w:w="108" w:type="dxa"/>
        </w:tblCellMar>
      </w:tblPr>
      <w:tblGrid>
        <w:gridCol w:w="944"/>
        <w:gridCol w:w="1324"/>
        <w:gridCol w:w="2141"/>
        <w:gridCol w:w="4555"/>
        <w:gridCol w:w="85"/>
      </w:tblGrid>
      <w:tr w14:paraId="298FA59E">
        <w:tblPrEx>
          <w:tblCellMar>
            <w:top w:w="0" w:type="dxa"/>
            <w:left w:w="108" w:type="dxa"/>
            <w:bottom w:w="0" w:type="dxa"/>
            <w:right w:w="108" w:type="dxa"/>
          </w:tblCellMar>
        </w:tblPrEx>
        <w:trPr>
          <w:gridAfter w:val="1"/>
          <w:wAfter w:w="85" w:type="dxa"/>
          <w:trHeight w:val="609" w:hRule="atLeast"/>
          <w:jc w:val="center"/>
        </w:trPr>
        <w:tc>
          <w:tcPr>
            <w:tcW w:w="944" w:type="dxa"/>
            <w:tcBorders>
              <w:top w:val="single" w:color="auto" w:sz="4" w:space="0"/>
              <w:left w:val="single" w:color="auto" w:sz="4" w:space="0"/>
              <w:bottom w:val="single" w:color="auto" w:sz="4" w:space="0"/>
              <w:right w:val="single" w:color="000000" w:sz="4" w:space="0"/>
            </w:tcBorders>
            <w:noWrap w:val="0"/>
            <w:vAlign w:val="center"/>
          </w:tcPr>
          <w:p w14:paraId="4CABF1C9">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条款号</w:t>
            </w:r>
          </w:p>
        </w:tc>
        <w:tc>
          <w:tcPr>
            <w:tcW w:w="8020" w:type="dxa"/>
            <w:gridSpan w:val="3"/>
            <w:tcBorders>
              <w:top w:val="single" w:color="auto" w:sz="4" w:space="0"/>
              <w:left w:val="nil"/>
              <w:bottom w:val="single" w:color="auto" w:sz="4" w:space="0"/>
              <w:right w:val="single" w:color="auto" w:sz="4" w:space="0"/>
            </w:tcBorders>
            <w:noWrap w:val="0"/>
            <w:vAlign w:val="center"/>
          </w:tcPr>
          <w:p w14:paraId="5CB2B19B">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评审标准</w:t>
            </w:r>
          </w:p>
        </w:tc>
      </w:tr>
      <w:tr w14:paraId="7EDDA70B">
        <w:tblPrEx>
          <w:tblCellMar>
            <w:top w:w="0" w:type="dxa"/>
            <w:left w:w="108" w:type="dxa"/>
            <w:bottom w:w="0" w:type="dxa"/>
            <w:right w:w="108" w:type="dxa"/>
          </w:tblCellMar>
        </w:tblPrEx>
        <w:trPr>
          <w:gridAfter w:val="1"/>
          <w:wAfter w:w="85" w:type="dxa"/>
          <w:trHeight w:val="453" w:hRule="atLeast"/>
          <w:jc w:val="center"/>
        </w:trPr>
        <w:tc>
          <w:tcPr>
            <w:tcW w:w="944" w:type="dxa"/>
            <w:vMerge w:val="restart"/>
            <w:tcBorders>
              <w:top w:val="single" w:color="auto" w:sz="4" w:space="0"/>
              <w:left w:val="single" w:color="auto" w:sz="4" w:space="0"/>
              <w:right w:val="single" w:color="auto" w:sz="4" w:space="0"/>
            </w:tcBorders>
            <w:noWrap w:val="0"/>
            <w:vAlign w:val="center"/>
          </w:tcPr>
          <w:p w14:paraId="63E391EB">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.1</w:t>
            </w:r>
          </w:p>
        </w:tc>
        <w:tc>
          <w:tcPr>
            <w:tcW w:w="1324" w:type="dxa"/>
            <w:vMerge w:val="restart"/>
            <w:tcBorders>
              <w:top w:val="single" w:color="auto" w:sz="4" w:space="0"/>
              <w:left w:val="single" w:color="auto" w:sz="4" w:space="0"/>
              <w:right w:val="single" w:color="auto" w:sz="4" w:space="0"/>
            </w:tcBorders>
            <w:noWrap w:val="0"/>
            <w:vAlign w:val="center"/>
          </w:tcPr>
          <w:p w14:paraId="4AA95873">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pacing w:val="-6"/>
                <w:highlight w:val="none"/>
                <w:lang w:eastAsia="zh-CN"/>
              </w:rPr>
            </w:pPr>
            <w:r>
              <w:rPr>
                <w:rFonts w:hint="eastAsia" w:ascii="宋体" w:hAnsi="宋体" w:cs="宋体"/>
                <w:color w:val="auto"/>
                <w:highlight w:val="none"/>
              </w:rPr>
              <w:t>资格</w:t>
            </w:r>
            <w:r>
              <w:rPr>
                <w:rFonts w:hint="eastAsia" w:ascii="宋体" w:hAnsi="宋体" w:cs="宋体"/>
                <w:color w:val="auto"/>
                <w:highlight w:val="none"/>
                <w:lang w:eastAsia="zh-CN"/>
              </w:rPr>
              <w:t>评审</w:t>
            </w:r>
          </w:p>
          <w:p w14:paraId="79895C17">
            <w:pPr>
              <w:pStyle w:val="16"/>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spacing w:val="-6"/>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041C9BA">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b/>
                <w:color w:val="auto"/>
                <w:highlight w:val="none"/>
              </w:rPr>
            </w:pPr>
            <w:r>
              <w:rPr>
                <w:rFonts w:hint="eastAsia" w:ascii="宋体" w:hAnsi="宋体" w:cs="宋体"/>
                <w:b/>
                <w:color w:val="auto"/>
                <w:highlight w:val="none"/>
              </w:rPr>
              <w:t>评审因素</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68FEEDB">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b/>
                <w:color w:val="auto"/>
                <w:highlight w:val="none"/>
              </w:rPr>
            </w:pPr>
            <w:r>
              <w:rPr>
                <w:rFonts w:hint="eastAsia" w:ascii="宋体" w:hAnsi="宋体" w:cs="宋体"/>
                <w:b/>
                <w:color w:val="auto"/>
                <w:highlight w:val="none"/>
              </w:rPr>
              <w:t>评审标准</w:t>
            </w:r>
            <w:r>
              <w:rPr>
                <w:rFonts w:hint="eastAsia" w:ascii="宋体" w:hAnsi="宋体" w:cs="宋体"/>
                <w:b/>
                <w:bCs/>
                <w:color w:val="auto"/>
                <w:highlight w:val="none"/>
              </w:rPr>
              <w:t>（合格标准：缺少任何一项或有任何一项不合格者，其资格</w:t>
            </w:r>
            <w:r>
              <w:rPr>
                <w:rFonts w:hint="eastAsia" w:ascii="宋体" w:hAnsi="宋体" w:cs="宋体"/>
                <w:b/>
                <w:bCs/>
                <w:color w:val="auto"/>
                <w:highlight w:val="none"/>
                <w:lang w:eastAsia="zh-CN"/>
              </w:rPr>
              <w:t>评审</w:t>
            </w:r>
            <w:r>
              <w:rPr>
                <w:rFonts w:hint="eastAsia" w:ascii="宋体" w:hAnsi="宋体" w:cs="宋体"/>
                <w:b/>
                <w:bCs/>
                <w:color w:val="auto"/>
                <w:highlight w:val="none"/>
              </w:rPr>
              <w:t>视为不合格）</w:t>
            </w:r>
          </w:p>
        </w:tc>
      </w:tr>
      <w:tr w14:paraId="16303CBE">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6809CB7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07A752E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0A487996">
            <w:pPr>
              <w:pStyle w:val="27"/>
              <w:keepNext w:val="0"/>
              <w:keepLines w:val="0"/>
              <w:pageBreakBefore w:val="0"/>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身份证明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728A78F7">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auto"/>
                <w:highlight w:val="none"/>
              </w:rPr>
            </w:pPr>
            <w:r>
              <w:rPr>
                <w:rFonts w:hint="eastAsia" w:ascii="宋体"/>
                <w:color w:val="auto"/>
                <w:szCs w:val="21"/>
                <w:highlight w:val="none"/>
              </w:rPr>
              <w:t>法定代表人的</w:t>
            </w:r>
            <w:r>
              <w:rPr>
                <w:rStyle w:val="37"/>
                <w:rFonts w:hint="eastAsia" w:ascii="宋体"/>
                <w:color w:val="auto"/>
                <w:szCs w:val="21"/>
                <w:highlight w:val="none"/>
              </w:rPr>
              <w:t>正反两面</w:t>
            </w:r>
            <w:r>
              <w:rPr>
                <w:rFonts w:hint="eastAsia" w:ascii="宋体"/>
                <w:color w:val="auto"/>
                <w:szCs w:val="21"/>
                <w:highlight w:val="none"/>
              </w:rPr>
              <w:t>身份证扫描件</w:t>
            </w:r>
            <w:r>
              <w:rPr>
                <w:rFonts w:hint="eastAsia" w:ascii="宋体"/>
                <w:b/>
                <w:color w:val="auto"/>
                <w:szCs w:val="21"/>
                <w:highlight w:val="none"/>
              </w:rPr>
              <w:t>（必须提供）</w:t>
            </w:r>
          </w:p>
        </w:tc>
      </w:tr>
      <w:tr w14:paraId="7B1910A8">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366E1B0A">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4CE8F435">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191B42BB">
            <w:pPr>
              <w:pStyle w:val="27"/>
              <w:keepNext w:val="0"/>
              <w:keepLines w:val="0"/>
              <w:pageBreakBefore w:val="0"/>
              <w:kinsoku/>
              <w:wordWrap/>
              <w:overflowPunct/>
              <w:topLinePunct w:val="0"/>
              <w:autoSpaceDE/>
              <w:autoSpaceDN/>
              <w:bidi w:val="0"/>
              <w:adjustRightInd/>
              <w:snapToGrid w:val="0"/>
              <w:spacing w:line="360" w:lineRule="exact"/>
              <w:ind w:left="720" w:hanging="72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委托代理人身份证明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62F5E8B">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color w:val="auto"/>
                <w:szCs w:val="21"/>
                <w:highlight w:val="none"/>
              </w:rPr>
            </w:pPr>
            <w:r>
              <w:rPr>
                <w:rFonts w:hint="eastAsia" w:ascii="宋体" w:hAnsi="宋体" w:cs="宋体"/>
                <w:color w:val="auto"/>
                <w:highlight w:val="none"/>
                <w:lang w:eastAsia="zh-CN"/>
              </w:rPr>
              <w:t>按采购文件要求提供</w:t>
            </w:r>
            <w:r>
              <w:rPr>
                <w:rFonts w:hint="eastAsia" w:ascii="宋体" w:hAnsi="宋体" w:eastAsia="宋体" w:cs="宋体"/>
                <w:b/>
                <w:bCs/>
                <w:color w:val="auto"/>
                <w:szCs w:val="21"/>
                <w:highlight w:val="none"/>
              </w:rPr>
              <w:t>（委托代理时必须提供）</w:t>
            </w:r>
          </w:p>
        </w:tc>
      </w:tr>
      <w:tr w14:paraId="2B81831A">
        <w:tblPrEx>
          <w:tblCellMar>
            <w:top w:w="0" w:type="dxa"/>
            <w:left w:w="108" w:type="dxa"/>
            <w:bottom w:w="0" w:type="dxa"/>
            <w:right w:w="108" w:type="dxa"/>
          </w:tblCellMar>
        </w:tblPrEx>
        <w:trPr>
          <w:gridAfter w:val="1"/>
          <w:wAfter w:w="85" w:type="dxa"/>
          <w:trHeight w:val="537" w:hRule="atLeast"/>
          <w:jc w:val="center"/>
        </w:trPr>
        <w:tc>
          <w:tcPr>
            <w:tcW w:w="944" w:type="dxa"/>
            <w:vMerge w:val="continue"/>
            <w:tcBorders>
              <w:left w:val="single" w:color="auto" w:sz="4" w:space="0"/>
              <w:right w:val="single" w:color="auto" w:sz="4" w:space="0"/>
            </w:tcBorders>
            <w:noWrap w:val="0"/>
            <w:vAlign w:val="center"/>
          </w:tcPr>
          <w:p w14:paraId="23520ECC">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6141DDC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5BDD1418">
            <w:pPr>
              <w:pStyle w:val="27"/>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cs="宋体"/>
                <w:color w:val="auto"/>
                <w:kern w:val="0"/>
                <w:sz w:val="21"/>
                <w:szCs w:val="21"/>
                <w:highlight w:val="none"/>
                <w:lang w:val="en-US" w:eastAsia="zh-CN" w:bidi="ar-SA"/>
              </w:rPr>
            </w:pPr>
            <w:r>
              <w:rPr>
                <w:rFonts w:hint="eastAsia" w:ascii="宋体" w:hAnsi="宋体" w:cs="宋体"/>
                <w:color w:val="auto"/>
                <w:highlight w:val="none"/>
              </w:rPr>
              <w:t>营业执照</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3A7F62D8">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color w:val="auto"/>
                <w:kern w:val="0"/>
                <w:sz w:val="21"/>
                <w:szCs w:val="21"/>
                <w:highlight w:val="none"/>
                <w:lang w:val="en-US" w:eastAsia="zh-CN" w:bidi="ar-SA"/>
              </w:rPr>
            </w:pPr>
            <w:r>
              <w:rPr>
                <w:rFonts w:hint="eastAsia" w:ascii="宋体"/>
                <w:color w:val="auto"/>
                <w:szCs w:val="21"/>
                <w:highlight w:val="none"/>
              </w:rPr>
              <w:t>供应商有效的营业执照副本扫描件</w:t>
            </w:r>
            <w:r>
              <w:rPr>
                <w:rFonts w:hint="eastAsia" w:ascii="宋体"/>
                <w:b/>
                <w:color w:val="auto"/>
                <w:szCs w:val="21"/>
                <w:highlight w:val="none"/>
              </w:rPr>
              <w:t>（必须提供）</w:t>
            </w:r>
          </w:p>
        </w:tc>
      </w:tr>
      <w:tr w14:paraId="63CF26B2">
        <w:tblPrEx>
          <w:tblCellMar>
            <w:top w:w="0" w:type="dxa"/>
            <w:left w:w="108" w:type="dxa"/>
            <w:bottom w:w="0" w:type="dxa"/>
            <w:right w:w="108" w:type="dxa"/>
          </w:tblCellMar>
        </w:tblPrEx>
        <w:trPr>
          <w:gridAfter w:val="1"/>
          <w:wAfter w:w="85" w:type="dxa"/>
          <w:trHeight w:val="621" w:hRule="atLeast"/>
          <w:jc w:val="center"/>
        </w:trPr>
        <w:tc>
          <w:tcPr>
            <w:tcW w:w="944" w:type="dxa"/>
            <w:vMerge w:val="continue"/>
            <w:tcBorders>
              <w:left w:val="single" w:color="auto" w:sz="4" w:space="0"/>
              <w:right w:val="single" w:color="auto" w:sz="4" w:space="0"/>
            </w:tcBorders>
            <w:noWrap w:val="0"/>
            <w:vAlign w:val="center"/>
          </w:tcPr>
          <w:p w14:paraId="22144469">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02B9FE4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0066DB7D">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highlight w:val="none"/>
                <w:lang w:eastAsia="zh-CN"/>
              </w:rPr>
            </w:pPr>
            <w:r>
              <w:rPr>
                <w:rFonts w:hint="eastAsia" w:ascii="宋体"/>
                <w:color w:val="auto"/>
                <w:szCs w:val="21"/>
                <w:highlight w:val="none"/>
              </w:rPr>
              <w:t>有效的企业资质证书副本及安全生产许可证副本扫描件、拟投入项目经理的注册建造师执业资格证书及安全生产考核合格证书（B类）</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C5D6E9C">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Cs/>
                <w:color w:val="auto"/>
                <w:highlight w:val="none"/>
                <w:lang w:eastAsia="zh-CN"/>
              </w:rPr>
            </w:pPr>
            <w:r>
              <w:rPr>
                <w:rFonts w:hint="eastAsia" w:ascii="宋体"/>
                <w:b w:val="0"/>
                <w:bCs/>
                <w:color w:val="auto"/>
                <w:szCs w:val="21"/>
                <w:highlight w:val="none"/>
                <w:lang w:eastAsia="zh-CN"/>
              </w:rPr>
              <w:t>符合本项目的特定资格要求</w:t>
            </w:r>
            <w:r>
              <w:rPr>
                <w:rFonts w:hint="eastAsia" w:ascii="宋体"/>
                <w:b/>
                <w:color w:val="auto"/>
                <w:szCs w:val="21"/>
                <w:highlight w:val="none"/>
              </w:rPr>
              <w:t>（必须提供）</w:t>
            </w:r>
          </w:p>
        </w:tc>
      </w:tr>
      <w:tr w14:paraId="35793C80">
        <w:tblPrEx>
          <w:tblCellMar>
            <w:top w:w="0" w:type="dxa"/>
            <w:left w:w="108" w:type="dxa"/>
            <w:bottom w:w="0" w:type="dxa"/>
            <w:right w:w="108" w:type="dxa"/>
          </w:tblCellMar>
        </w:tblPrEx>
        <w:trPr>
          <w:gridAfter w:val="1"/>
          <w:wAfter w:w="85" w:type="dxa"/>
          <w:trHeight w:val="622" w:hRule="atLeast"/>
          <w:jc w:val="center"/>
        </w:trPr>
        <w:tc>
          <w:tcPr>
            <w:tcW w:w="944" w:type="dxa"/>
            <w:vMerge w:val="continue"/>
            <w:tcBorders>
              <w:left w:val="single" w:color="auto" w:sz="4" w:space="0"/>
              <w:right w:val="single" w:color="auto" w:sz="4" w:space="0"/>
            </w:tcBorders>
            <w:noWrap w:val="0"/>
            <w:vAlign w:val="center"/>
          </w:tcPr>
          <w:p w14:paraId="6D7D4A10">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44965F9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C0E33BA">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kern w:val="0"/>
                <w:sz w:val="21"/>
                <w:szCs w:val="21"/>
                <w:highlight w:val="none"/>
                <w:lang w:val="en-US" w:eastAsia="zh-CN" w:bidi="ar-SA"/>
              </w:rPr>
            </w:pPr>
            <w:r>
              <w:rPr>
                <w:rFonts w:hint="eastAsia" w:ascii="宋体" w:cs="Arial"/>
                <w:color w:val="auto"/>
                <w:kern w:val="0"/>
                <w:szCs w:val="21"/>
                <w:highlight w:val="none"/>
                <w:lang w:bidi="ar-SA"/>
              </w:rPr>
              <w:t>项目经理无在建工程承诺书</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711A1F2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highlight w:val="none"/>
              </w:rPr>
              <w:t>符合</w:t>
            </w:r>
            <w:r>
              <w:rPr>
                <w:rFonts w:hint="eastAsia" w:ascii="宋体"/>
                <w:b w:val="0"/>
                <w:bCs/>
                <w:color w:val="auto"/>
                <w:szCs w:val="21"/>
                <w:highlight w:val="none"/>
                <w:lang w:eastAsia="zh-CN"/>
              </w:rPr>
              <w:t>本项目的特定资格要求</w:t>
            </w:r>
            <w:r>
              <w:rPr>
                <w:rFonts w:hint="eastAsia" w:ascii="宋体"/>
                <w:b/>
                <w:color w:val="auto"/>
                <w:highlight w:val="none"/>
              </w:rPr>
              <w:t>（必须提供）</w:t>
            </w:r>
          </w:p>
        </w:tc>
      </w:tr>
      <w:tr w14:paraId="2932AF4E">
        <w:tblPrEx>
          <w:tblCellMar>
            <w:top w:w="0" w:type="dxa"/>
            <w:left w:w="108" w:type="dxa"/>
            <w:bottom w:w="0" w:type="dxa"/>
            <w:right w:w="108" w:type="dxa"/>
          </w:tblCellMar>
        </w:tblPrEx>
        <w:trPr>
          <w:gridAfter w:val="1"/>
          <w:wAfter w:w="85" w:type="dxa"/>
          <w:trHeight w:val="622" w:hRule="atLeast"/>
          <w:jc w:val="center"/>
        </w:trPr>
        <w:tc>
          <w:tcPr>
            <w:tcW w:w="944" w:type="dxa"/>
            <w:vMerge w:val="continue"/>
            <w:tcBorders>
              <w:left w:val="single" w:color="auto" w:sz="4" w:space="0"/>
              <w:right w:val="single" w:color="auto" w:sz="4" w:space="0"/>
            </w:tcBorders>
            <w:noWrap w:val="0"/>
            <w:vAlign w:val="center"/>
          </w:tcPr>
          <w:p w14:paraId="2C48B71F">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19FEDDB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6685E699">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财务状况报告</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6E99C45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auto"/>
                <w:highlight w:val="none"/>
              </w:rPr>
            </w:pPr>
            <w:r>
              <w:rPr>
                <w:rFonts w:hint="eastAsia" w:ascii="宋体" w:hAnsi="宋体" w:cs="宋体"/>
                <w:color w:val="auto"/>
                <w:highlight w:val="none"/>
                <w:lang w:eastAsia="zh-CN"/>
              </w:rPr>
              <w:t>按采购文件要求提供</w:t>
            </w:r>
            <w:r>
              <w:rPr>
                <w:rFonts w:hint="eastAsia" w:ascii="宋体"/>
                <w:b/>
                <w:color w:val="auto"/>
                <w:szCs w:val="21"/>
                <w:highlight w:val="none"/>
              </w:rPr>
              <w:t>（必须提供）</w:t>
            </w:r>
          </w:p>
        </w:tc>
      </w:tr>
      <w:tr w14:paraId="74C77690">
        <w:tblPrEx>
          <w:tblCellMar>
            <w:top w:w="0" w:type="dxa"/>
            <w:left w:w="108" w:type="dxa"/>
            <w:bottom w:w="0" w:type="dxa"/>
            <w:right w:w="108" w:type="dxa"/>
          </w:tblCellMar>
        </w:tblPrEx>
        <w:trPr>
          <w:gridAfter w:val="1"/>
          <w:wAfter w:w="85" w:type="dxa"/>
          <w:trHeight w:val="497" w:hRule="atLeast"/>
          <w:jc w:val="center"/>
        </w:trPr>
        <w:tc>
          <w:tcPr>
            <w:tcW w:w="944" w:type="dxa"/>
            <w:vMerge w:val="continue"/>
            <w:tcBorders>
              <w:left w:val="single" w:color="auto" w:sz="4" w:space="0"/>
              <w:right w:val="single" w:color="auto" w:sz="4" w:space="0"/>
            </w:tcBorders>
            <w:noWrap w:val="0"/>
            <w:vAlign w:val="center"/>
          </w:tcPr>
          <w:p w14:paraId="504B709C">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4AAC2A2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2DD6F4A9">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cs="宋体"/>
                <w:color w:val="auto"/>
                <w:highlight w:val="none"/>
              </w:rPr>
            </w:pPr>
            <w:r>
              <w:rPr>
                <w:rFonts w:hint="eastAsia" w:ascii="宋体" w:hAnsi="宋体" w:cs="宋体"/>
                <w:color w:val="auto"/>
                <w:highlight w:val="none"/>
                <w:lang w:eastAsia="zh-CN"/>
              </w:rPr>
              <w:t>依法纳税证明材料</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3318B5EF">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按采购文件要求提供</w:t>
            </w:r>
            <w:r>
              <w:rPr>
                <w:rFonts w:hint="eastAsia" w:ascii="宋体"/>
                <w:b/>
                <w:color w:val="auto"/>
                <w:szCs w:val="21"/>
                <w:highlight w:val="none"/>
              </w:rPr>
              <w:t>（必须提供）</w:t>
            </w:r>
          </w:p>
        </w:tc>
      </w:tr>
      <w:tr w14:paraId="6E01401F">
        <w:tblPrEx>
          <w:tblCellMar>
            <w:top w:w="0" w:type="dxa"/>
            <w:left w:w="108" w:type="dxa"/>
            <w:bottom w:w="0" w:type="dxa"/>
            <w:right w:w="108" w:type="dxa"/>
          </w:tblCellMar>
        </w:tblPrEx>
        <w:trPr>
          <w:gridAfter w:val="1"/>
          <w:wAfter w:w="85" w:type="dxa"/>
          <w:trHeight w:val="560" w:hRule="atLeast"/>
          <w:jc w:val="center"/>
        </w:trPr>
        <w:tc>
          <w:tcPr>
            <w:tcW w:w="944" w:type="dxa"/>
            <w:vMerge w:val="continue"/>
            <w:tcBorders>
              <w:left w:val="single" w:color="auto" w:sz="4" w:space="0"/>
              <w:right w:val="single" w:color="auto" w:sz="4" w:space="0"/>
            </w:tcBorders>
            <w:noWrap w:val="0"/>
            <w:vAlign w:val="center"/>
          </w:tcPr>
          <w:p w14:paraId="001877EE">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71AD791D">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903B0E2">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重大违法记录的书面声明</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69A5D838">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cs="宋体"/>
                <w:color w:val="auto"/>
                <w:highlight w:val="none"/>
              </w:rPr>
            </w:pPr>
            <w:r>
              <w:rPr>
                <w:rFonts w:hint="eastAsia" w:ascii="宋体"/>
                <w:color w:val="auto"/>
                <w:szCs w:val="21"/>
                <w:highlight w:val="none"/>
              </w:rPr>
              <w:t>参加政府采购活动前3年内在经营活动中没有重大违法记录及有关信用信息、前期服务情况的书面声明</w:t>
            </w:r>
            <w:r>
              <w:rPr>
                <w:rFonts w:hint="eastAsia" w:ascii="宋体"/>
                <w:b/>
                <w:color w:val="auto"/>
                <w:szCs w:val="21"/>
                <w:highlight w:val="none"/>
              </w:rPr>
              <w:t>（必须提供）</w:t>
            </w:r>
          </w:p>
        </w:tc>
      </w:tr>
      <w:tr w14:paraId="48AEF3F3">
        <w:tblPrEx>
          <w:tblCellMar>
            <w:top w:w="0" w:type="dxa"/>
            <w:left w:w="108" w:type="dxa"/>
            <w:bottom w:w="0" w:type="dxa"/>
            <w:right w:w="108" w:type="dxa"/>
          </w:tblCellMar>
        </w:tblPrEx>
        <w:trPr>
          <w:gridAfter w:val="1"/>
          <w:wAfter w:w="85" w:type="dxa"/>
          <w:trHeight w:val="610" w:hRule="atLeast"/>
          <w:jc w:val="center"/>
        </w:trPr>
        <w:tc>
          <w:tcPr>
            <w:tcW w:w="944" w:type="dxa"/>
            <w:vMerge w:val="continue"/>
            <w:tcBorders>
              <w:left w:val="single" w:color="auto" w:sz="4" w:space="0"/>
              <w:right w:val="single" w:color="auto" w:sz="4" w:space="0"/>
            </w:tcBorders>
            <w:noWrap w:val="0"/>
            <w:vAlign w:val="center"/>
          </w:tcPr>
          <w:p w14:paraId="7F952DA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left w:val="single" w:color="auto" w:sz="4" w:space="0"/>
              <w:right w:val="single" w:color="auto" w:sz="4" w:space="0"/>
            </w:tcBorders>
            <w:noWrap w:val="0"/>
            <w:vAlign w:val="center"/>
          </w:tcPr>
          <w:p w14:paraId="36F7375B">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kern w:val="0"/>
                <w:highlight w:val="none"/>
              </w:rPr>
            </w:pPr>
          </w:p>
        </w:tc>
        <w:tc>
          <w:tcPr>
            <w:tcW w:w="2141" w:type="dxa"/>
            <w:tcBorders>
              <w:top w:val="single" w:color="auto" w:sz="4" w:space="0"/>
              <w:left w:val="single" w:color="auto" w:sz="4" w:space="0"/>
              <w:bottom w:val="single" w:color="auto" w:sz="4" w:space="0"/>
              <w:right w:val="single" w:color="auto" w:sz="4" w:space="0"/>
            </w:tcBorders>
            <w:noWrap w:val="0"/>
            <w:vAlign w:val="center"/>
          </w:tcPr>
          <w:p w14:paraId="78EA95BF">
            <w:pPr>
              <w:pStyle w:val="27"/>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highlight w:val="none"/>
                <w:lang w:eastAsia="zh-CN"/>
              </w:rPr>
            </w:pPr>
            <w:r>
              <w:rPr>
                <w:rFonts w:hint="eastAsia"/>
                <w:color w:val="auto"/>
                <w:highlight w:val="none"/>
              </w:rPr>
              <w:t>中小企业相应有效的证明文件</w:t>
            </w:r>
          </w:p>
        </w:tc>
        <w:tc>
          <w:tcPr>
            <w:tcW w:w="4555" w:type="dxa"/>
            <w:tcBorders>
              <w:top w:val="single" w:color="auto" w:sz="4" w:space="0"/>
              <w:left w:val="single" w:color="auto" w:sz="4" w:space="0"/>
              <w:bottom w:val="single" w:color="auto" w:sz="4" w:space="0"/>
              <w:right w:val="single" w:color="auto" w:sz="4" w:space="0"/>
            </w:tcBorders>
            <w:noWrap w:val="0"/>
            <w:vAlign w:val="center"/>
          </w:tcPr>
          <w:p w14:paraId="13675673">
            <w:pPr>
              <w:pStyle w:val="27"/>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highlight w:val="none"/>
                <w:lang w:eastAsia="zh-CN"/>
              </w:rPr>
            </w:pPr>
            <w:r>
              <w:rPr>
                <w:rFonts w:hint="eastAsia" w:ascii="宋体"/>
                <w:b/>
                <w:bCs/>
                <w:color w:val="auto"/>
                <w:sz w:val="21"/>
                <w:szCs w:val="21"/>
                <w:highlight w:val="none"/>
                <w:lang w:val="en-US" w:eastAsia="zh-CN"/>
              </w:rPr>
              <w:t>本项目专</w:t>
            </w:r>
            <w:r>
              <w:rPr>
                <w:rFonts w:hint="eastAsia" w:ascii="宋体"/>
                <w:b/>
                <w:bCs/>
                <w:color w:val="auto"/>
                <w:sz w:val="21"/>
                <w:szCs w:val="21"/>
                <w:highlight w:val="none"/>
              </w:rPr>
              <w:t>门面向</w:t>
            </w:r>
            <w:r>
              <w:rPr>
                <w:rFonts w:hint="eastAsia"/>
                <w:b/>
                <w:bCs/>
                <w:color w:val="auto"/>
                <w:sz w:val="21"/>
                <w:szCs w:val="21"/>
                <w:highlight w:val="none"/>
                <w:lang w:eastAsia="zh-CN"/>
              </w:rPr>
              <w:t>小</w:t>
            </w:r>
            <w:r>
              <w:rPr>
                <w:rFonts w:hint="eastAsia"/>
                <w:b/>
                <w:bCs/>
                <w:color w:val="auto"/>
                <w:sz w:val="21"/>
                <w:szCs w:val="21"/>
                <w:highlight w:val="none"/>
                <w:lang w:val="en-US" w:eastAsia="zh-CN"/>
              </w:rPr>
              <w:t>微</w:t>
            </w:r>
            <w:r>
              <w:rPr>
                <w:rFonts w:hint="eastAsia" w:ascii="宋体"/>
                <w:b/>
                <w:bCs/>
                <w:color w:val="auto"/>
                <w:sz w:val="21"/>
                <w:szCs w:val="21"/>
                <w:highlight w:val="none"/>
              </w:rPr>
              <w:t>企业采购的项目（供应商应为小微企业或监狱企业或残疾人福利性单位)</w:t>
            </w:r>
            <w:r>
              <w:rPr>
                <w:rFonts w:hint="eastAsia"/>
                <w:b/>
                <w:color w:val="auto"/>
                <w:highlight w:val="none"/>
              </w:rPr>
              <w:t>，</w:t>
            </w:r>
            <w:r>
              <w:rPr>
                <w:b/>
                <w:color w:val="auto"/>
                <w:highlight w:val="none"/>
              </w:rPr>
              <w:t>不接受非上述企业参与</w:t>
            </w:r>
            <w:r>
              <w:rPr>
                <w:rFonts w:hint="eastAsia"/>
                <w:b/>
                <w:color w:val="auto"/>
                <w:highlight w:val="none"/>
              </w:rPr>
              <w:t>磋商</w:t>
            </w:r>
            <w:r>
              <w:rPr>
                <w:rFonts w:hint="eastAsia" w:ascii="宋体"/>
                <w:b/>
                <w:color w:val="auto"/>
                <w:szCs w:val="21"/>
                <w:highlight w:val="none"/>
              </w:rPr>
              <w:t>（必须提供）</w:t>
            </w:r>
          </w:p>
        </w:tc>
      </w:tr>
      <w:tr w14:paraId="649156EA">
        <w:tblPrEx>
          <w:tblCellMar>
            <w:top w:w="0" w:type="dxa"/>
            <w:left w:w="108" w:type="dxa"/>
            <w:bottom w:w="0" w:type="dxa"/>
            <w:right w:w="108" w:type="dxa"/>
          </w:tblCellMar>
        </w:tblPrEx>
        <w:trPr>
          <w:gridAfter w:val="1"/>
          <w:wAfter w:w="85" w:type="dxa"/>
          <w:trHeight w:val="487" w:hRule="atLeast"/>
          <w:jc w:val="center"/>
        </w:trPr>
        <w:tc>
          <w:tcPr>
            <w:tcW w:w="944" w:type="dxa"/>
            <w:vMerge w:val="restart"/>
            <w:tcBorders>
              <w:top w:val="single" w:color="auto" w:sz="4" w:space="0"/>
              <w:left w:val="single" w:color="000000" w:sz="4" w:space="0"/>
              <w:bottom w:val="single" w:color="auto" w:sz="4" w:space="0"/>
              <w:right w:val="single" w:color="000000" w:sz="4" w:space="0"/>
            </w:tcBorders>
            <w:noWrap w:val="0"/>
            <w:vAlign w:val="center"/>
          </w:tcPr>
          <w:p w14:paraId="6ABE607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b/>
                <w:color w:val="auto"/>
                <w:highlight w:val="none"/>
              </w:rPr>
            </w:pPr>
            <w:r>
              <w:rPr>
                <w:rFonts w:hint="eastAsia" w:ascii="宋体" w:hAnsi="宋体" w:cs="宋体"/>
                <w:bCs/>
                <w:color w:val="auto"/>
                <w:highlight w:val="none"/>
              </w:rPr>
              <w:t>1.2</w:t>
            </w:r>
          </w:p>
        </w:tc>
        <w:tc>
          <w:tcPr>
            <w:tcW w:w="1324" w:type="dxa"/>
            <w:vMerge w:val="restart"/>
            <w:tcBorders>
              <w:top w:val="single" w:color="auto" w:sz="4" w:space="0"/>
              <w:left w:val="single" w:color="000000" w:sz="4" w:space="0"/>
              <w:bottom w:val="single" w:color="auto" w:sz="4" w:space="0"/>
              <w:right w:val="single" w:color="000000" w:sz="4" w:space="0"/>
            </w:tcBorders>
            <w:noWrap w:val="0"/>
            <w:vAlign w:val="center"/>
          </w:tcPr>
          <w:p w14:paraId="3B16B83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符合性评审</w:t>
            </w:r>
          </w:p>
        </w:tc>
        <w:tc>
          <w:tcPr>
            <w:tcW w:w="2141" w:type="dxa"/>
            <w:tcBorders>
              <w:top w:val="single" w:color="auto" w:sz="4" w:space="0"/>
              <w:left w:val="single" w:color="000000" w:sz="4" w:space="0"/>
              <w:bottom w:val="single" w:color="000000" w:sz="4" w:space="0"/>
              <w:right w:val="single" w:color="000000" w:sz="4" w:space="0"/>
            </w:tcBorders>
            <w:noWrap w:val="0"/>
            <w:vAlign w:val="center"/>
          </w:tcPr>
          <w:p w14:paraId="33670DC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color w:val="auto"/>
                <w:highlight w:val="none"/>
              </w:rPr>
            </w:pPr>
            <w:r>
              <w:rPr>
                <w:rFonts w:hint="eastAsia" w:ascii="宋体" w:hAnsi="宋体" w:cs="宋体"/>
                <w:b/>
                <w:bCs/>
                <w:color w:val="auto"/>
                <w:highlight w:val="none"/>
              </w:rPr>
              <w:t>评审因素</w:t>
            </w:r>
          </w:p>
        </w:tc>
        <w:tc>
          <w:tcPr>
            <w:tcW w:w="4555" w:type="dxa"/>
            <w:tcBorders>
              <w:top w:val="single" w:color="auto" w:sz="4" w:space="0"/>
              <w:left w:val="single" w:color="000000" w:sz="4" w:space="0"/>
              <w:bottom w:val="single" w:color="000000" w:sz="4" w:space="0"/>
              <w:right w:val="single" w:color="000000" w:sz="4" w:space="0"/>
            </w:tcBorders>
            <w:noWrap w:val="0"/>
            <w:vAlign w:val="center"/>
          </w:tcPr>
          <w:p w14:paraId="1B71898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
                <w:bCs/>
                <w:color w:val="auto"/>
                <w:highlight w:val="none"/>
              </w:rPr>
            </w:pPr>
            <w:r>
              <w:rPr>
                <w:rFonts w:hint="eastAsia" w:ascii="宋体" w:hAnsi="宋体" w:cs="宋体"/>
                <w:b/>
                <w:bCs/>
                <w:color w:val="auto"/>
                <w:highlight w:val="none"/>
              </w:rPr>
              <w:t>评审标准（合格标准：缺少任何一项或有任何一项不合格者，其</w:t>
            </w:r>
            <w:r>
              <w:rPr>
                <w:rFonts w:hint="eastAsia" w:ascii="宋体" w:hAnsi="宋体" w:cs="宋体"/>
                <w:b/>
                <w:bCs/>
                <w:color w:val="auto"/>
                <w:highlight w:val="none"/>
                <w:lang w:eastAsia="zh-CN"/>
              </w:rPr>
              <w:t>符合性评审</w:t>
            </w:r>
            <w:r>
              <w:rPr>
                <w:rFonts w:hint="eastAsia" w:ascii="宋体" w:hAnsi="宋体" w:cs="宋体"/>
                <w:b/>
                <w:bCs/>
                <w:color w:val="auto"/>
                <w:highlight w:val="none"/>
              </w:rPr>
              <w:t>视为不合格）</w:t>
            </w:r>
          </w:p>
        </w:tc>
      </w:tr>
      <w:tr w14:paraId="65E13F52">
        <w:tblPrEx>
          <w:tblCellMar>
            <w:top w:w="0" w:type="dxa"/>
            <w:left w:w="108" w:type="dxa"/>
            <w:bottom w:w="0" w:type="dxa"/>
            <w:right w:w="108" w:type="dxa"/>
          </w:tblCellMar>
        </w:tblPrEx>
        <w:trPr>
          <w:gridAfter w:val="1"/>
          <w:wAfter w:w="85" w:type="dxa"/>
          <w:trHeight w:val="51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DD6E60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highlight w:val="none"/>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146B8DE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highlight w:val="none"/>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50080E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r>
              <w:rPr>
                <w:rFonts w:hint="eastAsia" w:ascii="宋体"/>
                <w:color w:val="auto"/>
                <w:szCs w:val="21"/>
                <w:highlight w:val="none"/>
              </w:rPr>
              <w:t>响应函及响应函附录</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6FA9995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必须提供</w:t>
            </w:r>
          </w:p>
        </w:tc>
      </w:tr>
      <w:tr w14:paraId="4F235916">
        <w:tblPrEx>
          <w:tblCellMar>
            <w:top w:w="0" w:type="dxa"/>
            <w:left w:w="108" w:type="dxa"/>
            <w:bottom w:w="0" w:type="dxa"/>
            <w:right w:w="108" w:type="dxa"/>
          </w:tblCellMar>
        </w:tblPrEx>
        <w:trPr>
          <w:gridAfter w:val="1"/>
          <w:wAfter w:w="85" w:type="dxa"/>
          <w:trHeight w:val="525"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0D688DB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6707B022">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2141" w:type="dxa"/>
            <w:tcBorders>
              <w:top w:val="single" w:color="000000" w:sz="4" w:space="0"/>
              <w:left w:val="single" w:color="000000" w:sz="4" w:space="0"/>
              <w:bottom w:val="single" w:color="auto" w:sz="4" w:space="0"/>
              <w:right w:val="single" w:color="000000" w:sz="4" w:space="0"/>
            </w:tcBorders>
            <w:noWrap w:val="0"/>
            <w:vAlign w:val="center"/>
          </w:tcPr>
          <w:p w14:paraId="3321F17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已标价工程量清单</w:t>
            </w:r>
          </w:p>
        </w:tc>
        <w:tc>
          <w:tcPr>
            <w:tcW w:w="4555" w:type="dxa"/>
            <w:tcBorders>
              <w:top w:val="single" w:color="000000" w:sz="4" w:space="0"/>
              <w:left w:val="single" w:color="000000" w:sz="4" w:space="0"/>
              <w:bottom w:val="single" w:color="000000" w:sz="4" w:space="0"/>
              <w:right w:val="single" w:color="000000" w:sz="4" w:space="0"/>
            </w:tcBorders>
            <w:noWrap w:val="0"/>
            <w:vAlign w:val="center"/>
          </w:tcPr>
          <w:p w14:paraId="677CAE1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highlight w:val="none"/>
              </w:rPr>
            </w:pPr>
            <w:r>
              <w:rPr>
                <w:rFonts w:hint="eastAsia" w:ascii="宋体" w:hAnsi="宋体" w:cs="宋体"/>
                <w:color w:val="auto"/>
                <w:kern w:val="0"/>
                <w:highlight w:val="none"/>
                <w:lang w:eastAsia="zh-CN"/>
              </w:rPr>
              <w:t>必须提供</w:t>
            </w:r>
          </w:p>
        </w:tc>
      </w:tr>
      <w:tr w14:paraId="486214DC">
        <w:tblPrEx>
          <w:tblCellMar>
            <w:top w:w="0" w:type="dxa"/>
            <w:left w:w="108" w:type="dxa"/>
            <w:bottom w:w="0" w:type="dxa"/>
            <w:right w:w="108" w:type="dxa"/>
          </w:tblCellMar>
        </w:tblPrEx>
        <w:trPr>
          <w:gridAfter w:val="1"/>
          <w:wAfter w:w="85" w:type="dxa"/>
          <w:trHeight w:val="491"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4F558C1">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762A438F">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2141" w:type="dxa"/>
            <w:tcBorders>
              <w:top w:val="single" w:color="auto" w:sz="4" w:space="0"/>
              <w:left w:val="single" w:color="000000" w:sz="4" w:space="0"/>
              <w:bottom w:val="single" w:color="auto" w:sz="4" w:space="0"/>
              <w:right w:val="single" w:color="000000" w:sz="4" w:space="0"/>
            </w:tcBorders>
            <w:noWrap w:val="0"/>
            <w:vAlign w:val="center"/>
          </w:tcPr>
          <w:p w14:paraId="11357063">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highlight w:val="none"/>
                <w:lang w:eastAsia="zh-CN"/>
              </w:rPr>
            </w:pPr>
            <w:r>
              <w:rPr>
                <w:rFonts w:hint="eastAsia" w:ascii="宋体"/>
                <w:color w:val="auto"/>
                <w:szCs w:val="21"/>
                <w:highlight w:val="none"/>
              </w:rPr>
              <w:t>项目管理机构组成表</w:t>
            </w:r>
          </w:p>
        </w:tc>
        <w:tc>
          <w:tcPr>
            <w:tcW w:w="4555" w:type="dxa"/>
            <w:tcBorders>
              <w:top w:val="single" w:color="000000" w:sz="4" w:space="0"/>
              <w:left w:val="single" w:color="000000" w:sz="4" w:space="0"/>
              <w:bottom w:val="single" w:color="auto" w:sz="4" w:space="0"/>
              <w:right w:val="single" w:color="000000" w:sz="4" w:space="0"/>
            </w:tcBorders>
            <w:noWrap w:val="0"/>
            <w:vAlign w:val="center"/>
          </w:tcPr>
          <w:p w14:paraId="2BEB2F2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符合采购文件要求</w:t>
            </w:r>
          </w:p>
        </w:tc>
      </w:tr>
      <w:tr w14:paraId="355B2D10">
        <w:tblPrEx>
          <w:tblCellMar>
            <w:top w:w="0" w:type="dxa"/>
            <w:left w:w="108" w:type="dxa"/>
            <w:bottom w:w="0" w:type="dxa"/>
            <w:right w:w="108" w:type="dxa"/>
          </w:tblCellMar>
        </w:tblPrEx>
        <w:trPr>
          <w:gridAfter w:val="1"/>
          <w:wAfter w:w="85" w:type="dxa"/>
          <w:trHeight w:val="470"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48D292A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284D3518">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526E74F8">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highlight w:val="none"/>
                <w:lang w:eastAsia="zh-CN"/>
              </w:rPr>
            </w:pPr>
            <w:r>
              <w:rPr>
                <w:rFonts w:hint="eastAsia" w:ascii="宋体"/>
                <w:color w:val="auto"/>
                <w:szCs w:val="21"/>
                <w:highlight w:val="none"/>
              </w:rPr>
              <w:t>施工组织设计</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7B15A66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lang w:eastAsia="zh-CN"/>
              </w:rPr>
            </w:pPr>
            <w:r>
              <w:rPr>
                <w:rFonts w:hint="eastAsia" w:ascii="宋体" w:hAnsi="宋体" w:cs="宋体"/>
                <w:color w:val="auto"/>
                <w:kern w:val="0"/>
                <w:highlight w:val="none"/>
                <w:lang w:eastAsia="zh-CN"/>
              </w:rPr>
              <w:t>必须提供</w:t>
            </w:r>
          </w:p>
        </w:tc>
      </w:tr>
      <w:tr w14:paraId="79BD514B">
        <w:tblPrEx>
          <w:tblCellMar>
            <w:top w:w="0" w:type="dxa"/>
            <w:left w:w="108" w:type="dxa"/>
            <w:bottom w:w="0" w:type="dxa"/>
            <w:right w:w="108" w:type="dxa"/>
          </w:tblCellMar>
        </w:tblPrEx>
        <w:trPr>
          <w:gridAfter w:val="1"/>
          <w:wAfter w:w="85" w:type="dxa"/>
          <w:trHeight w:val="523"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1BB0E81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59A2B023">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36FB41A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highlight w:val="none"/>
                <w:lang w:eastAsia="zh-CN"/>
              </w:rPr>
            </w:pPr>
            <w:r>
              <w:rPr>
                <w:rFonts w:hint="eastAsia" w:ascii="宋体"/>
                <w:color w:val="auto"/>
                <w:szCs w:val="21"/>
                <w:highlight w:val="none"/>
              </w:rPr>
              <w:t>建设工程项目管理承诺书</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2BB926C3">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highlight w:val="none"/>
              </w:rPr>
            </w:pPr>
            <w:r>
              <w:rPr>
                <w:rFonts w:hint="eastAsia" w:ascii="宋体" w:hAnsi="宋体" w:cs="宋体"/>
                <w:color w:val="auto"/>
                <w:kern w:val="0"/>
                <w:highlight w:val="none"/>
                <w:lang w:eastAsia="zh-CN"/>
              </w:rPr>
              <w:t>必须提供</w:t>
            </w:r>
          </w:p>
        </w:tc>
      </w:tr>
      <w:tr w14:paraId="4CE11867">
        <w:tblPrEx>
          <w:tblCellMar>
            <w:top w:w="0" w:type="dxa"/>
            <w:left w:w="108" w:type="dxa"/>
            <w:bottom w:w="0" w:type="dxa"/>
            <w:right w:w="108" w:type="dxa"/>
          </w:tblCellMar>
        </w:tblPrEx>
        <w:trPr>
          <w:gridAfter w:val="1"/>
          <w:wAfter w:w="85" w:type="dxa"/>
          <w:trHeight w:val="577" w:hRule="atLeast"/>
          <w:jc w:val="center"/>
        </w:trPr>
        <w:tc>
          <w:tcPr>
            <w:tcW w:w="944" w:type="dxa"/>
            <w:vMerge w:val="continue"/>
            <w:tcBorders>
              <w:top w:val="single" w:color="auto" w:sz="4" w:space="0"/>
              <w:left w:val="single" w:color="000000" w:sz="4" w:space="0"/>
              <w:bottom w:val="single" w:color="auto" w:sz="4" w:space="0"/>
              <w:right w:val="single" w:color="000000" w:sz="4" w:space="0"/>
            </w:tcBorders>
            <w:noWrap w:val="0"/>
            <w:vAlign w:val="center"/>
          </w:tcPr>
          <w:p w14:paraId="60ABB959">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1324" w:type="dxa"/>
            <w:vMerge w:val="continue"/>
            <w:tcBorders>
              <w:top w:val="single" w:color="auto" w:sz="4" w:space="0"/>
              <w:left w:val="single" w:color="000000" w:sz="4" w:space="0"/>
              <w:bottom w:val="single" w:color="auto" w:sz="4" w:space="0"/>
              <w:right w:val="single" w:color="000000" w:sz="4" w:space="0"/>
            </w:tcBorders>
            <w:noWrap w:val="0"/>
            <w:vAlign w:val="center"/>
          </w:tcPr>
          <w:p w14:paraId="702D6CC6">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cs="宋体"/>
                <w:color w:val="auto"/>
                <w:highlight w:val="none"/>
              </w:rPr>
            </w:pPr>
          </w:p>
        </w:tc>
        <w:tc>
          <w:tcPr>
            <w:tcW w:w="2141" w:type="dxa"/>
            <w:tcBorders>
              <w:top w:val="single" w:color="000000" w:sz="4" w:space="0"/>
              <w:left w:val="single" w:color="000000" w:sz="4" w:space="0"/>
              <w:bottom w:val="single" w:color="000000" w:sz="4" w:space="0"/>
              <w:right w:val="single" w:color="000000" w:sz="4" w:space="0"/>
            </w:tcBorders>
            <w:noWrap w:val="0"/>
            <w:vAlign w:val="center"/>
          </w:tcPr>
          <w:p w14:paraId="797B95C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bCs/>
                <w:color w:val="auto"/>
                <w:highlight w:val="none"/>
                <w:lang w:eastAsia="zh-CN"/>
              </w:rPr>
            </w:pPr>
            <w:r>
              <w:rPr>
                <w:rFonts w:hint="eastAsia" w:ascii="宋体" w:hAnsi="宋体" w:cs="宋体"/>
                <w:bCs/>
                <w:color w:val="auto"/>
                <w:kern w:val="0"/>
                <w:szCs w:val="21"/>
                <w:highlight w:val="none"/>
              </w:rPr>
              <w:t>城乡清洁</w:t>
            </w:r>
            <w:r>
              <w:rPr>
                <w:rFonts w:hint="eastAsia" w:ascii="宋体"/>
                <w:color w:val="auto"/>
                <w:szCs w:val="21"/>
                <w:highlight w:val="none"/>
              </w:rPr>
              <w:t>工程渣土清运承诺书</w:t>
            </w:r>
          </w:p>
        </w:tc>
        <w:tc>
          <w:tcPr>
            <w:tcW w:w="4555" w:type="dxa"/>
            <w:tcBorders>
              <w:top w:val="single" w:color="000000" w:sz="4" w:space="0"/>
              <w:left w:val="single" w:color="000000" w:sz="4" w:space="0"/>
              <w:bottom w:val="single" w:color="000000" w:sz="4" w:space="0"/>
              <w:right w:val="single" w:color="auto" w:sz="4" w:space="0"/>
            </w:tcBorders>
            <w:noWrap w:val="0"/>
            <w:vAlign w:val="center"/>
          </w:tcPr>
          <w:p w14:paraId="17826B39">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bCs/>
                <w:color w:val="auto"/>
                <w:highlight w:val="none"/>
              </w:rPr>
            </w:pPr>
            <w:r>
              <w:rPr>
                <w:rFonts w:hint="eastAsia" w:ascii="宋体" w:hAnsi="宋体" w:cs="宋体"/>
                <w:color w:val="auto"/>
                <w:kern w:val="0"/>
                <w:highlight w:val="none"/>
                <w:lang w:eastAsia="zh-CN"/>
              </w:rPr>
              <w:t>必须提供</w:t>
            </w:r>
          </w:p>
        </w:tc>
      </w:tr>
      <w:tr w14:paraId="72638C2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19484351">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color w:val="auto"/>
                <w:szCs w:val="21"/>
                <w:highlight w:val="none"/>
              </w:rPr>
              <w:t>条款号</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519A6AA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rFonts w:hint="eastAsia" w:ascii="宋体" w:cs="宋体"/>
                <w:color w:val="auto"/>
                <w:highlight w:val="none"/>
                <w:lang w:bidi="ar-SA"/>
              </w:rPr>
              <w:t>分值构成</w:t>
            </w:r>
          </w:p>
        </w:tc>
        <w:tc>
          <w:tcPr>
            <w:tcW w:w="2141" w:type="dxa"/>
            <w:tcBorders>
              <w:top w:val="outset" w:color="auto" w:sz="6" w:space="0"/>
              <w:left w:val="outset" w:color="auto" w:sz="6" w:space="0"/>
              <w:bottom w:val="outset" w:color="auto" w:sz="6" w:space="0"/>
              <w:right w:val="outset" w:color="auto" w:sz="6" w:space="0"/>
            </w:tcBorders>
            <w:noWrap w:val="0"/>
            <w:vAlign w:val="center"/>
          </w:tcPr>
          <w:p w14:paraId="310D497F">
            <w:pPr>
              <w:pStyle w:val="42"/>
              <w:keepNext w:val="0"/>
              <w:keepLines w:val="0"/>
              <w:pageBreakBefore w:val="0"/>
              <w:kinsoku/>
              <w:wordWrap/>
              <w:overflowPunct/>
              <w:topLinePunct w:val="0"/>
              <w:autoSpaceDE/>
              <w:autoSpaceDN/>
              <w:bidi w:val="0"/>
              <w:adjustRightInd/>
              <w:spacing w:after="160" w:line="360" w:lineRule="exact"/>
              <w:ind w:firstLine="160"/>
              <w:jc w:val="center"/>
              <w:textAlignment w:val="auto"/>
              <w:rPr>
                <w:rFonts w:hint="eastAsia" w:eastAsia="宋体"/>
                <w:color w:val="auto"/>
                <w:sz w:val="21"/>
                <w:szCs w:val="21"/>
                <w:highlight w:val="none"/>
                <w:lang w:eastAsia="zh-CN"/>
              </w:rPr>
            </w:pPr>
            <w:r>
              <w:rPr>
                <w:rFonts w:hint="eastAsia"/>
                <w:color w:val="auto"/>
                <w:sz w:val="21"/>
                <w:szCs w:val="21"/>
                <w:highlight w:val="none"/>
              </w:rPr>
              <w:t>分值构成</w:t>
            </w:r>
          </w:p>
          <w:p w14:paraId="5F39F888">
            <w:pPr>
              <w:pStyle w:val="42"/>
              <w:keepNext w:val="0"/>
              <w:keepLines w:val="0"/>
              <w:pageBreakBefore w:val="0"/>
              <w:kinsoku/>
              <w:wordWrap/>
              <w:overflowPunct/>
              <w:topLinePunct w:val="0"/>
              <w:autoSpaceDE/>
              <w:autoSpaceDN/>
              <w:bidi w:val="0"/>
              <w:adjustRightInd/>
              <w:spacing w:after="160" w:line="360" w:lineRule="exact"/>
              <w:ind w:firstLine="160"/>
              <w:jc w:val="center"/>
              <w:textAlignment w:val="auto"/>
              <w:rPr>
                <w:rFonts w:hint="eastAsia"/>
                <w:color w:val="auto"/>
                <w:highlight w:val="none"/>
              </w:rPr>
            </w:pPr>
            <w:r>
              <w:rPr>
                <w:rFonts w:hint="eastAsia"/>
                <w:color w:val="auto"/>
                <w:sz w:val="21"/>
                <w:szCs w:val="21"/>
                <w:highlight w:val="none"/>
              </w:rPr>
              <w:t>（总分100分）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5AAA1C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b/>
                <w:bCs/>
                <w:color w:val="auto"/>
                <w:highlight w:val="none"/>
                <w:lang w:bidi="ar-SA"/>
              </w:rPr>
            </w:pPr>
            <w:r>
              <w:rPr>
                <w:rFonts w:hint="eastAsia" w:ascii="宋体" w:cs="宋体"/>
                <w:b/>
                <w:bCs/>
                <w:color w:val="auto"/>
                <w:highlight w:val="none"/>
                <w:lang w:bidi="ar-SA"/>
              </w:rPr>
              <w:t xml:space="preserve">价格分：30分 </w:t>
            </w:r>
          </w:p>
          <w:p w14:paraId="0BC1F24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eastAsia="宋体" w:cs="宋体"/>
                <w:b/>
                <w:bCs/>
                <w:color w:val="auto"/>
                <w:highlight w:val="none"/>
                <w:lang w:eastAsia="zh-CN" w:bidi="ar-SA"/>
              </w:rPr>
            </w:pPr>
            <w:r>
              <w:rPr>
                <w:rFonts w:hint="eastAsia" w:ascii="宋体" w:cs="宋体"/>
                <w:b/>
                <w:bCs/>
                <w:color w:val="auto"/>
                <w:highlight w:val="none"/>
                <w:lang w:bidi="ar-SA"/>
              </w:rPr>
              <w:t>施工组织设计分：60分</w:t>
            </w:r>
          </w:p>
          <w:p w14:paraId="2C04347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b/>
                <w:bCs/>
                <w:color w:val="auto"/>
                <w:highlight w:val="none"/>
                <w:lang w:bidi="ar-SA"/>
              </w:rPr>
            </w:pPr>
            <w:r>
              <w:rPr>
                <w:rFonts w:hint="eastAsia" w:ascii="宋体" w:cs="宋体"/>
                <w:b/>
                <w:bCs/>
                <w:color w:val="auto"/>
                <w:highlight w:val="none"/>
                <w:lang w:bidi="ar-SA"/>
              </w:rPr>
              <w:t>企业信誉实力分：</w:t>
            </w:r>
            <w:r>
              <w:rPr>
                <w:rFonts w:hint="eastAsia" w:ascii="宋体" w:cs="宋体"/>
                <w:b/>
                <w:bCs/>
                <w:color w:val="auto"/>
                <w:highlight w:val="none"/>
                <w:lang w:val="en-US" w:eastAsia="zh-CN" w:bidi="ar-SA"/>
              </w:rPr>
              <w:t>10</w:t>
            </w:r>
            <w:r>
              <w:rPr>
                <w:rFonts w:hint="eastAsia" w:ascii="宋体" w:cs="宋体"/>
                <w:b/>
                <w:bCs/>
                <w:color w:val="auto"/>
                <w:highlight w:val="none"/>
                <w:lang w:bidi="ar-SA"/>
              </w:rPr>
              <w:t>分</w:t>
            </w:r>
          </w:p>
        </w:tc>
      </w:tr>
      <w:tr w14:paraId="4550AD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296BBE4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kern w:val="0"/>
                <w:szCs w:val="21"/>
                <w:highlight w:val="none"/>
                <w:lang w:bidi="ar-SA"/>
              </w:rPr>
            </w:pPr>
            <w:r>
              <w:rPr>
                <w:rFonts w:hint="eastAsia" w:ascii="宋体" w:cs="宋体"/>
                <w:color w:val="auto"/>
                <w:kern w:val="0"/>
                <w:szCs w:val="21"/>
                <w:highlight w:val="none"/>
                <w:lang w:val="en-US" w:eastAsia="zh-CN" w:bidi="ar-SA"/>
              </w:rPr>
              <w:t>2.</w:t>
            </w:r>
            <w:r>
              <w:rPr>
                <w:rFonts w:hint="eastAsia" w:ascii="宋体" w:cs="宋体"/>
                <w:color w:val="auto"/>
                <w:kern w:val="0"/>
                <w:szCs w:val="21"/>
                <w:highlight w:val="none"/>
                <w:lang w:bidi="ar-SA"/>
              </w:rPr>
              <w:t>1</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5ACEAC6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rFonts w:hint="eastAsia" w:ascii="宋体" w:cs="宋体"/>
                <w:color w:val="auto"/>
                <w:szCs w:val="21"/>
                <w:highlight w:val="none"/>
                <w:lang w:bidi="ar-SA"/>
              </w:rPr>
              <w:t>价格评分标准</w:t>
            </w:r>
            <w:r>
              <w:rPr>
                <w:rFonts w:hint="eastAsia" w:ascii="宋体" w:cs="宋体"/>
                <w:color w:val="auto"/>
                <w:kern w:val="0"/>
                <w:szCs w:val="21"/>
                <w:highlight w:val="none"/>
                <w:lang w:bidi="ar-SA"/>
              </w:rPr>
              <w:t>（满分30分）</w:t>
            </w:r>
          </w:p>
        </w:tc>
        <w:tc>
          <w:tcPr>
            <w:tcW w:w="6781" w:type="dxa"/>
            <w:gridSpan w:val="3"/>
            <w:tcBorders>
              <w:top w:val="outset" w:color="auto" w:sz="6" w:space="0"/>
              <w:left w:val="outset" w:color="auto" w:sz="6" w:space="0"/>
              <w:bottom w:val="outset" w:color="auto" w:sz="6" w:space="0"/>
              <w:right w:val="outset" w:color="auto" w:sz="6" w:space="0"/>
            </w:tcBorders>
            <w:noWrap w:val="0"/>
            <w:vAlign w:val="center"/>
          </w:tcPr>
          <w:p w14:paraId="29DB500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s="宋体"/>
                <w:color w:val="auto"/>
                <w:highlight w:val="none"/>
                <w:lang w:bidi="ar-SA"/>
              </w:rPr>
            </w:pPr>
            <w:r>
              <w:rPr>
                <w:rFonts w:hint="eastAsia" w:ascii="宋体" w:cs="宋体"/>
                <w:color w:val="auto"/>
                <w:highlight w:val="none"/>
                <w:lang w:bidi="ar-SA"/>
              </w:rPr>
              <w:t>1.</w:t>
            </w:r>
            <w:r>
              <w:rPr>
                <w:rFonts w:hint="eastAsia"/>
                <w:bCs/>
                <w:color w:val="auto"/>
                <w:szCs w:val="21"/>
                <w:highlight w:val="none"/>
              </w:rPr>
              <w:t>以进入评审的最低的评审</w:t>
            </w:r>
            <w:r>
              <w:rPr>
                <w:rFonts w:hint="eastAsia" w:ascii="宋体" w:cs="宋体"/>
                <w:bCs/>
                <w:color w:val="auto"/>
                <w:szCs w:val="21"/>
                <w:highlight w:val="none"/>
                <w:lang w:bidi="ar-SA"/>
              </w:rPr>
              <w:t>报价为30分，</w:t>
            </w:r>
            <w:r>
              <w:rPr>
                <w:rFonts w:hint="eastAsia" w:ascii="宋体" w:cs="宋体"/>
                <w:color w:val="auto"/>
                <w:szCs w:val="21"/>
                <w:highlight w:val="none"/>
                <w:lang w:bidi="ar-SA"/>
              </w:rPr>
              <w:t>评审报价=最后磋商报价</w:t>
            </w:r>
            <w:r>
              <w:rPr>
                <w:rFonts w:hint="eastAsia" w:ascii="宋体" w:cs="宋体"/>
                <w:color w:val="auto"/>
                <w:highlight w:val="none"/>
                <w:lang w:bidi="ar-SA"/>
              </w:rPr>
              <w:t>。</w:t>
            </w:r>
          </w:p>
          <w:p w14:paraId="7C3B91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ascii="宋体" w:cs="宋体"/>
                <w:color w:val="auto"/>
                <w:highlight w:val="none"/>
                <w:lang w:bidi="ar-SA"/>
              </w:rPr>
              <w:t>2.价格分计算公式：报价得分=（</w:t>
            </w:r>
            <w:r>
              <w:rPr>
                <w:rFonts w:hint="eastAsia"/>
                <w:bCs/>
                <w:color w:val="auto"/>
                <w:szCs w:val="21"/>
                <w:highlight w:val="none"/>
              </w:rPr>
              <w:t>最低</w:t>
            </w:r>
            <w:r>
              <w:rPr>
                <w:rFonts w:hint="eastAsia"/>
                <w:color w:val="auto"/>
                <w:szCs w:val="21"/>
                <w:highlight w:val="none"/>
              </w:rPr>
              <w:t>磋商供应商评审报价</w:t>
            </w:r>
            <w:r>
              <w:rPr>
                <w:rFonts w:hint="eastAsia"/>
                <w:bCs/>
                <w:color w:val="auto"/>
                <w:szCs w:val="21"/>
                <w:highlight w:val="none"/>
              </w:rPr>
              <w:t>金额</w:t>
            </w:r>
            <w:r>
              <w:rPr>
                <w:rFonts w:hint="eastAsia" w:ascii="宋体" w:cs="宋体"/>
                <w:color w:val="auto"/>
                <w:highlight w:val="none"/>
                <w:lang w:bidi="ar-SA"/>
              </w:rPr>
              <w:t>/</w:t>
            </w:r>
            <w:r>
              <w:rPr>
                <w:rFonts w:hint="eastAsia"/>
                <w:bCs/>
                <w:color w:val="auto"/>
                <w:szCs w:val="21"/>
                <w:highlight w:val="none"/>
              </w:rPr>
              <w:t xml:space="preserve"> </w:t>
            </w:r>
            <w:r>
              <w:rPr>
                <w:rFonts w:hint="eastAsia"/>
                <w:color w:val="auto"/>
                <w:szCs w:val="21"/>
                <w:highlight w:val="none"/>
              </w:rPr>
              <w:t>磋商供应商评审报价</w:t>
            </w:r>
            <w:r>
              <w:rPr>
                <w:rFonts w:hint="eastAsia"/>
                <w:bCs/>
                <w:color w:val="auto"/>
                <w:szCs w:val="21"/>
                <w:highlight w:val="none"/>
              </w:rPr>
              <w:t>金额</w:t>
            </w:r>
            <w:r>
              <w:rPr>
                <w:rFonts w:hint="eastAsia" w:ascii="宋体" w:cs="宋体"/>
                <w:color w:val="auto"/>
                <w:highlight w:val="none"/>
                <w:lang w:bidi="ar-SA"/>
              </w:rPr>
              <w:t>）×30分</w:t>
            </w:r>
          </w:p>
        </w:tc>
      </w:tr>
      <w:tr w14:paraId="1DBC42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restart"/>
            <w:tcBorders>
              <w:top w:val="outset" w:color="auto" w:sz="6" w:space="0"/>
              <w:left w:val="outset" w:color="auto" w:sz="6" w:space="0"/>
              <w:right w:val="outset" w:color="auto" w:sz="6" w:space="0"/>
            </w:tcBorders>
            <w:noWrap w:val="0"/>
            <w:vAlign w:val="center"/>
          </w:tcPr>
          <w:p w14:paraId="0C2C314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eastAsia="宋体" w:cs="宋体"/>
                <w:color w:val="auto"/>
                <w:kern w:val="0"/>
                <w:szCs w:val="21"/>
                <w:highlight w:val="none"/>
                <w:lang w:eastAsia="zh-CN" w:bidi="ar-SA"/>
              </w:rPr>
            </w:pPr>
            <w:r>
              <w:rPr>
                <w:rFonts w:hint="eastAsia" w:ascii="宋体" w:cs="宋体"/>
                <w:color w:val="auto"/>
                <w:kern w:val="0"/>
                <w:szCs w:val="21"/>
                <w:highlight w:val="none"/>
                <w:lang w:val="en-US" w:eastAsia="zh-CN" w:bidi="ar-SA"/>
              </w:rPr>
              <w:t>2.2</w:t>
            </w:r>
          </w:p>
        </w:tc>
        <w:tc>
          <w:tcPr>
            <w:tcW w:w="1324" w:type="dxa"/>
            <w:vMerge w:val="restart"/>
            <w:tcBorders>
              <w:top w:val="outset" w:color="auto" w:sz="6" w:space="0"/>
              <w:left w:val="outset" w:color="auto" w:sz="6" w:space="0"/>
              <w:right w:val="outset" w:color="auto" w:sz="6" w:space="0"/>
            </w:tcBorders>
            <w:noWrap w:val="0"/>
            <w:vAlign w:val="center"/>
          </w:tcPr>
          <w:p w14:paraId="7D4D06A6">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cs="宋体"/>
                <w:color w:val="auto"/>
                <w:kern w:val="0"/>
                <w:szCs w:val="21"/>
                <w:highlight w:val="none"/>
                <w:lang w:bidi="ar-SA"/>
              </w:rPr>
            </w:pPr>
            <w:r>
              <w:rPr>
                <w:rFonts w:hint="eastAsia" w:ascii="宋体" w:cs="宋体"/>
                <w:color w:val="auto"/>
                <w:kern w:val="0"/>
                <w:szCs w:val="21"/>
                <w:highlight w:val="none"/>
                <w:lang w:bidi="ar-SA"/>
              </w:rPr>
              <w:t>施工组织设计</w:t>
            </w:r>
            <w:r>
              <w:rPr>
                <w:rFonts w:hint="eastAsia" w:ascii="宋体" w:cs="宋体"/>
                <w:color w:val="auto"/>
                <w:szCs w:val="21"/>
                <w:highlight w:val="none"/>
                <w:lang w:bidi="ar-SA"/>
              </w:rPr>
              <w:t>评分标准</w:t>
            </w:r>
          </w:p>
          <w:p w14:paraId="23CD62C4">
            <w:pPr>
              <w:keepNext w:val="0"/>
              <w:keepLines w:val="0"/>
              <w:pageBreakBefore w:val="0"/>
              <w:kinsoku/>
              <w:wordWrap/>
              <w:overflowPunct/>
              <w:topLinePunct w:val="0"/>
              <w:autoSpaceDE/>
              <w:autoSpaceDN/>
              <w:bidi w:val="0"/>
              <w:adjustRightInd/>
              <w:spacing w:line="360" w:lineRule="exact"/>
              <w:jc w:val="both"/>
              <w:textAlignment w:val="auto"/>
              <w:rPr>
                <w:rFonts w:hint="default" w:ascii="宋体" w:eastAsia="宋体" w:cs="宋体"/>
                <w:color w:val="auto"/>
                <w:highlight w:val="none"/>
                <w:lang w:val="en-US" w:eastAsia="zh-CN" w:bidi="ar-SA"/>
              </w:rPr>
            </w:pPr>
            <w:r>
              <w:rPr>
                <w:rFonts w:hint="eastAsia" w:ascii="宋体" w:cs="宋体"/>
                <w:color w:val="auto"/>
                <w:kern w:val="0"/>
                <w:szCs w:val="21"/>
                <w:highlight w:val="none"/>
                <w:lang w:bidi="ar-SA"/>
              </w:rPr>
              <w:t>（满分60分）</w:t>
            </w:r>
            <w:r>
              <w:rPr>
                <w:rFonts w:hint="eastAsia" w:ascii="宋体" w:cs="宋体"/>
                <w:b/>
                <w:bCs/>
                <w:color w:val="auto"/>
                <w:kern w:val="0"/>
                <w:szCs w:val="21"/>
                <w:highlight w:val="none"/>
                <w:lang w:bidi="ar-SA"/>
              </w:rPr>
              <w:t>注：供应商未提供“施工组织设计”相应内容的，相应项</w:t>
            </w:r>
            <w:r>
              <w:rPr>
                <w:rFonts w:hint="eastAsia" w:ascii="宋体" w:cs="宋体"/>
                <w:b/>
                <w:bCs/>
                <w:color w:val="auto"/>
                <w:kern w:val="0"/>
                <w:szCs w:val="21"/>
                <w:highlight w:val="none"/>
                <w:lang w:eastAsia="zh-CN" w:bidi="ar-SA"/>
              </w:rPr>
              <w:t>按</w:t>
            </w:r>
            <w:r>
              <w:rPr>
                <w:rFonts w:hint="eastAsia" w:ascii="宋体" w:cs="宋体"/>
                <w:b/>
                <w:bCs/>
                <w:color w:val="auto"/>
                <w:kern w:val="0"/>
                <w:szCs w:val="21"/>
                <w:highlight w:val="none"/>
                <w:lang w:val="en-US" w:eastAsia="zh-CN" w:bidi="ar-SA"/>
              </w:rPr>
              <w:t>0分计。</w:t>
            </w:r>
          </w:p>
        </w:tc>
        <w:tc>
          <w:tcPr>
            <w:tcW w:w="2141" w:type="dxa"/>
            <w:tcBorders>
              <w:top w:val="outset" w:color="auto" w:sz="6" w:space="0"/>
              <w:left w:val="outset" w:color="auto" w:sz="6" w:space="0"/>
              <w:bottom w:val="outset" w:color="auto" w:sz="6" w:space="0"/>
              <w:right w:val="outset" w:color="auto" w:sz="6" w:space="0"/>
            </w:tcBorders>
            <w:noWrap w:val="0"/>
            <w:vAlign w:val="center"/>
          </w:tcPr>
          <w:p w14:paraId="1DCE957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rFonts w:hint="eastAsia" w:ascii="宋体" w:cs="宋体"/>
                <w:color w:val="auto"/>
                <w:highlight w:val="none"/>
                <w:lang w:bidi="ar-SA"/>
              </w:rPr>
              <w:t>(1)总体概述（满分</w:t>
            </w:r>
            <w:r>
              <w:rPr>
                <w:rFonts w:hint="eastAsia" w:ascii="宋体" w:cs="宋体"/>
                <w:color w:val="auto"/>
                <w:highlight w:val="none"/>
                <w:lang w:val="en-US" w:eastAsia="zh-CN" w:bidi="ar-SA"/>
              </w:rPr>
              <w:t>9</w:t>
            </w:r>
            <w:r>
              <w:rPr>
                <w:rFonts w:hint="eastAsia" w:ascii="宋体" w:cs="宋体"/>
                <w:color w:val="auto"/>
                <w:highlight w:val="none"/>
                <w:lang w:bidi="ar-SA"/>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2A2A9748">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auto"/>
                <w:highlight w:val="none"/>
              </w:rPr>
            </w:pPr>
            <w:r>
              <w:rPr>
                <w:rFonts w:hint="eastAsia"/>
                <w:color w:val="auto"/>
                <w:highlight w:val="none"/>
              </w:rPr>
              <w:t>优（9分）：对项目总体有深刻认识，表达清晰、完整、严谨、合理，措施先进、具体、有效、成熟；施工段划分清晰、合理，符合规范要求；</w:t>
            </w:r>
          </w:p>
          <w:p w14:paraId="5CD79676">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auto"/>
                <w:highlight w:val="none"/>
              </w:rPr>
            </w:pPr>
            <w:r>
              <w:rPr>
                <w:rFonts w:hint="eastAsia"/>
                <w:color w:val="auto"/>
                <w:highlight w:val="none"/>
              </w:rPr>
              <w:t>良（6分）：对项目总体有一定认识，表达清晰、完整，措施具体有效；施工段划分清晰，符合规范要求；</w:t>
            </w:r>
          </w:p>
          <w:p w14:paraId="0E53FB88">
            <w:pPr>
              <w:pStyle w:val="7"/>
              <w:keepNext w:val="0"/>
              <w:keepLines w:val="0"/>
              <w:pageBreakBefore w:val="0"/>
              <w:kinsoku/>
              <w:wordWrap/>
              <w:overflowPunct/>
              <w:topLinePunct w:val="0"/>
              <w:autoSpaceDE/>
              <w:autoSpaceDN/>
              <w:bidi w:val="0"/>
              <w:adjustRightInd/>
              <w:spacing w:line="360" w:lineRule="exact"/>
              <w:ind w:firstLine="0"/>
              <w:textAlignment w:val="auto"/>
              <w:rPr>
                <w:rFonts w:hint="eastAsia"/>
                <w:color w:val="auto"/>
                <w:highlight w:val="none"/>
              </w:rPr>
            </w:pPr>
            <w:r>
              <w:rPr>
                <w:rFonts w:hint="eastAsia"/>
                <w:color w:val="auto"/>
                <w:highlight w:val="none"/>
              </w:rPr>
              <w:t>中（3分）：对项目总体有认识，有一定的措施但部分不具体；施工段划分较合理，符合规范要求；</w:t>
            </w:r>
          </w:p>
          <w:p w14:paraId="3344F1D2">
            <w:pPr>
              <w:pStyle w:val="7"/>
              <w:keepNext w:val="0"/>
              <w:keepLines w:val="0"/>
              <w:pageBreakBefore w:val="0"/>
              <w:kinsoku/>
              <w:wordWrap/>
              <w:overflowPunct/>
              <w:topLinePunct w:val="0"/>
              <w:autoSpaceDE/>
              <w:autoSpaceDN/>
              <w:bidi w:val="0"/>
              <w:adjustRightInd/>
              <w:spacing w:line="360" w:lineRule="exact"/>
              <w:ind w:firstLine="0"/>
              <w:textAlignment w:val="auto"/>
              <w:rPr>
                <w:color w:val="auto"/>
                <w:highlight w:val="none"/>
              </w:rPr>
            </w:pPr>
            <w:r>
              <w:rPr>
                <w:rFonts w:hint="eastAsia"/>
                <w:color w:val="auto"/>
                <w:highlight w:val="none"/>
              </w:rPr>
              <w:t>差（1分）：对项目认识不足，表达不清晰，措施不具体；施工段划分不合理。</w:t>
            </w:r>
          </w:p>
        </w:tc>
      </w:tr>
      <w:tr w14:paraId="0238DB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63BB3F50">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1324" w:type="dxa"/>
            <w:vMerge w:val="continue"/>
            <w:tcBorders>
              <w:left w:val="outset" w:color="auto" w:sz="6" w:space="0"/>
              <w:right w:val="outset" w:color="auto" w:sz="6" w:space="0"/>
            </w:tcBorders>
            <w:noWrap w:val="0"/>
            <w:vAlign w:val="center"/>
          </w:tcPr>
          <w:p w14:paraId="0D0AC0D8">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49F4C83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rFonts w:hint="eastAsia" w:ascii="宋体" w:cs="宋体"/>
                <w:color w:val="auto"/>
                <w:highlight w:val="none"/>
                <w:lang w:bidi="ar-SA"/>
              </w:rPr>
              <w:t>(2)主要施工方法（满分</w:t>
            </w:r>
            <w:r>
              <w:rPr>
                <w:rFonts w:hint="eastAsia" w:ascii="宋体" w:cs="宋体"/>
                <w:color w:val="auto"/>
                <w:highlight w:val="none"/>
                <w:lang w:val="en-US" w:eastAsia="zh-CN" w:bidi="ar-SA"/>
              </w:rPr>
              <w:t>12</w:t>
            </w:r>
            <w:r>
              <w:rPr>
                <w:rFonts w:hint="eastAsia" w:ascii="宋体" w:cs="宋体"/>
                <w:color w:val="auto"/>
                <w:highlight w:val="none"/>
                <w:lang w:bidi="ar-SA"/>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1F268B2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优（12分）：各主要分部施工方法符合项目实际，有详尽的施工技术方案，工艺先进、方法科学合理、可行，能指导具体施工并确保安全；</w:t>
            </w:r>
          </w:p>
          <w:p w14:paraId="012111E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良（8分）：各主要分部施工方法符合项目实际，有较详尽的施工技术方案，工艺较好、方法科学合理、可行，能指导具体施工并确保安全；</w:t>
            </w:r>
          </w:p>
          <w:p w14:paraId="354C6EF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中（4分）：各主要分部施工方法能满足项目需求，有施工技术方案，能指导具体施工并确保安全；</w:t>
            </w:r>
          </w:p>
          <w:p w14:paraId="0313B1DF">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差（1分）：各主要分部施工方法不能满足项目需求，施工技术方案简劣，不能指导具体施工并确保安全。</w:t>
            </w:r>
          </w:p>
        </w:tc>
      </w:tr>
      <w:tr w14:paraId="02E100E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573C8998">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02CCD224">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1A4D9C9A">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(3)施工进度计划和各阶段进度的保证措施（满分</w:t>
            </w:r>
            <w:r>
              <w:rPr>
                <w:rFonts w:hint="eastAsia" w:ascii="宋体" w:cs="宋体"/>
                <w:color w:val="auto"/>
                <w:highlight w:val="none"/>
                <w:lang w:val="en-US" w:eastAsia="zh-CN" w:bidi="ar-SA"/>
              </w:rPr>
              <w:t>9</w:t>
            </w:r>
            <w:r>
              <w:rPr>
                <w:rFonts w:hint="eastAsia" w:ascii="宋体" w:cs="宋体"/>
                <w:color w:val="auto"/>
                <w:highlight w:val="none"/>
                <w:lang w:bidi="ar-SA"/>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1FFD7378">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优（9分）：关键线路清晰、准确、完整，计划编制合理、可行，关键节点的控制措施有力、合理、可行；</w:t>
            </w:r>
          </w:p>
          <w:p w14:paraId="7F938A3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良（6分）：关键线路清晰、准确、完整，计划编制可行，关键节点的控制措施合理、可行；</w:t>
            </w:r>
          </w:p>
          <w:p w14:paraId="73EE850F">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中（3分）：关键线路基本准确，计划编制合理，关键节点的控制措施基本可行；</w:t>
            </w:r>
          </w:p>
          <w:p w14:paraId="7D82B67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 xml:space="preserve">差（1分）：关键线路不准确，计划编制不合理，关键节点的控制不可行。 </w:t>
            </w:r>
          </w:p>
        </w:tc>
      </w:tr>
      <w:tr w14:paraId="67661A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right w:val="outset" w:color="auto" w:sz="6" w:space="0"/>
            </w:tcBorders>
            <w:noWrap w:val="0"/>
            <w:vAlign w:val="center"/>
          </w:tcPr>
          <w:p w14:paraId="7E7E91A0">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584933EE">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0F07558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rFonts w:hint="eastAsia" w:ascii="宋体" w:cs="宋体"/>
                <w:color w:val="auto"/>
                <w:highlight w:val="none"/>
                <w:lang w:bidi="ar-SA"/>
              </w:rPr>
              <w:t>(4)关键施工技术、工艺及工程实施的重点、难点和解决方案（满分</w:t>
            </w:r>
            <w:r>
              <w:rPr>
                <w:rFonts w:hint="eastAsia" w:ascii="宋体" w:cs="宋体"/>
                <w:color w:val="auto"/>
                <w:highlight w:val="none"/>
                <w:lang w:val="en-US" w:eastAsia="zh-CN" w:bidi="ar-SA"/>
              </w:rPr>
              <w:t>12</w:t>
            </w:r>
            <w:r>
              <w:rPr>
                <w:rFonts w:hint="eastAsia" w:ascii="宋体" w:cs="宋体"/>
                <w:color w:val="auto"/>
                <w:highlight w:val="none"/>
                <w:lang w:bidi="ar-SA"/>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10E0660">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优（12分）：对项目关键技术、工艺有深入的表达，对重点、难点有先进合理的施工措施并有可行的安全措施，解决方案完整、经济、安全、切实可行，措施得力。</w:t>
            </w:r>
          </w:p>
          <w:p w14:paraId="2F956FD6">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良（8分）：对项目关键技术、工艺有深入的表达，对重点、难点有合理的建议，解决方案经济、安全、基本可行。</w:t>
            </w:r>
          </w:p>
          <w:p w14:paraId="2FD790C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中（4分）：对项目关键技术有一定了解，对重点、难点有建议，大部分重点、难点有解决方案。</w:t>
            </w:r>
          </w:p>
          <w:p w14:paraId="6B822D2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 xml:space="preserve">差（1分）：对项目关键技术有表述，对重点、难点有建议，仅有部分重点、难点的解决方案。 </w:t>
            </w:r>
          </w:p>
        </w:tc>
      </w:tr>
      <w:tr w14:paraId="218B75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329" w:hRule="atLeast"/>
          <w:jc w:val="center"/>
        </w:trPr>
        <w:tc>
          <w:tcPr>
            <w:tcW w:w="944" w:type="dxa"/>
            <w:vMerge w:val="continue"/>
            <w:tcBorders>
              <w:left w:val="outset" w:color="auto" w:sz="6" w:space="0"/>
              <w:right w:val="outset" w:color="auto" w:sz="6" w:space="0"/>
            </w:tcBorders>
            <w:noWrap w:val="0"/>
            <w:vAlign w:val="center"/>
          </w:tcPr>
          <w:p w14:paraId="5B8039C7">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617F62AA">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2141" w:type="dxa"/>
            <w:tcBorders>
              <w:top w:val="outset" w:color="auto" w:sz="6" w:space="0"/>
              <w:left w:val="outset" w:color="auto" w:sz="6" w:space="0"/>
              <w:right w:val="outset" w:color="auto" w:sz="6" w:space="0"/>
            </w:tcBorders>
            <w:noWrap w:val="0"/>
            <w:vAlign w:val="center"/>
          </w:tcPr>
          <w:p w14:paraId="3F56D3BA">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rFonts w:hint="eastAsia" w:ascii="宋体" w:cs="宋体"/>
                <w:color w:val="auto"/>
                <w:highlight w:val="none"/>
                <w:lang w:bidi="ar-SA"/>
              </w:rPr>
              <w:t>(5)安全文明施工措施（满分</w:t>
            </w:r>
            <w:r>
              <w:rPr>
                <w:rFonts w:hint="eastAsia" w:ascii="宋体" w:cs="宋体"/>
                <w:color w:val="auto"/>
                <w:highlight w:val="none"/>
                <w:lang w:val="en-US" w:eastAsia="zh-CN" w:bidi="ar-SA"/>
              </w:rPr>
              <w:t>9</w:t>
            </w:r>
            <w:r>
              <w:rPr>
                <w:rFonts w:hint="eastAsia" w:ascii="宋体" w:cs="宋体"/>
                <w:color w:val="auto"/>
                <w:highlight w:val="none"/>
                <w:lang w:bidi="ar-SA"/>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7E8ABE16">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优（9分）：针对项目实际情况，有先进、具体、完整、可行的实施措施，采用规范正确、清晰。</w:t>
            </w:r>
          </w:p>
          <w:p w14:paraId="4834610A">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良（6分）：针对项目实际情况，有合理的措施且具体、完整，采用规范正确。</w:t>
            </w:r>
          </w:p>
          <w:p w14:paraId="3EB7F322">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中（3分）：有基本合理的措施，采用规范正确。</w:t>
            </w:r>
          </w:p>
          <w:p w14:paraId="14FE3832">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 xml:space="preserve">差（1分）：安全文明措施不得力，采用规范部分不正确。 </w:t>
            </w:r>
          </w:p>
        </w:tc>
      </w:tr>
      <w:tr w14:paraId="713D02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944" w:type="dxa"/>
            <w:vMerge w:val="continue"/>
            <w:tcBorders>
              <w:left w:val="outset" w:color="auto" w:sz="6" w:space="0"/>
              <w:bottom w:val="outset" w:color="auto" w:sz="6" w:space="0"/>
              <w:right w:val="outset" w:color="auto" w:sz="6" w:space="0"/>
            </w:tcBorders>
            <w:noWrap w:val="0"/>
            <w:vAlign w:val="center"/>
          </w:tcPr>
          <w:p w14:paraId="0B8DA2F0">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1324" w:type="dxa"/>
            <w:vMerge w:val="continue"/>
            <w:tcBorders>
              <w:top w:val="outset" w:color="auto" w:sz="6" w:space="0"/>
              <w:left w:val="outset" w:color="auto" w:sz="6" w:space="0"/>
              <w:bottom w:val="outset" w:color="auto" w:sz="6" w:space="0"/>
              <w:right w:val="outset" w:color="auto" w:sz="6" w:space="0"/>
            </w:tcBorders>
            <w:noWrap w:val="0"/>
            <w:vAlign w:val="center"/>
          </w:tcPr>
          <w:p w14:paraId="320DC060">
            <w:pPr>
              <w:keepNext w:val="0"/>
              <w:keepLines w:val="0"/>
              <w:pageBreakBefore w:val="0"/>
              <w:kinsoku/>
              <w:wordWrap/>
              <w:overflowPunct/>
              <w:topLinePunct w:val="0"/>
              <w:autoSpaceDE/>
              <w:autoSpaceDN/>
              <w:bidi w:val="0"/>
              <w:adjustRightInd/>
              <w:spacing w:line="360" w:lineRule="exact"/>
              <w:textAlignment w:val="auto"/>
              <w:rPr>
                <w:color w:val="auto"/>
                <w:highlight w:val="none"/>
              </w:rPr>
            </w:pPr>
          </w:p>
        </w:tc>
        <w:tc>
          <w:tcPr>
            <w:tcW w:w="2141" w:type="dxa"/>
            <w:tcBorders>
              <w:top w:val="outset" w:color="auto" w:sz="6" w:space="0"/>
              <w:left w:val="outset" w:color="auto" w:sz="6" w:space="0"/>
              <w:bottom w:val="outset" w:color="auto" w:sz="6" w:space="0"/>
              <w:right w:val="outset" w:color="auto" w:sz="6" w:space="0"/>
            </w:tcBorders>
            <w:noWrap w:val="0"/>
            <w:vAlign w:val="center"/>
          </w:tcPr>
          <w:p w14:paraId="25A6641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rFonts w:hint="eastAsia" w:ascii="宋体" w:cs="宋体"/>
                <w:color w:val="auto"/>
                <w:highlight w:val="none"/>
                <w:lang w:bidi="ar-SA"/>
              </w:rPr>
              <w:t>(6)质量保证与承诺（满分</w:t>
            </w:r>
            <w:r>
              <w:rPr>
                <w:rFonts w:hint="eastAsia" w:ascii="宋体" w:cs="宋体"/>
                <w:color w:val="auto"/>
                <w:highlight w:val="none"/>
                <w:lang w:val="en-US" w:eastAsia="zh-CN" w:bidi="ar-SA"/>
              </w:rPr>
              <w:t>9</w:t>
            </w:r>
            <w:r>
              <w:rPr>
                <w:rFonts w:hint="eastAsia" w:ascii="宋体" w:cs="宋体"/>
                <w:color w:val="auto"/>
                <w:highlight w:val="none"/>
                <w:lang w:bidi="ar-SA"/>
              </w:rPr>
              <w:t>分）</w:t>
            </w:r>
          </w:p>
        </w:tc>
        <w:tc>
          <w:tcPr>
            <w:tcW w:w="4640" w:type="dxa"/>
            <w:gridSpan w:val="2"/>
            <w:tcBorders>
              <w:top w:val="outset" w:color="auto" w:sz="6" w:space="0"/>
              <w:left w:val="outset" w:color="auto" w:sz="6" w:space="0"/>
              <w:bottom w:val="outset" w:color="auto" w:sz="6" w:space="0"/>
              <w:right w:val="outset" w:color="auto" w:sz="6" w:space="0"/>
            </w:tcBorders>
            <w:noWrap w:val="0"/>
            <w:vAlign w:val="center"/>
          </w:tcPr>
          <w:p w14:paraId="51E7FDA7">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优（9分）：针对项目实际提出先进、可行、具体的保证措施，超过招标文件的质量要求及施工验收规范要求。</w:t>
            </w:r>
          </w:p>
          <w:p w14:paraId="127B3CF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良（6分）：针对项目实际提出先进、可行、具体的保证措施，满足招标文件的质量要求。</w:t>
            </w:r>
          </w:p>
          <w:p w14:paraId="10292115">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中（3分）：具体措施可行，满足招标文件的质量要求。</w:t>
            </w:r>
          </w:p>
          <w:p w14:paraId="007530C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差（1分）：无具体质量保证措施或措施仅部分可行，不能满足招标文件的质量要求。</w:t>
            </w:r>
          </w:p>
        </w:tc>
      </w:tr>
      <w:tr w14:paraId="1F1E58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655" w:hRule="atLeast"/>
          <w:jc w:val="center"/>
        </w:trPr>
        <w:tc>
          <w:tcPr>
            <w:tcW w:w="944" w:type="dxa"/>
            <w:tcBorders>
              <w:top w:val="outset" w:color="auto" w:sz="6" w:space="0"/>
              <w:left w:val="outset" w:color="auto" w:sz="6" w:space="0"/>
              <w:bottom w:val="outset" w:color="auto" w:sz="6" w:space="0"/>
              <w:right w:val="outset" w:color="auto" w:sz="6" w:space="0"/>
            </w:tcBorders>
            <w:noWrap w:val="0"/>
            <w:vAlign w:val="center"/>
          </w:tcPr>
          <w:p w14:paraId="0370FCB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eastAsia="宋体" w:cs="宋体"/>
                <w:color w:val="auto"/>
                <w:kern w:val="0"/>
                <w:szCs w:val="21"/>
                <w:highlight w:val="none"/>
                <w:lang w:eastAsia="zh-CN" w:bidi="ar-SA"/>
              </w:rPr>
            </w:pPr>
            <w:r>
              <w:rPr>
                <w:rFonts w:hint="eastAsia" w:ascii="宋体" w:cs="宋体"/>
                <w:color w:val="auto"/>
                <w:kern w:val="0"/>
                <w:szCs w:val="21"/>
                <w:highlight w:val="none"/>
                <w:lang w:val="en-US" w:eastAsia="zh-CN" w:bidi="ar-SA"/>
              </w:rPr>
              <w:t>2.3</w:t>
            </w:r>
          </w:p>
        </w:tc>
        <w:tc>
          <w:tcPr>
            <w:tcW w:w="1324" w:type="dxa"/>
            <w:tcBorders>
              <w:top w:val="outset" w:color="auto" w:sz="6" w:space="0"/>
              <w:left w:val="outset" w:color="auto" w:sz="6" w:space="0"/>
              <w:bottom w:val="outset" w:color="auto" w:sz="6" w:space="0"/>
              <w:right w:val="outset" w:color="auto" w:sz="6" w:space="0"/>
            </w:tcBorders>
            <w:noWrap w:val="0"/>
            <w:vAlign w:val="center"/>
          </w:tcPr>
          <w:p w14:paraId="7A6B0010">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cs="宋体"/>
                <w:color w:val="auto"/>
                <w:kern w:val="0"/>
                <w:szCs w:val="21"/>
                <w:highlight w:val="none"/>
                <w:lang w:bidi="ar-SA"/>
              </w:rPr>
            </w:pPr>
            <w:r>
              <w:rPr>
                <w:rFonts w:hint="eastAsia" w:ascii="宋体" w:cs="宋体"/>
                <w:color w:val="auto"/>
                <w:kern w:val="0"/>
                <w:szCs w:val="21"/>
                <w:highlight w:val="none"/>
                <w:lang w:bidi="ar-SA"/>
              </w:rPr>
              <w:t>企业信誉实力评分标准</w:t>
            </w:r>
          </w:p>
          <w:p w14:paraId="1DA6562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cs="宋体"/>
                <w:color w:val="auto"/>
                <w:highlight w:val="none"/>
                <w:lang w:bidi="ar-SA"/>
              </w:rPr>
            </w:pPr>
            <w:r>
              <w:rPr>
                <w:rFonts w:hint="eastAsia" w:ascii="宋体" w:cs="宋体"/>
                <w:color w:val="auto"/>
                <w:kern w:val="0"/>
                <w:szCs w:val="21"/>
                <w:highlight w:val="none"/>
                <w:lang w:bidi="ar-SA"/>
              </w:rPr>
              <w:t>（满分</w:t>
            </w:r>
            <w:r>
              <w:rPr>
                <w:rFonts w:hint="eastAsia" w:ascii="宋体" w:cs="宋体"/>
                <w:color w:val="auto"/>
                <w:kern w:val="0"/>
                <w:szCs w:val="21"/>
                <w:highlight w:val="none"/>
                <w:lang w:val="en-US" w:eastAsia="zh-CN" w:bidi="ar-SA"/>
              </w:rPr>
              <w:t>10</w:t>
            </w:r>
            <w:r>
              <w:rPr>
                <w:rFonts w:hint="eastAsia" w:ascii="宋体" w:cs="宋体"/>
                <w:color w:val="auto"/>
                <w:kern w:val="0"/>
                <w:szCs w:val="21"/>
                <w:highlight w:val="none"/>
                <w:lang w:bidi="ar-SA"/>
              </w:rPr>
              <w:t>分）</w:t>
            </w:r>
          </w:p>
        </w:tc>
        <w:tc>
          <w:tcPr>
            <w:tcW w:w="6781" w:type="dxa"/>
            <w:gridSpan w:val="3"/>
            <w:tcBorders>
              <w:top w:val="outset" w:color="auto" w:sz="6" w:space="0"/>
              <w:left w:val="outset" w:color="auto" w:sz="6" w:space="0"/>
              <w:bottom w:val="outset" w:color="auto" w:sz="6" w:space="0"/>
              <w:right w:val="outset" w:color="auto" w:sz="6" w:space="0"/>
            </w:tcBorders>
            <w:noWrap w:val="0"/>
            <w:vAlign w:val="center"/>
          </w:tcPr>
          <w:p w14:paraId="2D218BC9">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Times New Roman" w:eastAsia="宋体" w:cs="宋体"/>
                <w:color w:val="auto"/>
                <w:highlight w:val="none"/>
                <w:lang w:eastAsia="zh-CN" w:bidi="ar-SA"/>
              </w:rPr>
            </w:pPr>
            <w:r>
              <w:rPr>
                <w:rFonts w:hint="eastAsia" w:ascii="宋体" w:hAnsi="Times New Roman" w:eastAsia="宋体" w:cs="宋体"/>
                <w:color w:val="auto"/>
                <w:highlight w:val="none"/>
                <w:lang w:eastAsia="zh-CN" w:bidi="ar-SA"/>
              </w:rPr>
              <w:t>供应商202</w:t>
            </w:r>
            <w:r>
              <w:rPr>
                <w:rFonts w:hint="eastAsia" w:ascii="宋体" w:hAnsi="Times New Roman" w:eastAsia="宋体" w:cs="宋体"/>
                <w:color w:val="auto"/>
                <w:highlight w:val="none"/>
                <w:lang w:val="en-US" w:eastAsia="zh-CN" w:bidi="ar-SA"/>
              </w:rPr>
              <w:t>3</w:t>
            </w:r>
            <w:r>
              <w:rPr>
                <w:rFonts w:hint="eastAsia" w:ascii="宋体" w:hAnsi="Times New Roman" w:eastAsia="宋体" w:cs="宋体"/>
                <w:color w:val="auto"/>
                <w:highlight w:val="none"/>
                <w:lang w:eastAsia="zh-CN" w:bidi="ar-SA"/>
              </w:rPr>
              <w:t>年1月1日以来具有房屋建筑</w:t>
            </w:r>
            <w:r>
              <w:rPr>
                <w:rFonts w:hint="eastAsia" w:ascii="宋体" w:hAnsi="Times New Roman" w:eastAsia="宋体" w:cs="宋体"/>
                <w:color w:val="auto"/>
                <w:highlight w:val="none"/>
                <w:lang w:val="en-US" w:eastAsia="zh-CN" w:bidi="ar-SA"/>
              </w:rPr>
              <w:t>工程</w:t>
            </w:r>
            <w:r>
              <w:rPr>
                <w:rFonts w:hint="eastAsia" w:ascii="宋体" w:hAnsi="Times New Roman" w:eastAsia="宋体" w:cs="宋体"/>
                <w:color w:val="auto"/>
                <w:highlight w:val="none"/>
                <w:lang w:bidi="ar-SA"/>
              </w:rPr>
              <w:t>的业绩相关证明材料</w:t>
            </w:r>
            <w:r>
              <w:rPr>
                <w:rFonts w:hint="eastAsia" w:ascii="宋体" w:hAnsi="Times New Roman" w:eastAsia="宋体" w:cs="宋体"/>
                <w:color w:val="auto"/>
                <w:highlight w:val="none"/>
                <w:lang w:eastAsia="zh-CN" w:bidi="ar-SA"/>
              </w:rPr>
              <w:t>的每个得</w:t>
            </w:r>
            <w:r>
              <w:rPr>
                <w:rFonts w:hint="eastAsia" w:ascii="宋体" w:hAnsi="Times New Roman" w:eastAsia="宋体" w:cs="宋体"/>
                <w:color w:val="auto"/>
                <w:highlight w:val="none"/>
                <w:lang w:val="en-US" w:eastAsia="zh-CN" w:bidi="ar-SA"/>
              </w:rPr>
              <w:t>2</w:t>
            </w:r>
            <w:r>
              <w:rPr>
                <w:rFonts w:hint="eastAsia" w:ascii="宋体" w:hAnsi="Times New Roman" w:eastAsia="宋体" w:cs="宋体"/>
                <w:color w:val="auto"/>
                <w:highlight w:val="none"/>
                <w:lang w:eastAsia="zh-CN" w:bidi="ar-SA"/>
              </w:rPr>
              <w:t>分，满分10分[（业绩证明材料须提供中标</w:t>
            </w:r>
            <w:r>
              <w:rPr>
                <w:rFonts w:hint="eastAsia" w:ascii="宋体" w:cs="宋体"/>
                <w:color w:val="auto"/>
                <w:highlight w:val="none"/>
                <w:lang w:bidi="ar-SA"/>
              </w:rPr>
              <w:t>（成交）</w:t>
            </w:r>
            <w:r>
              <w:rPr>
                <w:rFonts w:hint="eastAsia" w:ascii="宋体" w:hAnsi="Times New Roman" w:eastAsia="宋体" w:cs="宋体"/>
                <w:color w:val="auto"/>
                <w:highlight w:val="none"/>
                <w:lang w:eastAsia="zh-CN" w:bidi="ar-SA"/>
              </w:rPr>
              <w:t>通知书或签订的合同复印件或竣工验收意见书并加盖供应商公章（CA签章）]。</w:t>
            </w:r>
          </w:p>
          <w:p w14:paraId="01F40B8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cs="宋体"/>
                <w:color w:val="auto"/>
                <w:highlight w:val="none"/>
                <w:lang w:bidi="ar-SA"/>
              </w:rPr>
            </w:pPr>
            <w:r>
              <w:rPr>
                <w:rFonts w:hint="eastAsia" w:ascii="宋体" w:cs="宋体"/>
                <w:color w:val="auto"/>
                <w:highlight w:val="none"/>
                <w:lang w:bidi="ar-SA"/>
              </w:rPr>
              <w:t>【供应商于响应文件中提供中标（成交）通知书或合同协议书扫描件或经竣工验收的相关有效证明材料，并加盖供应商电子签章】。</w:t>
            </w:r>
          </w:p>
        </w:tc>
      </w:tr>
    </w:tbl>
    <w:p w14:paraId="35550D9B">
      <w:pPr>
        <w:pStyle w:val="12"/>
        <w:tabs>
          <w:tab w:val="left" w:pos="4214"/>
        </w:tabs>
        <w:spacing w:line="400" w:lineRule="exact"/>
        <w:ind w:firstLine="422" w:firstLineChars="200"/>
        <w:rPr>
          <w:rFonts w:hint="eastAsia" w:cs="宋体"/>
          <w:color w:val="auto"/>
          <w:highlight w:val="none"/>
          <w:lang w:bidi="ar-SA"/>
        </w:rPr>
      </w:pPr>
      <w:r>
        <w:rPr>
          <w:rFonts w:hint="eastAsia" w:cs="宋体"/>
          <w:b/>
          <w:color w:val="auto"/>
          <w:highlight w:val="none"/>
          <w:lang w:bidi="ar-SA"/>
        </w:rPr>
        <w:t>综合得分＝价格得分+项目管理机构得分+施工组织设计得分+企业信誉实力得分</w:t>
      </w:r>
    </w:p>
    <w:p w14:paraId="584AAC57">
      <w:pPr>
        <w:pStyle w:val="12"/>
        <w:tabs>
          <w:tab w:val="left" w:pos="4214"/>
        </w:tabs>
        <w:spacing w:line="360" w:lineRule="exact"/>
        <w:ind w:firstLine="422" w:firstLineChars="200"/>
        <w:rPr>
          <w:rFonts w:hint="eastAsia" w:cs="宋体"/>
          <w:b/>
          <w:color w:val="auto"/>
          <w:highlight w:val="none"/>
          <w:lang w:bidi="ar-SA"/>
        </w:rPr>
      </w:pPr>
      <w:r>
        <w:rPr>
          <w:rFonts w:hint="eastAsia" w:cs="宋体"/>
          <w:b/>
          <w:color w:val="auto"/>
          <w:highlight w:val="none"/>
          <w:lang w:bidi="ar-SA"/>
        </w:rPr>
        <w:t>三、推荐成交候选供应商原则</w:t>
      </w:r>
    </w:p>
    <w:p w14:paraId="79198FC6">
      <w:pPr>
        <w:pStyle w:val="12"/>
        <w:tabs>
          <w:tab w:val="left" w:pos="4214"/>
        </w:tabs>
        <w:spacing w:line="360" w:lineRule="exact"/>
        <w:ind w:firstLine="315" w:firstLineChars="150"/>
        <w:rPr>
          <w:rFonts w:hint="eastAsia" w:cs="宋体"/>
          <w:color w:val="auto"/>
          <w:highlight w:val="none"/>
          <w:lang w:bidi="ar-SA"/>
        </w:rPr>
      </w:pPr>
      <w:r>
        <w:rPr>
          <w:rFonts w:hint="eastAsia" w:cs="宋体"/>
          <w:color w:val="auto"/>
          <w:highlight w:val="none"/>
          <w:lang w:bidi="ar-SA"/>
        </w:rPr>
        <w:t>（1）磋商小组将根据得分由高到低排列次序并推荐三名成交候选供应商，并编写评审报告。磋商小组根据综合得分由高到低排列次序，若得分相同时，以评审报价由低到高顺序排列；若得分相同且评审报价相同的，依次按施工组织设计、企业信誉实力得分由高到低顺序排列并推荐成交候选供应商。若仍相同时，则由磋商小组集体讨论确定。</w:t>
      </w:r>
    </w:p>
    <w:p w14:paraId="1FEF41A3">
      <w:pPr>
        <w:pStyle w:val="12"/>
        <w:tabs>
          <w:tab w:val="left" w:pos="4214"/>
        </w:tabs>
        <w:spacing w:line="360" w:lineRule="exact"/>
        <w:ind w:firstLine="420" w:firstLineChars="200"/>
        <w:rPr>
          <w:rFonts w:hint="eastAsia" w:cs="宋体"/>
          <w:color w:val="auto"/>
          <w:highlight w:val="none"/>
          <w:lang w:bidi="ar-SA"/>
        </w:rPr>
      </w:pPr>
      <w:r>
        <w:rPr>
          <w:rFonts w:hint="eastAsia" w:cs="宋体"/>
          <w:color w:val="auto"/>
          <w:highlight w:val="none"/>
          <w:lang w:bidi="ar-SA"/>
        </w:rPr>
        <w:t>（2）采购人应当确定磋商小组推荐排名第一的供应商为成交供应商。</w:t>
      </w:r>
    </w:p>
    <w:p w14:paraId="282DDE5B">
      <w:pPr>
        <w:widowControl/>
        <w:spacing w:line="400" w:lineRule="exact"/>
        <w:ind w:firstLine="420" w:firstLineChars="200"/>
        <w:jc w:val="left"/>
        <w:rPr>
          <w:rFonts w:hint="eastAsia" w:cs="宋体"/>
          <w:color w:val="auto"/>
          <w:highlight w:val="none"/>
          <w:lang w:bidi="ar-SA"/>
        </w:rPr>
      </w:pPr>
      <w:r>
        <w:rPr>
          <w:rFonts w:hint="eastAsia" w:ascii="宋体" w:cs="宋体"/>
          <w:color w:val="auto"/>
          <w:highlight w:val="none"/>
          <w:lang w:bidi="ar-SA"/>
        </w:rPr>
        <w:t>（3）</w:t>
      </w:r>
      <w:r>
        <w:rPr>
          <w:rFonts w:hint="eastAsia" w:ascii="宋体" w:cs="宋体"/>
          <w:color w:val="auto"/>
          <w:kern w:val="0"/>
          <w:szCs w:val="21"/>
          <w:highlight w:val="none"/>
          <w:lang w:bidi="ar-SA"/>
        </w:rPr>
        <w:t>排名第一的成交候选人放弃成交、因不可抗力提出不能履行合同，或信用信息记录不符合相关规定的，采购人可以确定排名第二的成交候选人为成交供应商或重新采购</w:t>
      </w:r>
      <w:r>
        <w:rPr>
          <w:rFonts w:hint="eastAsia" w:cs="宋体"/>
          <w:color w:val="auto"/>
          <w:highlight w:val="none"/>
          <w:lang w:bidi="ar-SA"/>
        </w:rPr>
        <w:t>。</w:t>
      </w:r>
    </w:p>
    <w:p w14:paraId="4DFBC699">
      <w:pPr>
        <w:ind w:firstLine="420" w:firstLineChars="200"/>
        <w:jc w:val="left"/>
        <w:rPr>
          <w:rFonts w:hint="eastAsia"/>
          <w:b/>
          <w:color w:val="auto"/>
          <w:sz w:val="36"/>
          <w:szCs w:val="36"/>
          <w:highlight w:val="none"/>
        </w:rPr>
      </w:pPr>
      <w:r>
        <w:rPr>
          <w:rFonts w:hint="eastAsia" w:cs="宋体"/>
          <w:color w:val="auto"/>
          <w:highlight w:val="none"/>
          <w:lang w:bidi="ar-SA"/>
        </w:rPr>
        <w:t>（4）第二成交候选人因前款规定的同样原因不能签订合同的，采购人可以确定排名第三的成交候选人为成交供应商或者重新组织采购。</w:t>
      </w:r>
    </w:p>
    <w:p w14:paraId="35101155">
      <w:pPr>
        <w:spacing w:line="400" w:lineRule="exact"/>
        <w:ind w:firstLine="422" w:firstLineChars="200"/>
        <w:jc w:val="left"/>
        <w:rPr>
          <w:rFonts w:hint="eastAsia" w:cs="宋体"/>
          <w:b/>
          <w:bCs/>
          <w:color w:val="auto"/>
          <w:kern w:val="0"/>
          <w:highlight w:val="none"/>
          <w:lang w:val="en" w:eastAsia="en" w:bidi="ar-SA"/>
        </w:rPr>
      </w:pPr>
    </w:p>
    <w:p w14:paraId="2EE735DA">
      <w:pPr>
        <w:spacing w:line="620" w:lineRule="exact"/>
        <w:rPr>
          <w:rFonts w:hint="eastAsia" w:ascii="仿宋_GB2312" w:eastAsia="仿宋_GB2312"/>
          <w:b/>
          <w:color w:val="auto"/>
          <w:sz w:val="44"/>
          <w:szCs w:val="44"/>
          <w:highlight w:val="none"/>
        </w:rPr>
      </w:pPr>
    </w:p>
    <w:p w14:paraId="7F575BE7">
      <w:pPr>
        <w:autoSpaceDE w:val="0"/>
        <w:autoSpaceDN w:val="0"/>
        <w:adjustRightInd w:val="0"/>
        <w:snapToGrid w:val="0"/>
        <w:spacing w:line="300" w:lineRule="auto"/>
        <w:jc w:val="center"/>
        <w:outlineLvl w:val="0"/>
        <w:rPr>
          <w:rFonts w:hint="eastAsia" w:ascii="仿宋_GB2312" w:eastAsia="仿宋_GB2312"/>
          <w:b/>
          <w:color w:val="auto"/>
          <w:kern w:val="0"/>
          <w:sz w:val="44"/>
          <w:szCs w:val="44"/>
          <w:highlight w:val="none"/>
        </w:rPr>
      </w:pPr>
      <w:r>
        <w:rPr>
          <w:rFonts w:hint="eastAsia" w:ascii="仿宋_GB2312" w:eastAsia="仿宋_GB2312"/>
          <w:b/>
          <w:color w:val="auto"/>
          <w:sz w:val="44"/>
          <w:szCs w:val="44"/>
          <w:highlight w:val="none"/>
        </w:rPr>
        <w:br w:type="page"/>
      </w:r>
      <w:bookmarkStart w:id="7" w:name="_Toc10515"/>
      <w:r>
        <w:rPr>
          <w:rFonts w:hint="eastAsia" w:ascii="仿宋_GB2312" w:eastAsia="仿宋_GB2312"/>
          <w:b/>
          <w:color w:val="auto"/>
          <w:sz w:val="44"/>
          <w:szCs w:val="44"/>
          <w:highlight w:val="none"/>
        </w:rPr>
        <w:t xml:space="preserve">第四章  </w:t>
      </w:r>
      <w:r>
        <w:rPr>
          <w:rFonts w:hint="eastAsia" w:ascii="仿宋_GB2312" w:eastAsia="仿宋_GB2312"/>
          <w:b/>
          <w:color w:val="auto"/>
          <w:kern w:val="0"/>
          <w:sz w:val="44"/>
          <w:szCs w:val="44"/>
          <w:highlight w:val="none"/>
        </w:rPr>
        <w:t>合同条款及格式</w:t>
      </w:r>
      <w:bookmarkEnd w:id="7"/>
    </w:p>
    <w:p w14:paraId="3D9201F2">
      <w:pPr>
        <w:pStyle w:val="43"/>
        <w:snapToGrid w:val="0"/>
        <w:spacing w:line="360" w:lineRule="auto"/>
        <w:jc w:val="center"/>
        <w:outlineLvl w:val="9"/>
        <w:rPr>
          <w:rFonts w:hint="eastAsia" w:ascii="宋体"/>
          <w:color w:val="auto"/>
          <w:sz w:val="32"/>
        </w:rPr>
      </w:pPr>
      <w:bookmarkStart w:id="8" w:name="_Toc296890982"/>
      <w:bookmarkStart w:id="9" w:name="_Toc14946"/>
      <w:bookmarkStart w:id="10" w:name="_Toc395382491"/>
      <w:bookmarkStart w:id="11" w:name="_Toc373227552"/>
      <w:bookmarkStart w:id="12" w:name="_Toc6698"/>
      <w:bookmarkStart w:id="13" w:name="_Toc351203480"/>
      <w:bookmarkStart w:id="14" w:name="_Toc296503025"/>
      <w:bookmarkStart w:id="15" w:name="_Toc389065255"/>
      <w:bookmarkStart w:id="16" w:name="_Toc20097"/>
      <w:bookmarkStart w:id="17" w:name="_Toc406522027"/>
      <w:bookmarkStart w:id="18" w:name="_Toc418752049"/>
      <w:bookmarkStart w:id="19" w:name="_Toc483317088"/>
      <w:bookmarkStart w:id="20" w:name="_Toc373478199"/>
      <w:r>
        <w:rPr>
          <w:rFonts w:hint="eastAsia" w:ascii="宋体"/>
          <w:color w:val="auto"/>
          <w:sz w:val="32"/>
        </w:rPr>
        <w:t>第一部分 合同协议书</w:t>
      </w:r>
      <w:bookmarkEnd w:id="8"/>
      <w:bookmarkEnd w:id="9"/>
      <w:bookmarkEnd w:id="10"/>
      <w:bookmarkEnd w:id="11"/>
      <w:bookmarkEnd w:id="12"/>
      <w:bookmarkEnd w:id="13"/>
      <w:bookmarkEnd w:id="14"/>
      <w:bookmarkEnd w:id="15"/>
      <w:bookmarkEnd w:id="16"/>
      <w:bookmarkEnd w:id="17"/>
      <w:bookmarkEnd w:id="18"/>
      <w:bookmarkEnd w:id="19"/>
      <w:bookmarkEnd w:id="20"/>
    </w:p>
    <w:p w14:paraId="49EDC91C">
      <w:pPr>
        <w:adjustRightInd w:val="0"/>
        <w:snapToGrid w:val="0"/>
        <w:spacing w:line="400" w:lineRule="exact"/>
        <w:outlineLvl w:val="9"/>
        <w:rPr>
          <w:rFonts w:hint="eastAsia" w:ascii="宋体"/>
          <w:color w:val="auto"/>
          <w:szCs w:val="21"/>
          <w:u w:val="single"/>
        </w:rPr>
      </w:pPr>
      <w:r>
        <w:rPr>
          <w:rFonts w:hint="eastAsia" w:ascii="宋体"/>
          <w:color w:val="auto"/>
          <w:szCs w:val="21"/>
        </w:rPr>
        <w:t>发包人（全称）：</w:t>
      </w:r>
      <w:r>
        <w:rPr>
          <w:rFonts w:hint="eastAsia" w:ascii="宋体"/>
          <w:color w:val="auto"/>
          <w:szCs w:val="21"/>
          <w:u w:val="single"/>
        </w:rPr>
        <w:t xml:space="preserve">   </w:t>
      </w:r>
      <w:r>
        <w:rPr>
          <w:rFonts w:hint="eastAsia" w:ascii="宋体" w:hAnsi="Times New Roman" w:eastAsia="宋体" w:cs="Times New Roman"/>
          <w:color w:val="auto"/>
          <w:szCs w:val="21"/>
          <w:u w:val="single"/>
          <w:lang w:eastAsia="zh-CN"/>
        </w:rPr>
        <w:t>龙胜各族自治县教育局</w:t>
      </w:r>
      <w:r>
        <w:rPr>
          <w:rFonts w:hint="eastAsia" w:ascii="宋体"/>
          <w:color w:val="auto"/>
          <w:szCs w:val="21"/>
          <w:u w:val="single"/>
        </w:rPr>
        <w:t xml:space="preserve">      </w:t>
      </w:r>
    </w:p>
    <w:p w14:paraId="5B6FD065">
      <w:pPr>
        <w:adjustRightInd w:val="0"/>
        <w:snapToGrid w:val="0"/>
        <w:spacing w:line="400" w:lineRule="exact"/>
        <w:outlineLvl w:val="9"/>
        <w:rPr>
          <w:rFonts w:hint="eastAsia" w:ascii="宋体"/>
          <w:color w:val="auto"/>
          <w:szCs w:val="21"/>
          <w:u w:val="single"/>
        </w:rPr>
      </w:pPr>
      <w:r>
        <w:rPr>
          <w:rFonts w:hint="eastAsia" w:ascii="宋体"/>
          <w:color w:val="auto"/>
          <w:szCs w:val="21"/>
        </w:rPr>
        <w:t>承包人（全称）：</w:t>
      </w:r>
      <w:r>
        <w:rPr>
          <w:rFonts w:hint="eastAsia" w:ascii="宋体"/>
          <w:color w:val="auto"/>
          <w:szCs w:val="21"/>
          <w:u w:val="single"/>
        </w:rPr>
        <w:t xml:space="preserve">                                        </w:t>
      </w:r>
    </w:p>
    <w:p w14:paraId="5E4CBC3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90" w:lineRule="atLeast"/>
        <w:ind w:left="0" w:right="0"/>
        <w:jc w:val="left"/>
        <w:rPr>
          <w:rFonts w:hint="eastAsia" w:ascii="宋体"/>
          <w:color w:val="auto"/>
          <w:szCs w:val="21"/>
        </w:rPr>
      </w:pPr>
      <w:r>
        <w:rPr>
          <w:rFonts w:hint="eastAsia" w:ascii="宋体"/>
          <w:color w:val="auto"/>
          <w:szCs w:val="21"/>
        </w:rPr>
        <w:t>根据《中华人民共和国民法典》、《中华人民共和国建筑法》及有关法律规定，遵循平等、自愿、公平和诚实信用的原则，双方就</w:t>
      </w:r>
      <w:r>
        <w:rPr>
          <w:rFonts w:hint="eastAsia" w:ascii="宋体" w:hAnsi="Times New Roman" w:eastAsia="宋体" w:cs="Times New Roman"/>
          <w:color w:val="auto"/>
          <w:szCs w:val="21"/>
          <w:u w:val="single"/>
          <w:lang w:val="en-US" w:eastAsia="zh-CN"/>
        </w:rPr>
        <w:t>龙胜各族自治县平等镇平等小学塑胶操场</w:t>
      </w:r>
      <w:r>
        <w:rPr>
          <w:rFonts w:hint="eastAsia" w:ascii="宋体"/>
          <w:color w:val="auto"/>
          <w:szCs w:val="21"/>
          <w:u w:val="single"/>
        </w:rPr>
        <w:t>（项目编号：</w:t>
      </w:r>
      <w:r>
        <w:rPr>
          <w:rFonts w:hint="eastAsia" w:ascii="宋体" w:hAnsi="Times New Roman" w:eastAsia="宋体" w:cs="Times New Roman"/>
          <w:color w:val="auto"/>
          <w:szCs w:val="21"/>
          <w:u w:val="single"/>
          <w:lang w:val="en-US" w:eastAsia="zh-CN"/>
        </w:rPr>
        <w:t>GLZC2026-C2-280033-GXGX</w:t>
      </w:r>
      <w:r>
        <w:rPr>
          <w:rFonts w:hint="eastAsia" w:ascii="宋体"/>
          <w:color w:val="auto"/>
          <w:szCs w:val="21"/>
          <w:u w:val="single"/>
        </w:rPr>
        <w:t>）</w:t>
      </w:r>
      <w:r>
        <w:rPr>
          <w:rFonts w:hint="eastAsia" w:ascii="宋体"/>
          <w:color w:val="auto"/>
          <w:szCs w:val="21"/>
        </w:rPr>
        <w:t>工程施工及有关事项协商一致，共同达成如下协议：</w:t>
      </w:r>
      <w:bookmarkStart w:id="21" w:name="_Toc351203481"/>
    </w:p>
    <w:p w14:paraId="67FF9846">
      <w:pPr>
        <w:pStyle w:val="44"/>
        <w:adjustRightInd w:val="0"/>
        <w:snapToGrid w:val="0"/>
        <w:spacing w:line="400" w:lineRule="exact"/>
        <w:outlineLvl w:val="9"/>
        <w:rPr>
          <w:b/>
          <w:color w:val="auto"/>
        </w:rPr>
      </w:pPr>
      <w:bookmarkStart w:id="22" w:name="_Toc406419153"/>
      <w:bookmarkStart w:id="23" w:name="_Toc483317089"/>
      <w:bookmarkStart w:id="24" w:name="_Toc406522028"/>
      <w:bookmarkStart w:id="25" w:name="_Toc418752050"/>
      <w:r>
        <w:rPr>
          <w:b/>
          <w:color w:val="auto"/>
        </w:rPr>
        <w:t>一、工程概况</w:t>
      </w:r>
      <w:bookmarkEnd w:id="21"/>
      <w:bookmarkEnd w:id="22"/>
      <w:bookmarkEnd w:id="23"/>
      <w:bookmarkEnd w:id="24"/>
      <w:bookmarkEnd w:id="25"/>
    </w:p>
    <w:p w14:paraId="03218141">
      <w:pPr>
        <w:numPr>
          <w:ilvl w:val="0"/>
          <w:numId w:val="2"/>
        </w:numPr>
        <w:adjustRightInd w:val="0"/>
        <w:snapToGrid w:val="0"/>
        <w:spacing w:line="400" w:lineRule="exact"/>
        <w:rPr>
          <w:rFonts w:hint="eastAsia" w:ascii="宋体"/>
          <w:b w:val="0"/>
          <w:color w:val="auto"/>
          <w:sz w:val="21"/>
          <w:szCs w:val="21"/>
        </w:rPr>
      </w:pPr>
      <w:r>
        <w:rPr>
          <w:rFonts w:hint="eastAsia" w:ascii="宋体"/>
          <w:bCs/>
          <w:color w:val="auto"/>
          <w:szCs w:val="21"/>
        </w:rPr>
        <w:t>工程名称</w:t>
      </w:r>
      <w:r>
        <w:rPr>
          <w:rFonts w:hint="eastAsia" w:ascii="宋体"/>
          <w:color w:val="auto"/>
          <w:szCs w:val="21"/>
        </w:rPr>
        <w:t>：</w:t>
      </w:r>
      <w:r>
        <w:rPr>
          <w:rFonts w:hint="eastAsia" w:ascii="宋体" w:hAnsi="Times New Roman" w:eastAsia="宋体" w:cs="Times New Roman"/>
          <w:bCs/>
          <w:color w:val="auto"/>
          <w:szCs w:val="21"/>
          <w:u w:val="single"/>
          <w:lang w:val="en-US" w:eastAsia="zh-CN"/>
        </w:rPr>
        <w:t>龙胜各族自治县平等镇平等小学塑胶操场</w:t>
      </w:r>
      <w:r>
        <w:rPr>
          <w:rFonts w:hint="eastAsia" w:ascii="宋体"/>
          <w:color w:val="auto"/>
          <w:szCs w:val="21"/>
          <w:u w:val="single"/>
          <w:lang w:eastAsia="zh-CN"/>
        </w:rPr>
        <w:t>。</w:t>
      </w:r>
    </w:p>
    <w:p w14:paraId="2E50F0B3">
      <w:pPr>
        <w:adjustRightInd w:val="0"/>
        <w:snapToGrid w:val="0"/>
        <w:spacing w:line="400" w:lineRule="exact"/>
        <w:ind w:firstLine="411" w:firstLineChars="196"/>
        <w:rPr>
          <w:rFonts w:hint="eastAsia" w:ascii="宋体"/>
          <w:bCs/>
          <w:color w:val="auto"/>
          <w:szCs w:val="21"/>
        </w:rPr>
      </w:pPr>
      <w:r>
        <w:rPr>
          <w:rFonts w:hint="eastAsia" w:ascii="宋体"/>
          <w:bCs/>
          <w:color w:val="auto"/>
          <w:szCs w:val="21"/>
        </w:rPr>
        <w:t>2. 工程地点：</w:t>
      </w:r>
      <w:r>
        <w:rPr>
          <w:rFonts w:hint="eastAsia" w:ascii="宋体"/>
          <w:color w:val="auto"/>
          <w:szCs w:val="21"/>
          <w:u w:val="single"/>
        </w:rPr>
        <w:t xml:space="preserve"> 龙胜各族自治县</w:t>
      </w:r>
      <w:r>
        <w:rPr>
          <w:rFonts w:hint="eastAsia" w:ascii="宋体" w:hAnsi="Times New Roman" w:eastAsia="宋体" w:cs="Times New Roman"/>
          <w:bCs/>
          <w:color w:val="auto"/>
          <w:szCs w:val="21"/>
          <w:u w:val="single"/>
          <w:lang w:val="en-US" w:eastAsia="zh-CN"/>
        </w:rPr>
        <w:t>平等镇平等小学</w:t>
      </w:r>
      <w:r>
        <w:rPr>
          <w:rFonts w:hint="eastAsia" w:ascii="宋体"/>
          <w:color w:val="auto"/>
          <w:szCs w:val="21"/>
          <w:u w:val="single"/>
        </w:rPr>
        <w:t xml:space="preserve">校园内 </w:t>
      </w:r>
      <w:r>
        <w:rPr>
          <w:rFonts w:hint="eastAsia" w:ascii="宋体"/>
          <w:color w:val="auto"/>
          <w:szCs w:val="21"/>
        </w:rPr>
        <w:t>。</w:t>
      </w:r>
    </w:p>
    <w:p w14:paraId="1CBDA79E">
      <w:pPr>
        <w:adjustRightInd w:val="0"/>
        <w:snapToGrid w:val="0"/>
        <w:spacing w:line="400" w:lineRule="exact"/>
        <w:ind w:firstLine="411" w:firstLineChars="196"/>
        <w:rPr>
          <w:rFonts w:hint="eastAsia" w:ascii="宋体" w:eastAsia="宋体"/>
          <w:bCs/>
          <w:color w:val="auto"/>
          <w:szCs w:val="21"/>
          <w:lang w:eastAsia="zh-CN"/>
        </w:rPr>
      </w:pPr>
      <w:r>
        <w:rPr>
          <w:rFonts w:hint="eastAsia" w:ascii="宋体"/>
          <w:bCs/>
          <w:color w:val="auto"/>
          <w:szCs w:val="21"/>
        </w:rPr>
        <w:t>3. 资金来源：</w:t>
      </w:r>
      <w:r>
        <w:rPr>
          <w:rFonts w:hint="eastAsia" w:ascii="宋体"/>
          <w:color w:val="auto"/>
          <w:szCs w:val="21"/>
          <w:u w:val="single"/>
        </w:rPr>
        <w:t xml:space="preserve"> 财政资金  </w:t>
      </w:r>
      <w:r>
        <w:rPr>
          <w:rFonts w:hint="eastAsia" w:ascii="宋体"/>
          <w:bCs/>
          <w:color w:val="auto"/>
          <w:szCs w:val="21"/>
        </w:rPr>
        <w:t>。</w:t>
      </w:r>
    </w:p>
    <w:p w14:paraId="08BF4D2A">
      <w:pPr>
        <w:adjustRightInd w:val="0"/>
        <w:snapToGrid w:val="0"/>
        <w:spacing w:line="400" w:lineRule="exact"/>
        <w:ind w:firstLine="411" w:firstLineChars="196"/>
        <w:rPr>
          <w:rFonts w:hint="eastAsia" w:ascii="宋体" w:eastAsia="宋体"/>
          <w:bCs/>
          <w:color w:val="auto"/>
          <w:szCs w:val="21"/>
          <w:lang w:eastAsia="zh-CN"/>
        </w:rPr>
      </w:pPr>
      <w:r>
        <w:rPr>
          <w:rFonts w:hint="eastAsia" w:ascii="宋体"/>
          <w:bCs/>
          <w:color w:val="auto"/>
          <w:szCs w:val="21"/>
        </w:rPr>
        <w:t>4. 工程内容：</w:t>
      </w:r>
      <w:r>
        <w:rPr>
          <w:rFonts w:hint="eastAsia" w:ascii="宋体"/>
          <w:color w:val="auto"/>
          <w:szCs w:val="21"/>
          <w:u w:val="single"/>
        </w:rPr>
        <w:t xml:space="preserve"> 龙胜各族自治县平等镇平等小学塑胶操场设计图纸内容。</w:t>
      </w:r>
    </w:p>
    <w:p w14:paraId="5F699EA6">
      <w:pPr>
        <w:adjustRightInd w:val="0"/>
        <w:snapToGrid w:val="0"/>
        <w:spacing w:line="400" w:lineRule="exact"/>
        <w:ind w:firstLine="411" w:firstLineChars="196"/>
        <w:rPr>
          <w:rFonts w:hint="eastAsia" w:ascii="宋体"/>
          <w:color w:val="auto"/>
          <w:szCs w:val="21"/>
        </w:rPr>
      </w:pPr>
      <w:r>
        <w:rPr>
          <w:rFonts w:hint="eastAsia" w:ascii="宋体"/>
          <w:bCs/>
          <w:color w:val="auto"/>
          <w:szCs w:val="21"/>
        </w:rPr>
        <w:t>5. 工程承包范围：</w:t>
      </w:r>
      <w:r>
        <w:rPr>
          <w:rFonts w:hint="eastAsia" w:ascii="宋体"/>
          <w:color w:val="auto"/>
          <w:szCs w:val="21"/>
          <w:u w:val="single"/>
        </w:rPr>
        <w:t>施工图纸范围内的工程，具体情况详见施工图纸及工程量清单</w:t>
      </w:r>
      <w:r>
        <w:rPr>
          <w:rFonts w:hint="eastAsia" w:ascii="宋体"/>
          <w:color w:val="auto"/>
          <w:szCs w:val="21"/>
        </w:rPr>
        <w:t>。</w:t>
      </w:r>
    </w:p>
    <w:p w14:paraId="5E86FCC1">
      <w:pPr>
        <w:pStyle w:val="44"/>
        <w:adjustRightInd w:val="0"/>
        <w:snapToGrid w:val="0"/>
        <w:spacing w:line="400" w:lineRule="exact"/>
        <w:outlineLvl w:val="9"/>
        <w:rPr>
          <w:b/>
          <w:color w:val="auto"/>
        </w:rPr>
      </w:pPr>
      <w:bookmarkStart w:id="26" w:name="_Toc418752051"/>
      <w:bookmarkStart w:id="27" w:name="_Toc483317090"/>
      <w:bookmarkStart w:id="28" w:name="_Toc406419154"/>
      <w:bookmarkStart w:id="29" w:name="_Toc406522029"/>
      <w:bookmarkStart w:id="30" w:name="_Toc351203482"/>
      <w:r>
        <w:rPr>
          <w:b/>
          <w:color w:val="auto"/>
        </w:rPr>
        <w:t>二、合同工期</w:t>
      </w:r>
      <w:bookmarkEnd w:id="26"/>
      <w:bookmarkEnd w:id="27"/>
      <w:bookmarkEnd w:id="28"/>
      <w:bookmarkEnd w:id="29"/>
      <w:bookmarkEnd w:id="30"/>
    </w:p>
    <w:p w14:paraId="33BCD816">
      <w:pPr>
        <w:adjustRightInd w:val="0"/>
        <w:snapToGrid w:val="0"/>
        <w:spacing w:line="400" w:lineRule="exact"/>
        <w:ind w:firstLine="459"/>
        <w:outlineLvl w:val="9"/>
        <w:rPr>
          <w:rFonts w:hint="eastAsia" w:ascii="宋体"/>
          <w:color w:val="auto"/>
          <w:szCs w:val="21"/>
        </w:rPr>
      </w:pPr>
      <w:r>
        <w:rPr>
          <w:rFonts w:hint="eastAsia" w:ascii="宋体"/>
          <w:color w:val="auto"/>
          <w:szCs w:val="21"/>
        </w:rPr>
        <w:t>计划开工日期：</w:t>
      </w:r>
      <w:r>
        <w:rPr>
          <w:rFonts w:hint="eastAsia" w:ascii="宋体"/>
          <w:color w:val="auto"/>
          <w:szCs w:val="21"/>
          <w:u w:val="single"/>
        </w:rPr>
        <w:t xml:space="preserve">          </w:t>
      </w:r>
      <w:r>
        <w:rPr>
          <w:rFonts w:hint="eastAsia" w:ascii="宋体"/>
          <w:color w:val="auto"/>
          <w:szCs w:val="21"/>
        </w:rPr>
        <w:t>年</w:t>
      </w:r>
      <w:r>
        <w:rPr>
          <w:rFonts w:hint="eastAsia" w:ascii="宋体"/>
          <w:color w:val="auto"/>
          <w:szCs w:val="21"/>
          <w:u w:val="single"/>
        </w:rPr>
        <w:t xml:space="preserve">       </w:t>
      </w:r>
      <w:r>
        <w:rPr>
          <w:rFonts w:hint="eastAsia" w:ascii="宋体"/>
          <w:color w:val="auto"/>
          <w:szCs w:val="21"/>
        </w:rPr>
        <w:t>月</w:t>
      </w:r>
      <w:r>
        <w:rPr>
          <w:rFonts w:hint="eastAsia" w:ascii="宋体"/>
          <w:color w:val="auto"/>
          <w:szCs w:val="21"/>
          <w:u w:val="single"/>
        </w:rPr>
        <w:t xml:space="preserve">       </w:t>
      </w:r>
      <w:r>
        <w:rPr>
          <w:rFonts w:hint="eastAsia" w:ascii="宋体"/>
          <w:color w:val="auto"/>
          <w:szCs w:val="21"/>
        </w:rPr>
        <w:t>日。</w:t>
      </w:r>
    </w:p>
    <w:p w14:paraId="79F92FE3">
      <w:pPr>
        <w:adjustRightInd w:val="0"/>
        <w:snapToGrid w:val="0"/>
        <w:spacing w:line="400" w:lineRule="exact"/>
        <w:ind w:firstLine="459"/>
        <w:outlineLvl w:val="9"/>
        <w:rPr>
          <w:rFonts w:hint="eastAsia" w:ascii="宋体"/>
          <w:color w:val="auto"/>
          <w:szCs w:val="21"/>
        </w:rPr>
      </w:pPr>
      <w:r>
        <w:rPr>
          <w:rFonts w:hint="eastAsia" w:ascii="宋体"/>
          <w:color w:val="auto"/>
          <w:szCs w:val="21"/>
        </w:rPr>
        <w:t>计划竣工日期：</w:t>
      </w:r>
      <w:r>
        <w:rPr>
          <w:rFonts w:hint="eastAsia" w:ascii="宋体"/>
          <w:color w:val="auto"/>
          <w:szCs w:val="21"/>
          <w:u w:val="single"/>
        </w:rPr>
        <w:t xml:space="preserve">          </w:t>
      </w:r>
      <w:r>
        <w:rPr>
          <w:rFonts w:hint="eastAsia" w:ascii="宋体"/>
          <w:color w:val="auto"/>
          <w:szCs w:val="21"/>
        </w:rPr>
        <w:t>年</w:t>
      </w:r>
      <w:r>
        <w:rPr>
          <w:rFonts w:hint="eastAsia" w:ascii="宋体"/>
          <w:color w:val="auto"/>
          <w:szCs w:val="21"/>
          <w:u w:val="single"/>
        </w:rPr>
        <w:t xml:space="preserve">       </w:t>
      </w:r>
      <w:r>
        <w:rPr>
          <w:rFonts w:hint="eastAsia" w:ascii="宋体"/>
          <w:color w:val="auto"/>
          <w:szCs w:val="21"/>
        </w:rPr>
        <w:t>月</w:t>
      </w:r>
      <w:r>
        <w:rPr>
          <w:rFonts w:hint="eastAsia" w:ascii="宋体"/>
          <w:color w:val="auto"/>
          <w:szCs w:val="21"/>
          <w:u w:val="single"/>
        </w:rPr>
        <w:t xml:space="preserve">       </w:t>
      </w:r>
      <w:r>
        <w:rPr>
          <w:rFonts w:hint="eastAsia" w:ascii="宋体"/>
          <w:color w:val="auto"/>
          <w:szCs w:val="21"/>
        </w:rPr>
        <w:t>日。</w:t>
      </w:r>
    </w:p>
    <w:p w14:paraId="394BD1CF">
      <w:pPr>
        <w:adjustRightInd w:val="0"/>
        <w:snapToGrid w:val="0"/>
        <w:spacing w:line="400" w:lineRule="exact"/>
        <w:ind w:firstLine="459"/>
        <w:outlineLvl w:val="9"/>
        <w:rPr>
          <w:rFonts w:hint="eastAsia" w:ascii="宋体"/>
          <w:color w:val="auto"/>
          <w:szCs w:val="21"/>
        </w:rPr>
      </w:pPr>
      <w:r>
        <w:rPr>
          <w:rFonts w:hint="eastAsia" w:ascii="宋体"/>
          <w:color w:val="auto"/>
          <w:szCs w:val="21"/>
        </w:rPr>
        <w:t>工期总日历天数：</w:t>
      </w:r>
      <w:r>
        <w:rPr>
          <w:rFonts w:hint="eastAsia" w:ascii="宋体"/>
          <w:color w:val="auto"/>
          <w:szCs w:val="21"/>
          <w:u w:val="single"/>
        </w:rPr>
        <w:t xml:space="preserve">  </w:t>
      </w:r>
      <w:r>
        <w:rPr>
          <w:rFonts w:hint="eastAsia" w:ascii="宋体"/>
          <w:color w:val="auto"/>
          <w:szCs w:val="21"/>
          <w:u w:val="single"/>
          <w:lang w:val="en-US" w:eastAsia="zh-CN"/>
        </w:rPr>
        <w:t xml:space="preserve">  </w:t>
      </w:r>
      <w:r>
        <w:rPr>
          <w:rFonts w:hint="eastAsia" w:ascii="宋体"/>
          <w:color w:val="auto"/>
          <w:szCs w:val="21"/>
          <w:u w:val="single"/>
        </w:rPr>
        <w:t xml:space="preserve"> </w:t>
      </w:r>
      <w:r>
        <w:rPr>
          <w:rFonts w:hint="eastAsia" w:ascii="宋体"/>
          <w:color w:val="auto"/>
          <w:szCs w:val="21"/>
        </w:rPr>
        <w:t>天（以</w:t>
      </w:r>
      <w:r>
        <w:rPr>
          <w:rFonts w:hint="eastAsia" w:ascii="宋体"/>
          <w:color w:val="auto"/>
          <w:szCs w:val="21"/>
          <w:lang w:eastAsia="zh-CN"/>
        </w:rPr>
        <w:t>采购</w:t>
      </w:r>
      <w:r>
        <w:rPr>
          <w:rFonts w:hint="eastAsia" w:ascii="宋体"/>
          <w:color w:val="auto"/>
          <w:szCs w:val="21"/>
        </w:rPr>
        <w:t>人通知开工之日起计算）。工期总日历天数与根据前述计划开竣工日期计算的工期天数不一致的，以工期总日历天数为准。</w:t>
      </w:r>
    </w:p>
    <w:p w14:paraId="603D9DE1">
      <w:pPr>
        <w:pStyle w:val="44"/>
        <w:adjustRightInd w:val="0"/>
        <w:snapToGrid w:val="0"/>
        <w:spacing w:line="400" w:lineRule="exact"/>
        <w:outlineLvl w:val="9"/>
        <w:rPr>
          <w:rFonts w:hint="eastAsia" w:eastAsia="宋体"/>
          <w:b/>
          <w:color w:val="auto"/>
          <w:lang w:eastAsia="zh-CN"/>
        </w:rPr>
      </w:pPr>
      <w:bookmarkStart w:id="31" w:name="_Toc406419155"/>
      <w:bookmarkStart w:id="32" w:name="_Toc418752052"/>
      <w:bookmarkStart w:id="33" w:name="_Toc418751606"/>
      <w:bookmarkStart w:id="34" w:name="_Toc483317091"/>
      <w:bookmarkStart w:id="35" w:name="_Toc406522030"/>
      <w:bookmarkStart w:id="36" w:name="_Toc351203483"/>
      <w:r>
        <w:rPr>
          <w:b/>
          <w:color w:val="auto"/>
        </w:rPr>
        <w:t>三、质量标准</w:t>
      </w:r>
      <w:bookmarkEnd w:id="31"/>
      <w:bookmarkEnd w:id="32"/>
      <w:bookmarkEnd w:id="33"/>
      <w:bookmarkEnd w:id="34"/>
      <w:bookmarkEnd w:id="35"/>
      <w:bookmarkEnd w:id="36"/>
    </w:p>
    <w:p w14:paraId="378E1D9E">
      <w:pPr>
        <w:adjustRightInd w:val="0"/>
        <w:snapToGrid w:val="0"/>
        <w:spacing w:line="400" w:lineRule="exact"/>
        <w:ind w:firstLine="459"/>
        <w:outlineLvl w:val="9"/>
        <w:rPr>
          <w:rFonts w:hint="eastAsia" w:ascii="宋体"/>
          <w:color w:val="auto"/>
          <w:szCs w:val="21"/>
        </w:rPr>
      </w:pPr>
      <w:r>
        <w:rPr>
          <w:rFonts w:hint="eastAsia" w:ascii="宋体"/>
          <w:color w:val="auto"/>
          <w:szCs w:val="21"/>
        </w:rPr>
        <w:t>工程质量符合</w:t>
      </w:r>
      <w:r>
        <w:rPr>
          <w:rFonts w:hint="eastAsia" w:ascii="宋体"/>
          <w:color w:val="auto"/>
          <w:szCs w:val="21"/>
          <w:u w:val="single"/>
        </w:rPr>
        <w:t xml:space="preserve">  国家施工验收规范合格  </w:t>
      </w:r>
      <w:r>
        <w:rPr>
          <w:rFonts w:hint="eastAsia" w:ascii="宋体"/>
          <w:color w:val="auto"/>
          <w:szCs w:val="21"/>
        </w:rPr>
        <w:t>标准。</w:t>
      </w:r>
    </w:p>
    <w:p w14:paraId="228436B4">
      <w:pPr>
        <w:pStyle w:val="44"/>
        <w:adjustRightInd w:val="0"/>
        <w:snapToGrid w:val="0"/>
        <w:spacing w:line="400" w:lineRule="exact"/>
        <w:outlineLvl w:val="9"/>
        <w:rPr>
          <w:b/>
          <w:color w:val="auto"/>
        </w:rPr>
      </w:pPr>
      <w:bookmarkStart w:id="37" w:name="_Toc418751607"/>
      <w:bookmarkStart w:id="38" w:name="_Toc406522031"/>
      <w:bookmarkStart w:id="39" w:name="_Toc351203484"/>
      <w:bookmarkStart w:id="40" w:name="_Toc406419156"/>
      <w:bookmarkStart w:id="41" w:name="_Toc418752053"/>
      <w:bookmarkStart w:id="42" w:name="_Toc483317092"/>
      <w:r>
        <w:rPr>
          <w:b/>
          <w:color w:val="auto"/>
        </w:rPr>
        <w:t>四、签约合同价与合同价格形式</w:t>
      </w:r>
      <w:bookmarkEnd w:id="37"/>
      <w:bookmarkEnd w:id="38"/>
      <w:bookmarkEnd w:id="39"/>
      <w:bookmarkEnd w:id="40"/>
      <w:bookmarkEnd w:id="41"/>
      <w:bookmarkEnd w:id="42"/>
    </w:p>
    <w:p w14:paraId="6870A7B2">
      <w:pPr>
        <w:adjustRightInd w:val="0"/>
        <w:snapToGrid w:val="0"/>
        <w:spacing w:line="400" w:lineRule="exact"/>
        <w:ind w:firstLine="459"/>
        <w:outlineLvl w:val="9"/>
        <w:rPr>
          <w:rFonts w:hint="eastAsia" w:ascii="宋体"/>
          <w:color w:val="auto"/>
          <w:szCs w:val="21"/>
        </w:rPr>
      </w:pPr>
      <w:r>
        <w:rPr>
          <w:rFonts w:hint="eastAsia" w:ascii="宋体"/>
          <w:color w:val="auto"/>
          <w:szCs w:val="21"/>
        </w:rPr>
        <w:t>1. 签约合同价为：</w:t>
      </w:r>
    </w:p>
    <w:p w14:paraId="6BF12B4C">
      <w:pPr>
        <w:adjustRightInd w:val="0"/>
        <w:snapToGrid w:val="0"/>
        <w:spacing w:line="400" w:lineRule="exact"/>
        <w:ind w:firstLine="525" w:firstLineChars="250"/>
        <w:outlineLvl w:val="9"/>
        <w:rPr>
          <w:rFonts w:hint="eastAsia" w:ascii="宋体"/>
          <w:color w:val="auto"/>
          <w:szCs w:val="21"/>
        </w:rPr>
      </w:pPr>
      <w:r>
        <w:rPr>
          <w:rFonts w:hint="eastAsia" w:ascii="宋体"/>
          <w:color w:val="auto"/>
          <w:szCs w:val="21"/>
        </w:rPr>
        <w:t>总价：人民币（大写）</w:t>
      </w:r>
      <w:r>
        <w:rPr>
          <w:rFonts w:hint="eastAsia" w:ascii="宋体"/>
          <w:color w:val="auto"/>
          <w:szCs w:val="21"/>
          <w:u w:val="single"/>
        </w:rPr>
        <w:t xml:space="preserve">                 </w:t>
      </w:r>
      <w:r>
        <w:rPr>
          <w:rFonts w:hint="eastAsia" w:ascii="宋体"/>
          <w:color w:val="auto"/>
          <w:szCs w:val="21"/>
        </w:rPr>
        <w:t>（¥</w:t>
      </w:r>
      <w:r>
        <w:rPr>
          <w:rFonts w:hint="eastAsia" w:ascii="宋体"/>
          <w:color w:val="auto"/>
          <w:szCs w:val="21"/>
          <w:u w:val="single"/>
        </w:rPr>
        <w:t xml:space="preserve">            </w:t>
      </w:r>
      <w:r>
        <w:rPr>
          <w:rFonts w:hint="eastAsia" w:ascii="宋体"/>
          <w:color w:val="auto"/>
          <w:szCs w:val="21"/>
        </w:rPr>
        <w:t>元）；</w:t>
      </w:r>
      <w:r>
        <w:rPr>
          <w:rFonts w:hint="eastAsia"/>
          <w:color w:val="auto"/>
          <w:szCs w:val="21"/>
        </w:rPr>
        <w:t xml:space="preserve">     </w:t>
      </w:r>
    </w:p>
    <w:p w14:paraId="4B7890EC">
      <w:pPr>
        <w:adjustRightInd w:val="0"/>
        <w:snapToGrid w:val="0"/>
        <w:spacing w:line="400" w:lineRule="exact"/>
        <w:ind w:firstLine="420" w:firstLineChars="200"/>
        <w:outlineLvl w:val="9"/>
        <w:rPr>
          <w:rFonts w:hint="eastAsia" w:ascii="宋体"/>
          <w:color w:val="auto"/>
          <w:szCs w:val="21"/>
        </w:rPr>
      </w:pPr>
      <w:r>
        <w:rPr>
          <w:rFonts w:hint="eastAsia" w:ascii="宋体"/>
          <w:color w:val="auto"/>
          <w:szCs w:val="21"/>
        </w:rPr>
        <w:t>2. 合同价格形式：</w:t>
      </w:r>
      <w:r>
        <w:rPr>
          <w:rFonts w:hint="eastAsia" w:ascii="宋体"/>
          <w:color w:val="auto"/>
          <w:szCs w:val="21"/>
          <w:u w:val="single"/>
        </w:rPr>
        <w:t xml:space="preserve">  单价合同    </w:t>
      </w:r>
      <w:r>
        <w:rPr>
          <w:rFonts w:hint="eastAsia" w:ascii="宋体"/>
          <w:color w:val="auto"/>
          <w:szCs w:val="21"/>
        </w:rPr>
        <w:t>。</w:t>
      </w:r>
    </w:p>
    <w:p w14:paraId="10FCFCB0">
      <w:pPr>
        <w:pStyle w:val="44"/>
        <w:adjustRightInd w:val="0"/>
        <w:snapToGrid w:val="0"/>
        <w:spacing w:line="400" w:lineRule="exact"/>
        <w:outlineLvl w:val="9"/>
        <w:rPr>
          <w:b/>
          <w:color w:val="auto"/>
        </w:rPr>
      </w:pPr>
      <w:bookmarkStart w:id="43" w:name="_Toc351203485"/>
      <w:bookmarkStart w:id="44" w:name="_Toc406419157"/>
      <w:bookmarkStart w:id="45" w:name="_Toc418751608"/>
      <w:bookmarkStart w:id="46" w:name="_Toc483317093"/>
      <w:bookmarkStart w:id="47" w:name="_Toc418752054"/>
      <w:bookmarkStart w:id="48" w:name="_Toc406522032"/>
      <w:r>
        <w:rPr>
          <w:b/>
          <w:color w:val="auto"/>
        </w:rPr>
        <w:t>五、</w:t>
      </w:r>
      <w:bookmarkEnd w:id="43"/>
      <w:r>
        <w:rPr>
          <w:b/>
          <w:color w:val="auto"/>
        </w:rPr>
        <w:t>项目经理</w:t>
      </w:r>
      <w:bookmarkEnd w:id="44"/>
      <w:bookmarkEnd w:id="45"/>
      <w:bookmarkEnd w:id="46"/>
      <w:bookmarkEnd w:id="47"/>
      <w:bookmarkEnd w:id="48"/>
    </w:p>
    <w:p w14:paraId="6A59D7C6">
      <w:pPr>
        <w:adjustRightInd w:val="0"/>
        <w:snapToGrid w:val="0"/>
        <w:spacing w:line="400" w:lineRule="exact"/>
        <w:ind w:firstLine="420" w:firstLineChars="200"/>
        <w:outlineLvl w:val="9"/>
        <w:rPr>
          <w:rFonts w:hint="eastAsia" w:ascii="宋体"/>
          <w:color w:val="auto"/>
          <w:szCs w:val="21"/>
        </w:rPr>
      </w:pPr>
      <w:r>
        <w:rPr>
          <w:rFonts w:hint="eastAsia" w:ascii="宋体"/>
          <w:color w:val="auto"/>
          <w:szCs w:val="21"/>
        </w:rPr>
        <w:t>承包人项目经理：</w:t>
      </w:r>
      <w:r>
        <w:rPr>
          <w:rFonts w:hint="eastAsia" w:ascii="宋体"/>
          <w:color w:val="auto"/>
          <w:szCs w:val="21"/>
          <w:u w:val="single"/>
        </w:rPr>
        <w:t xml:space="preserve">                     </w:t>
      </w:r>
      <w:r>
        <w:rPr>
          <w:rFonts w:hint="eastAsia" w:ascii="宋体"/>
          <w:color w:val="auto"/>
          <w:szCs w:val="21"/>
        </w:rPr>
        <w:t>。</w:t>
      </w:r>
    </w:p>
    <w:p w14:paraId="4213B0CB">
      <w:pPr>
        <w:pStyle w:val="44"/>
        <w:adjustRightInd w:val="0"/>
        <w:snapToGrid w:val="0"/>
        <w:spacing w:line="400" w:lineRule="exact"/>
        <w:outlineLvl w:val="9"/>
        <w:rPr>
          <w:b/>
          <w:color w:val="auto"/>
        </w:rPr>
      </w:pPr>
      <w:bookmarkStart w:id="49" w:name="_Toc418751609"/>
      <w:bookmarkStart w:id="50" w:name="_Toc483317094"/>
      <w:bookmarkStart w:id="51" w:name="_Toc406419158"/>
      <w:bookmarkStart w:id="52" w:name="_Toc406522033"/>
      <w:bookmarkStart w:id="53" w:name="_Toc351203486"/>
      <w:bookmarkStart w:id="54" w:name="_Toc418752055"/>
      <w:r>
        <w:rPr>
          <w:b/>
          <w:color w:val="auto"/>
        </w:rPr>
        <w:t>六、合同文件构成</w:t>
      </w:r>
      <w:bookmarkEnd w:id="49"/>
      <w:bookmarkEnd w:id="50"/>
      <w:bookmarkEnd w:id="51"/>
      <w:bookmarkEnd w:id="52"/>
      <w:bookmarkEnd w:id="53"/>
      <w:bookmarkEnd w:id="54"/>
    </w:p>
    <w:p w14:paraId="7FC79DD2">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本协议书与下列文件一起构成合同文件：</w:t>
      </w:r>
    </w:p>
    <w:p w14:paraId="3C656B86">
      <w:pPr>
        <w:autoSpaceDE w:val="0"/>
        <w:autoSpaceDN w:val="0"/>
        <w:adjustRightInd w:val="0"/>
        <w:snapToGrid w:val="0"/>
        <w:spacing w:line="400" w:lineRule="exact"/>
        <w:ind w:firstLine="420" w:firstLineChars="200"/>
        <w:jc w:val="left"/>
        <w:outlineLvl w:val="9"/>
        <w:rPr>
          <w:rFonts w:hint="eastAsia" w:ascii="宋体"/>
          <w:color w:val="auto"/>
          <w:szCs w:val="21"/>
        </w:rPr>
      </w:pPr>
      <w:r>
        <w:rPr>
          <w:rFonts w:hint="eastAsia" w:ascii="宋体"/>
          <w:color w:val="auto"/>
          <w:szCs w:val="21"/>
        </w:rPr>
        <w:t>（1）</w:t>
      </w:r>
      <w:r>
        <w:rPr>
          <w:rFonts w:hint="eastAsia" w:ascii="宋体"/>
          <w:color w:val="auto"/>
          <w:szCs w:val="21"/>
          <w:lang w:eastAsia="zh-CN"/>
        </w:rPr>
        <w:t>成交</w:t>
      </w:r>
      <w:r>
        <w:rPr>
          <w:rFonts w:hint="eastAsia" w:ascii="宋体"/>
          <w:color w:val="auto"/>
          <w:szCs w:val="21"/>
        </w:rPr>
        <w:t>通知书（如果有）；</w:t>
      </w:r>
    </w:p>
    <w:p w14:paraId="0C142B1B">
      <w:pPr>
        <w:autoSpaceDE w:val="0"/>
        <w:autoSpaceDN w:val="0"/>
        <w:adjustRightInd w:val="0"/>
        <w:snapToGrid w:val="0"/>
        <w:spacing w:line="400" w:lineRule="exact"/>
        <w:ind w:firstLine="420" w:firstLineChars="200"/>
        <w:jc w:val="left"/>
        <w:outlineLvl w:val="9"/>
        <w:rPr>
          <w:rFonts w:hint="eastAsia" w:ascii="宋体"/>
          <w:color w:val="auto"/>
          <w:szCs w:val="21"/>
        </w:rPr>
      </w:pPr>
      <w:r>
        <w:rPr>
          <w:rFonts w:hint="eastAsia" w:ascii="宋体"/>
          <w:color w:val="auto"/>
          <w:szCs w:val="21"/>
        </w:rPr>
        <w:t>（2）</w:t>
      </w:r>
      <w:r>
        <w:rPr>
          <w:rFonts w:hint="eastAsia" w:ascii="宋体"/>
          <w:color w:val="auto"/>
          <w:szCs w:val="21"/>
          <w:lang w:eastAsia="zh-CN"/>
        </w:rPr>
        <w:t>响应</w:t>
      </w:r>
      <w:r>
        <w:rPr>
          <w:rFonts w:hint="eastAsia" w:ascii="宋体"/>
          <w:color w:val="auto"/>
          <w:szCs w:val="21"/>
        </w:rPr>
        <w:t xml:space="preserve">函及其附录（如果有）； </w:t>
      </w:r>
    </w:p>
    <w:p w14:paraId="74C99C22">
      <w:pPr>
        <w:autoSpaceDE w:val="0"/>
        <w:autoSpaceDN w:val="0"/>
        <w:adjustRightInd w:val="0"/>
        <w:snapToGrid w:val="0"/>
        <w:spacing w:line="400" w:lineRule="exact"/>
        <w:ind w:firstLine="420" w:firstLineChars="200"/>
        <w:jc w:val="left"/>
        <w:outlineLvl w:val="9"/>
        <w:rPr>
          <w:rFonts w:hint="eastAsia" w:ascii="宋体"/>
          <w:b/>
          <w:color w:val="auto"/>
          <w:sz w:val="24"/>
        </w:rPr>
      </w:pPr>
      <w:r>
        <w:rPr>
          <w:rFonts w:hint="eastAsia" w:ascii="宋体"/>
          <w:color w:val="auto"/>
          <w:szCs w:val="21"/>
        </w:rPr>
        <w:t>（3）专用合同条款及其附件</w:t>
      </w:r>
      <w:r>
        <w:rPr>
          <w:rFonts w:hint="eastAsia" w:ascii="宋体"/>
          <w:b/>
          <w:color w:val="auto"/>
          <w:sz w:val="24"/>
        </w:rPr>
        <w:t>；</w:t>
      </w:r>
    </w:p>
    <w:p w14:paraId="656F9E45">
      <w:pPr>
        <w:autoSpaceDE w:val="0"/>
        <w:autoSpaceDN w:val="0"/>
        <w:adjustRightInd w:val="0"/>
        <w:snapToGrid w:val="0"/>
        <w:spacing w:line="400" w:lineRule="exact"/>
        <w:ind w:firstLine="420" w:firstLineChars="200"/>
        <w:jc w:val="left"/>
        <w:outlineLvl w:val="9"/>
        <w:rPr>
          <w:rFonts w:hint="eastAsia" w:ascii="宋体"/>
          <w:color w:val="auto"/>
          <w:szCs w:val="21"/>
        </w:rPr>
      </w:pPr>
      <w:r>
        <w:rPr>
          <w:rFonts w:hint="eastAsia" w:ascii="宋体"/>
          <w:color w:val="auto"/>
          <w:szCs w:val="21"/>
        </w:rPr>
        <w:t>（4）通用合同条款；</w:t>
      </w:r>
    </w:p>
    <w:p w14:paraId="138F485C">
      <w:pPr>
        <w:pStyle w:val="46"/>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14:paraId="7D511994">
      <w:pPr>
        <w:pStyle w:val="46"/>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（6）图纸；</w:t>
      </w:r>
    </w:p>
    <w:p w14:paraId="0A0CA789">
      <w:pPr>
        <w:pStyle w:val="46"/>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（7）已标价工程量清单或预算书；</w:t>
      </w:r>
    </w:p>
    <w:p w14:paraId="1682F59F">
      <w:pPr>
        <w:autoSpaceDE w:val="0"/>
        <w:autoSpaceDN w:val="0"/>
        <w:adjustRightInd w:val="0"/>
        <w:snapToGrid w:val="0"/>
        <w:spacing w:line="400" w:lineRule="exact"/>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（8）其他合同文件。</w:t>
      </w:r>
    </w:p>
    <w:p w14:paraId="33D30638">
      <w:pPr>
        <w:autoSpaceDE w:val="0"/>
        <w:autoSpaceDN w:val="0"/>
        <w:adjustRightInd w:val="0"/>
        <w:snapToGrid w:val="0"/>
        <w:spacing w:line="400" w:lineRule="exact"/>
        <w:ind w:firstLine="420" w:firstLineChars="200"/>
        <w:jc w:val="left"/>
        <w:outlineLvl w:val="9"/>
        <w:rPr>
          <w:rFonts w:hint="eastAsia" w:ascii="宋体"/>
          <w:color w:val="auto"/>
          <w:szCs w:val="21"/>
        </w:rPr>
      </w:pPr>
      <w:r>
        <w:rPr>
          <w:rFonts w:hint="eastAsia" w:ascii="宋体"/>
          <w:color w:val="auto"/>
          <w:szCs w:val="21"/>
        </w:rPr>
        <w:t>在合同订立及履行过程中形成的与合同有关的文件均构成合同文件组成部分。</w:t>
      </w:r>
    </w:p>
    <w:p w14:paraId="589EEEF0">
      <w:pPr>
        <w:autoSpaceDE w:val="0"/>
        <w:autoSpaceDN w:val="0"/>
        <w:adjustRightInd w:val="0"/>
        <w:snapToGrid w:val="0"/>
        <w:spacing w:line="400" w:lineRule="exact"/>
        <w:ind w:firstLine="420" w:firstLineChars="200"/>
        <w:jc w:val="left"/>
        <w:outlineLvl w:val="9"/>
        <w:rPr>
          <w:rFonts w:hint="eastAsia" w:ascii="宋体"/>
          <w:color w:val="auto"/>
          <w:szCs w:val="21"/>
        </w:rPr>
      </w:pPr>
      <w:r>
        <w:rPr>
          <w:rFonts w:hint="eastAsia" w:ascii="宋体"/>
          <w:color w:val="auto"/>
          <w:szCs w:val="21"/>
        </w:rPr>
        <w:t>上述各项合同文件包括合同当事人就该项合同文件所作出的补充和修改，属于同一类内容的文件，应以最新签署的为准。专用合同条款及其附件须经合同当事人签字或盖章。</w:t>
      </w:r>
    </w:p>
    <w:p w14:paraId="0E0BAC8A">
      <w:pPr>
        <w:pStyle w:val="44"/>
        <w:adjustRightInd w:val="0"/>
        <w:snapToGrid w:val="0"/>
        <w:spacing w:line="400" w:lineRule="exact"/>
        <w:outlineLvl w:val="9"/>
        <w:rPr>
          <w:b/>
          <w:color w:val="auto"/>
        </w:rPr>
      </w:pPr>
      <w:bookmarkStart w:id="55" w:name="_Toc483317095"/>
      <w:bookmarkStart w:id="56" w:name="_Toc418752056"/>
      <w:bookmarkStart w:id="57" w:name="_Toc406522034"/>
      <w:bookmarkStart w:id="58" w:name="_Toc351203487"/>
      <w:bookmarkStart w:id="59" w:name="_Toc406419159"/>
      <w:bookmarkStart w:id="60" w:name="_Toc418751610"/>
      <w:r>
        <w:rPr>
          <w:b/>
          <w:color w:val="auto"/>
        </w:rPr>
        <w:t>七、承诺</w:t>
      </w:r>
      <w:bookmarkEnd w:id="55"/>
      <w:bookmarkEnd w:id="56"/>
      <w:bookmarkEnd w:id="57"/>
      <w:bookmarkEnd w:id="58"/>
      <w:bookmarkEnd w:id="59"/>
      <w:bookmarkEnd w:id="60"/>
    </w:p>
    <w:p w14:paraId="3B2D91EA">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1. 发包人承诺按照法律规定履行项目审批手续、筹集工程建设资金并按照合同约定的期限和方式支付合同价款。</w:t>
      </w:r>
    </w:p>
    <w:p w14:paraId="48DB2A20">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2. 承包人承诺按照法律规定及合同约定组织完成工程施工，确保工程质量和安全，不进行转包及违法分包，并在缺陷责任期及保修期内承担相应的工程维修责任。</w:t>
      </w:r>
    </w:p>
    <w:p w14:paraId="2146F134">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3. 发包人和承包人通过</w:t>
      </w:r>
      <w:r>
        <w:rPr>
          <w:rFonts w:hint="eastAsia" w:ascii="宋体"/>
          <w:bCs/>
          <w:color w:val="auto"/>
          <w:szCs w:val="21"/>
          <w:lang w:eastAsia="zh-CN"/>
        </w:rPr>
        <w:t>政府采购</w:t>
      </w:r>
      <w:r>
        <w:rPr>
          <w:rFonts w:hint="eastAsia" w:ascii="宋体"/>
          <w:bCs/>
          <w:color w:val="auto"/>
          <w:szCs w:val="21"/>
        </w:rPr>
        <w:t>形式签订合同的，双方理解并承诺不再就同一工程另行签订与合同实质性内容相背离的协议。</w:t>
      </w:r>
      <w:bookmarkStart w:id="61" w:name="_Toc351203488"/>
    </w:p>
    <w:p w14:paraId="7291E76E">
      <w:pPr>
        <w:pStyle w:val="9"/>
        <w:ind w:firstLine="420" w:firstLineChars="200"/>
        <w:outlineLvl w:val="9"/>
        <w:rPr>
          <w:rFonts w:hint="eastAsia" w:ascii="宋体" w:cs="宋体"/>
          <w:color w:val="auto"/>
          <w:sz w:val="21"/>
          <w:szCs w:val="21"/>
          <w:lang w:bidi="ar-SA"/>
        </w:rPr>
      </w:pPr>
      <w:r>
        <w:rPr>
          <w:rFonts w:hint="eastAsia" w:ascii="宋体" w:cs="宋体"/>
          <w:color w:val="auto"/>
          <w:sz w:val="21"/>
          <w:szCs w:val="21"/>
          <w:lang w:bidi="ar-SA"/>
        </w:rPr>
        <w:t>4.承包人必须按照桂林市财政局《桂林市财政局关于落实政府投资工程项目工程款与农民工工资分账拨款的通知》（市财建（2018）73号）文件要求，设立独立农民工工资支付专用账号，严格按要求及时支付农民工工资，绝不拖欠农民工工资。如承包人未能严格按照要求执行，由此产生的经济及法律责任由承包人承担。</w:t>
      </w:r>
    </w:p>
    <w:p w14:paraId="77CA00E8">
      <w:pPr>
        <w:pStyle w:val="44"/>
        <w:adjustRightInd w:val="0"/>
        <w:snapToGrid w:val="0"/>
        <w:spacing w:line="400" w:lineRule="exact"/>
        <w:outlineLvl w:val="9"/>
        <w:rPr>
          <w:b/>
          <w:color w:val="auto"/>
        </w:rPr>
      </w:pPr>
      <w:bookmarkStart w:id="62" w:name="_Toc418751611"/>
      <w:bookmarkStart w:id="63" w:name="_Toc483317096"/>
      <w:bookmarkStart w:id="64" w:name="_Toc406522035"/>
      <w:bookmarkStart w:id="65" w:name="_Toc418752057"/>
      <w:bookmarkStart w:id="66" w:name="_Toc406419160"/>
      <w:r>
        <w:rPr>
          <w:b/>
          <w:color w:val="auto"/>
        </w:rPr>
        <w:t>八、词语含义</w:t>
      </w:r>
      <w:bookmarkEnd w:id="61"/>
      <w:bookmarkEnd w:id="62"/>
      <w:bookmarkEnd w:id="63"/>
      <w:bookmarkEnd w:id="64"/>
      <w:bookmarkEnd w:id="65"/>
      <w:bookmarkEnd w:id="66"/>
    </w:p>
    <w:p w14:paraId="06B02C1A">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本协议书中词语含义与第二部分通用合同条款中赋予的含义相同。</w:t>
      </w:r>
    </w:p>
    <w:p w14:paraId="4AFE926C">
      <w:pPr>
        <w:pStyle w:val="44"/>
        <w:adjustRightInd w:val="0"/>
        <w:snapToGrid w:val="0"/>
        <w:spacing w:line="400" w:lineRule="exact"/>
        <w:outlineLvl w:val="9"/>
        <w:rPr>
          <w:b/>
          <w:color w:val="auto"/>
        </w:rPr>
      </w:pPr>
      <w:bookmarkStart w:id="67" w:name="_Toc406522036"/>
      <w:bookmarkStart w:id="68" w:name="_Toc418752058"/>
      <w:bookmarkStart w:id="69" w:name="_Toc483317097"/>
      <w:bookmarkStart w:id="70" w:name="_Toc418751612"/>
      <w:bookmarkStart w:id="71" w:name="_Toc351203489"/>
      <w:bookmarkStart w:id="72" w:name="_Toc406419161"/>
      <w:r>
        <w:rPr>
          <w:b/>
          <w:color w:val="auto"/>
        </w:rPr>
        <w:t>九、签订时间</w:t>
      </w:r>
      <w:bookmarkEnd w:id="67"/>
      <w:bookmarkEnd w:id="68"/>
      <w:bookmarkEnd w:id="69"/>
      <w:bookmarkEnd w:id="70"/>
      <w:bookmarkEnd w:id="71"/>
      <w:bookmarkEnd w:id="72"/>
    </w:p>
    <w:p w14:paraId="79503BEC">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本合同于</w:t>
      </w:r>
      <w:r>
        <w:rPr>
          <w:rFonts w:hint="eastAsia" w:ascii="宋体"/>
          <w:bCs/>
          <w:color w:val="auto"/>
          <w:szCs w:val="21"/>
          <w:u w:val="single"/>
        </w:rPr>
        <w:t xml:space="preserve">         </w:t>
      </w:r>
      <w:r>
        <w:rPr>
          <w:rFonts w:hint="eastAsia" w:ascii="宋体"/>
          <w:bCs/>
          <w:color w:val="auto"/>
          <w:szCs w:val="21"/>
        </w:rPr>
        <w:t>年</w:t>
      </w:r>
      <w:r>
        <w:rPr>
          <w:rFonts w:hint="eastAsia" w:ascii="宋体"/>
          <w:bCs/>
          <w:color w:val="auto"/>
          <w:szCs w:val="21"/>
          <w:u w:val="single"/>
        </w:rPr>
        <w:t xml:space="preserve">    </w:t>
      </w:r>
      <w:r>
        <w:rPr>
          <w:rFonts w:hint="eastAsia" w:ascii="宋体"/>
          <w:bCs/>
          <w:color w:val="auto"/>
          <w:szCs w:val="21"/>
        </w:rPr>
        <w:t>月</w:t>
      </w:r>
      <w:r>
        <w:rPr>
          <w:rFonts w:hint="eastAsia" w:ascii="宋体"/>
          <w:bCs/>
          <w:color w:val="auto"/>
          <w:szCs w:val="21"/>
          <w:u w:val="single"/>
        </w:rPr>
        <w:t xml:space="preserve">    </w:t>
      </w:r>
      <w:r>
        <w:rPr>
          <w:rFonts w:hint="eastAsia" w:ascii="宋体"/>
          <w:bCs/>
          <w:color w:val="auto"/>
          <w:szCs w:val="21"/>
        </w:rPr>
        <w:t>日签订。</w:t>
      </w:r>
    </w:p>
    <w:p w14:paraId="0A1BD0CA">
      <w:pPr>
        <w:pStyle w:val="44"/>
        <w:adjustRightInd w:val="0"/>
        <w:snapToGrid w:val="0"/>
        <w:spacing w:line="400" w:lineRule="exact"/>
        <w:outlineLvl w:val="9"/>
        <w:rPr>
          <w:b/>
          <w:color w:val="auto"/>
        </w:rPr>
      </w:pPr>
      <w:bookmarkStart w:id="73" w:name="_Toc483317098"/>
      <w:bookmarkStart w:id="74" w:name="_Toc406419162"/>
      <w:bookmarkStart w:id="75" w:name="_Toc406522037"/>
      <w:bookmarkStart w:id="76" w:name="_Toc418752059"/>
      <w:bookmarkStart w:id="77" w:name="_Toc418751613"/>
      <w:bookmarkStart w:id="78" w:name="_Toc351203490"/>
      <w:r>
        <w:rPr>
          <w:b/>
          <w:color w:val="auto"/>
        </w:rPr>
        <w:t>十、签订地点</w:t>
      </w:r>
      <w:bookmarkEnd w:id="73"/>
      <w:bookmarkEnd w:id="74"/>
      <w:bookmarkEnd w:id="75"/>
      <w:bookmarkEnd w:id="76"/>
      <w:bookmarkEnd w:id="77"/>
      <w:bookmarkEnd w:id="78"/>
    </w:p>
    <w:p w14:paraId="7426B773">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本合同在</w:t>
      </w:r>
      <w:r>
        <w:rPr>
          <w:rFonts w:hint="eastAsia" w:ascii="宋体"/>
          <w:bCs/>
          <w:color w:val="auto"/>
          <w:szCs w:val="21"/>
          <w:u w:val="single"/>
        </w:rPr>
        <w:t xml:space="preserve">                                    </w:t>
      </w:r>
      <w:r>
        <w:rPr>
          <w:rFonts w:hint="eastAsia" w:ascii="宋体"/>
          <w:bCs/>
          <w:color w:val="auto"/>
          <w:szCs w:val="21"/>
        </w:rPr>
        <w:t>签订。</w:t>
      </w:r>
    </w:p>
    <w:p w14:paraId="2B9E094B">
      <w:pPr>
        <w:pStyle w:val="44"/>
        <w:adjustRightInd w:val="0"/>
        <w:snapToGrid w:val="0"/>
        <w:spacing w:line="400" w:lineRule="exact"/>
        <w:outlineLvl w:val="9"/>
        <w:rPr>
          <w:b/>
          <w:color w:val="auto"/>
        </w:rPr>
      </w:pPr>
      <w:bookmarkStart w:id="79" w:name="_Toc351203491"/>
      <w:bookmarkStart w:id="80" w:name="_Toc418751614"/>
      <w:bookmarkStart w:id="81" w:name="_Toc418752060"/>
      <w:bookmarkStart w:id="82" w:name="_Toc406522038"/>
      <w:bookmarkStart w:id="83" w:name="_Toc406419163"/>
      <w:bookmarkStart w:id="84" w:name="_Toc483317099"/>
      <w:r>
        <w:rPr>
          <w:b/>
          <w:color w:val="auto"/>
        </w:rPr>
        <w:t>十一、补充协议</w:t>
      </w:r>
      <w:bookmarkEnd w:id="79"/>
      <w:bookmarkEnd w:id="80"/>
      <w:bookmarkEnd w:id="81"/>
      <w:bookmarkEnd w:id="82"/>
      <w:bookmarkEnd w:id="83"/>
      <w:bookmarkEnd w:id="84"/>
    </w:p>
    <w:p w14:paraId="7FC5ABDA">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合同未尽事宜，合同当事人另行签订补充协议，补充协议是合同的组成部分。</w:t>
      </w:r>
    </w:p>
    <w:p w14:paraId="1A985D20">
      <w:pPr>
        <w:pStyle w:val="44"/>
        <w:adjustRightInd w:val="0"/>
        <w:snapToGrid w:val="0"/>
        <w:spacing w:line="400" w:lineRule="exact"/>
        <w:outlineLvl w:val="9"/>
        <w:rPr>
          <w:b/>
          <w:color w:val="auto"/>
        </w:rPr>
      </w:pPr>
      <w:bookmarkStart w:id="85" w:name="_Toc406522039"/>
      <w:bookmarkStart w:id="86" w:name="_Toc483317100"/>
      <w:bookmarkStart w:id="87" w:name="_Toc418751615"/>
      <w:bookmarkStart w:id="88" w:name="_Toc406419164"/>
      <w:bookmarkStart w:id="89" w:name="_Toc418752061"/>
      <w:bookmarkStart w:id="90" w:name="_Toc351203492"/>
      <w:r>
        <w:rPr>
          <w:b/>
          <w:color w:val="auto"/>
        </w:rPr>
        <w:t>十二、合同生效</w:t>
      </w:r>
      <w:bookmarkEnd w:id="85"/>
      <w:bookmarkEnd w:id="86"/>
      <w:bookmarkEnd w:id="87"/>
      <w:bookmarkEnd w:id="88"/>
      <w:bookmarkEnd w:id="89"/>
      <w:bookmarkEnd w:id="90"/>
    </w:p>
    <w:p w14:paraId="3B72B118">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本合同自</w:t>
      </w:r>
      <w:r>
        <w:rPr>
          <w:rFonts w:hint="eastAsia" w:ascii="宋体"/>
          <w:bCs/>
          <w:color w:val="auto"/>
          <w:szCs w:val="21"/>
          <w:u w:val="single"/>
        </w:rPr>
        <w:t xml:space="preserve">                                   </w:t>
      </w:r>
      <w:r>
        <w:rPr>
          <w:rFonts w:hint="eastAsia" w:ascii="宋体"/>
          <w:bCs/>
          <w:color w:val="auto"/>
          <w:szCs w:val="21"/>
        </w:rPr>
        <w:t>生效。</w:t>
      </w:r>
    </w:p>
    <w:p w14:paraId="7A82BABA">
      <w:pPr>
        <w:pStyle w:val="44"/>
        <w:adjustRightInd w:val="0"/>
        <w:snapToGrid w:val="0"/>
        <w:spacing w:line="400" w:lineRule="exact"/>
        <w:outlineLvl w:val="9"/>
        <w:rPr>
          <w:b/>
          <w:color w:val="auto"/>
        </w:rPr>
      </w:pPr>
      <w:bookmarkStart w:id="91" w:name="_Toc406419165"/>
      <w:bookmarkStart w:id="92" w:name="_Toc351203493"/>
      <w:bookmarkStart w:id="93" w:name="_Toc483317101"/>
      <w:bookmarkStart w:id="94" w:name="_Toc418752062"/>
      <w:bookmarkStart w:id="95" w:name="_Toc418751616"/>
      <w:bookmarkStart w:id="96" w:name="_Toc406522040"/>
      <w:r>
        <w:rPr>
          <w:b/>
          <w:color w:val="auto"/>
        </w:rPr>
        <w:t>十三、合同份数</w:t>
      </w:r>
      <w:bookmarkEnd w:id="91"/>
      <w:bookmarkEnd w:id="92"/>
      <w:bookmarkEnd w:id="93"/>
      <w:bookmarkEnd w:id="94"/>
      <w:bookmarkEnd w:id="95"/>
      <w:bookmarkEnd w:id="96"/>
    </w:p>
    <w:p w14:paraId="1AE4F39C">
      <w:pPr>
        <w:adjustRightInd w:val="0"/>
        <w:snapToGrid w:val="0"/>
        <w:spacing w:line="400" w:lineRule="exact"/>
        <w:ind w:firstLine="420" w:firstLineChars="200"/>
        <w:outlineLvl w:val="9"/>
        <w:rPr>
          <w:rFonts w:hint="eastAsia" w:ascii="宋体"/>
          <w:bCs/>
          <w:color w:val="auto"/>
          <w:szCs w:val="21"/>
        </w:rPr>
      </w:pPr>
      <w:r>
        <w:rPr>
          <w:rFonts w:hint="eastAsia" w:ascii="宋体"/>
          <w:bCs/>
          <w:color w:val="auto"/>
          <w:szCs w:val="21"/>
        </w:rPr>
        <w:t>本合同一式</w:t>
      </w:r>
      <w:r>
        <w:rPr>
          <w:rFonts w:hint="eastAsia" w:ascii="宋体"/>
          <w:bCs/>
          <w:color w:val="auto"/>
          <w:szCs w:val="21"/>
          <w:u w:val="single"/>
        </w:rPr>
        <w:t xml:space="preserve"> 七 </w:t>
      </w:r>
      <w:r>
        <w:rPr>
          <w:rFonts w:hint="eastAsia" w:ascii="宋体"/>
          <w:bCs/>
          <w:color w:val="auto"/>
          <w:szCs w:val="21"/>
        </w:rPr>
        <w:t>份，均具有同等法律效力，发包人执</w:t>
      </w:r>
      <w:r>
        <w:rPr>
          <w:rFonts w:hint="eastAsia" w:ascii="宋体"/>
          <w:bCs/>
          <w:color w:val="auto"/>
          <w:szCs w:val="21"/>
          <w:u w:val="single"/>
        </w:rPr>
        <w:t xml:space="preserve">  三 </w:t>
      </w:r>
      <w:r>
        <w:rPr>
          <w:rFonts w:hint="eastAsia" w:ascii="宋体"/>
          <w:bCs/>
          <w:color w:val="auto"/>
          <w:szCs w:val="21"/>
        </w:rPr>
        <w:t>份，承包人执</w:t>
      </w:r>
      <w:r>
        <w:rPr>
          <w:rFonts w:hint="eastAsia" w:ascii="宋体"/>
          <w:bCs/>
          <w:color w:val="auto"/>
          <w:szCs w:val="21"/>
          <w:u w:val="single"/>
        </w:rPr>
        <w:t xml:space="preserve"> 三 </w:t>
      </w:r>
      <w:r>
        <w:rPr>
          <w:rFonts w:hint="eastAsia" w:ascii="宋体"/>
          <w:bCs/>
          <w:color w:val="auto"/>
          <w:szCs w:val="21"/>
        </w:rPr>
        <w:t>份，</w:t>
      </w:r>
      <w:r>
        <w:rPr>
          <w:rFonts w:hint="eastAsia" w:ascii="宋体"/>
          <w:bCs/>
          <w:color w:val="auto"/>
          <w:szCs w:val="21"/>
          <w:lang w:eastAsia="zh-CN"/>
        </w:rPr>
        <w:t>采购</w:t>
      </w:r>
      <w:r>
        <w:rPr>
          <w:rFonts w:hint="eastAsia" w:ascii="宋体"/>
          <w:bCs/>
          <w:color w:val="auto"/>
          <w:szCs w:val="21"/>
        </w:rPr>
        <w:t>代理机构</w:t>
      </w:r>
      <w:r>
        <w:rPr>
          <w:rFonts w:hint="eastAsia" w:ascii="宋体"/>
          <w:bCs/>
          <w:color w:val="auto"/>
          <w:szCs w:val="21"/>
          <w:u w:val="single"/>
        </w:rPr>
        <w:t xml:space="preserve"> 一 </w:t>
      </w:r>
      <w:r>
        <w:rPr>
          <w:rFonts w:hint="eastAsia" w:ascii="宋体"/>
          <w:bCs/>
          <w:color w:val="auto"/>
          <w:szCs w:val="21"/>
        </w:rPr>
        <w:t>份。</w:t>
      </w:r>
    </w:p>
    <w:p w14:paraId="161CC9DF">
      <w:pPr>
        <w:adjustRightInd w:val="0"/>
        <w:snapToGrid w:val="0"/>
        <w:spacing w:line="400" w:lineRule="exact"/>
        <w:outlineLvl w:val="9"/>
        <w:rPr>
          <w:rFonts w:hint="eastAsia" w:ascii="宋体"/>
          <w:color w:val="auto"/>
          <w:szCs w:val="21"/>
        </w:rPr>
      </w:pPr>
    </w:p>
    <w:p w14:paraId="4AE3C28A">
      <w:pPr>
        <w:adjustRightInd w:val="0"/>
        <w:snapToGrid w:val="0"/>
        <w:spacing w:line="400" w:lineRule="exact"/>
        <w:outlineLvl w:val="9"/>
        <w:rPr>
          <w:rFonts w:hint="eastAsia" w:ascii="宋体"/>
          <w:color w:val="auto"/>
          <w:szCs w:val="21"/>
        </w:rPr>
      </w:pPr>
      <w:r>
        <w:rPr>
          <w:rFonts w:hint="eastAsia" w:ascii="宋体"/>
          <w:color w:val="auto"/>
          <w:szCs w:val="21"/>
        </w:rPr>
        <w:t>发包人：  （公章）                          承包人：  （公章）</w:t>
      </w:r>
    </w:p>
    <w:p w14:paraId="0D3DB85C">
      <w:pPr>
        <w:adjustRightInd w:val="0"/>
        <w:snapToGrid w:val="0"/>
        <w:spacing w:line="400" w:lineRule="exact"/>
        <w:outlineLvl w:val="9"/>
        <w:rPr>
          <w:rFonts w:hint="eastAsia" w:ascii="宋体"/>
          <w:color w:val="auto"/>
          <w:szCs w:val="21"/>
          <w:u w:val="single"/>
        </w:rPr>
      </w:pPr>
      <w:r>
        <w:rPr>
          <w:rFonts w:hint="eastAsia" w:ascii="宋体"/>
          <w:color w:val="auto"/>
          <w:szCs w:val="21"/>
        </w:rPr>
        <w:t xml:space="preserve">                                 </w:t>
      </w:r>
    </w:p>
    <w:p w14:paraId="5B748F5C">
      <w:pPr>
        <w:adjustRightInd w:val="0"/>
        <w:snapToGrid w:val="0"/>
        <w:spacing w:line="400" w:lineRule="exact"/>
        <w:outlineLvl w:val="9"/>
        <w:rPr>
          <w:rFonts w:hint="eastAsia" w:ascii="宋体"/>
          <w:color w:val="auto"/>
          <w:szCs w:val="21"/>
        </w:rPr>
      </w:pPr>
      <w:r>
        <w:rPr>
          <w:rFonts w:hint="eastAsia" w:ascii="宋体"/>
          <w:color w:val="auto"/>
          <w:szCs w:val="21"/>
        </w:rPr>
        <w:t>法定代表人或其委托代理人：                  法定代表人或其委托代理人：</w:t>
      </w:r>
    </w:p>
    <w:p w14:paraId="7D4B9849">
      <w:pPr>
        <w:adjustRightInd w:val="0"/>
        <w:snapToGrid w:val="0"/>
        <w:spacing w:line="400" w:lineRule="exact"/>
        <w:outlineLvl w:val="9"/>
        <w:rPr>
          <w:rFonts w:hint="eastAsia" w:ascii="宋体"/>
          <w:color w:val="auto"/>
          <w:szCs w:val="21"/>
        </w:rPr>
      </w:pPr>
      <w:r>
        <w:rPr>
          <w:rFonts w:hint="eastAsia" w:ascii="宋体"/>
          <w:color w:val="auto"/>
          <w:szCs w:val="21"/>
        </w:rPr>
        <w:t>（签字）                                     （签字）</w:t>
      </w:r>
    </w:p>
    <w:p w14:paraId="0E64ABA2">
      <w:pPr>
        <w:adjustRightInd w:val="0"/>
        <w:snapToGrid w:val="0"/>
        <w:spacing w:line="400" w:lineRule="exact"/>
        <w:outlineLvl w:val="9"/>
        <w:rPr>
          <w:rFonts w:hint="eastAsia" w:ascii="宋体"/>
          <w:color w:val="auto"/>
          <w:szCs w:val="21"/>
          <w:u w:val="single"/>
        </w:rPr>
      </w:pPr>
    </w:p>
    <w:p w14:paraId="3E0B8668">
      <w:pPr>
        <w:tabs>
          <w:tab w:val="left" w:pos="4410"/>
        </w:tabs>
        <w:adjustRightInd w:val="0"/>
        <w:snapToGrid w:val="0"/>
        <w:spacing w:line="400" w:lineRule="exact"/>
        <w:outlineLvl w:val="9"/>
        <w:rPr>
          <w:rFonts w:hint="eastAsia" w:ascii="宋体"/>
          <w:color w:val="auto"/>
          <w:szCs w:val="21"/>
        </w:rPr>
      </w:pPr>
      <w:r>
        <w:rPr>
          <w:rFonts w:hint="eastAsia" w:ascii="宋体"/>
          <w:color w:val="auto"/>
          <w:szCs w:val="21"/>
        </w:rPr>
        <w:t>组织机构代码：</w:t>
      </w:r>
      <w:r>
        <w:rPr>
          <w:rFonts w:hint="eastAsia" w:ascii="宋体"/>
          <w:bCs/>
          <w:color w:val="auto"/>
          <w:szCs w:val="21"/>
          <w:u w:val="single"/>
        </w:rPr>
        <w:t xml:space="preserve">              </w:t>
      </w:r>
      <w:r>
        <w:rPr>
          <w:rFonts w:hint="eastAsia" w:ascii="宋体"/>
          <w:color w:val="auto"/>
          <w:szCs w:val="21"/>
        </w:rPr>
        <w:t xml:space="preserve">                 组织机构代码：</w:t>
      </w:r>
      <w:r>
        <w:rPr>
          <w:rFonts w:hint="eastAsia" w:ascii="宋体"/>
          <w:bCs/>
          <w:color w:val="auto"/>
          <w:szCs w:val="21"/>
          <w:u w:val="single"/>
        </w:rPr>
        <w:t xml:space="preserve">              </w:t>
      </w:r>
    </w:p>
    <w:p w14:paraId="2265FE3A">
      <w:pPr>
        <w:adjustRightInd w:val="0"/>
        <w:snapToGrid w:val="0"/>
        <w:spacing w:line="400" w:lineRule="exact"/>
        <w:outlineLvl w:val="9"/>
        <w:rPr>
          <w:rFonts w:hint="eastAsia" w:ascii="宋体"/>
          <w:color w:val="auto"/>
          <w:szCs w:val="21"/>
        </w:rPr>
      </w:pPr>
      <w:r>
        <w:rPr>
          <w:rFonts w:hint="eastAsia" w:ascii="宋体"/>
          <w:color w:val="auto"/>
          <w:szCs w:val="21"/>
        </w:rPr>
        <w:t>地  址：</w:t>
      </w:r>
      <w:r>
        <w:rPr>
          <w:rFonts w:hint="eastAsia" w:ascii="宋体"/>
          <w:bCs/>
          <w:color w:val="auto"/>
          <w:szCs w:val="21"/>
          <w:u w:val="single"/>
        </w:rPr>
        <w:t xml:space="preserve">                    </w:t>
      </w:r>
      <w:r>
        <w:rPr>
          <w:rFonts w:hint="eastAsia" w:ascii="宋体"/>
          <w:color w:val="auto"/>
          <w:szCs w:val="21"/>
        </w:rPr>
        <w:t xml:space="preserve">                 地  址：</w:t>
      </w:r>
      <w:r>
        <w:rPr>
          <w:rFonts w:hint="eastAsia" w:ascii="宋体"/>
          <w:bCs/>
          <w:color w:val="auto"/>
          <w:szCs w:val="21"/>
          <w:u w:val="single"/>
        </w:rPr>
        <w:t xml:space="preserve">                    </w:t>
      </w:r>
    </w:p>
    <w:p w14:paraId="5D945B54">
      <w:pPr>
        <w:adjustRightInd w:val="0"/>
        <w:snapToGrid w:val="0"/>
        <w:spacing w:line="400" w:lineRule="exact"/>
        <w:outlineLvl w:val="9"/>
        <w:rPr>
          <w:rFonts w:hint="eastAsia" w:ascii="宋体"/>
          <w:color w:val="auto"/>
          <w:szCs w:val="21"/>
        </w:rPr>
      </w:pPr>
      <w:r>
        <w:rPr>
          <w:rFonts w:hint="eastAsia" w:ascii="宋体"/>
          <w:color w:val="auto"/>
          <w:szCs w:val="21"/>
        </w:rPr>
        <w:t>邮政编码：</w:t>
      </w:r>
      <w:r>
        <w:rPr>
          <w:rFonts w:hint="eastAsia" w:ascii="宋体"/>
          <w:bCs/>
          <w:color w:val="auto"/>
          <w:szCs w:val="21"/>
          <w:u w:val="single"/>
        </w:rPr>
        <w:t xml:space="preserve">                  </w:t>
      </w:r>
      <w:r>
        <w:rPr>
          <w:rFonts w:hint="eastAsia" w:ascii="宋体"/>
          <w:color w:val="auto"/>
          <w:szCs w:val="21"/>
        </w:rPr>
        <w:t xml:space="preserve">                 邮政编码：</w:t>
      </w:r>
      <w:r>
        <w:rPr>
          <w:rFonts w:hint="eastAsia" w:ascii="宋体"/>
          <w:bCs/>
          <w:color w:val="auto"/>
          <w:szCs w:val="21"/>
          <w:u w:val="single"/>
        </w:rPr>
        <w:t xml:space="preserve">                  </w:t>
      </w:r>
    </w:p>
    <w:p w14:paraId="6D5512EF">
      <w:pPr>
        <w:adjustRightInd w:val="0"/>
        <w:snapToGrid w:val="0"/>
        <w:spacing w:line="400" w:lineRule="exact"/>
        <w:outlineLvl w:val="9"/>
        <w:rPr>
          <w:rFonts w:hint="eastAsia" w:ascii="宋体"/>
          <w:color w:val="auto"/>
          <w:szCs w:val="21"/>
        </w:rPr>
      </w:pPr>
      <w:r>
        <w:rPr>
          <w:rFonts w:hint="eastAsia" w:ascii="宋体"/>
          <w:color w:val="auto"/>
          <w:szCs w:val="21"/>
        </w:rPr>
        <w:t>法定代表人：</w:t>
      </w:r>
      <w:r>
        <w:rPr>
          <w:rFonts w:hint="eastAsia" w:ascii="宋体"/>
          <w:bCs/>
          <w:color w:val="auto"/>
          <w:szCs w:val="21"/>
          <w:u w:val="single"/>
        </w:rPr>
        <w:t xml:space="preserve">                </w:t>
      </w:r>
      <w:r>
        <w:rPr>
          <w:rFonts w:hint="eastAsia" w:ascii="宋体"/>
          <w:color w:val="auto"/>
          <w:szCs w:val="21"/>
        </w:rPr>
        <w:t xml:space="preserve">                 法定代表人：</w:t>
      </w:r>
      <w:r>
        <w:rPr>
          <w:rFonts w:hint="eastAsia" w:ascii="宋体"/>
          <w:bCs/>
          <w:color w:val="auto"/>
          <w:szCs w:val="21"/>
          <w:u w:val="single"/>
        </w:rPr>
        <w:t xml:space="preserve">                </w:t>
      </w:r>
    </w:p>
    <w:p w14:paraId="06CA22D2">
      <w:pPr>
        <w:adjustRightInd w:val="0"/>
        <w:snapToGrid w:val="0"/>
        <w:spacing w:line="400" w:lineRule="exact"/>
        <w:outlineLvl w:val="9"/>
        <w:rPr>
          <w:rFonts w:hint="eastAsia" w:ascii="宋体"/>
          <w:color w:val="auto"/>
          <w:szCs w:val="21"/>
        </w:rPr>
      </w:pPr>
      <w:r>
        <w:rPr>
          <w:rFonts w:hint="eastAsia" w:ascii="宋体"/>
          <w:color w:val="auto"/>
          <w:szCs w:val="21"/>
        </w:rPr>
        <w:t>委托代理人：</w:t>
      </w:r>
      <w:r>
        <w:rPr>
          <w:rFonts w:hint="eastAsia" w:ascii="宋体"/>
          <w:bCs/>
          <w:color w:val="auto"/>
          <w:szCs w:val="21"/>
          <w:u w:val="single"/>
        </w:rPr>
        <w:t xml:space="preserve">                </w:t>
      </w:r>
      <w:r>
        <w:rPr>
          <w:rFonts w:hint="eastAsia" w:ascii="宋体"/>
          <w:color w:val="auto"/>
          <w:szCs w:val="21"/>
        </w:rPr>
        <w:t xml:space="preserve">                 委托代理人：</w:t>
      </w:r>
      <w:r>
        <w:rPr>
          <w:rFonts w:hint="eastAsia" w:ascii="宋体"/>
          <w:bCs/>
          <w:color w:val="auto"/>
          <w:szCs w:val="21"/>
          <w:u w:val="single"/>
        </w:rPr>
        <w:t xml:space="preserve">                </w:t>
      </w:r>
    </w:p>
    <w:p w14:paraId="53230878">
      <w:pPr>
        <w:adjustRightInd w:val="0"/>
        <w:snapToGrid w:val="0"/>
        <w:spacing w:line="400" w:lineRule="exact"/>
        <w:outlineLvl w:val="9"/>
        <w:rPr>
          <w:rFonts w:hint="eastAsia" w:ascii="宋体"/>
          <w:color w:val="auto"/>
          <w:szCs w:val="21"/>
        </w:rPr>
      </w:pPr>
      <w:r>
        <w:rPr>
          <w:rFonts w:hint="eastAsia" w:ascii="宋体"/>
          <w:color w:val="auto"/>
          <w:szCs w:val="21"/>
        </w:rPr>
        <w:t>电  话：</w:t>
      </w:r>
      <w:r>
        <w:rPr>
          <w:rFonts w:hint="eastAsia" w:ascii="宋体"/>
          <w:bCs/>
          <w:color w:val="auto"/>
          <w:szCs w:val="21"/>
          <w:u w:val="single"/>
        </w:rPr>
        <w:t xml:space="preserve">                    </w:t>
      </w:r>
      <w:r>
        <w:rPr>
          <w:rFonts w:hint="eastAsia" w:ascii="宋体"/>
          <w:color w:val="auto"/>
          <w:szCs w:val="21"/>
        </w:rPr>
        <w:t xml:space="preserve">                 电  话：</w:t>
      </w:r>
      <w:r>
        <w:rPr>
          <w:rFonts w:hint="eastAsia" w:ascii="宋体"/>
          <w:bCs/>
          <w:color w:val="auto"/>
          <w:szCs w:val="21"/>
          <w:u w:val="single"/>
        </w:rPr>
        <w:t xml:space="preserve">                    </w:t>
      </w:r>
    </w:p>
    <w:p w14:paraId="7E58B271">
      <w:pPr>
        <w:adjustRightInd w:val="0"/>
        <w:snapToGrid w:val="0"/>
        <w:spacing w:line="400" w:lineRule="exact"/>
        <w:outlineLvl w:val="9"/>
        <w:rPr>
          <w:rFonts w:hint="eastAsia" w:ascii="宋体"/>
          <w:color w:val="auto"/>
          <w:szCs w:val="21"/>
        </w:rPr>
      </w:pPr>
      <w:r>
        <w:rPr>
          <w:rFonts w:hint="eastAsia" w:ascii="宋体"/>
          <w:color w:val="auto"/>
          <w:szCs w:val="21"/>
        </w:rPr>
        <w:t>传  真：</w:t>
      </w:r>
      <w:r>
        <w:rPr>
          <w:rFonts w:hint="eastAsia" w:ascii="宋体"/>
          <w:bCs/>
          <w:color w:val="auto"/>
          <w:szCs w:val="21"/>
          <w:u w:val="single"/>
        </w:rPr>
        <w:t xml:space="preserve">                    </w:t>
      </w:r>
      <w:r>
        <w:rPr>
          <w:rFonts w:hint="eastAsia" w:ascii="宋体"/>
          <w:color w:val="auto"/>
          <w:szCs w:val="21"/>
        </w:rPr>
        <w:t xml:space="preserve">                 传  真：</w:t>
      </w:r>
      <w:r>
        <w:rPr>
          <w:rFonts w:hint="eastAsia" w:ascii="宋体"/>
          <w:bCs/>
          <w:color w:val="auto"/>
          <w:szCs w:val="21"/>
          <w:u w:val="single"/>
        </w:rPr>
        <w:t xml:space="preserve">                    </w:t>
      </w:r>
    </w:p>
    <w:p w14:paraId="581BEF45">
      <w:pPr>
        <w:adjustRightInd w:val="0"/>
        <w:snapToGrid w:val="0"/>
        <w:spacing w:line="400" w:lineRule="exact"/>
        <w:outlineLvl w:val="9"/>
        <w:rPr>
          <w:rFonts w:hint="eastAsia" w:ascii="宋体"/>
          <w:color w:val="auto"/>
          <w:szCs w:val="21"/>
        </w:rPr>
      </w:pPr>
      <w:r>
        <w:rPr>
          <w:rFonts w:hint="eastAsia" w:ascii="宋体"/>
          <w:color w:val="auto"/>
          <w:szCs w:val="21"/>
        </w:rPr>
        <w:t>电子信箱：</w:t>
      </w:r>
      <w:r>
        <w:rPr>
          <w:rFonts w:hint="eastAsia" w:ascii="宋体"/>
          <w:bCs/>
          <w:color w:val="auto"/>
          <w:szCs w:val="21"/>
          <w:u w:val="single"/>
        </w:rPr>
        <w:t xml:space="preserve">                  </w:t>
      </w:r>
      <w:r>
        <w:rPr>
          <w:rFonts w:hint="eastAsia" w:ascii="宋体"/>
          <w:color w:val="auto"/>
          <w:szCs w:val="21"/>
        </w:rPr>
        <w:t xml:space="preserve">                 电子信箱：</w:t>
      </w:r>
      <w:r>
        <w:rPr>
          <w:rFonts w:hint="eastAsia" w:ascii="宋体"/>
          <w:bCs/>
          <w:color w:val="auto"/>
          <w:szCs w:val="21"/>
          <w:u w:val="single"/>
        </w:rPr>
        <w:t xml:space="preserve">                  </w:t>
      </w:r>
    </w:p>
    <w:p w14:paraId="33EA7C2C">
      <w:pPr>
        <w:adjustRightInd w:val="0"/>
        <w:snapToGrid w:val="0"/>
        <w:spacing w:line="400" w:lineRule="exact"/>
        <w:outlineLvl w:val="9"/>
        <w:rPr>
          <w:rFonts w:hint="eastAsia" w:ascii="宋体"/>
          <w:color w:val="auto"/>
          <w:szCs w:val="21"/>
        </w:rPr>
      </w:pPr>
      <w:r>
        <w:rPr>
          <w:rFonts w:hint="eastAsia" w:ascii="宋体"/>
          <w:color w:val="auto"/>
          <w:szCs w:val="21"/>
        </w:rPr>
        <w:t>开户银行：</w:t>
      </w:r>
      <w:r>
        <w:rPr>
          <w:rFonts w:hint="eastAsia" w:ascii="宋体"/>
          <w:bCs/>
          <w:color w:val="auto"/>
          <w:szCs w:val="21"/>
          <w:u w:val="single"/>
        </w:rPr>
        <w:t xml:space="preserve">                   </w:t>
      </w:r>
      <w:r>
        <w:rPr>
          <w:rFonts w:hint="eastAsia" w:ascii="宋体"/>
          <w:color w:val="auto"/>
          <w:szCs w:val="21"/>
        </w:rPr>
        <w:t xml:space="preserve">                开户银行：</w:t>
      </w:r>
      <w:r>
        <w:rPr>
          <w:rFonts w:hint="eastAsia" w:ascii="宋体"/>
          <w:bCs/>
          <w:color w:val="auto"/>
          <w:szCs w:val="21"/>
          <w:u w:val="single"/>
        </w:rPr>
        <w:t xml:space="preserve">                  </w:t>
      </w:r>
    </w:p>
    <w:p w14:paraId="797A85A8">
      <w:pPr>
        <w:adjustRightInd w:val="0"/>
        <w:snapToGrid w:val="0"/>
        <w:spacing w:line="400" w:lineRule="exact"/>
        <w:jc w:val="left"/>
        <w:outlineLvl w:val="9"/>
        <w:rPr>
          <w:rFonts w:hint="eastAsia" w:ascii="宋体"/>
          <w:bCs/>
          <w:color w:val="auto"/>
          <w:szCs w:val="21"/>
          <w:u w:val="single"/>
        </w:rPr>
      </w:pPr>
      <w:r>
        <w:rPr>
          <w:rFonts w:hint="eastAsia" w:ascii="宋体"/>
          <w:color w:val="auto"/>
          <w:szCs w:val="21"/>
        </w:rPr>
        <w:t>账  号：</w:t>
      </w:r>
      <w:r>
        <w:rPr>
          <w:rFonts w:hint="eastAsia" w:ascii="宋体"/>
          <w:bCs/>
          <w:color w:val="auto"/>
          <w:szCs w:val="21"/>
          <w:u w:val="single"/>
        </w:rPr>
        <w:t xml:space="preserve">                     </w:t>
      </w:r>
      <w:r>
        <w:rPr>
          <w:rFonts w:hint="eastAsia" w:ascii="宋体"/>
          <w:color w:val="auto"/>
          <w:szCs w:val="21"/>
        </w:rPr>
        <w:t xml:space="preserve">                账  号：</w:t>
      </w:r>
      <w:r>
        <w:rPr>
          <w:rFonts w:hint="eastAsia" w:ascii="宋体"/>
          <w:bCs/>
          <w:color w:val="auto"/>
          <w:szCs w:val="21"/>
          <w:u w:val="single"/>
        </w:rPr>
        <w:t xml:space="preserve">                    </w:t>
      </w:r>
    </w:p>
    <w:p w14:paraId="031327E8">
      <w:pPr>
        <w:adjustRightInd w:val="0"/>
        <w:snapToGrid w:val="0"/>
        <w:spacing w:line="400" w:lineRule="exact"/>
        <w:jc w:val="center"/>
        <w:outlineLvl w:val="9"/>
        <w:rPr>
          <w:rFonts w:hint="eastAsia" w:ascii="宋体"/>
          <w:b/>
          <w:bCs/>
          <w:color w:val="auto"/>
          <w:szCs w:val="21"/>
        </w:rPr>
      </w:pPr>
    </w:p>
    <w:p w14:paraId="0BD5B9AA">
      <w:pPr>
        <w:adjustRightInd w:val="0"/>
        <w:snapToGrid w:val="0"/>
        <w:spacing w:line="400" w:lineRule="exact"/>
        <w:jc w:val="left"/>
        <w:outlineLvl w:val="9"/>
        <w:rPr>
          <w:rFonts w:hint="eastAsia" w:ascii="宋体"/>
          <w:bCs/>
          <w:color w:val="auto"/>
          <w:szCs w:val="21"/>
        </w:rPr>
      </w:pPr>
    </w:p>
    <w:p w14:paraId="574E8054">
      <w:pPr>
        <w:jc w:val="center"/>
        <w:outlineLvl w:val="9"/>
        <w:rPr>
          <w:rFonts w:hint="eastAsia" w:ascii="宋体"/>
          <w:b/>
          <w:bCs/>
          <w:color w:val="auto"/>
          <w:sz w:val="32"/>
          <w:szCs w:val="32"/>
        </w:rPr>
      </w:pPr>
      <w:r>
        <w:rPr>
          <w:rFonts w:hint="eastAsia" w:ascii="宋体"/>
          <w:b/>
          <w:bCs/>
          <w:color w:val="auto"/>
          <w:szCs w:val="21"/>
        </w:rPr>
        <w:br w:type="page"/>
      </w:r>
      <w:bookmarkStart w:id="97" w:name="_Toc27223"/>
      <w:bookmarkStart w:id="98" w:name="_Toc32277"/>
      <w:bookmarkStart w:id="99" w:name="_Toc483317102"/>
      <w:bookmarkStart w:id="100" w:name="_Toc406522041"/>
      <w:bookmarkStart w:id="101" w:name="_Toc418752063"/>
      <w:bookmarkStart w:id="102" w:name="_Toc351203494"/>
      <w:bookmarkStart w:id="103" w:name="_Toc418751617"/>
      <w:bookmarkStart w:id="104" w:name="_Toc32348"/>
      <w:r>
        <w:rPr>
          <w:rStyle w:val="47"/>
          <w:rFonts w:hint="eastAsia" w:ascii="宋体"/>
          <w:color w:val="auto"/>
          <w:sz w:val="32"/>
        </w:rPr>
        <w:t>第二部分 通用合同条款</w:t>
      </w:r>
      <w:bookmarkEnd w:id="97"/>
      <w:bookmarkEnd w:id="98"/>
      <w:bookmarkEnd w:id="99"/>
      <w:bookmarkEnd w:id="100"/>
      <w:bookmarkEnd w:id="101"/>
      <w:bookmarkEnd w:id="102"/>
      <w:bookmarkEnd w:id="103"/>
      <w:bookmarkEnd w:id="104"/>
      <w:bookmarkStart w:id="105" w:name="_Toc337558727"/>
    </w:p>
    <w:bookmarkEnd w:id="105"/>
    <w:p w14:paraId="512E3632">
      <w:pPr>
        <w:pStyle w:val="43"/>
        <w:jc w:val="center"/>
        <w:outlineLvl w:val="9"/>
        <w:rPr>
          <w:rFonts w:hint="eastAsia" w:ascii="宋体"/>
          <w:color w:val="auto"/>
          <w:sz w:val="32"/>
        </w:rPr>
      </w:pPr>
      <w:bookmarkStart w:id="106" w:name="_Toc406522212"/>
      <w:bookmarkStart w:id="107" w:name="_Toc418752234"/>
      <w:bookmarkStart w:id="108" w:name="_Toc418751788"/>
      <w:bookmarkStart w:id="109" w:name="_Toc351203652"/>
    </w:p>
    <w:p w14:paraId="425CBB3E">
      <w:pPr>
        <w:jc w:val="left"/>
        <w:outlineLvl w:val="9"/>
        <w:rPr>
          <w:rFonts w:hint="eastAsia"/>
          <w:color w:val="auto"/>
          <w:szCs w:val="21"/>
        </w:rPr>
      </w:pPr>
      <w:r>
        <w:rPr>
          <w:rFonts w:hint="eastAsia"/>
          <w:color w:val="auto"/>
          <w:szCs w:val="21"/>
        </w:rPr>
        <w:t>详见《建筑工程施工合同（示范文本）》（GF-2017-0201）通用合同条款，专用条款有约定的，按专用条款执行</w:t>
      </w:r>
      <w:bookmarkStart w:id="110" w:name="_Toc483317103"/>
      <w:r>
        <w:rPr>
          <w:rFonts w:hint="eastAsia"/>
          <w:color w:val="auto"/>
          <w:szCs w:val="21"/>
        </w:rPr>
        <w:t>。</w:t>
      </w:r>
    </w:p>
    <w:p w14:paraId="2988C559">
      <w:pPr>
        <w:jc w:val="center"/>
        <w:outlineLvl w:val="9"/>
        <w:rPr>
          <w:rFonts w:hint="eastAsia" w:ascii="宋体"/>
          <w:b/>
          <w:color w:val="auto"/>
          <w:sz w:val="44"/>
        </w:rPr>
      </w:pPr>
      <w:r>
        <w:rPr>
          <w:rFonts w:hint="eastAsia" w:ascii="宋体"/>
          <w:b/>
          <w:color w:val="auto"/>
          <w:sz w:val="32"/>
        </w:rPr>
        <w:t>第三部分 专用合同条款</w:t>
      </w:r>
      <w:bookmarkEnd w:id="106"/>
      <w:bookmarkEnd w:id="107"/>
      <w:bookmarkEnd w:id="108"/>
      <w:bookmarkEnd w:id="110"/>
    </w:p>
    <w:bookmarkEnd w:id="109"/>
    <w:p w14:paraId="10DB14F3">
      <w:pPr>
        <w:pStyle w:val="32"/>
        <w:snapToGrid w:val="0"/>
        <w:spacing w:line="360" w:lineRule="auto"/>
        <w:jc w:val="left"/>
        <w:outlineLvl w:val="9"/>
        <w:rPr>
          <w:rFonts w:hint="eastAsia" w:ascii="宋体" w:eastAsia="宋体" w:cs="宋体"/>
          <w:color w:val="auto"/>
          <w:lang w:bidi="ar-SA"/>
        </w:rPr>
      </w:pPr>
      <w:bookmarkStart w:id="111" w:name="_Toc351203633"/>
      <w:r>
        <w:rPr>
          <w:rFonts w:hint="eastAsia" w:ascii="宋体" w:eastAsia="宋体" w:cs="宋体"/>
          <w:color w:val="auto"/>
          <w:lang w:bidi="ar-SA"/>
        </w:rPr>
        <w:t>1</w:t>
      </w:r>
      <w:bookmarkStart w:id="112" w:name="_Toc296944495"/>
      <w:bookmarkStart w:id="113" w:name="_Toc292559866"/>
      <w:bookmarkStart w:id="114" w:name="_Toc296346657"/>
      <w:bookmarkStart w:id="115" w:name="_Toc296891196"/>
      <w:bookmarkStart w:id="116" w:name="_Toc296347155"/>
      <w:bookmarkStart w:id="117" w:name="_Toc292559361"/>
      <w:bookmarkStart w:id="118" w:name="_Toc296890984"/>
      <w:bookmarkStart w:id="119" w:name="_Toc296503156"/>
      <w:bookmarkStart w:id="120" w:name="_Toc297048342"/>
      <w:bookmarkStart w:id="121" w:name="_Toc297120456"/>
      <w:r>
        <w:rPr>
          <w:rFonts w:hint="eastAsia" w:ascii="宋体" w:eastAsia="宋体" w:cs="宋体"/>
          <w:color w:val="auto"/>
          <w:lang w:bidi="ar-SA"/>
        </w:rPr>
        <w:t>. 一般约定</w:t>
      </w:r>
      <w:bookmarkEnd w:id="111"/>
    </w:p>
    <w:bookmarkEnd w:id="112"/>
    <w:bookmarkEnd w:id="113"/>
    <w:bookmarkEnd w:id="114"/>
    <w:bookmarkEnd w:id="115"/>
    <w:bookmarkEnd w:id="116"/>
    <w:bookmarkEnd w:id="117"/>
    <w:bookmarkEnd w:id="118"/>
    <w:bookmarkEnd w:id="119"/>
    <w:bookmarkEnd w:id="120"/>
    <w:bookmarkEnd w:id="121"/>
    <w:p w14:paraId="0BD2DCBA">
      <w:pPr>
        <w:pStyle w:val="32"/>
        <w:snapToGrid w:val="0"/>
        <w:spacing w:line="360" w:lineRule="auto"/>
        <w:jc w:val="left"/>
        <w:outlineLvl w:val="9"/>
        <w:rPr>
          <w:rFonts w:hint="eastAsia" w:ascii="宋体" w:eastAsia="宋体" w:cs="宋体"/>
          <w:color w:val="auto"/>
          <w:lang w:bidi="ar-SA"/>
        </w:rPr>
      </w:pPr>
      <w:bookmarkStart w:id="122" w:name="_Toc23309"/>
      <w:bookmarkStart w:id="123" w:name="_Toc7131"/>
      <w:r>
        <w:rPr>
          <w:rFonts w:hint="eastAsia" w:ascii="宋体" w:eastAsia="宋体" w:cs="宋体"/>
          <w:color w:val="auto"/>
          <w:lang w:bidi="ar-SA"/>
        </w:rPr>
        <w:t>1.1 词语定义</w:t>
      </w:r>
      <w:bookmarkEnd w:id="122"/>
      <w:bookmarkEnd w:id="123"/>
    </w:p>
    <w:p w14:paraId="32470351">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1.1.1合同</w:t>
      </w:r>
    </w:p>
    <w:p w14:paraId="774A3053">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1.1.1.10其他合同文件包括：</w:t>
      </w:r>
      <w:r>
        <w:rPr>
          <w:rFonts w:hint="eastAsia" w:ascii="宋体" w:eastAsia="宋体" w:cs="宋体"/>
          <w:color w:val="auto"/>
          <w:u w:val="single"/>
          <w:lang w:bidi="ar-SA"/>
        </w:rPr>
        <w:t>（1）本合同协议书；（2）</w:t>
      </w:r>
      <w:r>
        <w:rPr>
          <w:rFonts w:hint="eastAsia" w:ascii="宋体" w:cs="宋体"/>
          <w:color w:val="auto"/>
          <w:u w:val="single"/>
          <w:lang w:eastAsia="zh-CN" w:bidi="ar-SA"/>
        </w:rPr>
        <w:t>成交</w:t>
      </w:r>
      <w:r>
        <w:rPr>
          <w:rFonts w:hint="eastAsia" w:ascii="宋体" w:eastAsia="宋体" w:cs="宋体"/>
          <w:color w:val="auto"/>
          <w:u w:val="single"/>
          <w:lang w:bidi="ar-SA"/>
        </w:rPr>
        <w:t>通知书；（3）</w:t>
      </w:r>
      <w:r>
        <w:rPr>
          <w:rFonts w:hint="eastAsia" w:ascii="宋体" w:cs="宋体"/>
          <w:color w:val="auto"/>
          <w:u w:val="single"/>
          <w:lang w:eastAsia="zh-CN" w:bidi="ar-SA"/>
        </w:rPr>
        <w:t>响应</w:t>
      </w:r>
      <w:r>
        <w:rPr>
          <w:rFonts w:hint="eastAsia" w:ascii="宋体" w:eastAsia="宋体" w:cs="宋体"/>
          <w:color w:val="auto"/>
          <w:u w:val="single"/>
          <w:lang w:bidi="ar-SA"/>
        </w:rPr>
        <w:t xml:space="preserve">函及其附录；（4）专用合同条款及其附件；（5）通用合同条款；（6）技术标准和要求；（7）已标价工程量清单或预算书；（8）图纸；（9）其他合同文件；（10）履行合同过程中双方确认的对合同有影响的会议纪要、签证、及设计变更等相关资料  </w:t>
      </w:r>
      <w:r>
        <w:rPr>
          <w:rFonts w:hint="eastAsia" w:ascii="宋体" w:eastAsia="宋体" w:cs="宋体"/>
          <w:color w:val="auto"/>
          <w:lang w:bidi="ar-SA"/>
        </w:rPr>
        <w:t>。</w:t>
      </w:r>
    </w:p>
    <w:p w14:paraId="503D193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1.1.2 合同当事人及其他相关方</w:t>
      </w:r>
    </w:p>
    <w:p w14:paraId="6DAFDAC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1.1.2.4监理人：</w:t>
      </w:r>
    </w:p>
    <w:p w14:paraId="44D3439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名    称：</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13FFDAB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资质类别和等级：</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3DB8D84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联系电话：</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702486B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电子信箱：</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326C2CB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通信地址：</w:t>
      </w:r>
      <w:r>
        <w:rPr>
          <w:rFonts w:hint="eastAsia" w:ascii="宋体" w:eastAsia="宋体" w:cs="宋体"/>
          <w:color w:val="auto"/>
          <w:u w:val="single"/>
          <w:lang w:bidi="ar-SA"/>
        </w:rPr>
        <w:t>  （</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449F6B0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1.1.2.5 设计人：</w:t>
      </w:r>
    </w:p>
    <w:p w14:paraId="1714A8C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名    称：</w:t>
      </w:r>
      <w:r>
        <w:rPr>
          <w:rFonts w:hint="eastAsia" w:ascii="宋体" w:eastAsia="宋体" w:cs="宋体"/>
          <w:color w:val="auto"/>
          <w:u w:val="single"/>
          <w:lang w:bidi="ar-SA"/>
        </w:rPr>
        <w:t>  （</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5E5B290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资质类别和等级：</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5850076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联系电话：</w:t>
      </w:r>
      <w:r>
        <w:rPr>
          <w:rFonts w:hint="eastAsia" w:ascii="宋体" w:eastAsia="宋体" w:cs="宋体"/>
          <w:color w:val="auto"/>
          <w:u w:val="single"/>
          <w:lang w:bidi="ar-SA"/>
        </w:rPr>
        <w:t>  （</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1F3DAE5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电子信箱：</w:t>
      </w:r>
      <w:r>
        <w:rPr>
          <w:rFonts w:hint="eastAsia" w:ascii="宋体" w:eastAsia="宋体" w:cs="宋体"/>
          <w:color w:val="auto"/>
          <w:u w:val="single"/>
          <w:lang w:bidi="ar-SA"/>
        </w:rPr>
        <w:t>  （</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23F638F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通信地址：</w:t>
      </w:r>
      <w:r>
        <w:rPr>
          <w:rFonts w:hint="eastAsia" w:ascii="宋体" w:eastAsia="宋体" w:cs="宋体"/>
          <w:color w:val="auto"/>
          <w:u w:val="single"/>
          <w:lang w:bidi="ar-SA"/>
        </w:rPr>
        <w:t>  （</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377ED69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1.1.3 工程和设备</w:t>
      </w:r>
    </w:p>
    <w:p w14:paraId="433AB12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1.1.3.7 作为施工现场组成部分的其他场所包括：</w:t>
      </w:r>
      <w:r>
        <w:rPr>
          <w:rFonts w:hint="eastAsia" w:ascii="宋体" w:eastAsia="宋体" w:cs="宋体"/>
          <w:color w:val="auto"/>
          <w:u w:val="single"/>
          <w:lang w:bidi="ar-SA"/>
        </w:rPr>
        <w:t>指为完成合同约定的各项工作所服务的临时性生产和生活设施及临时用地</w:t>
      </w:r>
      <w:r>
        <w:rPr>
          <w:rFonts w:hint="eastAsia" w:ascii="宋体" w:eastAsia="宋体" w:cs="宋体"/>
          <w:color w:val="auto"/>
          <w:lang w:bidi="ar-SA"/>
        </w:rPr>
        <w:t>。</w:t>
      </w:r>
    </w:p>
    <w:p w14:paraId="0C187B35">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1.1.3.9 永久占地包括：</w:t>
      </w:r>
      <w:r>
        <w:rPr>
          <w:rFonts w:hint="eastAsia" w:ascii="宋体" w:eastAsia="宋体" w:cs="宋体"/>
          <w:color w:val="auto"/>
          <w:u w:val="single"/>
          <w:lang w:bidi="ar-SA"/>
        </w:rPr>
        <w:t>按照施工平面图，任何永久性工程外轮廓线投影至地表面所合围的用地面积</w:t>
      </w:r>
      <w:r>
        <w:rPr>
          <w:rFonts w:hint="eastAsia" w:ascii="宋体" w:eastAsia="宋体" w:cs="宋体"/>
          <w:color w:val="auto"/>
          <w:kern w:val="0"/>
          <w:lang w:bidi="ar-SA"/>
        </w:rPr>
        <w:t>。</w:t>
      </w:r>
    </w:p>
    <w:p w14:paraId="43B9F25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1.1.3.10 临时占地包括：</w:t>
      </w:r>
      <w:r>
        <w:rPr>
          <w:rFonts w:hint="eastAsia" w:ascii="宋体" w:eastAsia="宋体" w:cs="宋体"/>
          <w:color w:val="auto"/>
          <w:u w:val="single"/>
          <w:lang w:bidi="ar-SA"/>
        </w:rPr>
        <w:t>临时设施的建设用地，由发包人提供</w:t>
      </w:r>
      <w:r>
        <w:rPr>
          <w:rFonts w:hint="eastAsia" w:ascii="宋体" w:eastAsia="宋体" w:cs="宋体"/>
          <w:color w:val="auto"/>
          <w:kern w:val="0"/>
          <w:lang w:bidi="ar-SA"/>
        </w:rPr>
        <w:t>。</w:t>
      </w:r>
    </w:p>
    <w:p w14:paraId="28BDA96B">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 xml:space="preserve">1.3法律 </w:t>
      </w:r>
    </w:p>
    <w:p w14:paraId="1B0F3B12">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适用于合同的其他规范性文件：</w:t>
      </w:r>
      <w:r>
        <w:rPr>
          <w:rFonts w:hint="eastAsia" w:ascii="宋体" w:eastAsia="宋体" w:cs="宋体"/>
          <w:color w:val="auto"/>
          <w:u w:val="single"/>
          <w:lang w:bidi="ar-SA"/>
        </w:rPr>
        <w:t>需要明示的法律、行政法规：《中华人民共和国</w:t>
      </w:r>
      <w:r>
        <w:rPr>
          <w:rFonts w:hint="eastAsia" w:ascii="宋体" w:cs="宋体"/>
          <w:color w:val="auto"/>
          <w:u w:val="single"/>
          <w:lang w:eastAsia="zh-CN" w:bidi="ar-SA"/>
        </w:rPr>
        <w:t>民法典</w:t>
      </w:r>
      <w:r>
        <w:rPr>
          <w:rFonts w:hint="eastAsia" w:ascii="宋体" w:eastAsia="宋体" w:cs="宋体"/>
          <w:color w:val="auto"/>
          <w:u w:val="single"/>
          <w:lang w:bidi="ar-SA"/>
        </w:rPr>
        <w:t>》、《中华人民共和国建筑法》、《中华人民共和国</w:t>
      </w:r>
      <w:r>
        <w:rPr>
          <w:rFonts w:hint="eastAsia" w:ascii="宋体" w:cs="宋体"/>
          <w:color w:val="auto"/>
          <w:u w:val="single"/>
          <w:lang w:eastAsia="zh-CN" w:bidi="ar-SA"/>
        </w:rPr>
        <w:t>政府采购</w:t>
      </w:r>
      <w:r>
        <w:rPr>
          <w:rFonts w:hint="eastAsia" w:ascii="宋体" w:eastAsia="宋体" w:cs="宋体"/>
          <w:color w:val="auto"/>
          <w:u w:val="single"/>
          <w:lang w:bidi="ar-SA"/>
        </w:rPr>
        <w:t>法》、《中华人民共和国安全生产法》、《建设工程质量管理条例》以及其他有关法律、法规</w:t>
      </w:r>
      <w:r>
        <w:rPr>
          <w:rFonts w:hint="eastAsia" w:ascii="宋体" w:eastAsia="宋体" w:cs="宋体"/>
          <w:color w:val="auto"/>
          <w:lang w:bidi="ar-SA"/>
        </w:rPr>
        <w:t>。</w:t>
      </w:r>
    </w:p>
    <w:p w14:paraId="50EB84E7">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1.4 标准和规范</w:t>
      </w:r>
    </w:p>
    <w:p w14:paraId="2B6D73A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1.4.1适用于工程的标准规范包括：</w:t>
      </w:r>
      <w:r>
        <w:rPr>
          <w:rFonts w:hint="eastAsia" w:ascii="宋体" w:eastAsia="宋体" w:cs="宋体"/>
          <w:color w:val="auto"/>
          <w:u w:val="single"/>
          <w:lang w:bidi="ar-SA"/>
        </w:rPr>
        <w:t>现行的国家、行业以及地方规范、标准和规程现行的国家、行业和地方现行标准、规范和规程等</w:t>
      </w:r>
      <w:r>
        <w:rPr>
          <w:rFonts w:hint="eastAsia" w:ascii="宋体" w:eastAsia="宋体" w:cs="宋体"/>
          <w:color w:val="auto"/>
          <w:lang w:bidi="ar-SA"/>
        </w:rPr>
        <w:t>。</w:t>
      </w:r>
    </w:p>
    <w:p w14:paraId="7931C677">
      <w:pPr>
        <w:pStyle w:val="32"/>
        <w:snapToGrid w:val="0"/>
        <w:spacing w:line="360" w:lineRule="auto"/>
        <w:ind w:firstLine="420" w:firstLineChars="200"/>
        <w:jc w:val="left"/>
        <w:outlineLvl w:val="9"/>
        <w:rPr>
          <w:rFonts w:hint="eastAsia" w:ascii="宋体" w:eastAsia="宋体" w:cs="宋体"/>
          <w:color w:val="auto"/>
          <w:kern w:val="0"/>
          <w:lang w:bidi="ar-SA"/>
        </w:rPr>
      </w:pPr>
      <w:bookmarkStart w:id="124" w:name="_Toc30535"/>
      <w:bookmarkStart w:id="125" w:name="_Toc23839"/>
      <w:r>
        <w:rPr>
          <w:rFonts w:hint="eastAsia" w:ascii="宋体" w:eastAsia="宋体" w:cs="宋体"/>
          <w:color w:val="auto"/>
          <w:kern w:val="0"/>
          <w:lang w:bidi="ar-SA"/>
        </w:rPr>
        <w:t>1.4.2 发包人提供国外标准、规范的名称：</w:t>
      </w:r>
      <w:r>
        <w:rPr>
          <w:rFonts w:hint="eastAsia" w:ascii="宋体" w:eastAsia="宋体" w:cs="宋体"/>
          <w:color w:val="auto"/>
          <w:kern w:val="0"/>
          <w:u w:val="single"/>
          <w:lang w:bidi="ar-SA"/>
        </w:rPr>
        <w:t>无</w:t>
      </w:r>
      <w:r>
        <w:rPr>
          <w:rFonts w:hint="eastAsia" w:ascii="宋体" w:eastAsia="宋体" w:cs="宋体"/>
          <w:color w:val="auto"/>
          <w:kern w:val="0"/>
          <w:lang w:bidi="ar-SA"/>
        </w:rPr>
        <w:t>；</w:t>
      </w:r>
      <w:bookmarkEnd w:id="124"/>
      <w:bookmarkEnd w:id="125"/>
    </w:p>
    <w:p w14:paraId="4108BC15">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发包人提供国外标准、规范的份数：</w:t>
      </w:r>
      <w:r>
        <w:rPr>
          <w:rFonts w:hint="eastAsia" w:ascii="宋体" w:eastAsia="宋体" w:cs="宋体"/>
          <w:color w:val="auto"/>
          <w:kern w:val="0"/>
          <w:u w:val="single"/>
          <w:lang w:bidi="ar-SA"/>
        </w:rPr>
        <w:t>无</w:t>
      </w:r>
      <w:r>
        <w:rPr>
          <w:rFonts w:hint="eastAsia" w:ascii="宋体" w:eastAsia="宋体" w:cs="宋体"/>
          <w:color w:val="auto"/>
          <w:kern w:val="0"/>
          <w:lang w:bidi="ar-SA"/>
        </w:rPr>
        <w:t>；</w:t>
      </w:r>
    </w:p>
    <w:p w14:paraId="368B712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发包人提供国外标准、规范的名称：</w:t>
      </w:r>
      <w:r>
        <w:rPr>
          <w:rFonts w:hint="eastAsia" w:ascii="宋体" w:eastAsia="宋体" w:cs="宋体"/>
          <w:color w:val="auto"/>
          <w:kern w:val="0"/>
          <w:u w:val="single"/>
          <w:lang w:bidi="ar-SA"/>
        </w:rPr>
        <w:t>无</w:t>
      </w:r>
      <w:r>
        <w:rPr>
          <w:rFonts w:hint="eastAsia" w:ascii="宋体" w:eastAsia="宋体" w:cs="宋体"/>
          <w:color w:val="auto"/>
          <w:kern w:val="0"/>
          <w:lang w:bidi="ar-SA"/>
        </w:rPr>
        <w:t>。</w:t>
      </w:r>
    </w:p>
    <w:p w14:paraId="410A84A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1.4.3发包人对工程的技术标准和功能要求的特殊要求：</w:t>
      </w:r>
      <w:r>
        <w:rPr>
          <w:rFonts w:hint="eastAsia" w:ascii="宋体" w:eastAsia="宋体" w:cs="宋体"/>
          <w:color w:val="auto"/>
          <w:kern w:val="0"/>
          <w:u w:val="single"/>
          <w:lang w:bidi="ar-SA"/>
        </w:rPr>
        <w:t>无</w:t>
      </w:r>
      <w:r>
        <w:rPr>
          <w:rFonts w:hint="eastAsia" w:ascii="宋体" w:eastAsia="宋体" w:cs="宋体"/>
          <w:color w:val="auto"/>
          <w:lang w:bidi="ar-SA"/>
        </w:rPr>
        <w:t>。</w:t>
      </w:r>
    </w:p>
    <w:p w14:paraId="446D8309">
      <w:pPr>
        <w:pStyle w:val="32"/>
        <w:snapToGrid w:val="0"/>
        <w:spacing w:line="360" w:lineRule="auto"/>
        <w:jc w:val="left"/>
        <w:outlineLvl w:val="9"/>
        <w:rPr>
          <w:rFonts w:hint="eastAsia" w:ascii="宋体" w:eastAsia="宋体" w:cs="宋体"/>
          <w:color w:val="auto"/>
          <w:lang w:bidi="ar-SA"/>
        </w:rPr>
      </w:pPr>
      <w:bookmarkStart w:id="126" w:name="_Toc17097"/>
      <w:bookmarkStart w:id="127" w:name="_Toc30300"/>
      <w:r>
        <w:rPr>
          <w:rFonts w:hint="eastAsia" w:ascii="宋体" w:eastAsia="宋体" w:cs="宋体"/>
          <w:color w:val="auto"/>
          <w:lang w:bidi="ar-SA"/>
        </w:rPr>
        <w:t>1.5 合同文件的优先顺序</w:t>
      </w:r>
      <w:bookmarkEnd w:id="126"/>
      <w:bookmarkEnd w:id="127"/>
    </w:p>
    <w:p w14:paraId="083818B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合同文件组成及优先顺序为：</w:t>
      </w:r>
    </w:p>
    <w:p w14:paraId="7E0462B4">
      <w:pPr>
        <w:pStyle w:val="32"/>
        <w:snapToGrid w:val="0"/>
        <w:spacing w:line="360" w:lineRule="auto"/>
        <w:ind w:firstLine="420"/>
        <w:jc w:val="left"/>
        <w:outlineLvl w:val="9"/>
        <w:rPr>
          <w:rFonts w:hint="eastAsia" w:ascii="宋体" w:eastAsia="宋体" w:cs="宋体"/>
          <w:color w:val="auto"/>
          <w:lang w:bidi="ar-SA"/>
        </w:rPr>
      </w:pPr>
      <w:r>
        <w:rPr>
          <w:rFonts w:hint="eastAsia" w:ascii="宋体" w:eastAsia="宋体" w:cs="宋体"/>
          <w:color w:val="auto"/>
          <w:u w:val="single"/>
          <w:lang w:bidi="ar-SA"/>
        </w:rPr>
        <w:t>（1）合同协议书；（2）</w:t>
      </w:r>
      <w:r>
        <w:rPr>
          <w:rFonts w:hint="eastAsia" w:ascii="宋体" w:cs="宋体"/>
          <w:color w:val="auto"/>
          <w:u w:val="single"/>
          <w:lang w:eastAsia="zh-CN" w:bidi="ar-SA"/>
        </w:rPr>
        <w:t>成交</w:t>
      </w:r>
      <w:r>
        <w:rPr>
          <w:rFonts w:hint="eastAsia" w:ascii="宋体" w:eastAsia="宋体" w:cs="宋体"/>
          <w:color w:val="auto"/>
          <w:u w:val="single"/>
          <w:lang w:bidi="ar-SA"/>
        </w:rPr>
        <w:t>通知书；（3）</w:t>
      </w:r>
      <w:r>
        <w:rPr>
          <w:rFonts w:hint="eastAsia" w:ascii="宋体" w:cs="宋体"/>
          <w:color w:val="auto"/>
          <w:u w:val="single"/>
          <w:lang w:eastAsia="zh-CN" w:bidi="ar-SA"/>
        </w:rPr>
        <w:t>响应</w:t>
      </w:r>
      <w:r>
        <w:rPr>
          <w:rFonts w:hint="eastAsia" w:ascii="宋体" w:eastAsia="宋体" w:cs="宋体"/>
          <w:color w:val="auto"/>
          <w:u w:val="single"/>
          <w:lang w:bidi="ar-SA"/>
        </w:rPr>
        <w:t>函及其附录；（4）专用合同条款及其附件；（5）通用合同条款；（6）技术标准和要求；（7）已标价工程量清单或预算书；（8）图纸（含图纸修改通知单及图纸设计变更文件）；（9）本工程预算控制价造价成果文件、</w:t>
      </w:r>
      <w:r>
        <w:rPr>
          <w:rFonts w:hint="eastAsia" w:ascii="宋体" w:cs="宋体"/>
          <w:color w:val="auto"/>
          <w:u w:val="single"/>
          <w:lang w:eastAsia="zh-CN" w:bidi="ar-SA"/>
        </w:rPr>
        <w:t>采购</w:t>
      </w:r>
      <w:r>
        <w:rPr>
          <w:rFonts w:hint="eastAsia" w:ascii="宋体" w:eastAsia="宋体" w:cs="宋体"/>
          <w:color w:val="auto"/>
          <w:u w:val="single"/>
          <w:lang w:bidi="ar-SA"/>
        </w:rPr>
        <w:t>文件的</w:t>
      </w:r>
      <w:r>
        <w:rPr>
          <w:rFonts w:hint="eastAsia" w:ascii="宋体" w:cs="宋体"/>
          <w:color w:val="auto"/>
          <w:u w:val="single"/>
          <w:lang w:eastAsia="zh-CN" w:bidi="ar-SA"/>
        </w:rPr>
        <w:t>供应商</w:t>
      </w:r>
      <w:r>
        <w:rPr>
          <w:rFonts w:hint="eastAsia" w:ascii="宋体" w:eastAsia="宋体" w:cs="宋体"/>
          <w:color w:val="auto"/>
          <w:u w:val="single"/>
          <w:lang w:bidi="ar-SA"/>
        </w:rPr>
        <w:t>须知及其他合同文件、</w:t>
      </w:r>
      <w:r>
        <w:rPr>
          <w:rFonts w:hint="eastAsia" w:ascii="宋体" w:cs="宋体"/>
          <w:color w:val="auto"/>
          <w:u w:val="single"/>
          <w:lang w:eastAsia="zh-CN" w:bidi="ar-SA"/>
        </w:rPr>
        <w:t>响应</w:t>
      </w:r>
      <w:r>
        <w:rPr>
          <w:rFonts w:hint="eastAsia" w:ascii="宋体" w:eastAsia="宋体" w:cs="宋体"/>
          <w:color w:val="auto"/>
          <w:u w:val="single"/>
          <w:lang w:bidi="ar-SA"/>
        </w:rPr>
        <w:t>文件及其它有关文件</w:t>
      </w:r>
      <w:r>
        <w:rPr>
          <w:rFonts w:hint="eastAsia" w:ascii="宋体" w:eastAsia="宋体" w:cs="宋体"/>
          <w:color w:val="auto"/>
          <w:lang w:bidi="ar-SA"/>
        </w:rPr>
        <w:t>。</w:t>
      </w:r>
    </w:p>
    <w:p w14:paraId="4159075F">
      <w:pPr>
        <w:pStyle w:val="32"/>
        <w:snapToGrid w:val="0"/>
        <w:spacing w:line="360" w:lineRule="auto"/>
        <w:ind w:firstLine="420"/>
        <w:jc w:val="left"/>
        <w:outlineLvl w:val="9"/>
        <w:rPr>
          <w:rFonts w:hint="eastAsia" w:ascii="宋体" w:eastAsia="宋体" w:cs="宋体"/>
          <w:color w:val="auto"/>
          <w:u w:val="single"/>
          <w:lang w:bidi="ar-SA"/>
        </w:rPr>
      </w:pPr>
      <w:r>
        <w:rPr>
          <w:rFonts w:hint="eastAsia" w:ascii="宋体" w:eastAsia="宋体" w:cs="宋体"/>
          <w:color w:val="auto"/>
          <w:u w:val="single"/>
          <w:lang w:bidi="ar-SA"/>
        </w:rPr>
        <w:t>合同协议书中约定采用总价合同形式的，已标价工程量清单中的各项工程量对合同双方不具合同约束力。</w:t>
      </w:r>
    </w:p>
    <w:p w14:paraId="0EE14A12">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图纸与技术标准和要求之间有矛盾或者不一致的，以其中要求较严格的标准为准。</w:t>
      </w:r>
    </w:p>
    <w:p w14:paraId="6C3F5A5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u w:val="single"/>
          <w:lang w:bidi="ar-SA"/>
        </w:rPr>
        <w:t>合同双方在合同履行过程中签订的补充协议亦构成合同文件的组成部分，其解释顺序视其内容与其他合同文件的相互关系而定。</w:t>
      </w:r>
    </w:p>
    <w:p w14:paraId="552D4A40">
      <w:pPr>
        <w:pStyle w:val="32"/>
        <w:snapToGrid w:val="0"/>
        <w:spacing w:line="360" w:lineRule="auto"/>
        <w:jc w:val="left"/>
        <w:outlineLvl w:val="9"/>
        <w:rPr>
          <w:rFonts w:hint="eastAsia" w:ascii="宋体" w:eastAsia="宋体" w:cs="宋体"/>
          <w:color w:val="auto"/>
          <w:lang w:bidi="ar-SA"/>
        </w:rPr>
      </w:pPr>
      <w:bookmarkStart w:id="128" w:name="_Toc20601"/>
      <w:bookmarkStart w:id="129" w:name="_Toc2212"/>
      <w:r>
        <w:rPr>
          <w:rFonts w:hint="eastAsia" w:ascii="宋体" w:eastAsia="宋体" w:cs="宋体"/>
          <w:color w:val="auto"/>
          <w:lang w:bidi="ar-SA"/>
        </w:rPr>
        <w:t>1.6 图纸和承包人文件</w:t>
      </w:r>
      <w:bookmarkEnd w:id="128"/>
      <w:bookmarkEnd w:id="129"/>
      <w:r>
        <w:rPr>
          <w:rFonts w:hint="eastAsia" w:ascii="宋体" w:eastAsia="宋体" w:cs="宋体"/>
          <w:color w:val="auto"/>
          <w:lang w:bidi="ar-SA"/>
        </w:rPr>
        <w:tab/>
      </w:r>
    </w:p>
    <w:p w14:paraId="067D302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1.6.1 图纸的提供</w:t>
      </w:r>
    </w:p>
    <w:p w14:paraId="0AB521B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发包人向承包人提供图纸的期限：</w:t>
      </w:r>
      <w:r>
        <w:rPr>
          <w:rFonts w:hint="eastAsia" w:ascii="宋体" w:eastAsia="宋体" w:cs="宋体"/>
          <w:color w:val="auto"/>
          <w:u w:val="single"/>
          <w:lang w:bidi="ar-SA"/>
        </w:rPr>
        <w:t>合同签订后</w:t>
      </w:r>
      <w:r>
        <w:rPr>
          <w:rFonts w:hint="eastAsia" w:ascii="宋体" w:cs="宋体"/>
          <w:color w:val="auto"/>
          <w:u w:val="single"/>
          <w:lang w:val="en-US" w:eastAsia="zh-CN" w:bidi="ar-SA"/>
        </w:rPr>
        <w:t>7</w:t>
      </w:r>
      <w:r>
        <w:rPr>
          <w:rFonts w:hint="eastAsia" w:ascii="宋体" w:eastAsia="宋体" w:cs="宋体"/>
          <w:color w:val="auto"/>
          <w:u w:val="single"/>
          <w:lang w:bidi="ar-SA"/>
        </w:rPr>
        <w:t>天</w:t>
      </w:r>
      <w:r>
        <w:rPr>
          <w:rFonts w:hint="eastAsia" w:ascii="宋体" w:cs="宋体"/>
          <w:color w:val="auto"/>
          <w:u w:val="single"/>
          <w:lang w:eastAsia="zh-CN" w:bidi="ar-SA"/>
        </w:rPr>
        <w:t>内</w:t>
      </w:r>
      <w:r>
        <w:rPr>
          <w:rFonts w:hint="eastAsia" w:ascii="宋体" w:eastAsia="宋体" w:cs="宋体"/>
          <w:color w:val="auto"/>
          <w:u w:val="single"/>
          <w:lang w:bidi="ar-SA"/>
        </w:rPr>
        <w:t>发包人免费向承包人提供图纸和其他技术资料陆份并向承包人进行技术交底，上述图纸及技术资料，未经监理工程师和发包人同意，承包人不得提供给与本工程无关的第三方</w:t>
      </w:r>
      <w:r>
        <w:rPr>
          <w:rFonts w:hint="eastAsia" w:ascii="宋体" w:eastAsia="宋体" w:cs="宋体"/>
          <w:color w:val="auto"/>
          <w:lang w:bidi="ar-SA"/>
        </w:rPr>
        <w:t>；</w:t>
      </w:r>
    </w:p>
    <w:p w14:paraId="6F80119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发包人向承包人提供图纸的数量：</w:t>
      </w:r>
      <w:r>
        <w:rPr>
          <w:rFonts w:hint="eastAsia" w:ascii="宋体" w:eastAsia="宋体" w:cs="宋体"/>
          <w:color w:val="auto"/>
          <w:u w:val="single"/>
          <w:lang w:bidi="ar-SA"/>
        </w:rPr>
        <w:t>2份全套图纸，承包人需要更多份数时，自费复制</w:t>
      </w:r>
      <w:r>
        <w:rPr>
          <w:rFonts w:hint="eastAsia" w:ascii="宋体" w:eastAsia="宋体" w:cs="宋体"/>
          <w:color w:val="auto"/>
          <w:lang w:bidi="ar-SA"/>
        </w:rPr>
        <w:t>；</w:t>
      </w:r>
    </w:p>
    <w:p w14:paraId="57B1D43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发包人向承包人提供图纸的内容：工程承包范围内的各专业施工图、设计变更图等涉及工程施工所需的相关图纸。</w:t>
      </w:r>
    </w:p>
    <w:p w14:paraId="0441E59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1.6.4 承包人文件</w:t>
      </w:r>
    </w:p>
    <w:p w14:paraId="211FCD6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需要由承包人提供的文件，包括：</w:t>
      </w:r>
      <w:r>
        <w:rPr>
          <w:rFonts w:hint="eastAsia" w:ascii="宋体" w:eastAsia="宋体" w:cs="宋体"/>
          <w:color w:val="auto"/>
          <w:u w:val="single"/>
          <w:lang w:bidi="ar-SA"/>
        </w:rPr>
        <w:t>必要的加工图和大样图，均不是合同计量与支付的依据文件</w:t>
      </w:r>
      <w:r>
        <w:rPr>
          <w:rFonts w:hint="eastAsia" w:ascii="宋体" w:eastAsia="宋体" w:cs="宋体"/>
          <w:color w:val="auto"/>
          <w:lang w:bidi="ar-SA"/>
        </w:rPr>
        <w:t>；</w:t>
      </w:r>
    </w:p>
    <w:p w14:paraId="3FC1E9F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由承包人提供的文件范围：</w:t>
      </w:r>
      <w:r>
        <w:rPr>
          <w:rFonts w:hint="eastAsia" w:ascii="宋体" w:eastAsia="宋体" w:cs="宋体"/>
          <w:color w:val="auto"/>
          <w:u w:val="single"/>
          <w:lang w:bidi="ar-SA"/>
        </w:rPr>
        <w:t>合同签订后7天内向监理工程师和发包人提交1、施工组织设计；2、工程进度计划；3、每月25日前提供当月施工统计报表和下月进度计划各一份交监理工程师及发包人</w:t>
      </w:r>
      <w:r>
        <w:rPr>
          <w:rFonts w:hint="eastAsia" w:ascii="宋体" w:eastAsia="宋体" w:cs="宋体"/>
          <w:color w:val="auto"/>
          <w:lang w:bidi="ar-SA"/>
        </w:rPr>
        <w:t>；</w:t>
      </w:r>
    </w:p>
    <w:p w14:paraId="405C4A0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承包人提供的文件的期限为：</w:t>
      </w:r>
      <w:r>
        <w:rPr>
          <w:rFonts w:hint="eastAsia" w:ascii="宋体" w:eastAsia="宋体" w:cs="宋体"/>
          <w:color w:val="auto"/>
          <w:u w:val="single"/>
          <w:lang w:bidi="ar-SA"/>
        </w:rPr>
        <w:t>不少于该项工作施工前14天</w:t>
      </w:r>
      <w:r>
        <w:rPr>
          <w:rFonts w:hint="eastAsia" w:ascii="宋体" w:eastAsia="宋体" w:cs="宋体"/>
          <w:color w:val="auto"/>
          <w:lang w:bidi="ar-SA"/>
        </w:rPr>
        <w:t>；</w:t>
      </w:r>
    </w:p>
    <w:p w14:paraId="3EC160C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承包人提供的文件的数量为：</w:t>
      </w:r>
      <w:r>
        <w:rPr>
          <w:rFonts w:hint="eastAsia" w:ascii="宋体" w:eastAsia="宋体" w:cs="宋体"/>
          <w:color w:val="auto"/>
          <w:u w:val="single"/>
          <w:lang w:bidi="ar-SA"/>
        </w:rPr>
        <w:t>按发包人或监理人要求</w:t>
      </w:r>
      <w:r>
        <w:rPr>
          <w:rFonts w:hint="eastAsia" w:ascii="宋体" w:eastAsia="宋体" w:cs="宋体"/>
          <w:color w:val="auto"/>
          <w:lang w:bidi="ar-SA"/>
        </w:rPr>
        <w:t>；</w:t>
      </w:r>
    </w:p>
    <w:p w14:paraId="31DCBEB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承包人提供的文件的形式为：</w:t>
      </w:r>
      <w:r>
        <w:rPr>
          <w:rFonts w:hint="eastAsia" w:ascii="宋体" w:eastAsia="宋体" w:cs="宋体"/>
          <w:color w:val="auto"/>
          <w:u w:val="single"/>
          <w:lang w:bidi="ar-SA"/>
        </w:rPr>
        <w:t>纸质版的书面文件</w:t>
      </w:r>
      <w:r>
        <w:rPr>
          <w:rFonts w:hint="eastAsia" w:ascii="宋体" w:eastAsia="宋体" w:cs="宋体"/>
          <w:color w:val="auto"/>
          <w:lang w:bidi="ar-SA"/>
        </w:rPr>
        <w:t>；</w:t>
      </w:r>
    </w:p>
    <w:p w14:paraId="51324B8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发包人审批承包人文件的期限：</w:t>
      </w:r>
      <w:r>
        <w:rPr>
          <w:rFonts w:hint="eastAsia" w:ascii="宋体" w:eastAsia="宋体" w:cs="宋体"/>
          <w:color w:val="auto"/>
          <w:u w:val="single"/>
          <w:lang w:bidi="ar-SA"/>
        </w:rPr>
        <w:t>收到承包人提供的文件后7天内</w:t>
      </w:r>
      <w:r>
        <w:rPr>
          <w:rFonts w:hint="eastAsia" w:ascii="宋体" w:eastAsia="宋体" w:cs="宋体"/>
          <w:color w:val="auto"/>
          <w:lang w:bidi="ar-SA"/>
        </w:rPr>
        <w:t>。</w:t>
      </w:r>
    </w:p>
    <w:p w14:paraId="19ADE90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1.6.5 现场图纸准备</w:t>
      </w:r>
    </w:p>
    <w:p w14:paraId="132D47B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关于现场图纸准备的约定：</w:t>
      </w:r>
      <w:r>
        <w:rPr>
          <w:rFonts w:hint="eastAsia" w:ascii="宋体" w:eastAsia="宋体" w:cs="宋体"/>
          <w:color w:val="auto"/>
          <w:u w:val="single"/>
          <w:lang w:bidi="ar-SA"/>
        </w:rPr>
        <w:t>承包人应在施工现场另外保存一套完整的图纸和承包人文件，供发包人、监理人及有关人员进行工程检查时使用</w:t>
      </w:r>
      <w:r>
        <w:rPr>
          <w:rFonts w:hint="eastAsia" w:ascii="宋体" w:eastAsia="宋体" w:cs="宋体"/>
          <w:color w:val="auto"/>
          <w:lang w:bidi="ar-SA"/>
        </w:rPr>
        <w:t>。</w:t>
      </w:r>
    </w:p>
    <w:p w14:paraId="05A5F0D6">
      <w:pPr>
        <w:pStyle w:val="32"/>
        <w:snapToGrid w:val="0"/>
        <w:spacing w:line="360" w:lineRule="auto"/>
        <w:jc w:val="left"/>
        <w:outlineLvl w:val="9"/>
        <w:rPr>
          <w:rFonts w:hint="eastAsia" w:ascii="宋体" w:eastAsia="宋体" w:cs="宋体"/>
          <w:color w:val="auto"/>
          <w:lang w:bidi="ar-SA"/>
        </w:rPr>
      </w:pPr>
      <w:bookmarkStart w:id="130" w:name="_Toc14557"/>
      <w:bookmarkStart w:id="131" w:name="_Toc1041"/>
      <w:r>
        <w:rPr>
          <w:rFonts w:hint="eastAsia" w:ascii="宋体" w:eastAsia="宋体" w:cs="宋体"/>
          <w:color w:val="auto"/>
          <w:lang w:bidi="ar-SA"/>
        </w:rPr>
        <w:t>1.7 联络</w:t>
      </w:r>
      <w:bookmarkEnd w:id="130"/>
      <w:bookmarkEnd w:id="131"/>
    </w:p>
    <w:p w14:paraId="2465C9D9">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1.7.1发包人和承包人应当在</w:t>
      </w:r>
      <w:r>
        <w:rPr>
          <w:rFonts w:hint="eastAsia" w:ascii="宋体" w:eastAsia="宋体" w:cs="宋体"/>
          <w:color w:val="auto"/>
          <w:u w:val="single"/>
          <w:lang w:bidi="ar-SA"/>
        </w:rPr>
        <w:t>进场施工前14</w:t>
      </w:r>
      <w:r>
        <w:rPr>
          <w:rFonts w:hint="eastAsia" w:ascii="宋体" w:eastAsia="宋体" w:cs="宋体"/>
          <w:color w:val="auto"/>
          <w:kern w:val="0"/>
          <w:lang w:bidi="ar-SA"/>
        </w:rPr>
        <w:t>天内将与合同有关的通知、批准、证明、证书、指示、指令、要求、请求、同意、意见、确定和决定等书面函件送达对方当事人。</w:t>
      </w:r>
    </w:p>
    <w:p w14:paraId="2289EF59">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1.7.2 发包人接收文件的地点：</w:t>
      </w:r>
      <w:r>
        <w:rPr>
          <w:rFonts w:hint="eastAsia" w:ascii="宋体" w:eastAsia="宋体" w:cs="宋体"/>
          <w:color w:val="auto"/>
          <w:u w:val="single"/>
          <w:lang w:bidi="ar-SA"/>
        </w:rPr>
        <w:t>现场工程部</w:t>
      </w:r>
      <w:r>
        <w:rPr>
          <w:rFonts w:hint="eastAsia" w:ascii="宋体" w:eastAsia="宋体" w:cs="宋体"/>
          <w:color w:val="auto"/>
          <w:kern w:val="0"/>
          <w:lang w:bidi="ar-SA"/>
        </w:rPr>
        <w:t>；</w:t>
      </w:r>
    </w:p>
    <w:p w14:paraId="7BE0479C">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发包人指定的接收人为：</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kern w:val="0"/>
          <w:lang w:bidi="ar-SA"/>
        </w:rPr>
        <w:t>。</w:t>
      </w:r>
    </w:p>
    <w:p w14:paraId="6823083B">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承包人接收文件的地点：</w:t>
      </w:r>
      <w:r>
        <w:rPr>
          <w:rFonts w:hint="eastAsia" w:ascii="宋体" w:eastAsia="宋体" w:cs="宋体"/>
          <w:color w:val="auto"/>
          <w:u w:val="single"/>
          <w:lang w:bidi="ar-SA"/>
        </w:rPr>
        <w:t>现场项目部</w:t>
      </w:r>
      <w:r>
        <w:rPr>
          <w:rFonts w:hint="eastAsia" w:ascii="宋体" w:eastAsia="宋体" w:cs="宋体"/>
          <w:color w:val="auto"/>
          <w:kern w:val="0"/>
          <w:lang w:bidi="ar-SA"/>
        </w:rPr>
        <w:t>；</w:t>
      </w:r>
    </w:p>
    <w:p w14:paraId="7DF8AC9B">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承包人指定的接收人为：</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kern w:val="0"/>
          <w:lang w:bidi="ar-SA"/>
        </w:rPr>
        <w:t>。</w:t>
      </w:r>
    </w:p>
    <w:p w14:paraId="7C192D47">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监理人接收文件的地点：</w:t>
      </w:r>
      <w:r>
        <w:rPr>
          <w:rFonts w:hint="eastAsia" w:ascii="宋体" w:eastAsia="宋体" w:cs="宋体"/>
          <w:color w:val="auto"/>
          <w:u w:val="single"/>
          <w:lang w:bidi="ar-SA"/>
        </w:rPr>
        <w:t>现场监理部</w:t>
      </w:r>
      <w:r>
        <w:rPr>
          <w:rFonts w:hint="eastAsia" w:ascii="宋体" w:eastAsia="宋体" w:cs="宋体"/>
          <w:color w:val="auto"/>
          <w:kern w:val="0"/>
          <w:lang w:bidi="ar-SA"/>
        </w:rPr>
        <w:t>；</w:t>
      </w:r>
    </w:p>
    <w:p w14:paraId="2B0CB0B2">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监理人指定的接收人为：</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  </w:t>
      </w:r>
      <w:r>
        <w:rPr>
          <w:rFonts w:hint="eastAsia" w:ascii="宋体" w:eastAsia="宋体" w:cs="宋体"/>
          <w:color w:val="auto"/>
          <w:kern w:val="0"/>
          <w:lang w:bidi="ar-SA"/>
        </w:rPr>
        <w:t>。</w:t>
      </w:r>
    </w:p>
    <w:p w14:paraId="15331C53">
      <w:pPr>
        <w:pStyle w:val="32"/>
        <w:snapToGrid w:val="0"/>
        <w:spacing w:line="360" w:lineRule="auto"/>
        <w:jc w:val="left"/>
        <w:outlineLvl w:val="9"/>
        <w:rPr>
          <w:rFonts w:hint="eastAsia" w:ascii="宋体" w:eastAsia="宋体" w:cs="宋体"/>
          <w:color w:val="auto"/>
          <w:lang w:bidi="ar-SA"/>
        </w:rPr>
      </w:pPr>
      <w:bookmarkStart w:id="132" w:name="_Toc29188"/>
      <w:bookmarkStart w:id="133" w:name="_Toc18735"/>
      <w:r>
        <w:rPr>
          <w:rFonts w:hint="eastAsia" w:ascii="宋体" w:eastAsia="宋体" w:cs="宋体"/>
          <w:color w:val="auto"/>
          <w:lang w:bidi="ar-SA"/>
        </w:rPr>
        <w:t>1.10 交通运输</w:t>
      </w:r>
      <w:bookmarkEnd w:id="132"/>
      <w:bookmarkEnd w:id="133"/>
    </w:p>
    <w:p w14:paraId="31E5B1F6">
      <w:pPr>
        <w:pStyle w:val="32"/>
        <w:snapToGrid w:val="0"/>
        <w:spacing w:line="360" w:lineRule="auto"/>
        <w:ind w:firstLine="420" w:firstLineChars="200"/>
        <w:jc w:val="left"/>
        <w:outlineLvl w:val="9"/>
        <w:rPr>
          <w:rFonts w:hint="eastAsia" w:ascii="宋体" w:eastAsia="宋体" w:cs="宋体"/>
          <w:color w:val="auto"/>
          <w:lang w:bidi="ar-SA"/>
        </w:rPr>
      </w:pPr>
      <w:bookmarkStart w:id="134" w:name="_Toc10513"/>
      <w:bookmarkStart w:id="135" w:name="_Toc15243"/>
      <w:r>
        <w:rPr>
          <w:rFonts w:hint="eastAsia" w:ascii="宋体" w:eastAsia="宋体" w:cs="宋体"/>
          <w:color w:val="auto"/>
          <w:lang w:bidi="ar-SA"/>
        </w:rPr>
        <w:t>1</w:t>
      </w:r>
      <w:bookmarkStart w:id="136" w:name="_Toc318581155"/>
      <w:bookmarkStart w:id="137" w:name="_Toc312677986"/>
      <w:bookmarkStart w:id="138" w:name="_Toc300934943"/>
      <w:bookmarkStart w:id="139" w:name="_Toc304295521"/>
      <w:bookmarkStart w:id="140" w:name="_Toc303539100"/>
      <w:r>
        <w:rPr>
          <w:rFonts w:hint="eastAsia" w:ascii="宋体" w:eastAsia="宋体" w:cs="宋体"/>
          <w:color w:val="auto"/>
          <w:lang w:bidi="ar-SA"/>
        </w:rPr>
        <w:t>.10.1 出入现场的权利</w:t>
      </w:r>
      <w:bookmarkEnd w:id="134"/>
      <w:bookmarkEnd w:id="135"/>
    </w:p>
    <w:p w14:paraId="659D756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关于出入现场的权利的约定：</w:t>
      </w:r>
      <w:r>
        <w:rPr>
          <w:rFonts w:hint="eastAsia" w:ascii="宋体" w:eastAsia="宋体" w:cs="宋体"/>
          <w:color w:val="auto"/>
          <w:u w:val="single"/>
          <w:lang w:bidi="ar-SA"/>
        </w:rPr>
        <w:t>由承包人按照发包人要求负责取得出入施工现场所需的批准手续和全部权利。承包人应协助发包人办理修建场内外道路、桥梁以及其他基础设施的手续</w:t>
      </w:r>
      <w:r>
        <w:rPr>
          <w:rFonts w:hint="eastAsia" w:ascii="宋体" w:eastAsia="宋体" w:cs="宋体"/>
          <w:color w:val="auto"/>
          <w:lang w:bidi="ar-SA"/>
        </w:rPr>
        <w:t>。</w:t>
      </w:r>
    </w:p>
    <w:bookmarkEnd w:id="136"/>
    <w:bookmarkEnd w:id="137"/>
    <w:bookmarkEnd w:id="138"/>
    <w:bookmarkEnd w:id="139"/>
    <w:bookmarkEnd w:id="140"/>
    <w:p w14:paraId="3693C7AC">
      <w:pPr>
        <w:pStyle w:val="32"/>
        <w:snapToGrid w:val="0"/>
        <w:spacing w:line="360" w:lineRule="auto"/>
        <w:ind w:firstLine="420" w:firstLineChars="200"/>
        <w:jc w:val="left"/>
        <w:outlineLvl w:val="9"/>
        <w:rPr>
          <w:rFonts w:hint="eastAsia" w:ascii="宋体" w:eastAsia="宋体" w:cs="宋体"/>
          <w:color w:val="auto"/>
          <w:lang w:bidi="ar-SA"/>
        </w:rPr>
      </w:pPr>
      <w:bookmarkStart w:id="141" w:name="_Toc20201"/>
      <w:bookmarkStart w:id="142" w:name="_Toc18613"/>
      <w:r>
        <w:rPr>
          <w:rFonts w:hint="eastAsia" w:ascii="宋体" w:eastAsia="宋体" w:cs="宋体"/>
          <w:color w:val="auto"/>
          <w:lang w:bidi="ar-SA"/>
        </w:rPr>
        <w:t>1</w:t>
      </w:r>
      <w:bookmarkStart w:id="143" w:name="_Toc304295522"/>
      <w:bookmarkStart w:id="144" w:name="_Toc303539101"/>
      <w:bookmarkStart w:id="145" w:name="_Toc312677987"/>
      <w:bookmarkStart w:id="146" w:name="_Toc318581156"/>
      <w:bookmarkStart w:id="147" w:name="_Toc300934944"/>
      <w:r>
        <w:rPr>
          <w:rFonts w:hint="eastAsia" w:ascii="宋体" w:eastAsia="宋体" w:cs="宋体"/>
          <w:color w:val="auto"/>
          <w:lang w:bidi="ar-SA"/>
        </w:rPr>
        <w:t>.10.3 场内交通</w:t>
      </w:r>
      <w:bookmarkEnd w:id="141"/>
      <w:bookmarkEnd w:id="142"/>
    </w:p>
    <w:p w14:paraId="6D3D8C1A">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关于场外交通和场内交通的边界的约定：</w:t>
      </w:r>
      <w:r>
        <w:rPr>
          <w:rFonts w:hint="eastAsia" w:ascii="宋体" w:eastAsia="宋体" w:cs="宋体"/>
          <w:color w:val="auto"/>
          <w:u w:val="single"/>
          <w:lang w:bidi="ar-SA"/>
        </w:rPr>
        <w:t>以现场实际施工条件为准</w:t>
      </w:r>
      <w:r>
        <w:rPr>
          <w:rFonts w:hint="eastAsia" w:ascii="宋体" w:eastAsia="宋体" w:cs="宋体"/>
          <w:color w:val="auto"/>
          <w:lang w:bidi="ar-SA"/>
        </w:rPr>
        <w:t>。</w:t>
      </w:r>
    </w:p>
    <w:p w14:paraId="52D6277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关于发包人向承包人免费提供满足工程施工需要的场内道路和交通设施的约定：</w:t>
      </w:r>
      <w:r>
        <w:rPr>
          <w:rFonts w:hint="eastAsia" w:ascii="宋体" w:eastAsia="宋体" w:cs="宋体"/>
          <w:color w:val="auto"/>
          <w:u w:val="single"/>
          <w:lang w:bidi="ar-SA"/>
        </w:rPr>
        <w:t>以现场实际施工条件为准</w:t>
      </w:r>
      <w:r>
        <w:rPr>
          <w:rFonts w:hint="eastAsia" w:ascii="宋体" w:eastAsia="宋体" w:cs="宋体"/>
          <w:color w:val="auto"/>
          <w:lang w:bidi="ar-SA"/>
        </w:rPr>
        <w:t>。</w:t>
      </w:r>
      <w:bookmarkEnd w:id="143"/>
      <w:bookmarkEnd w:id="144"/>
      <w:bookmarkEnd w:id="145"/>
      <w:bookmarkEnd w:id="146"/>
      <w:bookmarkEnd w:id="147"/>
      <w:r>
        <w:rPr>
          <w:rFonts w:hint="eastAsia" w:ascii="宋体" w:eastAsia="宋体" w:cs="宋体"/>
          <w:color w:val="auto"/>
          <w:lang w:bidi="ar-SA"/>
        </w:rPr>
        <w:t xml:space="preserve">  </w:t>
      </w:r>
      <w:bookmarkStart w:id="148" w:name="_Toc318581157"/>
    </w:p>
    <w:p w14:paraId="5AEA03F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1.10.4超大件和超重件的运输</w:t>
      </w:r>
    </w:p>
    <w:p w14:paraId="2223CFE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运输超大件或超重件所需的道路和桥梁临时加固改造费用和其他有关费用由</w:t>
      </w:r>
      <w:r>
        <w:rPr>
          <w:rFonts w:hint="eastAsia" w:ascii="宋体" w:eastAsia="宋体" w:cs="宋体"/>
          <w:color w:val="auto"/>
          <w:u w:val="single"/>
          <w:lang w:bidi="ar-SA"/>
        </w:rPr>
        <w:t>承包人</w:t>
      </w:r>
      <w:r>
        <w:rPr>
          <w:rFonts w:hint="eastAsia" w:ascii="宋体" w:eastAsia="宋体" w:cs="宋体"/>
          <w:color w:val="auto"/>
          <w:lang w:bidi="ar-SA"/>
        </w:rPr>
        <w:t>承担。</w:t>
      </w:r>
    </w:p>
    <w:bookmarkEnd w:id="148"/>
    <w:p w14:paraId="7DB700E5">
      <w:pPr>
        <w:pStyle w:val="32"/>
        <w:snapToGrid w:val="0"/>
        <w:spacing w:line="360" w:lineRule="auto"/>
        <w:jc w:val="left"/>
        <w:outlineLvl w:val="9"/>
        <w:rPr>
          <w:rFonts w:hint="eastAsia" w:ascii="宋体" w:eastAsia="宋体" w:cs="宋体"/>
          <w:color w:val="auto"/>
          <w:lang w:bidi="ar-SA"/>
        </w:rPr>
      </w:pPr>
      <w:bookmarkStart w:id="149" w:name="_Toc18917"/>
      <w:bookmarkStart w:id="150" w:name="_Toc21332"/>
      <w:r>
        <w:rPr>
          <w:rFonts w:hint="eastAsia" w:ascii="宋体" w:eastAsia="宋体" w:cs="宋体"/>
          <w:color w:val="auto"/>
          <w:lang w:bidi="ar-SA"/>
        </w:rPr>
        <w:t>1.11 知识产权</w:t>
      </w:r>
      <w:bookmarkEnd w:id="149"/>
      <w:bookmarkEnd w:id="150"/>
    </w:p>
    <w:p w14:paraId="6F9B2269">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1.11.1关于发包人提供给承包人的图纸、发包人为实施工程自行编制或委托编制的技术规范以及反映发包人关于合同要求或其他类似性质的文件的著作权的归属：</w:t>
      </w:r>
      <w:r>
        <w:rPr>
          <w:rFonts w:hint="eastAsia" w:ascii="宋体" w:eastAsia="宋体" w:cs="宋体"/>
          <w:color w:val="auto"/>
          <w:u w:val="single"/>
          <w:lang w:bidi="ar-SA"/>
        </w:rPr>
        <w:t>属于发包人</w:t>
      </w:r>
      <w:r>
        <w:rPr>
          <w:rFonts w:hint="eastAsia" w:ascii="宋体" w:eastAsia="宋体" w:cs="宋体"/>
          <w:color w:val="auto"/>
          <w:lang w:bidi="ar-SA"/>
        </w:rPr>
        <w:t>。</w:t>
      </w:r>
    </w:p>
    <w:p w14:paraId="477CBF1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关于发包人提供的上述文件的使用限制的要求：</w:t>
      </w:r>
      <w:r>
        <w:rPr>
          <w:rFonts w:hint="eastAsia" w:ascii="宋体" w:eastAsia="宋体" w:cs="宋体"/>
          <w:color w:val="auto"/>
          <w:u w:val="single"/>
          <w:lang w:bidi="ar-SA"/>
        </w:rPr>
        <w:t>按通用条款执行，无特殊约定</w:t>
      </w:r>
      <w:r>
        <w:rPr>
          <w:rFonts w:hint="eastAsia" w:ascii="宋体" w:eastAsia="宋体" w:cs="宋体"/>
          <w:color w:val="auto"/>
          <w:lang w:bidi="ar-SA"/>
        </w:rPr>
        <w:t>。</w:t>
      </w:r>
    </w:p>
    <w:p w14:paraId="0BFBB19F">
      <w:pPr>
        <w:pStyle w:val="32"/>
        <w:snapToGrid w:val="0"/>
        <w:spacing w:line="360" w:lineRule="auto"/>
        <w:ind w:firstLine="420" w:firstLineChars="200"/>
        <w:jc w:val="left"/>
        <w:outlineLvl w:val="9"/>
        <w:rPr>
          <w:rFonts w:hint="eastAsia" w:ascii="宋体" w:eastAsia="宋体" w:cs="宋体"/>
          <w:color w:val="auto"/>
          <w:lang w:bidi="ar-SA"/>
        </w:rPr>
      </w:pPr>
      <w:bookmarkStart w:id="151" w:name="_Toc20713"/>
      <w:bookmarkStart w:id="152" w:name="_Toc23163"/>
      <w:r>
        <w:rPr>
          <w:rFonts w:hint="eastAsia" w:ascii="宋体" w:eastAsia="宋体" w:cs="宋体"/>
          <w:color w:val="auto"/>
          <w:lang w:bidi="ar-SA"/>
        </w:rPr>
        <w:t>1.11.2 关于承包人为实施工程所编制文件的著作权的归属：</w:t>
      </w:r>
      <w:r>
        <w:rPr>
          <w:rFonts w:hint="eastAsia" w:ascii="宋体" w:eastAsia="宋体" w:cs="宋体"/>
          <w:color w:val="auto"/>
          <w:u w:val="single"/>
          <w:lang w:bidi="ar-SA"/>
        </w:rPr>
        <w:t>除署名权以外的著作权属于发包人</w:t>
      </w:r>
      <w:r>
        <w:rPr>
          <w:rFonts w:hint="eastAsia" w:ascii="宋体" w:eastAsia="宋体" w:cs="宋体"/>
          <w:color w:val="auto"/>
          <w:lang w:bidi="ar-SA"/>
        </w:rPr>
        <w:t>。</w:t>
      </w:r>
      <w:bookmarkEnd w:id="151"/>
      <w:bookmarkEnd w:id="152"/>
    </w:p>
    <w:p w14:paraId="51B110B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关于承包人提供的上述文件的使用限制的要求：</w:t>
      </w:r>
      <w:r>
        <w:rPr>
          <w:rFonts w:hint="eastAsia" w:ascii="宋体" w:eastAsia="宋体" w:cs="宋体"/>
          <w:color w:val="auto"/>
          <w:u w:val="single"/>
          <w:lang w:bidi="ar-SA"/>
        </w:rPr>
        <w:t>按通用条款，无特殊约定</w:t>
      </w:r>
      <w:r>
        <w:rPr>
          <w:rFonts w:hint="eastAsia" w:ascii="宋体" w:eastAsia="宋体" w:cs="宋体"/>
          <w:color w:val="auto"/>
          <w:lang w:bidi="ar-SA"/>
        </w:rPr>
        <w:t>。</w:t>
      </w:r>
    </w:p>
    <w:p w14:paraId="6645AC80">
      <w:pPr>
        <w:pStyle w:val="32"/>
        <w:snapToGrid w:val="0"/>
        <w:spacing w:line="360" w:lineRule="auto"/>
        <w:ind w:firstLine="525" w:firstLineChars="250"/>
        <w:jc w:val="left"/>
        <w:outlineLvl w:val="9"/>
        <w:rPr>
          <w:rFonts w:hint="eastAsia" w:ascii="宋体" w:eastAsia="宋体" w:cs="宋体"/>
          <w:color w:val="auto"/>
          <w:kern w:val="0"/>
          <w:lang w:bidi="ar-SA"/>
        </w:rPr>
      </w:pPr>
      <w:bookmarkStart w:id="153" w:name="_Toc438"/>
      <w:bookmarkStart w:id="154" w:name="_Toc12697"/>
      <w:r>
        <w:rPr>
          <w:rFonts w:hint="eastAsia" w:ascii="宋体" w:eastAsia="宋体" w:cs="宋体"/>
          <w:color w:val="auto"/>
          <w:lang w:bidi="ar-SA"/>
        </w:rPr>
        <w:t>1.11.4 承包人在施工过程中所采用的专利、专有技术、技术秘密的使用费的承担方式：</w:t>
      </w:r>
      <w:r>
        <w:rPr>
          <w:rFonts w:hint="eastAsia" w:ascii="宋体" w:eastAsia="宋体" w:cs="宋体"/>
          <w:color w:val="auto"/>
          <w:u w:val="single"/>
          <w:lang w:bidi="ar-SA"/>
        </w:rPr>
        <w:t>承包人在施工中所采用的所有专利、专业技术、技术秘密的使用费均已包含在签约合同中，承包人不得以此为理由增加费用</w:t>
      </w:r>
      <w:r>
        <w:rPr>
          <w:rFonts w:hint="eastAsia" w:ascii="宋体" w:eastAsia="宋体" w:cs="宋体"/>
          <w:color w:val="auto"/>
          <w:kern w:val="0"/>
          <w:lang w:bidi="ar-SA"/>
        </w:rPr>
        <w:t>。</w:t>
      </w:r>
      <w:bookmarkEnd w:id="153"/>
      <w:bookmarkEnd w:id="154"/>
    </w:p>
    <w:p w14:paraId="7A2B6ADC">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1.13工程量清单错误的修正</w:t>
      </w:r>
    </w:p>
    <w:p w14:paraId="1A6D5FE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出现工程量清单错误时，是否调整合同价格：</w:t>
      </w:r>
      <w:r>
        <w:rPr>
          <w:rFonts w:hint="eastAsia" w:ascii="宋体" w:eastAsia="宋体" w:cs="宋体"/>
          <w:color w:val="auto"/>
          <w:u w:val="single"/>
          <w:lang w:bidi="ar-SA"/>
        </w:rPr>
        <w:t>其综合单价的调整原则如下：同专用条款10.4.1</w:t>
      </w:r>
      <w:r>
        <w:rPr>
          <w:rFonts w:hint="eastAsia" w:ascii="宋体" w:eastAsia="宋体" w:cs="宋体"/>
          <w:color w:val="auto"/>
          <w:kern w:val="0"/>
          <w:lang w:bidi="ar-SA"/>
        </w:rPr>
        <w:t>。</w:t>
      </w:r>
    </w:p>
    <w:p w14:paraId="25AE897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允许调整合同价格的工程量偏差范围：</w:t>
      </w:r>
      <w:r>
        <w:rPr>
          <w:rFonts w:hint="eastAsia" w:ascii="宋体" w:hAnsi="宋体" w:eastAsia="宋体" w:cs="宋体"/>
          <w:color w:val="auto"/>
          <w:sz w:val="21"/>
          <w:szCs w:val="21"/>
          <w:highlight w:val="none"/>
          <w:u w:val="single"/>
        </w:rPr>
        <w:t>超出15%</w:t>
      </w:r>
      <w:r>
        <w:rPr>
          <w:rFonts w:hint="eastAsia" w:ascii="宋体" w:eastAsia="宋体" w:cs="宋体"/>
          <w:color w:val="auto"/>
          <w:kern w:val="0"/>
          <w:lang w:bidi="ar-SA"/>
        </w:rPr>
        <w:t>。</w:t>
      </w:r>
    </w:p>
    <w:p w14:paraId="58DBC4F5">
      <w:pPr>
        <w:pStyle w:val="32"/>
        <w:snapToGrid w:val="0"/>
        <w:spacing w:line="360" w:lineRule="auto"/>
        <w:jc w:val="left"/>
        <w:outlineLvl w:val="9"/>
        <w:rPr>
          <w:rFonts w:hint="eastAsia" w:ascii="宋体" w:eastAsia="宋体" w:cs="宋体"/>
          <w:color w:val="auto"/>
          <w:lang w:bidi="ar-SA"/>
        </w:rPr>
      </w:pPr>
      <w:bookmarkStart w:id="155" w:name="_Toc351203634"/>
      <w:r>
        <w:rPr>
          <w:rFonts w:hint="eastAsia" w:ascii="宋体" w:eastAsia="宋体" w:cs="宋体"/>
          <w:color w:val="auto"/>
          <w:lang w:bidi="ar-SA"/>
        </w:rPr>
        <w:t>2</w:t>
      </w:r>
      <w:bookmarkStart w:id="156" w:name="_Toc292559867"/>
      <w:bookmarkStart w:id="157" w:name="_Toc296891197"/>
      <w:bookmarkStart w:id="158" w:name="_Toc296347156"/>
      <w:bookmarkStart w:id="159" w:name="_Toc297048343"/>
      <w:bookmarkStart w:id="160" w:name="_Toc296944496"/>
      <w:bookmarkStart w:id="161" w:name="_Toc292559362"/>
      <w:bookmarkStart w:id="162" w:name="_Toc297120457"/>
      <w:bookmarkStart w:id="163" w:name="_Toc296890985"/>
      <w:bookmarkStart w:id="164" w:name="_Toc296346658"/>
      <w:bookmarkStart w:id="165" w:name="_Toc296503157"/>
      <w:r>
        <w:rPr>
          <w:rFonts w:hint="eastAsia" w:ascii="宋体" w:eastAsia="宋体" w:cs="宋体"/>
          <w:color w:val="auto"/>
          <w:lang w:bidi="ar-SA"/>
        </w:rPr>
        <w:t>. 发包人</w:t>
      </w:r>
      <w:bookmarkEnd w:id="155"/>
    </w:p>
    <w:bookmarkEnd w:id="156"/>
    <w:bookmarkEnd w:id="157"/>
    <w:bookmarkEnd w:id="158"/>
    <w:bookmarkEnd w:id="159"/>
    <w:bookmarkEnd w:id="160"/>
    <w:bookmarkEnd w:id="161"/>
    <w:bookmarkEnd w:id="162"/>
    <w:bookmarkEnd w:id="163"/>
    <w:bookmarkEnd w:id="164"/>
    <w:bookmarkEnd w:id="165"/>
    <w:p w14:paraId="61BABAEC">
      <w:pPr>
        <w:pStyle w:val="32"/>
        <w:snapToGrid w:val="0"/>
        <w:spacing w:line="360" w:lineRule="auto"/>
        <w:jc w:val="left"/>
        <w:outlineLvl w:val="9"/>
        <w:rPr>
          <w:rFonts w:hint="eastAsia" w:ascii="宋体" w:eastAsia="宋体" w:cs="宋体"/>
          <w:color w:val="auto"/>
          <w:lang w:bidi="ar-SA"/>
        </w:rPr>
      </w:pPr>
      <w:bookmarkStart w:id="166" w:name="_Toc193"/>
      <w:bookmarkStart w:id="167" w:name="_Toc21870"/>
      <w:r>
        <w:rPr>
          <w:rFonts w:hint="eastAsia" w:ascii="宋体" w:eastAsia="宋体" w:cs="宋体"/>
          <w:color w:val="auto"/>
          <w:lang w:bidi="ar-SA"/>
        </w:rPr>
        <w:t>2.2 发包人代表</w:t>
      </w:r>
      <w:bookmarkEnd w:id="166"/>
      <w:bookmarkEnd w:id="167"/>
    </w:p>
    <w:p w14:paraId="1FC07A9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发包人代表：</w:t>
      </w:r>
    </w:p>
    <w:p w14:paraId="63769CE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姓    名：</w:t>
      </w:r>
      <w:r>
        <w:rPr>
          <w:rFonts w:hint="eastAsia" w:ascii="宋体" w:eastAsia="宋体" w:cs="宋体"/>
          <w:color w:val="auto"/>
          <w:u w:val="single"/>
          <w:lang w:bidi="ar-SA"/>
        </w:rPr>
        <w:t></w:t>
      </w:r>
      <w:bookmarkStart w:id="168" w:name="OLE_LINK13"/>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bookmarkEnd w:id="168"/>
      <w:r>
        <w:rPr>
          <w:rFonts w:hint="eastAsia" w:ascii="宋体" w:eastAsia="宋体" w:cs="宋体"/>
          <w:color w:val="auto"/>
          <w:u w:val="single"/>
          <w:lang w:bidi="ar-SA"/>
        </w:rPr>
        <w:t> </w:t>
      </w:r>
      <w:r>
        <w:rPr>
          <w:rFonts w:hint="eastAsia" w:ascii="宋体" w:eastAsia="宋体" w:cs="宋体"/>
          <w:color w:val="auto"/>
          <w:lang w:bidi="ar-SA"/>
        </w:rPr>
        <w:t>；</w:t>
      </w:r>
    </w:p>
    <w:p w14:paraId="75F7892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身份证号：</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2FB7A42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职    务：</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4CC675B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联系电话：</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74A7A8C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电子信箱：</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4708804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通信地址：</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4F211442">
      <w:pPr>
        <w:pStyle w:val="32"/>
        <w:snapToGrid w:val="0"/>
        <w:spacing w:line="360" w:lineRule="auto"/>
        <w:ind w:firstLine="420" w:firstLineChars="200"/>
        <w:jc w:val="left"/>
        <w:outlineLvl w:val="9"/>
        <w:rPr>
          <w:rFonts w:hint="eastAsia" w:ascii="宋体" w:eastAsia="宋体" w:cs="宋体"/>
          <w:b/>
          <w:color w:val="auto"/>
          <w:lang w:bidi="ar-SA"/>
        </w:rPr>
      </w:pPr>
      <w:r>
        <w:rPr>
          <w:rFonts w:hint="eastAsia" w:ascii="宋体" w:eastAsia="宋体" w:cs="宋体"/>
          <w:color w:val="auto"/>
          <w:lang w:bidi="ar-SA"/>
        </w:rPr>
        <w:t>发包人对发包人代表的授权范围如下：</w:t>
      </w:r>
      <w:r>
        <w:rPr>
          <w:rFonts w:hint="eastAsia" w:ascii="宋体" w:eastAsia="宋体" w:cs="宋体"/>
          <w:color w:val="auto"/>
          <w:u w:val="single"/>
          <w:lang w:bidi="ar-SA"/>
        </w:rPr>
        <w:t>(1)确认承包人提出的顺延工期的签证；(2)对发生的不可抗力造成工程无法施工的处置；(3)设计变更及施工条件变更等有关签证的确认；(4)工程竣工验收报告的确认；(5)工程预付款和进度款的审批；(6)处理和协调外部施工条件；(7)代表发包人行使本合同约定的其它权利和义务。签证、变更、联系函、进度款支付等材料须加盖发包人公章方为有效</w:t>
      </w:r>
      <w:r>
        <w:rPr>
          <w:rFonts w:hint="eastAsia" w:ascii="宋体" w:eastAsia="宋体" w:cs="宋体"/>
          <w:color w:val="auto"/>
          <w:lang w:bidi="ar-SA"/>
        </w:rPr>
        <w:t>。</w:t>
      </w:r>
    </w:p>
    <w:p w14:paraId="604DE7AB">
      <w:pPr>
        <w:pStyle w:val="32"/>
        <w:snapToGrid w:val="0"/>
        <w:spacing w:line="360" w:lineRule="auto"/>
        <w:jc w:val="left"/>
        <w:outlineLvl w:val="9"/>
        <w:rPr>
          <w:rFonts w:hint="eastAsia" w:ascii="宋体" w:eastAsia="宋体" w:cs="宋体"/>
          <w:color w:val="auto"/>
          <w:lang w:bidi="ar-SA"/>
        </w:rPr>
      </w:pPr>
      <w:bookmarkStart w:id="169" w:name="_Toc26204"/>
      <w:bookmarkStart w:id="170" w:name="_Toc25012"/>
      <w:r>
        <w:rPr>
          <w:rFonts w:hint="eastAsia" w:ascii="宋体" w:eastAsia="宋体" w:cs="宋体"/>
          <w:color w:val="auto"/>
          <w:lang w:bidi="ar-SA"/>
        </w:rPr>
        <w:t>2.4 施工现场、施工条件和基础资料的提供</w:t>
      </w:r>
      <w:bookmarkEnd w:id="169"/>
      <w:bookmarkEnd w:id="170"/>
    </w:p>
    <w:p w14:paraId="5C2A67F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2.4.1 提供施工现场</w:t>
      </w:r>
    </w:p>
    <w:p w14:paraId="1D62FF6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关于发包人移交施工现场的期限要求：</w:t>
      </w:r>
      <w:r>
        <w:rPr>
          <w:rFonts w:hint="eastAsia" w:ascii="宋体" w:eastAsia="宋体" w:cs="宋体"/>
          <w:color w:val="auto"/>
          <w:u w:val="single"/>
          <w:lang w:val="zh-CN" w:bidi="ar-SA"/>
        </w:rPr>
        <w:t>按通用条款，无特殊约定</w:t>
      </w:r>
      <w:r>
        <w:rPr>
          <w:rFonts w:hint="eastAsia" w:ascii="宋体" w:eastAsia="宋体" w:cs="宋体"/>
          <w:color w:val="auto"/>
          <w:lang w:bidi="ar-SA"/>
        </w:rPr>
        <w:t>。</w:t>
      </w:r>
    </w:p>
    <w:p w14:paraId="4BFD5E2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2.4.2 提供施工条件</w:t>
      </w:r>
    </w:p>
    <w:p w14:paraId="58ACC894">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关于发包人应负责提供施工所需要的条件，包括：</w:t>
      </w:r>
      <w:r>
        <w:rPr>
          <w:rFonts w:hint="eastAsia" w:ascii="宋体" w:eastAsia="宋体" w:cs="宋体"/>
          <w:color w:val="auto"/>
          <w:u w:val="single"/>
          <w:lang w:val="zh-CN" w:bidi="ar-SA"/>
        </w:rPr>
        <w:t>按通用条款，无特殊约定</w:t>
      </w:r>
      <w:r>
        <w:rPr>
          <w:rFonts w:hint="eastAsia" w:ascii="宋体" w:eastAsia="宋体" w:cs="宋体"/>
          <w:color w:val="auto"/>
          <w:lang w:bidi="ar-SA"/>
        </w:rPr>
        <w:t>。</w:t>
      </w:r>
    </w:p>
    <w:p w14:paraId="4BD7A165">
      <w:pPr>
        <w:pStyle w:val="32"/>
        <w:snapToGrid w:val="0"/>
        <w:spacing w:line="360" w:lineRule="auto"/>
        <w:jc w:val="left"/>
        <w:outlineLvl w:val="9"/>
        <w:rPr>
          <w:rFonts w:hint="eastAsia" w:ascii="宋体" w:eastAsia="宋体" w:cs="宋体"/>
          <w:color w:val="auto"/>
          <w:lang w:bidi="ar-SA"/>
        </w:rPr>
      </w:pPr>
      <w:bookmarkStart w:id="171" w:name="_Toc2691"/>
      <w:bookmarkStart w:id="172" w:name="_Toc14658"/>
      <w:r>
        <w:rPr>
          <w:rFonts w:hint="eastAsia" w:ascii="宋体" w:eastAsia="宋体" w:cs="宋体"/>
          <w:color w:val="auto"/>
          <w:lang w:bidi="ar-SA"/>
        </w:rPr>
        <w:t>2.5 资金来源证明及支付担保</w:t>
      </w:r>
      <w:bookmarkEnd w:id="171"/>
      <w:bookmarkEnd w:id="172"/>
    </w:p>
    <w:p w14:paraId="5F1E80B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发包人提供资金来源证明的期限要求：</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78F2A03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发包人是否提供支付担保：</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5EDB0C7B">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发包人提供支付担保的形式：</w:t>
      </w:r>
      <w:r>
        <w:rPr>
          <w:rFonts w:hint="eastAsia" w:ascii="宋体" w:eastAsia="宋体" w:cs="宋体"/>
          <w:color w:val="auto"/>
          <w:u w:val="single"/>
          <w:lang w:bidi="ar-SA"/>
        </w:rPr>
        <w:t>/</w:t>
      </w:r>
      <w:r>
        <w:rPr>
          <w:rFonts w:hint="eastAsia" w:ascii="宋体" w:eastAsia="宋体" w:cs="宋体"/>
          <w:color w:val="auto"/>
          <w:lang w:bidi="ar-SA"/>
        </w:rPr>
        <w:t>。</w:t>
      </w:r>
    </w:p>
    <w:p w14:paraId="2132D5B1">
      <w:pPr>
        <w:pStyle w:val="32"/>
        <w:snapToGrid w:val="0"/>
        <w:spacing w:line="360" w:lineRule="auto"/>
        <w:jc w:val="left"/>
        <w:outlineLvl w:val="9"/>
        <w:rPr>
          <w:rFonts w:hint="eastAsia" w:ascii="宋体" w:eastAsia="宋体" w:cs="宋体"/>
          <w:color w:val="auto"/>
          <w:lang w:bidi="ar-SA"/>
        </w:rPr>
      </w:pPr>
      <w:bookmarkStart w:id="173" w:name="_Toc351203635"/>
      <w:r>
        <w:rPr>
          <w:rFonts w:hint="eastAsia" w:ascii="宋体" w:eastAsia="宋体" w:cs="宋体"/>
          <w:color w:val="auto"/>
          <w:lang w:bidi="ar-SA"/>
        </w:rPr>
        <w:t>3</w:t>
      </w:r>
      <w:bookmarkStart w:id="174" w:name="_Toc296503158"/>
      <w:bookmarkStart w:id="175" w:name="_Toc297048344"/>
      <w:bookmarkStart w:id="176" w:name="_Toc296944497"/>
      <w:bookmarkStart w:id="177" w:name="_Toc296346659"/>
      <w:bookmarkStart w:id="178" w:name="_Toc296347157"/>
      <w:bookmarkStart w:id="179" w:name="_Toc296890986"/>
      <w:bookmarkStart w:id="180" w:name="_Toc292559363"/>
      <w:bookmarkStart w:id="181" w:name="_Toc292559868"/>
      <w:bookmarkStart w:id="182" w:name="_Toc297120458"/>
      <w:bookmarkStart w:id="183" w:name="_Toc296891198"/>
      <w:r>
        <w:rPr>
          <w:rFonts w:hint="eastAsia" w:ascii="宋体" w:eastAsia="宋体" w:cs="宋体"/>
          <w:color w:val="auto"/>
          <w:lang w:bidi="ar-SA"/>
        </w:rPr>
        <w:t>. 承包人</w:t>
      </w:r>
      <w:bookmarkEnd w:id="173"/>
    </w:p>
    <w:bookmarkEnd w:id="174"/>
    <w:bookmarkEnd w:id="175"/>
    <w:bookmarkEnd w:id="176"/>
    <w:bookmarkEnd w:id="177"/>
    <w:bookmarkEnd w:id="178"/>
    <w:bookmarkEnd w:id="179"/>
    <w:bookmarkEnd w:id="180"/>
    <w:bookmarkEnd w:id="181"/>
    <w:bookmarkEnd w:id="182"/>
    <w:bookmarkEnd w:id="183"/>
    <w:p w14:paraId="243AAA73">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3.1 承包人的一般义务</w:t>
      </w:r>
    </w:p>
    <w:p w14:paraId="66406B8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（9）</w:t>
      </w:r>
      <w:r>
        <w:rPr>
          <w:rFonts w:hint="eastAsia" w:ascii="宋体" w:eastAsia="宋体" w:cs="宋体"/>
          <w:color w:val="auto"/>
          <w:lang w:bidi="ar-SA"/>
        </w:rPr>
        <w:t>承包人提交的竣工资料的内容：</w:t>
      </w:r>
      <w:r>
        <w:rPr>
          <w:rFonts w:hint="eastAsia" w:ascii="宋体" w:eastAsia="宋体" w:cs="宋体"/>
          <w:color w:val="auto"/>
          <w:u w:val="single"/>
          <w:lang w:val="zh-CN" w:bidi="ar-SA"/>
        </w:rPr>
        <w:t>按通用条款，无特殊约定</w:t>
      </w:r>
      <w:r>
        <w:rPr>
          <w:rFonts w:hint="eastAsia" w:ascii="宋体" w:eastAsia="宋体" w:cs="宋体"/>
          <w:color w:val="auto"/>
          <w:lang w:bidi="ar-SA"/>
        </w:rPr>
        <w:t>。</w:t>
      </w:r>
    </w:p>
    <w:p w14:paraId="53B3573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承包人需要提交的竣工资料套数：</w:t>
      </w:r>
      <w:r>
        <w:rPr>
          <w:rFonts w:hint="eastAsia" w:ascii="宋体" w:eastAsia="宋体" w:cs="宋体"/>
          <w:color w:val="auto"/>
          <w:u w:val="single"/>
          <w:lang w:bidi="ar-SA"/>
        </w:rPr>
        <w:t>5套</w:t>
      </w:r>
      <w:r>
        <w:rPr>
          <w:rFonts w:hint="eastAsia" w:ascii="宋体" w:eastAsia="宋体" w:cs="宋体"/>
          <w:color w:val="auto"/>
          <w:lang w:bidi="ar-SA"/>
        </w:rPr>
        <w:t>。</w:t>
      </w:r>
    </w:p>
    <w:p w14:paraId="26D8C6F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承包人提交的竣工资料的费用承担：</w:t>
      </w:r>
      <w:r>
        <w:rPr>
          <w:rFonts w:hint="eastAsia" w:ascii="宋体" w:eastAsia="宋体" w:cs="宋体"/>
          <w:color w:val="auto"/>
          <w:u w:val="single"/>
          <w:lang w:bidi="ar-SA"/>
        </w:rPr>
        <w:t>承包人承担</w:t>
      </w:r>
      <w:r>
        <w:rPr>
          <w:rFonts w:hint="eastAsia" w:ascii="宋体" w:eastAsia="宋体" w:cs="宋体"/>
          <w:color w:val="auto"/>
          <w:lang w:bidi="ar-SA"/>
        </w:rPr>
        <w:t>。</w:t>
      </w:r>
    </w:p>
    <w:p w14:paraId="6D821FB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承包人提交的竣工资料移交时间：</w:t>
      </w:r>
      <w:r>
        <w:rPr>
          <w:rFonts w:hint="eastAsia" w:ascii="宋体" w:eastAsia="宋体" w:cs="宋体"/>
          <w:color w:val="auto"/>
          <w:u w:val="single"/>
          <w:lang w:bidi="ar-SA"/>
        </w:rPr>
        <w:t>工程竣工验收合格之日起30日内</w:t>
      </w:r>
      <w:r>
        <w:rPr>
          <w:rFonts w:hint="eastAsia" w:ascii="宋体" w:eastAsia="宋体" w:cs="宋体"/>
          <w:color w:val="auto"/>
          <w:lang w:bidi="ar-SA"/>
        </w:rPr>
        <w:t>。</w:t>
      </w:r>
    </w:p>
    <w:p w14:paraId="79129B6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承包人提交的竣工资料形式要求：</w:t>
      </w:r>
      <w:r>
        <w:rPr>
          <w:rFonts w:hint="eastAsia" w:ascii="宋体" w:eastAsia="宋体" w:cs="宋体"/>
          <w:color w:val="auto"/>
          <w:u w:val="single"/>
          <w:lang w:bidi="ar-SA"/>
        </w:rPr>
        <w:t>纸质资料和电子扫描文档</w:t>
      </w:r>
      <w:r>
        <w:rPr>
          <w:rFonts w:hint="eastAsia" w:ascii="宋体" w:eastAsia="宋体" w:cs="宋体"/>
          <w:color w:val="auto"/>
          <w:lang w:bidi="ar-SA"/>
        </w:rPr>
        <w:t>。</w:t>
      </w:r>
    </w:p>
    <w:p w14:paraId="396022CB">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（10）承包人应履行的其他义务：</w:t>
      </w:r>
    </w:p>
    <w:p w14:paraId="0B8EFD2E">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①根据发包人委托，在其设计资质等级和业务允许的范围内，完成施工图设计或与工程配套的设计，经监理人确认后使用，发包人承担由此发生的费用和合理利润。由承包人负责完成的设计文件属于合同条款第1.6.4项约定的承包人提供的文件，承包人应按照专用合同条款第1.6.4项约定的期限和数量提交，由此发生的费用被认为已经包括在承包人的签约合同价（</w:t>
      </w:r>
      <w:r>
        <w:rPr>
          <w:rFonts w:hint="eastAsia" w:ascii="宋体" w:cs="宋体"/>
          <w:color w:val="auto"/>
          <w:u w:val="single"/>
          <w:lang w:eastAsia="zh-CN" w:bidi="ar-SA"/>
        </w:rPr>
        <w:t>磋商</w:t>
      </w:r>
      <w:r>
        <w:rPr>
          <w:rFonts w:hint="eastAsia" w:ascii="宋体" w:eastAsia="宋体" w:cs="宋体"/>
          <w:color w:val="auto"/>
          <w:u w:val="single"/>
          <w:lang w:bidi="ar-SA"/>
        </w:rPr>
        <w:t>总报价）中。</w:t>
      </w:r>
    </w:p>
    <w:p w14:paraId="4A511AF3">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②承包人负责办理施工有关的环卫和噪音等审批手续，并承担费用。承包人负责对施工场地内的化石、文物具有保护责任，发包人对此予以必要协助并承担相应费用。承包人负责满足施工期间政府职能部门对工地消防设施有关要求，并承担相关费用。</w:t>
      </w:r>
    </w:p>
    <w:p w14:paraId="09D5333A">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③</w:t>
      </w:r>
      <w:r>
        <w:rPr>
          <w:rFonts w:hint="eastAsia" w:ascii="宋体" w:eastAsia="宋体" w:cs="宋体"/>
          <w:color w:val="auto"/>
          <w:u w:val="single"/>
          <w:lang w:bidi="ar-SA"/>
        </w:rPr>
        <w:t>承包人应负责协调解决来自当地居民对工程施工的人为干扰，并承担相关费用。</w:t>
      </w:r>
    </w:p>
    <w:p w14:paraId="0653BA8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fldChar w:fldCharType="begin"/>
      </w:r>
      <w:r>
        <w:rPr>
          <w:rFonts w:hint="eastAsia" w:ascii="宋体" w:eastAsia="宋体" w:cs="宋体"/>
          <w:color w:val="auto"/>
          <w:lang w:bidi="ar-SA"/>
        </w:rPr>
        <w:instrText xml:space="preserve">= 4 \* GB3</w:instrText>
      </w:r>
      <w:r>
        <w:rPr>
          <w:rFonts w:hint="eastAsia" w:ascii="宋体" w:eastAsia="宋体" w:cs="宋体"/>
          <w:color w:val="auto"/>
          <w:lang w:bidi="ar-SA"/>
        </w:rPr>
        <w:fldChar w:fldCharType="separate"/>
      </w:r>
      <w:r>
        <w:rPr>
          <w:rFonts w:hint="eastAsia" w:ascii="宋体" w:eastAsia="宋体" w:cs="宋体"/>
          <w:color w:val="auto"/>
          <w:lang w:bidi="ar-SA"/>
        </w:rPr>
        <w:t>④</w:t>
      </w:r>
      <w:r>
        <w:rPr>
          <w:rFonts w:hint="eastAsia" w:ascii="宋体" w:eastAsia="宋体" w:cs="宋体"/>
          <w:color w:val="auto"/>
          <w:lang w:bidi="ar-SA"/>
        </w:rPr>
        <w:fldChar w:fldCharType="end"/>
      </w:r>
      <w:r>
        <w:rPr>
          <w:rFonts w:hint="eastAsia" w:ascii="宋体" w:eastAsia="宋体" w:cs="宋体"/>
          <w:color w:val="auto"/>
          <w:u w:val="single"/>
          <w:lang w:bidi="ar-SA"/>
        </w:rPr>
        <w:t>为发包人依法发包的专业工程承包商提供总承包管理与协调服务，并为专业工程承包商提供一切施工方便。</w:t>
      </w:r>
    </w:p>
    <w:p w14:paraId="142BDBCE">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3.2 项目经理</w:t>
      </w:r>
    </w:p>
    <w:p w14:paraId="4463220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 xml:space="preserve">3.2.1 </w:t>
      </w:r>
      <w:r>
        <w:rPr>
          <w:rFonts w:hint="eastAsia" w:ascii="宋体" w:eastAsia="宋体" w:cs="宋体"/>
          <w:color w:val="auto"/>
          <w:lang w:bidi="ar-SA"/>
        </w:rPr>
        <w:t>项目经理：</w:t>
      </w:r>
    </w:p>
    <w:p w14:paraId="14681F8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姓    名：</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 </w:t>
      </w:r>
      <w:r>
        <w:rPr>
          <w:rFonts w:hint="eastAsia" w:ascii="宋体" w:eastAsia="宋体" w:cs="宋体"/>
          <w:color w:val="auto"/>
          <w:lang w:bidi="ar-SA"/>
        </w:rPr>
        <w:t>；</w:t>
      </w:r>
    </w:p>
    <w:p w14:paraId="584C228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身份证号：</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6FA6216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建造师执业资格等级：</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196F91B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建造师注册证书号：</w:t>
      </w:r>
      <w:r>
        <w:rPr>
          <w:rFonts w:hint="eastAsia" w:ascii="宋体" w:eastAsia="宋体" w:cs="宋体"/>
          <w:color w:val="auto"/>
          <w:u w:val="single"/>
          <w:lang w:bidi="ar-SA"/>
        </w:rPr>
        <w:t>  （</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0B50FF9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建造师执业印章号：</w:t>
      </w:r>
      <w:r>
        <w:rPr>
          <w:rFonts w:hint="eastAsia" w:ascii="宋体" w:eastAsia="宋体" w:cs="宋体"/>
          <w:color w:val="auto"/>
          <w:u w:val="single"/>
          <w:lang w:bidi="ar-SA"/>
        </w:rPr>
        <w:t>  （</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3240590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安全生产考核合格证书号：</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524EA41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联系电话：</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2CA54B9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电子信箱：</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14A0EA4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通信地址：</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1D3A1B23">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承包人对项目经理的授权范围如下：</w:t>
      </w:r>
      <w:r>
        <w:rPr>
          <w:rFonts w:hint="eastAsia" w:ascii="宋体" w:eastAsia="宋体" w:cs="宋体"/>
          <w:color w:val="auto"/>
          <w:u w:val="single"/>
          <w:lang w:bidi="ar-SA"/>
        </w:rPr>
        <w:t>（1）对本工程的施工进行全面管理，包括对工程质量、进度、安全、成本等进行管理，行使施工合同约定的权利，履行施工合同约定的义务；（2）经发包人同意分包的专业工程，项目经理参与选择并使用具有相应资质的分包人（由发包人指定分包的除外）；（3）施工合同约定由承包人采购的材料、工程设备，项目经理参与选择物资供应单位；（4）代表承包人对工程施工中的相关事务（本授权第一项约定的事务）进行协商，代表承包人参加发包人组织的与本工程有关的会议；（5）负责与发包人、监理人办理设计变更、现场签证等手续，及时办理本工程相关索赔；（6）负责签收发包人、监理人往来函件，承包人的要求、通知均应以书面形式由承包人项目经理签字并加盖承包人公司公章后递交发包人；（7）代表承包人接受监理工程师或发包人现场代表发出的指示和指令。</w:t>
      </w:r>
    </w:p>
    <w:p w14:paraId="77251EA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u w:val="single"/>
          <w:lang w:bidi="ar-SA"/>
        </w:rPr>
        <w:t>但未经承包人盖章同意不得以承包人和（或本工程项目部）名义向外融资、采购材料设备、租用建筑周转材料、雇佣劳动力、签订分包合同等从事一切为承包人设立义务或责任的行为</w:t>
      </w:r>
      <w:r>
        <w:rPr>
          <w:rFonts w:hint="eastAsia" w:ascii="宋体" w:eastAsia="宋体" w:cs="宋体"/>
          <w:color w:val="auto"/>
          <w:lang w:bidi="ar-SA"/>
        </w:rPr>
        <w:t>。</w:t>
      </w:r>
    </w:p>
    <w:p w14:paraId="0D9FE56E">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关于项目经理每月在施工现场的时间要求：</w:t>
      </w:r>
      <w:r>
        <w:rPr>
          <w:rFonts w:hint="eastAsia" w:ascii="宋体" w:eastAsia="宋体" w:cs="宋体"/>
          <w:color w:val="auto"/>
          <w:u w:val="single"/>
          <w:lang w:bidi="ar-SA"/>
        </w:rPr>
        <w:t>建筑工程施工许可证签发之日起到通过竣工验收之日止的正常施工过程，项目经理每周至少5日，每天必须不少于8小时在现场组织施工</w:t>
      </w:r>
      <w:r>
        <w:rPr>
          <w:rFonts w:hint="eastAsia" w:ascii="宋体" w:eastAsia="宋体" w:cs="宋体"/>
          <w:color w:val="auto"/>
          <w:lang w:bidi="ar-SA"/>
        </w:rPr>
        <w:t>。</w:t>
      </w:r>
    </w:p>
    <w:p w14:paraId="02705C35">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承包人未提交劳动合同，以及没有为项目经理缴纳社会保险证明的违约责任：</w:t>
      </w:r>
      <w:r>
        <w:rPr>
          <w:rFonts w:hint="eastAsia" w:ascii="宋体" w:eastAsia="宋体" w:cs="宋体"/>
          <w:color w:val="auto"/>
          <w:u w:val="single"/>
          <w:lang w:bidi="ar-SA"/>
        </w:rPr>
        <w:t>若承包人未与其聘任的项目人员签署劳动合同、缴纳社会保险或出现欠付工资等情况，致使发包人面临任何追索风险（不论诉讼发生与否）发包人有权扣除承包人相应数额的应付工程款代为支付或赔偿，责令限期提交劳动合同并补缴社会保险</w:t>
      </w:r>
      <w:r>
        <w:rPr>
          <w:rFonts w:hint="eastAsia" w:ascii="宋体" w:eastAsia="宋体" w:cs="宋体"/>
          <w:color w:val="auto"/>
          <w:lang w:bidi="ar-SA"/>
        </w:rPr>
        <w:t>。</w:t>
      </w:r>
    </w:p>
    <w:p w14:paraId="46777E02">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kern w:val="0"/>
          <w:lang w:bidi="ar-SA"/>
        </w:rPr>
        <w:t>项目经理未经批准，</w:t>
      </w:r>
      <w:r>
        <w:rPr>
          <w:rFonts w:hint="eastAsia" w:ascii="宋体" w:eastAsia="宋体" w:cs="宋体"/>
          <w:color w:val="auto"/>
          <w:lang w:bidi="ar-SA"/>
        </w:rPr>
        <w:t>建筑工程施工许可证签发之日起到通过竣工验收之日止的正常施工过程中</w:t>
      </w:r>
      <w:r>
        <w:rPr>
          <w:rFonts w:hint="eastAsia" w:ascii="宋体" w:eastAsia="宋体" w:cs="宋体"/>
          <w:color w:val="auto"/>
          <w:kern w:val="0"/>
          <w:lang w:bidi="ar-SA"/>
        </w:rPr>
        <w:t>擅自离开施工现场的违约责任：</w:t>
      </w:r>
      <w:r>
        <w:rPr>
          <w:rFonts w:hint="eastAsia" w:ascii="宋体" w:eastAsia="宋体" w:cs="宋体"/>
          <w:color w:val="auto"/>
          <w:u w:val="single"/>
          <w:lang w:bidi="ar-SA"/>
        </w:rPr>
        <w:t>未经发包人同意，少在岗带班一天，承包人必须向发包人交纳违约金</w:t>
      </w:r>
      <w:r>
        <w:rPr>
          <w:rFonts w:hint="eastAsia" w:ascii="宋体" w:cs="宋体"/>
          <w:color w:val="auto"/>
          <w:u w:val="single"/>
          <w:lang w:val="en-US" w:eastAsia="zh-CN" w:bidi="ar-SA"/>
        </w:rPr>
        <w:t>1000</w:t>
      </w:r>
      <w:r>
        <w:rPr>
          <w:rFonts w:hint="eastAsia" w:ascii="宋体" w:eastAsia="宋体" w:cs="宋体"/>
          <w:color w:val="auto"/>
          <w:u w:val="single"/>
          <w:lang w:bidi="ar-SA"/>
        </w:rPr>
        <w:t>元/日（人民币）</w:t>
      </w:r>
      <w:r>
        <w:rPr>
          <w:rFonts w:hint="eastAsia" w:ascii="宋体" w:eastAsia="宋体" w:cs="宋体"/>
          <w:color w:val="auto"/>
          <w:lang w:bidi="ar-SA"/>
        </w:rPr>
        <w:t>。</w:t>
      </w:r>
    </w:p>
    <w:p w14:paraId="10B60862">
      <w:pPr>
        <w:pStyle w:val="32"/>
        <w:snapToGrid w:val="0"/>
        <w:spacing w:line="360" w:lineRule="auto"/>
        <w:ind w:firstLine="420" w:firstLineChars="200"/>
        <w:jc w:val="both"/>
        <w:outlineLvl w:val="9"/>
        <w:rPr>
          <w:rFonts w:hint="eastAsia" w:ascii="宋体" w:eastAsia="宋体" w:cs="宋体"/>
          <w:color w:val="auto"/>
          <w:lang w:bidi="ar-SA"/>
        </w:rPr>
      </w:pPr>
      <w:r>
        <w:rPr>
          <w:rFonts w:hint="eastAsia" w:ascii="宋体" w:eastAsia="宋体" w:cs="宋体"/>
          <w:color w:val="auto"/>
          <w:lang w:bidi="ar-SA"/>
        </w:rPr>
        <w:t>3.2.3 承包人更换项目经理的违约责任：</w:t>
      </w:r>
      <w:r>
        <w:rPr>
          <w:rFonts w:hint="eastAsia" w:ascii="宋体" w:eastAsia="宋体" w:cs="宋体"/>
          <w:color w:val="auto"/>
          <w:u w:val="single"/>
          <w:lang w:bidi="ar-SA"/>
        </w:rPr>
        <w:t>承包人项目经理必须与承包人</w:t>
      </w:r>
      <w:r>
        <w:rPr>
          <w:rFonts w:hint="eastAsia" w:ascii="宋体" w:cs="宋体"/>
          <w:color w:val="auto"/>
          <w:u w:val="single"/>
          <w:lang w:eastAsia="zh-CN" w:bidi="ar-SA"/>
        </w:rPr>
        <w:t>竞</w:t>
      </w:r>
      <w:r>
        <w:rPr>
          <w:rFonts w:hint="eastAsia" w:ascii="宋体" w:eastAsia="宋体" w:cs="宋体"/>
          <w:color w:val="auto"/>
          <w:u w:val="single"/>
          <w:lang w:bidi="ar-SA"/>
        </w:rPr>
        <w:t>标时所承诺的人员一致。在监理人向承包人颁发竣工证明材料前，项目经理不得同时兼任其他任何项目的项目经理。未经发包人书面同意，承包人擅自更换项目经理的视为违约，按违约责任处罚，并责令改正</w:t>
      </w:r>
      <w:r>
        <w:rPr>
          <w:rFonts w:hint="eastAsia" w:ascii="宋体" w:eastAsia="宋体" w:cs="宋体"/>
          <w:color w:val="auto"/>
          <w:lang w:bidi="ar-SA"/>
        </w:rPr>
        <w:t>。</w:t>
      </w:r>
    </w:p>
    <w:p w14:paraId="3D6DCD8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3.2.4 承包人无正当理由拒绝更换项目经理的违约责任：</w:t>
      </w:r>
      <w:r>
        <w:rPr>
          <w:rFonts w:hint="eastAsia" w:ascii="宋体" w:eastAsia="宋体" w:cs="宋体"/>
          <w:color w:val="auto"/>
          <w:u w:val="single"/>
          <w:lang w:bidi="ar-SA"/>
        </w:rPr>
        <w:t>因承包人项目经理不称职，发包人要求调换而未及时调换的，视为承包人违约，必须向发包人交纳处罚金</w:t>
      </w:r>
      <w:r>
        <w:rPr>
          <w:rFonts w:hint="eastAsia" w:ascii="宋体" w:cs="宋体"/>
          <w:color w:val="auto"/>
          <w:u w:val="single"/>
          <w:lang w:val="en-US" w:eastAsia="zh-CN" w:bidi="ar-SA"/>
        </w:rPr>
        <w:t>1000</w:t>
      </w:r>
      <w:r>
        <w:rPr>
          <w:rFonts w:hint="eastAsia" w:ascii="宋体" w:eastAsia="宋体" w:cs="宋体"/>
          <w:color w:val="auto"/>
          <w:u w:val="single"/>
          <w:lang w:bidi="ar-SA"/>
        </w:rPr>
        <w:t>元/人•次（人民币）</w:t>
      </w:r>
      <w:r>
        <w:rPr>
          <w:rFonts w:hint="eastAsia" w:ascii="宋体" w:eastAsia="宋体" w:cs="宋体"/>
          <w:color w:val="auto"/>
          <w:lang w:bidi="ar-SA"/>
        </w:rPr>
        <w:t>。</w:t>
      </w:r>
    </w:p>
    <w:p w14:paraId="2448E500">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3.3 承包人人员</w:t>
      </w:r>
    </w:p>
    <w:p w14:paraId="3A988A8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3.3.1 承包人提交项目管理机构及施工现场管理人员安排报告的期限：</w:t>
      </w:r>
      <w:r>
        <w:rPr>
          <w:rFonts w:hint="eastAsia" w:ascii="宋体" w:eastAsia="宋体" w:cs="宋体"/>
          <w:color w:val="auto"/>
          <w:u w:val="single"/>
          <w:lang w:bidi="ar-SA"/>
        </w:rPr>
        <w:t>承包人应在接到开工通知后28 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r>
        <w:rPr>
          <w:rFonts w:hint="eastAsia" w:ascii="宋体" w:eastAsia="宋体" w:cs="宋体"/>
          <w:color w:val="auto"/>
          <w:lang w:bidi="ar-SA"/>
        </w:rPr>
        <w:t>。</w:t>
      </w:r>
    </w:p>
    <w:p w14:paraId="63EDA2B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3.3.3 承包人无正当理由拒绝撤换主要施工管理人员的违约责任：</w:t>
      </w:r>
      <w:r>
        <w:rPr>
          <w:rFonts w:hint="eastAsia" w:ascii="宋体" w:eastAsia="宋体" w:cs="宋体"/>
          <w:color w:val="auto"/>
          <w:u w:val="single"/>
          <w:lang w:bidi="ar-SA"/>
        </w:rPr>
        <w:t>因承包人主要施工管理人员不称职，发包人要求调换而无正当理由拒绝撤换或未及时调换的，视为承包人违约，必须向发包人交纳处罚金，处罚标准：技术负责人</w:t>
      </w:r>
      <w:r>
        <w:rPr>
          <w:rFonts w:hint="eastAsia" w:ascii="宋体" w:cs="宋体"/>
          <w:color w:val="auto"/>
          <w:u w:val="single"/>
          <w:lang w:val="en-US" w:eastAsia="zh-CN" w:bidi="ar-SA"/>
        </w:rPr>
        <w:t>500</w:t>
      </w:r>
      <w:r>
        <w:rPr>
          <w:rFonts w:hint="eastAsia" w:ascii="宋体" w:eastAsia="宋体" w:cs="宋体"/>
          <w:color w:val="auto"/>
          <w:u w:val="single"/>
          <w:lang w:bidi="ar-SA"/>
        </w:rPr>
        <w:t xml:space="preserve">元/人•次（人民币）；专业工程师 </w:t>
      </w:r>
      <w:r>
        <w:rPr>
          <w:rFonts w:hint="eastAsia" w:ascii="宋体" w:cs="宋体"/>
          <w:color w:val="auto"/>
          <w:u w:val="single"/>
          <w:lang w:val="en-US" w:eastAsia="zh-CN" w:bidi="ar-SA"/>
        </w:rPr>
        <w:t>200</w:t>
      </w:r>
      <w:r>
        <w:rPr>
          <w:rFonts w:hint="eastAsia" w:ascii="宋体" w:eastAsia="宋体" w:cs="宋体"/>
          <w:color w:val="auto"/>
          <w:u w:val="single"/>
          <w:lang w:bidi="ar-SA"/>
        </w:rPr>
        <w:t xml:space="preserve"> 元/人•次（人民币）</w:t>
      </w:r>
      <w:r>
        <w:rPr>
          <w:rFonts w:hint="eastAsia" w:ascii="宋体" w:eastAsia="宋体" w:cs="宋体"/>
          <w:color w:val="auto"/>
          <w:lang w:bidi="ar-SA"/>
        </w:rPr>
        <w:t>。</w:t>
      </w:r>
    </w:p>
    <w:p w14:paraId="514A6AD5">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3.3.4 承包人主要施工管理人员离开施工现场的批准要求：</w:t>
      </w:r>
      <w:r>
        <w:rPr>
          <w:rFonts w:hint="eastAsia" w:ascii="宋体" w:eastAsia="宋体" w:cs="宋体"/>
          <w:color w:val="auto"/>
          <w:u w:val="single"/>
          <w:lang w:bidi="ar-SA"/>
        </w:rPr>
        <w:t>由总监理工程师批准，发包人认可方可离开</w:t>
      </w:r>
      <w:r>
        <w:rPr>
          <w:rFonts w:hint="eastAsia" w:ascii="宋体" w:eastAsia="宋体" w:cs="宋体"/>
          <w:color w:val="auto"/>
          <w:lang w:bidi="ar-SA"/>
        </w:rPr>
        <w:t>。</w:t>
      </w:r>
    </w:p>
    <w:p w14:paraId="7A833AF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3.3.5承包人擅自更换主要施工管理人员的违约责任：</w:t>
      </w:r>
      <w:r>
        <w:rPr>
          <w:rFonts w:hint="eastAsia" w:ascii="宋体" w:eastAsia="宋体" w:cs="宋体"/>
          <w:color w:val="auto"/>
          <w:u w:val="single"/>
          <w:lang w:bidi="ar-SA"/>
        </w:rPr>
        <w:t xml:space="preserve">项目技术负责人、专职安全员及其承诺的其它在场管理人员更换，更换项目技术负责人，承包人必须向发包人交纳违约金 </w:t>
      </w:r>
      <w:r>
        <w:rPr>
          <w:rFonts w:hint="eastAsia" w:ascii="宋体" w:cs="宋体"/>
          <w:color w:val="auto"/>
          <w:u w:val="single"/>
          <w:lang w:val="en-US" w:eastAsia="zh-CN" w:bidi="ar-SA"/>
        </w:rPr>
        <w:t>200</w:t>
      </w:r>
      <w:r>
        <w:rPr>
          <w:rFonts w:hint="eastAsia" w:ascii="宋体" w:eastAsia="宋体" w:cs="宋体"/>
          <w:color w:val="auto"/>
          <w:u w:val="single"/>
          <w:lang w:bidi="ar-SA"/>
        </w:rPr>
        <w:t xml:space="preserve"> 元/人•次（人民币）违约金；更换专职安全员，承包人必须向发包人交纳违约金 </w:t>
      </w:r>
      <w:r>
        <w:rPr>
          <w:rFonts w:hint="eastAsia" w:ascii="宋体" w:cs="宋体"/>
          <w:color w:val="auto"/>
          <w:u w:val="single"/>
          <w:lang w:val="en-US" w:eastAsia="zh-CN" w:bidi="ar-SA"/>
        </w:rPr>
        <w:t>200</w:t>
      </w:r>
      <w:r>
        <w:rPr>
          <w:rFonts w:hint="eastAsia" w:ascii="宋体" w:eastAsia="宋体" w:cs="宋体"/>
          <w:color w:val="auto"/>
          <w:u w:val="single"/>
          <w:lang w:bidi="ar-SA"/>
        </w:rPr>
        <w:t xml:space="preserve">元/人•次（人民币）；更换其它在场管理人员，承包人必须向发包人交纳违约金 </w:t>
      </w:r>
      <w:r>
        <w:rPr>
          <w:rFonts w:hint="eastAsia" w:ascii="宋体" w:cs="宋体"/>
          <w:color w:val="auto"/>
          <w:u w:val="single"/>
          <w:lang w:val="en-US" w:eastAsia="zh-CN" w:bidi="ar-SA"/>
        </w:rPr>
        <w:t>200</w:t>
      </w:r>
      <w:r>
        <w:rPr>
          <w:rFonts w:hint="eastAsia" w:ascii="宋体" w:eastAsia="宋体" w:cs="宋体"/>
          <w:color w:val="auto"/>
          <w:u w:val="single"/>
          <w:lang w:bidi="ar-SA"/>
        </w:rPr>
        <w:t xml:space="preserve"> 元/人•次（人民币）</w:t>
      </w:r>
      <w:r>
        <w:rPr>
          <w:rFonts w:hint="eastAsia" w:ascii="宋体" w:eastAsia="宋体" w:cs="宋体"/>
          <w:color w:val="auto"/>
          <w:lang w:bidi="ar-SA"/>
        </w:rPr>
        <w:t xml:space="preserve">。 </w:t>
      </w:r>
    </w:p>
    <w:p w14:paraId="06E69E3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承包人主要施工管理人员擅自离开施工现场的违约责任：</w:t>
      </w:r>
      <w:r>
        <w:rPr>
          <w:rFonts w:hint="eastAsia" w:ascii="宋体" w:eastAsia="宋体" w:cs="宋体"/>
          <w:color w:val="auto"/>
          <w:u w:val="single"/>
          <w:lang w:bidi="ar-SA"/>
        </w:rPr>
        <w:t xml:space="preserve">未经发包人同意，项目技术负责人擅自离岗的，视为承包人违约，发包人有权处违约金  </w:t>
      </w:r>
      <w:r>
        <w:rPr>
          <w:rFonts w:hint="eastAsia" w:ascii="宋体" w:cs="宋体"/>
          <w:color w:val="auto"/>
          <w:u w:val="single"/>
          <w:lang w:val="en-US" w:eastAsia="zh-CN" w:bidi="ar-SA"/>
        </w:rPr>
        <w:t>500</w:t>
      </w:r>
      <w:r>
        <w:rPr>
          <w:rFonts w:hint="eastAsia" w:ascii="宋体" w:eastAsia="宋体" w:cs="宋体"/>
          <w:color w:val="auto"/>
          <w:u w:val="single"/>
          <w:lang w:bidi="ar-SA"/>
        </w:rPr>
        <w:t xml:space="preserve"> 元/人•次（人民币）；未经发包人同意，专职安全员擅自离岗的，视为承包人违约，发包人有权处违约金  </w:t>
      </w:r>
      <w:r>
        <w:rPr>
          <w:rFonts w:hint="eastAsia" w:ascii="宋体" w:cs="宋体"/>
          <w:color w:val="auto"/>
          <w:u w:val="single"/>
          <w:lang w:val="en-US" w:eastAsia="zh-CN" w:bidi="ar-SA"/>
        </w:rPr>
        <w:t>200</w:t>
      </w:r>
      <w:r>
        <w:rPr>
          <w:rFonts w:hint="eastAsia" w:ascii="宋体" w:eastAsia="宋体" w:cs="宋体"/>
          <w:color w:val="auto"/>
          <w:u w:val="single"/>
          <w:lang w:bidi="ar-SA"/>
        </w:rPr>
        <w:t xml:space="preserve">  元/人•次（人民币）；其它在场管理人员擅自离岗的，视为承包人违约，发包人有权处违约金   </w:t>
      </w:r>
      <w:r>
        <w:rPr>
          <w:rFonts w:hint="eastAsia" w:ascii="宋体" w:cs="宋体"/>
          <w:color w:val="auto"/>
          <w:u w:val="single"/>
          <w:lang w:val="en-US" w:eastAsia="zh-CN" w:bidi="ar-SA"/>
        </w:rPr>
        <w:t>200</w:t>
      </w:r>
      <w:r>
        <w:rPr>
          <w:rFonts w:hint="eastAsia" w:ascii="宋体" w:eastAsia="宋体" w:cs="宋体"/>
          <w:color w:val="auto"/>
          <w:u w:val="single"/>
          <w:lang w:bidi="ar-SA"/>
        </w:rPr>
        <w:t xml:space="preserve"> 元/人•次（人民币）</w:t>
      </w:r>
      <w:r>
        <w:rPr>
          <w:rFonts w:hint="eastAsia" w:ascii="宋体" w:eastAsia="宋体" w:cs="宋体"/>
          <w:color w:val="auto"/>
          <w:lang w:bidi="ar-SA"/>
        </w:rPr>
        <w:t>。</w:t>
      </w:r>
    </w:p>
    <w:p w14:paraId="48CC036D">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3</w:t>
      </w:r>
      <w:bookmarkStart w:id="184" w:name="_Toc292559869"/>
      <w:bookmarkStart w:id="185" w:name="_Toc296890987"/>
      <w:bookmarkStart w:id="186" w:name="_Toc297048345"/>
      <w:bookmarkStart w:id="187" w:name="_Toc297120459"/>
      <w:bookmarkStart w:id="188" w:name="_Toc296891199"/>
      <w:bookmarkStart w:id="189" w:name="_Toc296346660"/>
      <w:bookmarkStart w:id="190" w:name="_Toc312677988"/>
      <w:bookmarkStart w:id="191" w:name="_Toc300934945"/>
      <w:bookmarkStart w:id="192" w:name="_Toc303539102"/>
      <w:bookmarkStart w:id="193" w:name="_Toc297216151"/>
      <w:bookmarkStart w:id="194" w:name="_Toc297123492"/>
      <w:bookmarkStart w:id="195" w:name="_Toc296503159"/>
      <w:bookmarkStart w:id="196" w:name="_Toc296347158"/>
      <w:bookmarkStart w:id="197" w:name="_Toc292559364"/>
      <w:bookmarkStart w:id="198" w:name="_Toc296944498"/>
      <w:bookmarkStart w:id="199" w:name="_Toc304295523"/>
      <w:r>
        <w:rPr>
          <w:rFonts w:hint="eastAsia" w:ascii="宋体" w:eastAsia="宋体" w:cs="宋体"/>
          <w:color w:val="auto"/>
          <w:lang w:bidi="ar-SA"/>
        </w:rPr>
        <w:t>.5 分包</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544948A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w:t>
      </w:r>
      <w:bookmarkStart w:id="200" w:name="_Toc303539103"/>
      <w:bookmarkStart w:id="201" w:name="_Toc296944499"/>
      <w:bookmarkStart w:id="202" w:name="_Toc292559870"/>
      <w:bookmarkStart w:id="203" w:name="_Toc296891200"/>
      <w:bookmarkStart w:id="204" w:name="_Toc296890988"/>
      <w:bookmarkStart w:id="205" w:name="_Toc297123493"/>
      <w:bookmarkStart w:id="206" w:name="_Toc304295524"/>
      <w:bookmarkStart w:id="207" w:name="_Toc296503160"/>
      <w:bookmarkStart w:id="208" w:name="_Toc292559365"/>
      <w:bookmarkStart w:id="209" w:name="_Toc297120460"/>
      <w:bookmarkStart w:id="210" w:name="_Toc300934946"/>
      <w:bookmarkStart w:id="211" w:name="_Toc296347159"/>
      <w:bookmarkStart w:id="212" w:name="_Toc296346661"/>
      <w:bookmarkStart w:id="213" w:name="_Toc297216152"/>
      <w:bookmarkStart w:id="214" w:name="_Toc297048346"/>
      <w:bookmarkStart w:id="215" w:name="_Toc312677989"/>
      <w:bookmarkStart w:id="216" w:name="_Toc318581158"/>
      <w:r>
        <w:rPr>
          <w:rFonts w:hint="eastAsia" w:ascii="宋体" w:eastAsia="宋体" w:cs="宋体"/>
          <w:color w:val="auto"/>
          <w:lang w:bidi="ar-SA"/>
        </w:rPr>
        <w:t>.5.1 分包的一般约定</w:t>
      </w:r>
    </w:p>
    <w:p w14:paraId="0F921B2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禁止分包的工程包括：</w:t>
      </w:r>
      <w:r>
        <w:rPr>
          <w:rFonts w:hint="eastAsia" w:ascii="宋体" w:eastAsia="宋体" w:cs="宋体"/>
          <w:color w:val="auto"/>
          <w:u w:val="single"/>
          <w:lang w:bidi="ar-SA"/>
        </w:rPr>
        <w:t>本工程不允许分包（除劳务分包以外）</w:t>
      </w:r>
      <w:r>
        <w:rPr>
          <w:rFonts w:hint="eastAsia" w:ascii="宋体" w:eastAsia="宋体" w:cs="宋体"/>
          <w:color w:val="auto"/>
          <w:lang w:bidi="ar-SA"/>
        </w:rPr>
        <w:t>。</w:t>
      </w:r>
    </w:p>
    <w:p w14:paraId="6E96C977">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主体结构、关键性工作的范围：</w:t>
      </w:r>
      <w:r>
        <w:rPr>
          <w:rFonts w:hint="eastAsia" w:ascii="宋体" w:eastAsia="宋体" w:cs="宋体"/>
          <w:color w:val="auto"/>
          <w:u w:val="single"/>
          <w:lang w:bidi="ar-SA"/>
        </w:rPr>
        <w:t xml:space="preserve">/ </w:t>
      </w:r>
      <w:r>
        <w:rPr>
          <w:rFonts w:hint="eastAsia" w:ascii="宋体" w:eastAsia="宋体" w:cs="宋体"/>
          <w:color w:val="auto"/>
          <w:lang w:bidi="ar-SA"/>
        </w:rPr>
        <w: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7" w:name="_Toc296891201"/>
      <w:bookmarkStart w:id="218" w:name="_Toc304295525"/>
      <w:bookmarkStart w:id="219" w:name="_Toc296347160"/>
      <w:bookmarkStart w:id="220" w:name="_Toc296944500"/>
      <w:bookmarkStart w:id="221" w:name="_Toc300934947"/>
      <w:bookmarkStart w:id="222" w:name="_Toc296503161"/>
      <w:bookmarkStart w:id="223" w:name="_Toc303539104"/>
      <w:bookmarkStart w:id="224" w:name="_Toc296890989"/>
      <w:bookmarkStart w:id="225" w:name="_Toc297120461"/>
      <w:bookmarkStart w:id="226" w:name="_Toc297123494"/>
      <w:bookmarkStart w:id="227" w:name="_Toc296346662"/>
      <w:bookmarkStart w:id="228" w:name="_Toc297216153"/>
      <w:bookmarkStart w:id="229" w:name="_Toc297048347"/>
    </w:p>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14:paraId="69D8EDD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w:t>
      </w:r>
      <w:bookmarkStart w:id="230" w:name="_Toc312677990"/>
      <w:bookmarkStart w:id="231" w:name="_Toc318581159"/>
      <w:r>
        <w:rPr>
          <w:rFonts w:hint="eastAsia" w:ascii="宋体" w:eastAsia="宋体" w:cs="宋体"/>
          <w:color w:val="auto"/>
          <w:lang w:bidi="ar-SA"/>
        </w:rPr>
        <w:t>.5.2分包的确定</w:t>
      </w:r>
    </w:p>
    <w:p w14:paraId="720CB739">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允许分包的专业工程包括：</w:t>
      </w:r>
      <w:r>
        <w:rPr>
          <w:rFonts w:hint="eastAsia" w:ascii="宋体" w:eastAsia="宋体" w:cs="宋体"/>
          <w:color w:val="auto"/>
          <w:u w:val="single"/>
          <w:lang w:bidi="ar-SA"/>
        </w:rPr>
        <w:t xml:space="preserve">除法律禁止分包的专业工程  </w:t>
      </w:r>
      <w:r>
        <w:rPr>
          <w:rFonts w:hint="eastAsia" w:ascii="宋体" w:eastAsia="宋体" w:cs="宋体"/>
          <w:color w:val="auto"/>
          <w:lang w:bidi="ar-SA"/>
        </w:rPr>
        <w:t>。</w:t>
      </w:r>
    </w:p>
    <w:p w14:paraId="0B243E49">
      <w:pPr>
        <w:pStyle w:val="32"/>
        <w:snapToGrid w:val="0"/>
        <w:spacing w:line="360" w:lineRule="auto"/>
        <w:ind w:firstLine="420" w:firstLineChars="200"/>
        <w:jc w:val="left"/>
        <w:outlineLvl w:val="9"/>
        <w:rPr>
          <w:rFonts w:hint="eastAsia" w:ascii="宋体" w:eastAsia="宋体" w:cs="宋体"/>
          <w:color w:val="auto"/>
          <w:lang w:eastAsia="zh-CN" w:bidi="ar-SA"/>
        </w:rPr>
      </w:pPr>
      <w:r>
        <w:rPr>
          <w:rFonts w:hint="eastAsia" w:ascii="宋体" w:eastAsia="宋体" w:cs="宋体"/>
          <w:color w:val="auto"/>
          <w:lang w:bidi="ar-SA"/>
        </w:rPr>
        <w:t>其他关于分包的约定：</w:t>
      </w:r>
      <w:r>
        <w:rPr>
          <w:rFonts w:hint="eastAsia" w:ascii="宋体" w:hAnsi="宋体" w:eastAsia="宋体" w:cs="宋体"/>
          <w:color w:val="auto"/>
          <w:sz w:val="21"/>
          <w:szCs w:val="21"/>
          <w:highlight w:val="none"/>
          <w:u w:val="single"/>
        </w:rPr>
        <w:t xml:space="preserve">     按照国家有关规定执行     </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w:t>
      </w:r>
    </w:p>
    <w:p w14:paraId="1E50CDE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3.5.4 分包合同价款</w:t>
      </w:r>
    </w:p>
    <w:p w14:paraId="1D52637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关于分包合同价款支付的约定：</w:t>
      </w:r>
      <w:r>
        <w:rPr>
          <w:rFonts w:hint="eastAsia" w:ascii="宋体" w:eastAsia="宋体" w:cs="宋体"/>
          <w:color w:val="auto"/>
          <w:u w:val="single"/>
          <w:lang w:bidi="ar-SA"/>
        </w:rPr>
        <w:t xml:space="preserve">/  </w:t>
      </w:r>
      <w:r>
        <w:rPr>
          <w:rFonts w:hint="eastAsia" w:ascii="宋体" w:eastAsia="宋体" w:cs="宋体"/>
          <w:color w:val="auto"/>
          <w:lang w:bidi="ar-SA"/>
        </w:rPr>
        <w:t>。</w:t>
      </w:r>
    </w:p>
    <w:bookmarkEnd w:id="230"/>
    <w:bookmarkEnd w:id="231"/>
    <w:p w14:paraId="4D426181">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3.6 工程照管与成品、半成品保护</w:t>
      </w:r>
    </w:p>
    <w:p w14:paraId="0E4765BE">
      <w:pPr>
        <w:pStyle w:val="32"/>
        <w:snapToGrid w:val="0"/>
        <w:spacing w:line="360" w:lineRule="auto"/>
        <w:ind w:firstLine="420" w:firstLineChars="200"/>
        <w:jc w:val="left"/>
        <w:outlineLvl w:val="9"/>
        <w:rPr>
          <w:rFonts w:hint="eastAsia" w:ascii="宋体" w:eastAsia="宋体" w:cs="宋体"/>
          <w:color w:val="auto"/>
          <w:kern w:val="0"/>
          <w:u w:val="single"/>
          <w:lang w:bidi="ar-SA"/>
        </w:rPr>
      </w:pPr>
      <w:r>
        <w:rPr>
          <w:rFonts w:hint="eastAsia" w:ascii="宋体" w:eastAsia="宋体" w:cs="宋体"/>
          <w:color w:val="auto"/>
          <w:kern w:val="0"/>
          <w:lang w:bidi="ar-SA"/>
        </w:rPr>
        <w:t>承包人负责照管工程及工程相关的材料、工程设备的起始时间：</w:t>
      </w:r>
      <w:r>
        <w:rPr>
          <w:rFonts w:hint="eastAsia" w:ascii="宋体" w:eastAsia="宋体" w:cs="宋体"/>
          <w:color w:val="auto"/>
          <w:u w:val="single"/>
          <w:lang w:bidi="ar-SA"/>
        </w:rPr>
        <w:t>按通用条款，无特殊约定</w:t>
      </w:r>
      <w:r>
        <w:rPr>
          <w:rFonts w:hint="eastAsia" w:ascii="宋体" w:eastAsia="宋体" w:cs="宋体"/>
          <w:color w:val="auto"/>
          <w:kern w:val="0"/>
          <w:lang w:bidi="ar-SA"/>
        </w:rPr>
        <w:t>。</w:t>
      </w:r>
    </w:p>
    <w:p w14:paraId="5CCF6FB1">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3.7 履约担保</w:t>
      </w:r>
    </w:p>
    <w:p w14:paraId="0CFA507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承包人是否提供履约担保：</w:t>
      </w:r>
      <w:r>
        <w:rPr>
          <w:rFonts w:hint="eastAsia" w:ascii="宋体" w:eastAsia="宋体" w:cs="宋体"/>
          <w:color w:val="auto"/>
          <w:u w:val="single"/>
          <w:lang w:bidi="ar-SA"/>
        </w:rPr>
        <w:t xml:space="preserve">   </w:t>
      </w:r>
      <w:r>
        <w:rPr>
          <w:rFonts w:hint="eastAsia" w:ascii="宋体" w:eastAsia="宋体" w:cs="宋体"/>
          <w:color w:val="auto"/>
          <w:u w:val="single"/>
          <w:lang w:eastAsia="zh-CN" w:bidi="ar-SA"/>
        </w:rPr>
        <w:t>否</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194B0D87">
      <w:pPr>
        <w:pStyle w:val="51"/>
        <w:snapToGrid w:val="0"/>
        <w:spacing w:line="360" w:lineRule="auto"/>
        <w:jc w:val="left"/>
        <w:outlineLvl w:val="9"/>
        <w:rPr>
          <w:rFonts w:hint="eastAsia" w:ascii="宋体" w:eastAsia="宋体" w:cs="宋体"/>
          <w:color w:val="auto"/>
          <w:u w:val="single"/>
          <w:lang w:val="en-US" w:eastAsia="zh-CN" w:bidi="ar-SA"/>
        </w:rPr>
      </w:pPr>
      <w:r>
        <w:rPr>
          <w:rFonts w:hint="eastAsia" w:ascii="宋体" w:eastAsia="宋体" w:cs="宋体"/>
          <w:color w:val="auto"/>
          <w:lang w:bidi="ar-SA"/>
        </w:rPr>
        <w:t>承包人提供履约担保的形式、金额及期限的：</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181B1B9D">
      <w:pPr>
        <w:pStyle w:val="32"/>
        <w:snapToGrid w:val="0"/>
        <w:spacing w:line="360" w:lineRule="auto"/>
        <w:jc w:val="left"/>
        <w:outlineLvl w:val="9"/>
        <w:rPr>
          <w:rFonts w:hint="eastAsia" w:ascii="宋体" w:eastAsia="宋体" w:cs="宋体"/>
          <w:color w:val="auto"/>
          <w:lang w:bidi="ar-SA"/>
        </w:rPr>
      </w:pPr>
      <w:bookmarkStart w:id="232" w:name="_Toc351203636"/>
      <w:r>
        <w:rPr>
          <w:rFonts w:hint="eastAsia" w:ascii="宋体" w:eastAsia="宋体" w:cs="宋体"/>
          <w:color w:val="auto"/>
          <w:lang w:bidi="ar-SA"/>
        </w:rPr>
        <w:t>4</w:t>
      </w:r>
      <w:bookmarkStart w:id="233" w:name="_Toc267251413"/>
      <w:bookmarkStart w:id="234" w:name="_Toc296891202"/>
      <w:bookmarkStart w:id="235" w:name="_Toc297120462"/>
      <w:bookmarkStart w:id="236" w:name="_Toc296503162"/>
      <w:bookmarkStart w:id="237" w:name="_Toc296347161"/>
      <w:bookmarkStart w:id="238" w:name="_Toc296890990"/>
      <w:bookmarkStart w:id="239" w:name="_Toc297048348"/>
      <w:bookmarkStart w:id="240" w:name="_Toc292559366"/>
      <w:bookmarkStart w:id="241" w:name="_Toc296944501"/>
      <w:bookmarkStart w:id="242" w:name="_Toc292559871"/>
      <w:bookmarkStart w:id="243" w:name="_Toc296346663"/>
      <w:r>
        <w:rPr>
          <w:rFonts w:hint="eastAsia" w:ascii="宋体" w:eastAsia="宋体" w:cs="宋体"/>
          <w:color w:val="auto"/>
          <w:lang w:bidi="ar-SA"/>
        </w:rPr>
        <w:t>. 监</w:t>
      </w:r>
      <w:bookmarkEnd w:id="233"/>
      <w:bookmarkEnd w:id="234"/>
      <w:bookmarkEnd w:id="235"/>
      <w:bookmarkEnd w:id="236"/>
      <w:bookmarkEnd w:id="237"/>
      <w:bookmarkEnd w:id="238"/>
      <w:bookmarkEnd w:id="239"/>
      <w:bookmarkEnd w:id="240"/>
      <w:bookmarkEnd w:id="241"/>
      <w:bookmarkEnd w:id="242"/>
      <w:bookmarkEnd w:id="243"/>
      <w:r>
        <w:rPr>
          <w:rFonts w:hint="eastAsia" w:ascii="宋体" w:eastAsia="宋体" w:cs="宋体"/>
          <w:color w:val="auto"/>
          <w:lang w:bidi="ar-SA"/>
        </w:rPr>
        <w:t>理人</w:t>
      </w:r>
      <w:bookmarkEnd w:id="232"/>
    </w:p>
    <w:p w14:paraId="77A50D06">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4.1监理人的一般规定</w:t>
      </w:r>
    </w:p>
    <w:p w14:paraId="3D0B782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关于监理人的监理内容：</w:t>
      </w:r>
      <w:r>
        <w:rPr>
          <w:rFonts w:hint="eastAsia" w:ascii="宋体" w:eastAsia="宋体" w:cs="宋体"/>
          <w:color w:val="auto"/>
          <w:u w:val="single"/>
          <w:lang w:bidi="ar-SA"/>
        </w:rPr>
        <w:t>见监理合同</w:t>
      </w:r>
      <w:r>
        <w:rPr>
          <w:rFonts w:hint="eastAsia" w:ascii="宋体" w:eastAsia="宋体" w:cs="宋体"/>
          <w:color w:val="auto"/>
          <w:lang w:bidi="ar-SA"/>
        </w:rPr>
        <w:t>。</w:t>
      </w:r>
    </w:p>
    <w:p w14:paraId="0289776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关于监理人的监理权限：</w:t>
      </w:r>
      <w:r>
        <w:rPr>
          <w:rFonts w:hint="eastAsia" w:ascii="宋体" w:eastAsia="宋体" w:cs="宋体"/>
          <w:color w:val="auto"/>
          <w:u w:val="single"/>
          <w:lang w:bidi="ar-SA"/>
        </w:rPr>
        <w:t>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详细见发包人与监理单位签订的监理合同）。5、工程内容和材料变更确认应得到发包人的书面批准</w:t>
      </w:r>
      <w:r>
        <w:rPr>
          <w:rFonts w:hint="eastAsia" w:ascii="宋体" w:eastAsia="宋体" w:cs="宋体"/>
          <w:color w:val="auto"/>
          <w:lang w:bidi="ar-SA"/>
        </w:rPr>
        <w:t xml:space="preserve">。 </w:t>
      </w:r>
    </w:p>
    <w:p w14:paraId="2D52237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关于监理人在施工现场的办公场所、生活场所的提供和费用承担的约定：</w:t>
      </w:r>
      <w:r>
        <w:rPr>
          <w:rFonts w:hint="eastAsia" w:ascii="宋体" w:eastAsia="宋体" w:cs="宋体"/>
          <w:color w:val="auto"/>
          <w:u w:val="single"/>
          <w:lang w:bidi="ar-SA"/>
        </w:rPr>
        <w:t>由承包人承担</w:t>
      </w:r>
      <w:r>
        <w:rPr>
          <w:rFonts w:hint="eastAsia" w:ascii="宋体" w:eastAsia="宋体" w:cs="宋体"/>
          <w:color w:val="auto"/>
          <w:lang w:bidi="ar-SA"/>
        </w:rPr>
        <w:t>。</w:t>
      </w:r>
    </w:p>
    <w:p w14:paraId="06B0636B">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4.2 监理人员</w:t>
      </w:r>
    </w:p>
    <w:p w14:paraId="54F1FC4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总监理工程师：</w:t>
      </w:r>
    </w:p>
    <w:p w14:paraId="4470CEB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姓    名：</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011EAA4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职    务：</w:t>
      </w:r>
      <w:r>
        <w:rPr>
          <w:rFonts w:hint="eastAsia" w:ascii="宋体" w:eastAsia="宋体" w:cs="宋体"/>
          <w:color w:val="auto"/>
          <w:u w:val="single"/>
          <w:lang w:bidi="ar-SA"/>
        </w:rPr>
        <w:t>  （</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261D7A5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监理工程师执业资格证书号：</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w:t>
      </w:r>
      <w:r>
        <w:rPr>
          <w:rFonts w:hint="eastAsia" w:ascii="宋体" w:eastAsia="宋体" w:cs="宋体"/>
          <w:color w:val="auto"/>
          <w:lang w:bidi="ar-SA"/>
        </w:rPr>
        <w:t>；</w:t>
      </w:r>
    </w:p>
    <w:p w14:paraId="5C03A71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联系电话：</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 </w:t>
      </w:r>
      <w:r>
        <w:rPr>
          <w:rFonts w:hint="eastAsia" w:ascii="宋体" w:eastAsia="宋体" w:cs="宋体"/>
          <w:color w:val="auto"/>
          <w:lang w:bidi="ar-SA"/>
        </w:rPr>
        <w:t>；</w:t>
      </w:r>
    </w:p>
    <w:p w14:paraId="04183A5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电子信箱：</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0CEF4C7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通信地址：</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w:t>
      </w:r>
      <w:r>
        <w:rPr>
          <w:rFonts w:hint="eastAsia" w:ascii="宋体" w:eastAsia="宋体" w:cs="宋体"/>
          <w:color w:val="auto"/>
          <w:lang w:bidi="ar-SA"/>
        </w:rPr>
        <w:t>；</w:t>
      </w:r>
    </w:p>
    <w:p w14:paraId="6BB3455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关于监理人的其他约定：</w:t>
      </w:r>
      <w:r>
        <w:rPr>
          <w:rFonts w:hint="eastAsia" w:ascii="宋体" w:eastAsia="宋体" w:cs="宋体"/>
          <w:color w:val="auto"/>
          <w:u w:val="single"/>
          <w:lang w:bidi="ar-SA"/>
        </w:rPr>
        <w:t>（</w:t>
      </w:r>
      <w:r>
        <w:rPr>
          <w:rFonts w:hint="eastAsia" w:ascii="宋体" w:cs="宋体"/>
          <w:color w:val="auto"/>
          <w:u w:val="single"/>
          <w:lang w:eastAsia="zh-CN" w:bidi="ar-SA"/>
        </w:rPr>
        <w:t>成交后填写</w:t>
      </w:r>
      <w:r>
        <w:rPr>
          <w:rFonts w:hint="eastAsia" w:ascii="宋体" w:eastAsia="宋体" w:cs="宋体"/>
          <w:color w:val="auto"/>
          <w:u w:val="single"/>
          <w:lang w:bidi="ar-SA"/>
        </w:rPr>
        <w:t xml:space="preserve">）  </w:t>
      </w:r>
      <w:r>
        <w:rPr>
          <w:rFonts w:hint="eastAsia" w:ascii="宋体" w:eastAsia="宋体" w:cs="宋体"/>
          <w:color w:val="auto"/>
          <w:lang w:bidi="ar-SA"/>
        </w:rPr>
        <w:t>。</w:t>
      </w:r>
    </w:p>
    <w:p w14:paraId="13CB8088">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4.4 商定或确定</w:t>
      </w:r>
    </w:p>
    <w:p w14:paraId="2D481F24">
      <w:pPr>
        <w:pStyle w:val="32"/>
        <w:snapToGrid w:val="0"/>
        <w:spacing w:line="360" w:lineRule="auto"/>
        <w:ind w:firstLine="420" w:firstLineChars="200"/>
        <w:jc w:val="left"/>
        <w:outlineLvl w:val="9"/>
        <w:rPr>
          <w:rFonts w:hint="eastAsia" w:ascii="宋体" w:eastAsia="宋体" w:cs="宋体"/>
          <w:color w:val="auto"/>
          <w:lang w:bidi="ar-SA"/>
        </w:rPr>
      </w:pPr>
      <w:bookmarkStart w:id="244" w:name="_Toc267251418"/>
      <w:r>
        <w:rPr>
          <w:rFonts w:hint="eastAsia" w:ascii="宋体" w:eastAsia="宋体" w:cs="宋体"/>
          <w:color w:val="auto"/>
          <w:lang w:bidi="ar-SA"/>
        </w:rPr>
        <w:t>在发包人和承包人不能通过协商达成一致意见时，发包人授权监理人对以下事项进行确定：</w:t>
      </w:r>
      <w:r>
        <w:rPr>
          <w:rFonts w:hint="eastAsia" w:ascii="宋体" w:eastAsia="宋体" w:cs="宋体"/>
          <w:color w:val="auto"/>
          <w:u w:val="single"/>
          <w:lang w:bidi="ar-SA"/>
        </w:rPr>
        <w:t>/</w:t>
      </w:r>
    </w:p>
    <w:p w14:paraId="3B67FC54">
      <w:pPr>
        <w:pStyle w:val="32"/>
        <w:snapToGrid w:val="0"/>
        <w:spacing w:line="360" w:lineRule="auto"/>
        <w:jc w:val="left"/>
        <w:outlineLvl w:val="9"/>
        <w:rPr>
          <w:rFonts w:hint="eastAsia" w:ascii="宋体" w:eastAsia="宋体" w:cs="宋体"/>
          <w:color w:val="auto"/>
          <w:lang w:bidi="ar-SA"/>
        </w:rPr>
      </w:pPr>
      <w:bookmarkStart w:id="245" w:name="_Toc351203637"/>
      <w:r>
        <w:rPr>
          <w:rFonts w:hint="eastAsia" w:ascii="宋体" w:eastAsia="宋体" w:cs="宋体"/>
          <w:color w:val="auto"/>
          <w:lang w:bidi="ar-SA"/>
        </w:rPr>
        <w:t>5</w:t>
      </w:r>
      <w:bookmarkEnd w:id="244"/>
      <w:bookmarkStart w:id="246" w:name="_Toc296890991"/>
      <w:bookmarkStart w:id="247" w:name="_Toc296347162"/>
      <w:bookmarkStart w:id="248" w:name="_Toc296891203"/>
      <w:bookmarkStart w:id="249" w:name="_Toc296944502"/>
      <w:bookmarkStart w:id="250" w:name="_Toc296503163"/>
      <w:bookmarkStart w:id="251" w:name="_Toc292559872"/>
      <w:bookmarkStart w:id="252" w:name="_Toc297120463"/>
      <w:bookmarkStart w:id="253" w:name="_Toc296346664"/>
      <w:bookmarkStart w:id="254" w:name="_Toc297048349"/>
      <w:bookmarkStart w:id="255" w:name="_Toc292559367"/>
      <w:r>
        <w:rPr>
          <w:rFonts w:hint="eastAsia" w:ascii="宋体" w:eastAsia="宋体" w:cs="宋体"/>
          <w:color w:val="auto"/>
          <w:lang w:bidi="ar-SA"/>
        </w:rPr>
        <w:t>.工程质量</w:t>
      </w:r>
      <w:bookmarkEnd w:id="245"/>
    </w:p>
    <w:p w14:paraId="6EB0E2F7">
      <w:pPr>
        <w:pStyle w:val="32"/>
        <w:snapToGrid w:val="0"/>
        <w:spacing w:line="360" w:lineRule="auto"/>
        <w:jc w:val="left"/>
        <w:outlineLvl w:val="9"/>
        <w:rPr>
          <w:rFonts w:hint="eastAsia" w:ascii="宋体" w:eastAsia="宋体" w:cs="宋体"/>
          <w:color w:val="auto"/>
          <w:lang w:bidi="ar-SA"/>
        </w:rPr>
      </w:pPr>
      <w:bookmarkStart w:id="256" w:name="_Toc26520"/>
      <w:bookmarkStart w:id="257" w:name="_Toc21095"/>
      <w:r>
        <w:rPr>
          <w:rFonts w:hint="eastAsia" w:ascii="宋体" w:eastAsia="宋体" w:cs="宋体"/>
          <w:color w:val="auto"/>
          <w:lang w:bidi="ar-SA"/>
        </w:rPr>
        <w:t>5.1 质量要求</w:t>
      </w:r>
      <w:bookmarkEnd w:id="256"/>
      <w:bookmarkEnd w:id="257"/>
    </w:p>
    <w:p w14:paraId="137BFD1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5</w:t>
      </w:r>
      <w:bookmarkStart w:id="258" w:name="_Toc303539106"/>
      <w:bookmarkStart w:id="259" w:name="_Toc297216155"/>
      <w:bookmarkStart w:id="260" w:name="_Toc304295527"/>
      <w:bookmarkStart w:id="261" w:name="_Toc318581164"/>
      <w:bookmarkStart w:id="262" w:name="_Toc300934949"/>
      <w:bookmarkStart w:id="263" w:name="_Toc312677997"/>
      <w:bookmarkStart w:id="264" w:name="_Toc297123496"/>
      <w:r>
        <w:rPr>
          <w:rFonts w:hint="eastAsia" w:ascii="宋体" w:eastAsia="宋体" w:cs="宋体"/>
          <w:color w:val="auto"/>
          <w:lang w:bidi="ar-SA"/>
        </w:rPr>
        <w:t>.1.1 特殊质量标准和要求：</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1FB6183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关于工程奖项的约定：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43A5B364">
      <w:pPr>
        <w:pStyle w:val="32"/>
        <w:snapToGrid w:val="0"/>
        <w:spacing w:line="360" w:lineRule="auto"/>
        <w:jc w:val="left"/>
        <w:outlineLvl w:val="9"/>
        <w:rPr>
          <w:rFonts w:hint="eastAsia" w:ascii="宋体" w:eastAsia="宋体" w:cs="宋体"/>
          <w:color w:val="auto"/>
          <w:lang w:bidi="ar-SA"/>
        </w:rPr>
      </w:pPr>
      <w:bookmarkStart w:id="265" w:name="_Toc10427"/>
      <w:bookmarkStart w:id="266" w:name="_Toc23148"/>
      <w:r>
        <w:rPr>
          <w:rFonts w:hint="eastAsia" w:ascii="宋体" w:eastAsia="宋体" w:cs="宋体"/>
          <w:color w:val="auto"/>
          <w:lang w:bidi="ar-SA"/>
        </w:rPr>
        <w:t>5.3 隐蔽工程检查</w:t>
      </w:r>
      <w:bookmarkEnd w:id="265"/>
      <w:bookmarkEnd w:id="266"/>
    </w:p>
    <w:p w14:paraId="292285A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5.3.2承包人提前通知监理人隐蔽工程检查的期限的约定：</w:t>
      </w:r>
      <w:r>
        <w:rPr>
          <w:rFonts w:hint="eastAsia" w:ascii="宋体" w:eastAsia="宋体" w:cs="宋体"/>
          <w:bCs/>
          <w:color w:val="auto"/>
          <w:u w:val="single"/>
          <w:lang w:bidi="ar-SA"/>
        </w:rPr>
        <w:t>工程隐蔽或中间验收前24小时以书面形式通知发包人和监理工程师验收的内容、时间、地点，承包人准备验收记录单（印制的专用表格）由各方签字。验收合格后，承包人可进行隐蔽和继续施工；验收不合格，双方商订时限内修改后按上述程序重新验收</w:t>
      </w:r>
      <w:r>
        <w:rPr>
          <w:rFonts w:hint="eastAsia" w:ascii="宋体" w:eastAsia="宋体" w:cs="宋体"/>
          <w:color w:val="auto"/>
          <w:lang w:bidi="ar-SA"/>
        </w:rPr>
        <w:t>。</w:t>
      </w:r>
    </w:p>
    <w:p w14:paraId="19F627C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监理人不能按时进行检查时，应提前</w:t>
      </w:r>
      <w:r>
        <w:rPr>
          <w:rFonts w:hint="eastAsia" w:ascii="宋体" w:eastAsia="宋体" w:cs="宋体"/>
          <w:color w:val="auto"/>
          <w:u w:val="single"/>
          <w:lang w:bidi="ar-SA"/>
        </w:rPr>
        <w:t>24</w:t>
      </w:r>
      <w:r>
        <w:rPr>
          <w:rFonts w:hint="eastAsia" w:ascii="宋体" w:eastAsia="宋体" w:cs="宋体"/>
          <w:color w:val="auto"/>
          <w:lang w:bidi="ar-SA"/>
        </w:rPr>
        <w:t>小时提交书面延期要求。</w:t>
      </w:r>
    </w:p>
    <w:p w14:paraId="36E130E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关于延期最长不得超过：</w:t>
      </w:r>
      <w:r>
        <w:rPr>
          <w:rFonts w:hint="eastAsia" w:ascii="宋体" w:eastAsia="宋体" w:cs="宋体"/>
          <w:color w:val="auto"/>
          <w:u w:val="single"/>
          <w:lang w:bidi="ar-SA"/>
        </w:rPr>
        <w:t>48</w:t>
      </w:r>
      <w:r>
        <w:rPr>
          <w:rFonts w:hint="eastAsia" w:ascii="宋体" w:eastAsia="宋体" w:cs="宋体"/>
          <w:color w:val="auto"/>
          <w:lang w:bidi="ar-SA"/>
        </w:rPr>
        <w:t>小时。</w:t>
      </w:r>
    </w:p>
    <w:p w14:paraId="211CE48D">
      <w:pPr>
        <w:pStyle w:val="32"/>
        <w:snapToGrid w:val="0"/>
        <w:spacing w:line="360" w:lineRule="auto"/>
        <w:jc w:val="left"/>
        <w:outlineLvl w:val="9"/>
        <w:rPr>
          <w:rFonts w:hint="eastAsia" w:ascii="宋体" w:eastAsia="宋体" w:cs="宋体"/>
          <w:color w:val="auto"/>
          <w:lang w:bidi="ar-SA"/>
        </w:rPr>
      </w:pPr>
      <w:bookmarkStart w:id="267" w:name="_Toc351203638"/>
      <w:r>
        <w:rPr>
          <w:rFonts w:hint="eastAsia" w:ascii="宋体" w:eastAsia="宋体" w:cs="宋体"/>
          <w:color w:val="auto"/>
          <w:lang w:bidi="ar-SA"/>
        </w:rPr>
        <w:t>6.安全文明施工与环境保护</w:t>
      </w:r>
      <w:bookmarkEnd w:id="267"/>
    </w:p>
    <w:p w14:paraId="17307160">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6.1安全文明施工</w:t>
      </w:r>
    </w:p>
    <w:p w14:paraId="35136A3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6.1.1 项目安全生产的达标目标及相应事项的约定：</w:t>
      </w:r>
      <w:r>
        <w:rPr>
          <w:rFonts w:hint="eastAsia" w:ascii="宋体" w:hAnsi="宋体" w:eastAsia="宋体" w:cs="宋体"/>
          <w:color w:val="auto"/>
          <w:sz w:val="21"/>
          <w:szCs w:val="21"/>
          <w:highlight w:val="none"/>
          <w:u w:val="single"/>
        </w:rPr>
        <w:t>按照国家及地方安全文明施工的有关规定执行</w:t>
      </w:r>
      <w:r>
        <w:rPr>
          <w:rFonts w:hint="eastAsia" w:ascii="宋体" w:eastAsia="宋体" w:cs="宋体"/>
          <w:color w:val="auto"/>
          <w:lang w:bidi="ar-SA"/>
        </w:rPr>
        <w:t>。</w:t>
      </w:r>
    </w:p>
    <w:p w14:paraId="5D8DFE1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6.1.4 关于治安保卫的特别约定：</w:t>
      </w:r>
      <w:r>
        <w:rPr>
          <w:rFonts w:hint="eastAsia" w:ascii="宋体" w:eastAsia="宋体" w:cs="宋体"/>
          <w:color w:val="auto"/>
          <w:u w:val="single"/>
          <w:lang w:bidi="ar-SA"/>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eastAsia="宋体" w:cs="宋体"/>
          <w:color w:val="auto"/>
          <w:lang w:bidi="ar-SA"/>
        </w:rPr>
        <w:t>。</w:t>
      </w:r>
    </w:p>
    <w:p w14:paraId="23FABCC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关于编制施工场地治安管理计划的约定：</w:t>
      </w:r>
      <w:bookmarkStart w:id="268" w:name="OLE_LINK27"/>
      <w:r>
        <w:rPr>
          <w:rFonts w:hint="eastAsia" w:ascii="宋体" w:eastAsia="宋体" w:cs="宋体"/>
          <w:color w:val="auto"/>
          <w:u w:val="single"/>
          <w:lang w:bidi="ar-SA"/>
        </w:rPr>
        <w:t>按通用条款，无特殊约定</w:t>
      </w:r>
      <w:bookmarkEnd w:id="268"/>
      <w:r>
        <w:rPr>
          <w:rFonts w:hint="eastAsia" w:ascii="宋体" w:eastAsia="宋体" w:cs="宋体"/>
          <w:color w:val="auto"/>
          <w:lang w:bidi="ar-SA"/>
        </w:rPr>
        <w:t>。</w:t>
      </w:r>
    </w:p>
    <w:p w14:paraId="225E2CE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6.1.5 文明施工</w:t>
      </w:r>
    </w:p>
    <w:p w14:paraId="53122DF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合同当事人对文明施工的要求：</w:t>
      </w:r>
      <w:r>
        <w:rPr>
          <w:rFonts w:hint="eastAsia" w:ascii="宋体" w:eastAsia="宋体" w:cs="宋体"/>
          <w:color w:val="auto"/>
          <w:u w:val="single"/>
          <w:lang w:bidi="ar-SA"/>
        </w:rPr>
        <w:t>开工前提供</w:t>
      </w:r>
      <w:r>
        <w:rPr>
          <w:rFonts w:hint="eastAsia" w:ascii="宋体" w:eastAsia="宋体" w:cs="宋体"/>
          <w:color w:val="auto"/>
          <w:lang w:bidi="ar-SA"/>
        </w:rPr>
        <w:t>。</w:t>
      </w:r>
    </w:p>
    <w:p w14:paraId="37E5AF5A">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6.1.6 关于安全文明施工费支付比例和支付期限的约定：</w:t>
      </w:r>
      <w:r>
        <w:rPr>
          <w:rFonts w:hint="eastAsia" w:ascii="宋体" w:hAnsi="宋体" w:eastAsia="宋体" w:cs="宋体"/>
          <w:color w:val="auto"/>
          <w:sz w:val="21"/>
          <w:szCs w:val="21"/>
          <w:highlight w:val="none"/>
          <w:u w:val="single"/>
        </w:rPr>
        <w:t>按通用条款执行</w:t>
      </w:r>
      <w:r>
        <w:rPr>
          <w:rFonts w:hint="eastAsia" w:ascii="宋体" w:hAnsi="宋体" w:eastAsia="宋体" w:cs="宋体"/>
          <w:color w:val="auto"/>
          <w:kern w:val="0"/>
          <w:sz w:val="21"/>
          <w:szCs w:val="21"/>
          <w:highlight w:val="none"/>
          <w:u w:val="single"/>
        </w:rPr>
        <w:t xml:space="preserve"> </w:t>
      </w:r>
      <w:r>
        <w:rPr>
          <w:rFonts w:hint="eastAsia" w:ascii="宋体" w:eastAsia="宋体" w:cs="宋体"/>
          <w:color w:val="auto"/>
          <w:u w:val="none"/>
          <w:lang w:bidi="ar-SA"/>
        </w:rPr>
        <w:t>。</w:t>
      </w:r>
      <w:bookmarkEnd w:id="258"/>
      <w:bookmarkEnd w:id="259"/>
      <w:bookmarkEnd w:id="260"/>
      <w:bookmarkEnd w:id="261"/>
      <w:bookmarkEnd w:id="262"/>
      <w:bookmarkEnd w:id="263"/>
      <w:bookmarkEnd w:id="264"/>
      <w:bookmarkStart w:id="269" w:name="_Toc351203639"/>
    </w:p>
    <w:p w14:paraId="4137B634">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 工期和进度</w:t>
      </w:r>
      <w:bookmarkEnd w:id="269"/>
    </w:p>
    <w:p w14:paraId="63AD3815">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7.1 施工组织设计</w:t>
      </w:r>
    </w:p>
    <w:p w14:paraId="36C24F38">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lang w:bidi="ar-SA"/>
        </w:rPr>
        <w:t>7.1.1 合</w:t>
      </w:r>
      <w:r>
        <w:rPr>
          <w:rFonts w:hint="eastAsia" w:ascii="宋体" w:eastAsia="宋体" w:cs="宋体"/>
          <w:color w:val="auto"/>
          <w:kern w:val="0"/>
          <w:lang w:bidi="ar-SA"/>
        </w:rPr>
        <w:t>同当事人约定的施工组织设计应包括的其他内容：</w:t>
      </w:r>
      <w:bookmarkStart w:id="270" w:name="OLE_LINK29"/>
      <w:r>
        <w:rPr>
          <w:rFonts w:hint="eastAsia" w:ascii="宋体" w:eastAsia="宋体" w:cs="宋体"/>
          <w:color w:val="auto"/>
          <w:u w:val="single"/>
          <w:lang w:bidi="ar-SA"/>
        </w:rPr>
        <w:t>按通用条款，无特殊约定</w:t>
      </w:r>
      <w:bookmarkEnd w:id="270"/>
      <w:r>
        <w:rPr>
          <w:rFonts w:hint="eastAsia" w:ascii="宋体" w:eastAsia="宋体" w:cs="宋体"/>
          <w:color w:val="auto"/>
          <w:lang w:bidi="ar-SA"/>
        </w:rPr>
        <w:t>。</w:t>
      </w:r>
    </w:p>
    <w:p w14:paraId="7E6CD7E0">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lang w:bidi="ar-SA"/>
        </w:rPr>
        <w:t xml:space="preserve">7.1.2 </w:t>
      </w:r>
      <w:r>
        <w:rPr>
          <w:rFonts w:hint="eastAsia" w:ascii="宋体" w:eastAsia="宋体" w:cs="宋体"/>
          <w:color w:val="auto"/>
          <w:kern w:val="0"/>
          <w:lang w:bidi="ar-SA"/>
        </w:rPr>
        <w:t>施工组织设计的提交和修改</w:t>
      </w:r>
    </w:p>
    <w:p w14:paraId="5C34E5F5">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承包人提交详细施工组织设计的期限的约定：</w:t>
      </w:r>
      <w:r>
        <w:rPr>
          <w:rFonts w:hint="eastAsia" w:ascii="宋体" w:eastAsia="宋体" w:cs="宋体"/>
          <w:color w:val="auto"/>
          <w:u w:val="single"/>
          <w:lang w:bidi="ar-SA"/>
        </w:rPr>
        <w:t>开工前7天</w:t>
      </w:r>
      <w:r>
        <w:rPr>
          <w:rFonts w:hint="eastAsia" w:ascii="宋体" w:eastAsia="宋体" w:cs="宋体"/>
          <w:color w:val="auto"/>
          <w:lang w:bidi="ar-SA"/>
        </w:rPr>
        <w:t>。</w:t>
      </w:r>
    </w:p>
    <w:p w14:paraId="13E6AC3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发包人和监理人在收到详细的施工组织设计后确认或提出修改意见的期限：</w:t>
      </w:r>
      <w:r>
        <w:rPr>
          <w:rFonts w:hint="eastAsia" w:ascii="宋体" w:eastAsia="宋体" w:cs="宋体"/>
          <w:color w:val="auto"/>
          <w:u w:val="single"/>
          <w:lang w:bidi="ar-SA"/>
        </w:rPr>
        <w:t>收到施工组织设计后7天内</w:t>
      </w:r>
      <w:r>
        <w:rPr>
          <w:rFonts w:hint="eastAsia" w:ascii="宋体" w:eastAsia="宋体" w:cs="宋体"/>
          <w:color w:val="auto"/>
          <w:lang w:bidi="ar-SA"/>
        </w:rPr>
        <w:t>。</w:t>
      </w:r>
    </w:p>
    <w:p w14:paraId="52582813">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w:t>
      </w:r>
      <w:bookmarkStart w:id="271" w:name="_Toc304295541"/>
      <w:bookmarkStart w:id="272" w:name="_Toc297216173"/>
      <w:bookmarkStart w:id="273" w:name="_Toc312678005"/>
      <w:bookmarkStart w:id="274" w:name="_Toc303539123"/>
      <w:bookmarkStart w:id="275" w:name="_Toc312677479"/>
      <w:bookmarkStart w:id="276" w:name="_Toc297123514"/>
      <w:bookmarkStart w:id="277" w:name="_Toc300934966"/>
      <w:r>
        <w:rPr>
          <w:rFonts w:hint="eastAsia" w:ascii="宋体" w:eastAsia="宋体" w:cs="宋体"/>
          <w:color w:val="auto"/>
          <w:lang w:bidi="ar-SA"/>
        </w:rPr>
        <w:t>.2 施工进度计划</w:t>
      </w:r>
    </w:p>
    <w:p w14:paraId="74C7B14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7.2.2 施工进度计划的修订</w:t>
      </w:r>
    </w:p>
    <w:p w14:paraId="20A7CB5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发包人和监理人在收到修订的施工进度计划后确认或提出修改意见的期限：</w:t>
      </w:r>
      <w:r>
        <w:rPr>
          <w:rFonts w:hint="eastAsia" w:ascii="宋体" w:eastAsia="宋体" w:cs="宋体"/>
          <w:color w:val="auto"/>
          <w:u w:val="single"/>
          <w:lang w:bidi="ar-SA"/>
        </w:rPr>
        <w:t>收到修订的施工进度计划后7天内</w:t>
      </w:r>
      <w:r>
        <w:rPr>
          <w:rFonts w:hint="eastAsia" w:ascii="宋体" w:eastAsia="宋体" w:cs="宋体"/>
          <w:color w:val="auto"/>
          <w:lang w:bidi="ar-SA"/>
        </w:rPr>
        <w:t>。</w:t>
      </w:r>
    </w:p>
    <w:p w14:paraId="79B356F7">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7.3 开工</w:t>
      </w:r>
    </w:p>
    <w:p w14:paraId="4D7FA19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7.3.1 开工准备</w:t>
      </w:r>
    </w:p>
    <w:p w14:paraId="061D33CC">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关于承包人提交</w:t>
      </w:r>
      <w:r>
        <w:rPr>
          <w:rFonts w:hint="eastAsia" w:ascii="宋体" w:eastAsia="宋体" w:cs="宋体"/>
          <w:color w:val="auto"/>
          <w:kern w:val="0"/>
          <w:lang w:bidi="ar-SA"/>
        </w:rPr>
        <w:t>工程开工报审表的期限：</w:t>
      </w:r>
      <w:r>
        <w:rPr>
          <w:rFonts w:hint="eastAsia" w:ascii="宋体" w:eastAsia="宋体" w:cs="宋体"/>
          <w:color w:val="auto"/>
          <w:u w:val="single"/>
          <w:lang w:bidi="ar-SA"/>
        </w:rPr>
        <w:t>开工前7天</w:t>
      </w:r>
      <w:r>
        <w:rPr>
          <w:rFonts w:hint="eastAsia" w:ascii="宋体" w:eastAsia="宋体" w:cs="宋体"/>
          <w:color w:val="auto"/>
          <w:lang w:bidi="ar-SA"/>
        </w:rPr>
        <w:t>。</w:t>
      </w:r>
    </w:p>
    <w:p w14:paraId="37B04CD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关于发包人应完成的其他开工准备工作及期限：</w:t>
      </w:r>
      <w:r>
        <w:rPr>
          <w:rFonts w:hint="eastAsia" w:ascii="宋体" w:eastAsia="宋体" w:cs="宋体"/>
          <w:color w:val="auto"/>
          <w:u w:val="single"/>
          <w:lang w:bidi="ar-SA"/>
        </w:rPr>
        <w:t>按通用条款，无特殊约定</w:t>
      </w:r>
      <w:r>
        <w:rPr>
          <w:rFonts w:hint="eastAsia" w:ascii="宋体" w:eastAsia="宋体" w:cs="宋体"/>
          <w:color w:val="auto"/>
          <w:lang w:bidi="ar-SA"/>
        </w:rPr>
        <w:t>。</w:t>
      </w:r>
    </w:p>
    <w:p w14:paraId="7CC42B6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关于承包人应完成的其他开工准备工作及期限：</w:t>
      </w:r>
      <w:r>
        <w:rPr>
          <w:rFonts w:hint="eastAsia" w:ascii="宋体" w:eastAsia="宋体" w:cs="宋体"/>
          <w:color w:val="auto"/>
          <w:u w:val="single"/>
          <w:lang w:bidi="ar-SA"/>
        </w:rPr>
        <w:t>按通用条款，无特殊约定</w:t>
      </w:r>
      <w:r>
        <w:rPr>
          <w:rFonts w:hint="eastAsia" w:ascii="宋体" w:eastAsia="宋体" w:cs="宋体"/>
          <w:color w:val="auto"/>
          <w:lang w:bidi="ar-SA"/>
        </w:rPr>
        <w:t>。</w:t>
      </w:r>
    </w:p>
    <w:p w14:paraId="73EC4E4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7.3.2开工通知</w:t>
      </w:r>
    </w:p>
    <w:p w14:paraId="0B5CD77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因发包人原因造成监理人未能在计划开工日期之日起</w:t>
      </w:r>
      <w:r>
        <w:rPr>
          <w:rFonts w:hint="eastAsia" w:ascii="宋体" w:eastAsia="宋体" w:cs="宋体"/>
          <w:color w:val="auto"/>
          <w:u w:val="single"/>
          <w:lang w:bidi="ar-SA"/>
        </w:rPr>
        <w:t>60</w:t>
      </w:r>
      <w:r>
        <w:rPr>
          <w:rFonts w:hint="eastAsia" w:ascii="宋体" w:eastAsia="宋体" w:cs="宋体"/>
          <w:color w:val="auto"/>
          <w:lang w:bidi="ar-SA"/>
        </w:rPr>
        <w:t>天内发出开工通知的，承包人有权提出价格调整要求，或者解除合同。</w:t>
      </w:r>
    </w:p>
    <w:bookmarkEnd w:id="271"/>
    <w:bookmarkEnd w:id="272"/>
    <w:bookmarkEnd w:id="273"/>
    <w:bookmarkEnd w:id="274"/>
    <w:bookmarkEnd w:id="275"/>
    <w:bookmarkEnd w:id="276"/>
    <w:bookmarkEnd w:id="277"/>
    <w:p w14:paraId="68DA7596">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7.4 测量放线</w:t>
      </w:r>
    </w:p>
    <w:p w14:paraId="10A80F1D">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7.4.1发包人通过监理人向承包人提供测量基准点、基准线和水准点及其书面资料的期限：</w:t>
      </w:r>
      <w:r>
        <w:rPr>
          <w:rFonts w:hint="eastAsia" w:ascii="宋体" w:eastAsia="宋体" w:cs="宋体"/>
          <w:color w:val="auto"/>
          <w:u w:val="single"/>
          <w:lang w:bidi="ar-SA"/>
        </w:rPr>
        <w:t>开工日期前7天</w:t>
      </w:r>
      <w:r>
        <w:rPr>
          <w:rFonts w:hint="eastAsia" w:ascii="宋体" w:eastAsia="宋体" w:cs="宋体"/>
          <w:color w:val="auto"/>
          <w:lang w:bidi="ar-SA"/>
        </w:rPr>
        <w:t>。</w:t>
      </w:r>
    </w:p>
    <w:p w14:paraId="1094A256">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w:t>
      </w:r>
      <w:bookmarkStart w:id="278" w:name="_Toc297216175"/>
      <w:bookmarkStart w:id="279" w:name="_Toc303539125"/>
      <w:bookmarkStart w:id="280" w:name="_Toc297123516"/>
      <w:bookmarkStart w:id="281" w:name="_Toc312678010"/>
      <w:bookmarkStart w:id="282" w:name="_Toc300934968"/>
      <w:bookmarkStart w:id="283" w:name="_Toc304295546"/>
      <w:bookmarkStart w:id="284" w:name="_Toc312677484"/>
      <w:r>
        <w:rPr>
          <w:rFonts w:hint="eastAsia" w:ascii="宋体" w:eastAsia="宋体" w:cs="宋体"/>
          <w:color w:val="auto"/>
          <w:lang w:bidi="ar-SA"/>
        </w:rPr>
        <w:t>.5 工期延误</w:t>
      </w:r>
    </w:p>
    <w:bookmarkEnd w:id="278"/>
    <w:bookmarkEnd w:id="279"/>
    <w:bookmarkEnd w:id="280"/>
    <w:bookmarkEnd w:id="281"/>
    <w:bookmarkEnd w:id="282"/>
    <w:bookmarkEnd w:id="283"/>
    <w:bookmarkEnd w:id="284"/>
    <w:p w14:paraId="2D189BB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7.5.1 因发包人原因导致工期延误</w:t>
      </w:r>
    </w:p>
    <w:p w14:paraId="4B611EE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（7）因发包人原因导致工期延误的其他情形：</w:t>
      </w:r>
      <w:r>
        <w:rPr>
          <w:rFonts w:hint="eastAsia" w:ascii="宋体" w:eastAsia="宋体" w:cs="宋体"/>
          <w:color w:val="auto"/>
          <w:u w:val="single"/>
          <w:lang w:bidi="ar-SA"/>
        </w:rPr>
        <w:t>因发包人原因不能按照监理人发出的开工通知中载明的开工日期开工。除发包人原因延期开工外，发包人造成工期延误的其他原因还包括：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eastAsia="宋体" w:cs="宋体"/>
          <w:color w:val="auto"/>
          <w:lang w:bidi="ar-SA"/>
        </w:rPr>
        <w:t>。</w:t>
      </w:r>
    </w:p>
    <w:p w14:paraId="02CCF76C">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w:t>
      </w:r>
      <w:bookmarkStart w:id="285" w:name="_Toc318581169"/>
      <w:bookmarkStart w:id="286" w:name="_Toc312677486"/>
      <w:bookmarkStart w:id="287" w:name="_Toc312678012"/>
      <w:bookmarkStart w:id="288" w:name="_Toc304295548"/>
      <w:bookmarkStart w:id="289" w:name="_Toc300934970"/>
      <w:bookmarkStart w:id="290" w:name="_Toc303539127"/>
      <w:bookmarkStart w:id="291" w:name="_Toc297123518"/>
      <w:bookmarkStart w:id="292" w:name="_Toc297216177"/>
      <w:r>
        <w:rPr>
          <w:rFonts w:hint="eastAsia" w:ascii="宋体" w:eastAsia="宋体" w:cs="宋体"/>
          <w:color w:val="auto"/>
          <w:lang w:bidi="ar-SA"/>
        </w:rPr>
        <w:t>.5.2 因承包人原因导致工期延误</w:t>
      </w:r>
    </w:p>
    <w:bookmarkEnd w:id="285"/>
    <w:bookmarkEnd w:id="286"/>
    <w:bookmarkEnd w:id="287"/>
    <w:p w14:paraId="4FC27EF0">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因</w:t>
      </w:r>
      <w:bookmarkStart w:id="293" w:name="_Toc312677487"/>
      <w:bookmarkStart w:id="294" w:name="_Toc312678013"/>
      <w:bookmarkStart w:id="295" w:name="_Toc318581170"/>
      <w:r>
        <w:rPr>
          <w:rFonts w:hint="eastAsia" w:ascii="宋体" w:eastAsia="宋体" w:cs="宋体"/>
          <w:color w:val="auto"/>
          <w:lang w:bidi="ar-SA"/>
        </w:rPr>
        <w:t>承包人原因造成工期延误，逾期竣工违约金的计算方法为：</w:t>
      </w:r>
      <w:r>
        <w:rPr>
          <w:rFonts w:hint="eastAsia" w:ascii="宋体" w:eastAsia="宋体" w:cs="宋体"/>
          <w:color w:val="auto"/>
          <w:u w:val="single"/>
          <w:lang w:bidi="ar-SA"/>
        </w:rPr>
        <w:t>非7.5.1原因，承包人不能按合同约定的时间竣工，承包人应承担违约责任。应向发包人支付误期赔偿费（</w:t>
      </w:r>
      <w:r>
        <w:rPr>
          <w:rFonts w:hint="eastAsia" w:ascii="宋体" w:eastAsia="宋体" w:cs="宋体"/>
          <w:color w:val="auto"/>
          <w:szCs w:val="21"/>
          <w:u w:val="single"/>
          <w:lang w:bidi="ar-SA"/>
        </w:rPr>
        <w:t>每拖延一天工期支付给发包人按</w:t>
      </w:r>
      <w:r>
        <w:rPr>
          <w:rFonts w:hint="eastAsia" w:ascii="宋体" w:eastAsia="宋体" w:cs="宋体"/>
          <w:color w:val="auto"/>
          <w:szCs w:val="21"/>
          <w:u w:val="single"/>
          <w:lang w:val="zh-CN" w:eastAsia="zh-CN" w:bidi="ar-SA"/>
        </w:rPr>
        <w:t>合同价</w:t>
      </w:r>
      <w:r>
        <w:rPr>
          <w:rFonts w:hint="eastAsia" w:ascii="宋体" w:eastAsia="宋体" w:cs="宋体"/>
          <w:color w:val="auto"/>
          <w:szCs w:val="21"/>
          <w:u w:val="single"/>
          <w:lang w:bidi="ar-SA"/>
        </w:rPr>
        <w:t>款扣除社会保险费、发包人材料价款、暂估专业工程、暂列金额后的0.1‰/天的违约金</w:t>
      </w:r>
      <w:r>
        <w:rPr>
          <w:rFonts w:hint="eastAsia" w:ascii="宋体" w:eastAsia="宋体" w:cs="宋体"/>
          <w:color w:val="auto"/>
          <w:u w:val="single"/>
          <w:lang w:bidi="ar-SA"/>
        </w:rPr>
        <w:t>），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宋体" w:eastAsia="宋体" w:cs="宋体"/>
          <w:color w:val="auto"/>
          <w:lang w:bidi="ar-SA"/>
        </w:rPr>
        <w:t>。</w:t>
      </w:r>
      <w:bookmarkEnd w:id="288"/>
      <w:bookmarkEnd w:id="289"/>
      <w:bookmarkEnd w:id="290"/>
      <w:bookmarkEnd w:id="291"/>
      <w:bookmarkEnd w:id="292"/>
      <w:bookmarkEnd w:id="293"/>
      <w:bookmarkEnd w:id="294"/>
    </w:p>
    <w:bookmarkEnd w:id="295"/>
    <w:p w14:paraId="6D03368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因承包人原因造成工期延误，逾</w:t>
      </w:r>
      <w:bookmarkStart w:id="296" w:name="_Toc318581171"/>
      <w:bookmarkStart w:id="297" w:name="_Toc312678014"/>
      <w:r>
        <w:rPr>
          <w:rFonts w:hint="eastAsia" w:ascii="宋体" w:eastAsia="宋体" w:cs="宋体"/>
          <w:color w:val="auto"/>
          <w:lang w:bidi="ar-SA"/>
        </w:rPr>
        <w:t>期竣工违约金的上限：</w:t>
      </w:r>
      <w:r>
        <w:rPr>
          <w:rFonts w:hint="eastAsia" w:ascii="宋体" w:eastAsia="宋体" w:cs="宋体"/>
          <w:color w:val="auto"/>
          <w:szCs w:val="21"/>
          <w:u w:val="single"/>
          <w:lang w:bidi="ar-SA"/>
        </w:rPr>
        <w:t xml:space="preserve">合同价扣除社会保险费、发包人材料价款、暂估专业工程、暂列金额后的2% </w:t>
      </w:r>
      <w:r>
        <w:rPr>
          <w:rFonts w:hint="eastAsia" w:ascii="宋体" w:eastAsia="宋体" w:cs="宋体"/>
          <w:color w:val="auto"/>
          <w:lang w:bidi="ar-SA"/>
        </w:rPr>
        <w:t>。</w:t>
      </w:r>
    </w:p>
    <w:bookmarkEnd w:id="296"/>
    <w:bookmarkEnd w:id="297"/>
    <w:p w14:paraId="0B213E1F">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w:t>
      </w:r>
      <w:bookmarkStart w:id="298" w:name="_Toc297216178"/>
      <w:bookmarkStart w:id="299" w:name="_Toc300934971"/>
      <w:bookmarkStart w:id="300" w:name="_Toc304295549"/>
      <w:bookmarkStart w:id="301" w:name="_Toc303539128"/>
      <w:bookmarkStart w:id="302" w:name="_Toc297123519"/>
      <w:bookmarkStart w:id="303" w:name="_Toc312678015"/>
      <w:r>
        <w:rPr>
          <w:rFonts w:hint="eastAsia" w:ascii="宋体" w:eastAsia="宋体" w:cs="宋体"/>
          <w:color w:val="auto"/>
          <w:lang w:bidi="ar-SA"/>
        </w:rPr>
        <w:t>.6 不</w:t>
      </w:r>
      <w:bookmarkEnd w:id="298"/>
      <w:bookmarkEnd w:id="299"/>
      <w:bookmarkEnd w:id="300"/>
      <w:bookmarkEnd w:id="301"/>
      <w:bookmarkEnd w:id="302"/>
      <w:bookmarkEnd w:id="303"/>
      <w:r>
        <w:rPr>
          <w:rFonts w:hint="eastAsia" w:ascii="宋体" w:eastAsia="宋体" w:cs="宋体"/>
          <w:color w:val="auto"/>
          <w:lang w:bidi="ar-SA"/>
        </w:rPr>
        <w:t>利物质条件</w:t>
      </w:r>
    </w:p>
    <w:p w14:paraId="74147B0D">
      <w:pPr>
        <w:pStyle w:val="32"/>
        <w:snapToGrid w:val="0"/>
        <w:spacing w:line="360" w:lineRule="auto"/>
        <w:ind w:firstLine="420" w:firstLineChars="200"/>
        <w:jc w:val="left"/>
        <w:outlineLvl w:val="9"/>
        <w:rPr>
          <w:rFonts w:hint="eastAsia" w:ascii="宋体" w:eastAsia="宋体" w:cs="宋体"/>
          <w:color w:val="auto"/>
          <w:lang w:bidi="ar-SA"/>
        </w:rPr>
      </w:pPr>
      <w:bookmarkStart w:id="304" w:name="_Toc297216179"/>
      <w:bookmarkStart w:id="305" w:name="_Toc318581172"/>
      <w:bookmarkStart w:id="306" w:name="_Toc300934972"/>
      <w:bookmarkStart w:id="307" w:name="_Toc297123520"/>
      <w:bookmarkStart w:id="308" w:name="_Toc304295550"/>
      <w:bookmarkStart w:id="309" w:name="_Toc303539129"/>
      <w:bookmarkStart w:id="310" w:name="_Toc312678016"/>
      <w:r>
        <w:rPr>
          <w:rFonts w:hint="eastAsia" w:ascii="宋体" w:eastAsia="宋体" w:cs="宋体"/>
          <w:color w:val="auto"/>
          <w:lang w:bidi="ar-SA"/>
        </w:rPr>
        <w:t>不利物质条件的其他情形和有关约定：</w:t>
      </w:r>
      <w:r>
        <w:rPr>
          <w:rFonts w:hint="eastAsia" w:ascii="宋体" w:eastAsia="宋体" w:cs="宋体"/>
          <w:color w:val="auto"/>
          <w:u w:val="single"/>
          <w:lang w:bidi="ar-SA"/>
        </w:rPr>
        <w:t>无</w:t>
      </w:r>
      <w:r>
        <w:rPr>
          <w:rFonts w:hint="eastAsia" w:ascii="宋体" w:eastAsia="宋体" w:cs="宋体"/>
          <w:color w:val="auto"/>
          <w:lang w:bidi="ar-SA"/>
        </w:rPr>
        <w:t>。</w:t>
      </w:r>
    </w:p>
    <w:bookmarkEnd w:id="304"/>
    <w:bookmarkEnd w:id="305"/>
    <w:bookmarkEnd w:id="306"/>
    <w:bookmarkEnd w:id="307"/>
    <w:bookmarkEnd w:id="308"/>
    <w:bookmarkEnd w:id="309"/>
    <w:bookmarkEnd w:id="310"/>
    <w:p w14:paraId="1377A09E">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7</w:t>
      </w:r>
      <w:bookmarkStart w:id="311" w:name="_Toc304295551"/>
      <w:bookmarkStart w:id="312" w:name="_Toc297123521"/>
      <w:bookmarkStart w:id="313" w:name="_Toc303539130"/>
      <w:bookmarkStart w:id="314" w:name="_Toc300934973"/>
      <w:bookmarkStart w:id="315" w:name="_Toc312678017"/>
      <w:bookmarkStart w:id="316" w:name="_Toc297216180"/>
      <w:r>
        <w:rPr>
          <w:rFonts w:hint="eastAsia" w:ascii="宋体" w:eastAsia="宋体" w:cs="宋体"/>
          <w:color w:val="auto"/>
          <w:lang w:bidi="ar-SA"/>
        </w:rPr>
        <w:t>.7异常恶劣的气候条件</w:t>
      </w:r>
    </w:p>
    <w:bookmarkEnd w:id="311"/>
    <w:bookmarkEnd w:id="312"/>
    <w:bookmarkEnd w:id="313"/>
    <w:bookmarkEnd w:id="314"/>
    <w:bookmarkEnd w:id="315"/>
    <w:bookmarkEnd w:id="316"/>
    <w:p w14:paraId="43A87D7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发包人和承包人同意以下情形视为异常恶劣的气候条件：</w:t>
      </w:r>
    </w:p>
    <w:p w14:paraId="547D817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w:t>
      </w:r>
      <w:r>
        <w:rPr>
          <w:rFonts w:hint="eastAsia" w:ascii="宋体" w:eastAsia="宋体" w:cs="宋体"/>
          <w:color w:val="auto"/>
          <w:u w:val="single"/>
          <w:lang w:bidi="ar-SA"/>
        </w:rPr>
        <w:t>24小时内可能或者已经受热带气旋影响，沿海或者陆地平均风力达6级以上，或者阵风8级以上并可能持续</w:t>
      </w:r>
      <w:r>
        <w:rPr>
          <w:rFonts w:hint="eastAsia" w:ascii="宋体" w:eastAsia="宋体" w:cs="宋体"/>
          <w:color w:val="auto"/>
          <w:lang w:bidi="ar-SA"/>
        </w:rPr>
        <w:t>。</w:t>
      </w:r>
    </w:p>
    <w:p w14:paraId="045CB71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（2）</w:t>
      </w:r>
      <w:r>
        <w:rPr>
          <w:rFonts w:hint="eastAsia" w:ascii="宋体" w:eastAsia="宋体" w:cs="宋体"/>
          <w:color w:val="auto"/>
          <w:u w:val="single"/>
          <w:lang w:bidi="ar-SA"/>
        </w:rPr>
        <w:t>3小时内降雨量达50毫米以上，或者12小时内降雨量达100毫米以上</w:t>
      </w:r>
      <w:r>
        <w:rPr>
          <w:rFonts w:hint="eastAsia" w:ascii="宋体" w:eastAsia="宋体" w:cs="宋体"/>
          <w:color w:val="auto"/>
          <w:lang w:bidi="ar-SA"/>
        </w:rPr>
        <w:t>。</w:t>
      </w:r>
    </w:p>
    <w:p w14:paraId="5F79B5C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w:t>
      </w:r>
      <w:r>
        <w:rPr>
          <w:rFonts w:hint="eastAsia" w:ascii="宋体" w:eastAsia="宋体" w:cs="宋体"/>
          <w:color w:val="auto"/>
          <w:u w:val="single"/>
          <w:lang w:bidi="ar-SA"/>
        </w:rPr>
        <w:t>12小时内可能受大风影响，平均风力可达8级以上，或者阵风9级以上;或者已经受大风影响，平均风力为8～9级，或者阵风9～10级并可能持续</w:t>
      </w:r>
      <w:r>
        <w:rPr>
          <w:rFonts w:hint="eastAsia" w:ascii="宋体" w:eastAsia="宋体" w:cs="宋体"/>
          <w:color w:val="auto"/>
          <w:lang w:bidi="ar-SA"/>
        </w:rPr>
        <w:t>。</w:t>
      </w:r>
    </w:p>
    <w:p w14:paraId="17DF19B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（4）</w:t>
      </w:r>
      <w:r>
        <w:rPr>
          <w:rFonts w:hint="eastAsia" w:ascii="宋体" w:eastAsia="宋体" w:cs="宋体"/>
          <w:color w:val="auto"/>
          <w:u w:val="single"/>
          <w:lang w:bidi="ar-SA"/>
        </w:rPr>
        <w:t>24小时内最高气温将升至40℃以上或最低气温低至0℃以下的。</w:t>
      </w:r>
    </w:p>
    <w:p w14:paraId="72DA3AC2">
      <w:pPr>
        <w:pStyle w:val="32"/>
        <w:snapToGrid w:val="0"/>
        <w:spacing w:line="360" w:lineRule="auto"/>
        <w:jc w:val="left"/>
        <w:outlineLvl w:val="9"/>
        <w:rPr>
          <w:rFonts w:hint="eastAsia" w:ascii="宋体" w:eastAsia="宋体" w:cs="宋体"/>
          <w:color w:val="auto"/>
          <w:lang w:bidi="ar-SA"/>
        </w:rPr>
      </w:pPr>
      <w:bookmarkStart w:id="317" w:name="_Toc28584"/>
      <w:bookmarkStart w:id="318" w:name="_Toc31971"/>
      <w:r>
        <w:rPr>
          <w:rFonts w:hint="eastAsia" w:ascii="宋体" w:eastAsia="宋体" w:cs="宋体"/>
          <w:color w:val="auto"/>
          <w:lang w:bidi="ar-SA"/>
        </w:rPr>
        <w:t>7.9 提前竣工的奖励</w:t>
      </w:r>
      <w:bookmarkEnd w:id="317"/>
      <w:bookmarkEnd w:id="318"/>
    </w:p>
    <w:p w14:paraId="109BDD9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7.9.2提前竣工的奖励：</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4446A690">
      <w:pPr>
        <w:pStyle w:val="32"/>
        <w:snapToGrid w:val="0"/>
        <w:spacing w:line="360" w:lineRule="auto"/>
        <w:jc w:val="left"/>
        <w:outlineLvl w:val="9"/>
        <w:rPr>
          <w:rFonts w:hint="eastAsia" w:ascii="宋体" w:eastAsia="宋体" w:cs="宋体"/>
          <w:color w:val="auto"/>
          <w:lang w:bidi="ar-SA"/>
        </w:rPr>
      </w:pPr>
      <w:bookmarkStart w:id="319" w:name="_Toc351203640"/>
      <w:r>
        <w:rPr>
          <w:rFonts w:hint="eastAsia" w:ascii="宋体" w:eastAsia="宋体" w:cs="宋体"/>
          <w:color w:val="auto"/>
          <w:lang w:bidi="ar-SA"/>
        </w:rPr>
        <w:t>8. 材料与设备</w:t>
      </w:r>
      <w:bookmarkEnd w:id="319"/>
    </w:p>
    <w:p w14:paraId="27FA962E">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8.2承包人采购材料与工程设备</w:t>
      </w:r>
    </w:p>
    <w:p w14:paraId="41C08D2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bookmarkEnd w:id="246"/>
    <w:bookmarkEnd w:id="247"/>
    <w:bookmarkEnd w:id="248"/>
    <w:bookmarkEnd w:id="249"/>
    <w:bookmarkEnd w:id="250"/>
    <w:bookmarkEnd w:id="251"/>
    <w:bookmarkEnd w:id="252"/>
    <w:bookmarkEnd w:id="253"/>
    <w:bookmarkEnd w:id="254"/>
    <w:bookmarkEnd w:id="255"/>
    <w:p w14:paraId="06930A3A">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8</w:t>
      </w:r>
      <w:bookmarkStart w:id="320" w:name="_Toc280868654"/>
      <w:bookmarkStart w:id="321" w:name="_Toc300934979"/>
      <w:bookmarkStart w:id="322" w:name="_Toc297123527"/>
      <w:bookmarkStart w:id="323" w:name="_Toc297048353"/>
      <w:bookmarkStart w:id="324" w:name="_Toc312678019"/>
      <w:bookmarkStart w:id="325" w:name="_Toc296347166"/>
      <w:bookmarkStart w:id="326" w:name="_Toc312677493"/>
      <w:bookmarkStart w:id="327" w:name="_Toc297216186"/>
      <w:bookmarkStart w:id="328" w:name="_Toc296890995"/>
      <w:bookmarkStart w:id="329" w:name="_Toc292559877"/>
      <w:bookmarkStart w:id="330" w:name="_Toc296944506"/>
      <w:bookmarkStart w:id="331" w:name="_Toc292559372"/>
      <w:bookmarkStart w:id="332" w:name="_Toc296891207"/>
      <w:bookmarkStart w:id="333" w:name="_Toc297120467"/>
      <w:bookmarkStart w:id="334" w:name="_Toc296346668"/>
      <w:bookmarkStart w:id="335" w:name="_Toc303539136"/>
      <w:bookmarkStart w:id="336" w:name="_Toc296503167"/>
      <w:bookmarkStart w:id="337" w:name="_Toc304295556"/>
      <w:bookmarkStart w:id="338" w:name="_Toc267251424"/>
      <w:bookmarkStart w:id="339" w:name="_Toc280868655"/>
      <w:bookmarkStart w:id="340" w:name="_Toc280868656"/>
      <w:r>
        <w:rPr>
          <w:rFonts w:hint="eastAsia" w:ascii="宋体" w:eastAsia="宋体" w:cs="宋体"/>
          <w:color w:val="auto"/>
          <w:lang w:bidi="ar-SA"/>
        </w:rPr>
        <w:t>.4材料与工程设备的保管与使用</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14:paraId="3E705F9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8</w:t>
      </w:r>
      <w:bookmarkStart w:id="341" w:name="_Toc292559878"/>
      <w:bookmarkStart w:id="342" w:name="_Toc292559373"/>
      <w:bookmarkStart w:id="343" w:name="_Toc297216187"/>
      <w:bookmarkStart w:id="344" w:name="_Toc300934980"/>
      <w:bookmarkStart w:id="345" w:name="_Toc296346669"/>
      <w:bookmarkStart w:id="346" w:name="_Toc303539137"/>
      <w:bookmarkStart w:id="347" w:name="_Toc296503168"/>
      <w:bookmarkStart w:id="348" w:name="_Toc296890996"/>
      <w:bookmarkStart w:id="349" w:name="_Toc296891208"/>
      <w:bookmarkStart w:id="350" w:name="_Toc296347167"/>
      <w:bookmarkStart w:id="351" w:name="_Toc296944507"/>
      <w:bookmarkStart w:id="352" w:name="_Toc312678020"/>
      <w:bookmarkStart w:id="353" w:name="_Toc304295557"/>
      <w:bookmarkStart w:id="354" w:name="_Toc297120468"/>
      <w:bookmarkStart w:id="355" w:name="_Toc312677494"/>
      <w:bookmarkStart w:id="356" w:name="_Toc297048354"/>
      <w:bookmarkStart w:id="357" w:name="_Toc318581173"/>
      <w:bookmarkStart w:id="358" w:name="_Toc297123528"/>
      <w:r>
        <w:rPr>
          <w:rFonts w:hint="eastAsia" w:ascii="宋体" w:eastAsia="宋体" w:cs="宋体"/>
          <w:color w:val="auto"/>
          <w:lang w:bidi="ar-SA"/>
        </w:rPr>
        <w:t>.4.1发包人供应的材料设备的保管费用的承担：</w:t>
      </w:r>
      <w:r>
        <w:rPr>
          <w:rFonts w:hint="eastAsia" w:ascii="宋体" w:eastAsia="宋体" w:cs="宋体"/>
          <w:color w:val="auto"/>
          <w:u w:val="single"/>
          <w:lang w:bidi="ar-SA"/>
        </w:rPr>
        <w:t>由承包人承担</w:t>
      </w:r>
      <w:r>
        <w:rPr>
          <w:rFonts w:hint="eastAsia" w:ascii="宋体" w:eastAsia="宋体" w:cs="宋体"/>
          <w:color w:val="auto"/>
          <w:lang w:bidi="ar-SA"/>
        </w:rPr>
        <w:t>。</w:t>
      </w:r>
      <w:bookmarkEnd w:id="341"/>
      <w:bookmarkEnd w:id="342"/>
    </w:p>
    <w:p w14:paraId="7B8586B5">
      <w:pPr>
        <w:pStyle w:val="32"/>
        <w:snapToGrid w:val="0"/>
        <w:spacing w:line="360" w:lineRule="auto"/>
        <w:jc w:val="left"/>
        <w:outlineLvl w:val="9"/>
        <w:rPr>
          <w:rFonts w:hint="eastAsia" w:ascii="宋体" w:eastAsia="宋体" w:cs="宋体"/>
          <w:color w:val="auto"/>
          <w:lang w:bidi="ar-SA"/>
        </w:rPr>
      </w:pPr>
      <w:bookmarkStart w:id="359" w:name="_Toc1459"/>
      <w:bookmarkStart w:id="360" w:name="_Toc762"/>
      <w:r>
        <w:rPr>
          <w:rFonts w:hint="eastAsia" w:ascii="宋体" w:eastAsia="宋体" w:cs="宋体"/>
          <w:color w:val="auto"/>
          <w:lang w:bidi="ar-SA"/>
        </w:rPr>
        <w:t>8.6 样品</w:t>
      </w:r>
      <w:bookmarkEnd w:id="359"/>
      <w:bookmarkEnd w:id="360"/>
    </w:p>
    <w:p w14:paraId="150585BF">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8.6.1 样品的报送与封存</w:t>
      </w:r>
    </w:p>
    <w:p w14:paraId="3FA93FDE">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kern w:val="0"/>
          <w:lang w:bidi="ar-SA"/>
        </w:rPr>
        <w:t>需要承包人报送样品的材料或工程设备，样品的种类、名称、规格、数量要求：</w:t>
      </w:r>
      <w:r>
        <w:rPr>
          <w:rFonts w:hint="eastAsia" w:ascii="宋体" w:eastAsia="宋体" w:cs="宋体"/>
          <w:color w:val="auto"/>
          <w:u w:val="single"/>
          <w:lang w:bidi="ar-SA"/>
        </w:rPr>
        <w:t>主要材料涉及品种、款式、颜色等方面内容的，承包人应在计划采购前按照设计（或发包人）要求提交准备合格的材料样品发送发包人选定。经发包人确认后方能采购，所需费用由承包人承担。承包人未经发包人确认擅自采购的，按不合格材料处理，发包人不仅有权不予计量计价，且有权要求承包人限期更换，因此导致的工期延误和损失由承包人承担。</w:t>
      </w:r>
    </w:p>
    <w:p w14:paraId="50EA9619">
      <w:pPr>
        <w:pStyle w:val="32"/>
        <w:snapToGrid w:val="0"/>
        <w:spacing w:line="360" w:lineRule="auto"/>
        <w:jc w:val="left"/>
        <w:outlineLvl w:val="9"/>
        <w:rPr>
          <w:rFonts w:hint="eastAsia" w:ascii="宋体" w:eastAsia="宋体" w:cs="宋体"/>
          <w:color w:val="auto"/>
          <w:lang w:bidi="ar-SA"/>
        </w:rPr>
      </w:pPr>
      <w:bookmarkStart w:id="361" w:name="_Toc15207"/>
      <w:bookmarkStart w:id="362" w:name="_Toc31582"/>
      <w:r>
        <w:rPr>
          <w:rFonts w:hint="eastAsia" w:ascii="宋体" w:eastAsia="宋体" w:cs="宋体"/>
          <w:color w:val="auto"/>
          <w:lang w:bidi="ar-SA"/>
        </w:rPr>
        <w:t>8.8 施工设备和临时设施</w:t>
      </w:r>
      <w:bookmarkEnd w:id="361"/>
      <w:bookmarkEnd w:id="362"/>
    </w:p>
    <w:p w14:paraId="4A165D6B">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8.8.1 承包人提供的施工设备和临时设施</w:t>
      </w:r>
    </w:p>
    <w:p w14:paraId="17CB88A3">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3。</w:t>
      </w:r>
    </w:p>
    <w:p w14:paraId="152963DB">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关于修建临时设施费用承担的约定：</w:t>
      </w:r>
      <w:r>
        <w:rPr>
          <w:rFonts w:hint="eastAsia" w:ascii="宋体" w:eastAsia="宋体" w:cs="宋体"/>
          <w:color w:val="auto"/>
          <w:u w:val="single"/>
          <w:lang w:bidi="ar-SA"/>
        </w:rPr>
        <w:t>①承包人的临时用地（含项目部驻地等）租用费（含拆迁补偿）、临时用地的环保、恢复、临时用地的青苗补偿及地面附着物拆除等费用均由承包人负责，以上费用在</w:t>
      </w:r>
      <w:r>
        <w:rPr>
          <w:rFonts w:hint="eastAsia" w:ascii="宋体" w:cs="宋体"/>
          <w:color w:val="auto"/>
          <w:u w:val="single"/>
          <w:lang w:eastAsia="zh-CN" w:bidi="ar-SA"/>
        </w:rPr>
        <w:t>磋商</w:t>
      </w:r>
      <w:r>
        <w:rPr>
          <w:rFonts w:hint="eastAsia" w:ascii="宋体" w:eastAsia="宋体" w:cs="宋体"/>
          <w:color w:val="auto"/>
          <w:u w:val="single"/>
          <w:lang w:bidi="ar-SA"/>
        </w:rPr>
        <w:t>报价中综合考虑。</w:t>
      </w:r>
    </w:p>
    <w:p w14:paraId="692FFB62">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②承包人负责合同实施期间其合同段内临时交通道路（含场内外连接公共交通道路）和交通设施的修建、维修、养护和交通管理工作，并承担一切费用。</w:t>
      </w:r>
    </w:p>
    <w:p w14:paraId="2900DCF2">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4204EF6D">
      <w:pPr>
        <w:pStyle w:val="32"/>
        <w:snapToGrid w:val="0"/>
        <w:spacing w:line="360" w:lineRule="auto"/>
        <w:jc w:val="left"/>
        <w:outlineLvl w:val="9"/>
        <w:rPr>
          <w:rFonts w:hint="eastAsia" w:ascii="宋体" w:eastAsia="宋体" w:cs="宋体"/>
          <w:color w:val="auto"/>
          <w:lang w:bidi="ar-SA"/>
        </w:rPr>
      </w:pPr>
      <w:bookmarkStart w:id="363" w:name="_Toc351203641"/>
      <w:r>
        <w:rPr>
          <w:rFonts w:hint="eastAsia" w:ascii="宋体" w:eastAsia="宋体" w:cs="宋体"/>
          <w:color w:val="auto"/>
          <w:lang w:bidi="ar-SA"/>
        </w:rPr>
        <w:t>9</w:t>
      </w:r>
      <w:bookmarkEnd w:id="338"/>
      <w:bookmarkEnd w:id="339"/>
      <w:bookmarkEnd w:id="340"/>
      <w:bookmarkStart w:id="364" w:name="_Toc304295559"/>
      <w:bookmarkStart w:id="365" w:name="_Toc312678021"/>
      <w:bookmarkStart w:id="366" w:name="_Toc303539139"/>
      <w:bookmarkStart w:id="367" w:name="_Toc297123533"/>
      <w:bookmarkStart w:id="368" w:name="_Toc312677495"/>
      <w:bookmarkStart w:id="369" w:name="_Toc297216192"/>
      <w:bookmarkStart w:id="370" w:name="_Toc300934982"/>
      <w:bookmarkStart w:id="371" w:name="_Toc267251427"/>
      <w:bookmarkStart w:id="372" w:name="_Toc292559378"/>
      <w:bookmarkStart w:id="373" w:name="_Toc267251428"/>
      <w:bookmarkStart w:id="374" w:name="_Toc292559883"/>
      <w:bookmarkStart w:id="375" w:name="_Toc297120473"/>
      <w:bookmarkStart w:id="376" w:name="_Toc297048359"/>
      <w:bookmarkStart w:id="377" w:name="_Toc296891213"/>
      <w:bookmarkStart w:id="378" w:name="_Toc296503173"/>
      <w:bookmarkStart w:id="379" w:name="_Toc296347172"/>
      <w:bookmarkStart w:id="380" w:name="_Toc296944512"/>
      <w:bookmarkStart w:id="381" w:name="_Toc296891001"/>
      <w:bookmarkStart w:id="382" w:name="_Toc296346674"/>
      <w:r>
        <w:rPr>
          <w:rFonts w:hint="eastAsia" w:ascii="宋体" w:eastAsia="宋体" w:cs="宋体"/>
          <w:color w:val="auto"/>
          <w:lang w:bidi="ar-SA"/>
        </w:rPr>
        <w:t>. 试验与检验</w:t>
      </w:r>
      <w:bookmarkEnd w:id="363"/>
    </w:p>
    <w:bookmarkEnd w:id="364"/>
    <w:bookmarkEnd w:id="365"/>
    <w:bookmarkEnd w:id="366"/>
    <w:bookmarkEnd w:id="367"/>
    <w:bookmarkEnd w:id="368"/>
    <w:bookmarkEnd w:id="369"/>
    <w:bookmarkEnd w:id="370"/>
    <w:p w14:paraId="1ECAF794">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9</w:t>
      </w:r>
      <w:bookmarkStart w:id="383" w:name="_Toc297123534"/>
      <w:bookmarkStart w:id="384" w:name="_Toc304295560"/>
      <w:bookmarkStart w:id="385" w:name="_Toc303539140"/>
      <w:bookmarkStart w:id="386" w:name="_Toc312677496"/>
      <w:bookmarkStart w:id="387" w:name="_Toc297216193"/>
      <w:bookmarkStart w:id="388" w:name="_Toc300934983"/>
      <w:bookmarkStart w:id="389" w:name="_Toc312678022"/>
      <w:r>
        <w:rPr>
          <w:rFonts w:hint="eastAsia" w:ascii="宋体" w:eastAsia="宋体" w:cs="宋体"/>
          <w:color w:val="auto"/>
          <w:lang w:bidi="ar-SA"/>
        </w:rPr>
        <w:t>.1试验设备与试验人员</w:t>
      </w:r>
    </w:p>
    <w:bookmarkEnd w:id="383"/>
    <w:bookmarkEnd w:id="384"/>
    <w:bookmarkEnd w:id="385"/>
    <w:bookmarkEnd w:id="386"/>
    <w:bookmarkEnd w:id="387"/>
    <w:bookmarkEnd w:id="388"/>
    <w:bookmarkEnd w:id="389"/>
    <w:p w14:paraId="43404F2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9</w:t>
      </w:r>
      <w:bookmarkStart w:id="390" w:name="_Toc300934984"/>
      <w:bookmarkStart w:id="391" w:name="_Toc303539141"/>
      <w:bookmarkStart w:id="392" w:name="_Toc297216194"/>
      <w:bookmarkStart w:id="393" w:name="_Toc312678023"/>
      <w:bookmarkStart w:id="394" w:name="_Toc312677497"/>
      <w:bookmarkStart w:id="395" w:name="_Toc297123535"/>
      <w:bookmarkStart w:id="396" w:name="_Toc304295561"/>
      <w:bookmarkStart w:id="397" w:name="_Toc318581174"/>
      <w:r>
        <w:rPr>
          <w:rFonts w:hint="eastAsia" w:ascii="宋体" w:eastAsia="宋体" w:cs="宋体"/>
          <w:color w:val="auto"/>
          <w:lang w:bidi="ar-SA"/>
        </w:rPr>
        <w:t>.1.2 试验设备</w:t>
      </w:r>
    </w:p>
    <w:p w14:paraId="79985C3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施工现场需要配置的试验场所：</w:t>
      </w:r>
      <w:bookmarkEnd w:id="390"/>
      <w:bookmarkEnd w:id="391"/>
      <w:bookmarkEnd w:id="392"/>
      <w:bookmarkEnd w:id="393"/>
      <w:bookmarkEnd w:id="394"/>
      <w:bookmarkEnd w:id="395"/>
      <w:bookmarkEnd w:id="396"/>
      <w:bookmarkStart w:id="398" w:name="_Toc304295562"/>
      <w:bookmarkStart w:id="399" w:name="_Toc312678024"/>
      <w:bookmarkStart w:id="400" w:name="_Toc297123536"/>
      <w:bookmarkStart w:id="401" w:name="_Toc312677498"/>
      <w:bookmarkStart w:id="402" w:name="_Toc297216195"/>
      <w:bookmarkStart w:id="403" w:name="_Toc300934985"/>
      <w:bookmarkStart w:id="404" w:name="_Toc303539142"/>
      <w:r>
        <w:rPr>
          <w:rFonts w:hint="eastAsia" w:ascii="宋体" w:eastAsia="宋体" w:cs="宋体"/>
          <w:color w:val="auto"/>
          <w:u w:val="single"/>
          <w:lang w:bidi="ar-SA"/>
        </w:rPr>
        <w:t>按相关规定执行</w:t>
      </w:r>
      <w:r>
        <w:rPr>
          <w:rFonts w:hint="eastAsia" w:ascii="宋体" w:eastAsia="宋体" w:cs="宋体"/>
          <w:color w:val="auto"/>
          <w:lang w:bidi="ar-SA"/>
        </w:rPr>
        <w:t xml:space="preserve">。 </w:t>
      </w:r>
    </w:p>
    <w:p w14:paraId="1536740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施工现场需要配备的试验设备：</w:t>
      </w:r>
      <w:r>
        <w:rPr>
          <w:rFonts w:hint="eastAsia" w:ascii="宋体" w:eastAsia="宋体" w:cs="宋体"/>
          <w:color w:val="auto"/>
          <w:u w:val="single"/>
          <w:lang w:bidi="ar-SA"/>
        </w:rPr>
        <w:t>按相关规定执行</w:t>
      </w:r>
      <w:r>
        <w:rPr>
          <w:rFonts w:hint="eastAsia" w:ascii="宋体" w:eastAsia="宋体" w:cs="宋体"/>
          <w:color w:val="auto"/>
          <w:lang w:bidi="ar-SA"/>
        </w:rPr>
        <w:t>。</w:t>
      </w:r>
    </w:p>
    <w:p w14:paraId="7F68E63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施工现场需要具备的其他试验条件：</w:t>
      </w:r>
      <w:r>
        <w:rPr>
          <w:rFonts w:hint="eastAsia" w:ascii="宋体" w:eastAsia="宋体" w:cs="宋体"/>
          <w:color w:val="auto"/>
          <w:u w:val="single"/>
          <w:lang w:bidi="ar-SA"/>
        </w:rPr>
        <w:t>按相关规定执行</w:t>
      </w:r>
      <w:r>
        <w:rPr>
          <w:rFonts w:hint="eastAsia" w:ascii="宋体" w:eastAsia="宋体" w:cs="宋体"/>
          <w:color w:val="auto"/>
          <w:lang w:bidi="ar-SA"/>
        </w:rPr>
        <w:t>。</w:t>
      </w:r>
    </w:p>
    <w:p w14:paraId="61B108F2">
      <w:pPr>
        <w:pStyle w:val="32"/>
        <w:snapToGrid w:val="0"/>
        <w:spacing w:line="360" w:lineRule="auto"/>
        <w:jc w:val="left"/>
        <w:outlineLvl w:val="9"/>
        <w:rPr>
          <w:rFonts w:hint="eastAsia" w:ascii="宋体" w:eastAsia="宋体" w:cs="宋体"/>
          <w:color w:val="auto"/>
          <w:lang w:bidi="ar-SA"/>
        </w:rPr>
      </w:pPr>
      <w:bookmarkStart w:id="405" w:name="_Toc14500"/>
      <w:bookmarkStart w:id="406" w:name="_Toc19006"/>
      <w:r>
        <w:rPr>
          <w:rFonts w:hint="eastAsia" w:ascii="宋体" w:eastAsia="宋体" w:cs="宋体"/>
          <w:color w:val="auto"/>
          <w:lang w:bidi="ar-SA"/>
        </w:rPr>
        <w:t>9.4 现场工艺试验</w:t>
      </w:r>
      <w:bookmarkEnd w:id="405"/>
      <w:bookmarkEnd w:id="406"/>
      <w:r>
        <w:rPr>
          <w:rFonts w:hint="eastAsia" w:ascii="宋体" w:eastAsia="宋体" w:cs="宋体"/>
          <w:color w:val="auto"/>
          <w:lang w:bidi="ar-SA"/>
        </w:rPr>
        <w:t xml:space="preserve"> </w:t>
      </w:r>
    </w:p>
    <w:p w14:paraId="3C03BA0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现场工艺试验的有关约定：</w:t>
      </w:r>
      <w:r>
        <w:rPr>
          <w:rFonts w:hint="eastAsia" w:ascii="宋体" w:eastAsia="宋体" w:cs="宋体"/>
          <w:color w:val="auto"/>
          <w:u w:val="single"/>
          <w:lang w:bidi="ar-SA"/>
        </w:rPr>
        <w:t xml:space="preserve"> / </w:t>
      </w:r>
      <w:r>
        <w:rPr>
          <w:rFonts w:hint="eastAsia" w:ascii="宋体" w:eastAsia="宋体" w:cs="宋体"/>
          <w:color w:val="auto"/>
          <w:lang w:bidi="ar-SA"/>
        </w:rPr>
        <w:t>。</w:t>
      </w:r>
    </w:p>
    <w:bookmarkEnd w:id="397"/>
    <w:bookmarkEnd w:id="398"/>
    <w:bookmarkEnd w:id="399"/>
    <w:bookmarkEnd w:id="400"/>
    <w:bookmarkEnd w:id="401"/>
    <w:bookmarkEnd w:id="402"/>
    <w:bookmarkEnd w:id="403"/>
    <w:bookmarkEnd w:id="404"/>
    <w:p w14:paraId="1E858B2F">
      <w:pPr>
        <w:pStyle w:val="53"/>
        <w:snapToGrid w:val="0"/>
        <w:jc w:val="left"/>
        <w:outlineLvl w:val="9"/>
        <w:rPr>
          <w:rFonts w:hint="eastAsia" w:ascii="宋体" w:eastAsia="宋体" w:cs="宋体"/>
          <w:b w:val="0"/>
          <w:color w:val="auto"/>
          <w:sz w:val="21"/>
          <w:szCs w:val="21"/>
          <w:lang w:bidi="ar-SA"/>
        </w:rPr>
      </w:pPr>
      <w:bookmarkStart w:id="407" w:name="_Toc351203642"/>
      <w:r>
        <w:rPr>
          <w:rFonts w:hint="eastAsia" w:ascii="宋体" w:eastAsia="宋体" w:cs="宋体"/>
          <w:b w:val="0"/>
          <w:color w:val="auto"/>
          <w:sz w:val="21"/>
          <w:szCs w:val="21"/>
          <w:lang w:bidi="ar-SA"/>
        </w:rPr>
        <w:t>1</w:t>
      </w:r>
      <w:bookmarkEnd w:id="371"/>
      <w:bookmarkEnd w:id="372"/>
      <w:bookmarkEnd w:id="373"/>
      <w:bookmarkEnd w:id="374"/>
      <w:bookmarkEnd w:id="375"/>
      <w:bookmarkEnd w:id="376"/>
      <w:bookmarkEnd w:id="377"/>
      <w:bookmarkEnd w:id="378"/>
      <w:bookmarkEnd w:id="379"/>
      <w:bookmarkEnd w:id="380"/>
      <w:bookmarkEnd w:id="381"/>
      <w:bookmarkEnd w:id="382"/>
      <w:bookmarkStart w:id="408" w:name="_Toc296347192"/>
      <w:bookmarkStart w:id="409" w:name="_Toc297123540"/>
      <w:bookmarkStart w:id="410" w:name="_Toc296891021"/>
      <w:bookmarkStart w:id="411" w:name="_Toc292559903"/>
      <w:bookmarkStart w:id="412" w:name="_Toc297120493"/>
      <w:bookmarkStart w:id="413" w:name="_Toc303539146"/>
      <w:bookmarkStart w:id="414" w:name="_Toc297048379"/>
      <w:bookmarkStart w:id="415" w:name="_Toc300934989"/>
      <w:bookmarkStart w:id="416" w:name="_Toc296503193"/>
      <w:bookmarkStart w:id="417" w:name="_Toc304295566"/>
      <w:bookmarkStart w:id="418" w:name="_Toc292559398"/>
      <w:bookmarkStart w:id="419" w:name="_Toc296346694"/>
      <w:bookmarkStart w:id="420" w:name="_Toc296944532"/>
      <w:bookmarkStart w:id="421" w:name="_Toc296891233"/>
      <w:bookmarkStart w:id="422" w:name="_Toc297216199"/>
      <w:bookmarkStart w:id="423" w:name="_Toc312677499"/>
      <w:bookmarkStart w:id="424" w:name="_Toc312678025"/>
      <w:bookmarkStart w:id="425" w:name="_Toc267251440"/>
      <w:bookmarkStart w:id="426" w:name="_Toc267251435"/>
      <w:bookmarkStart w:id="427" w:name="_Toc267251437"/>
      <w:bookmarkStart w:id="428" w:name="_Toc267251441"/>
      <w:bookmarkStart w:id="429" w:name="_Toc267251439"/>
      <w:bookmarkStart w:id="430" w:name="_Toc267251433"/>
      <w:bookmarkStart w:id="431" w:name="_Toc267251442"/>
      <w:r>
        <w:rPr>
          <w:rFonts w:hint="eastAsia" w:ascii="宋体" w:eastAsia="宋体" w:cs="宋体"/>
          <w:b w:val="0"/>
          <w:color w:val="auto"/>
          <w:sz w:val="21"/>
          <w:szCs w:val="21"/>
          <w:lang w:bidi="ar-SA"/>
        </w:rPr>
        <w:t>0. 变更</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bookmarkEnd w:id="423"/>
    <w:bookmarkEnd w:id="424"/>
    <w:p w14:paraId="504E4E75">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w:t>
      </w:r>
      <w:bookmarkStart w:id="432" w:name="_Toc297048380"/>
      <w:bookmarkStart w:id="433" w:name="_Toc296503194"/>
      <w:bookmarkStart w:id="434" w:name="_Toc296944533"/>
      <w:bookmarkStart w:id="435" w:name="_Toc304295567"/>
      <w:bookmarkStart w:id="436" w:name="_Toc292559904"/>
      <w:bookmarkStart w:id="437" w:name="_Toc297120494"/>
      <w:bookmarkStart w:id="438" w:name="_Toc300934990"/>
      <w:bookmarkStart w:id="439" w:name="_Toc296346695"/>
      <w:bookmarkStart w:id="440" w:name="_Toc296891234"/>
      <w:bookmarkStart w:id="441" w:name="_Toc296347193"/>
      <w:bookmarkStart w:id="442" w:name="_Toc303539147"/>
      <w:bookmarkStart w:id="443" w:name="_Toc297123541"/>
      <w:bookmarkStart w:id="444" w:name="_Toc312678026"/>
      <w:bookmarkStart w:id="445" w:name="_Toc312677500"/>
      <w:bookmarkStart w:id="446" w:name="_Toc297216200"/>
      <w:bookmarkStart w:id="447" w:name="_Toc292559399"/>
      <w:bookmarkStart w:id="448" w:name="_Toc296891022"/>
      <w:r>
        <w:rPr>
          <w:rFonts w:hint="eastAsia" w:ascii="宋体" w:eastAsia="宋体" w:cs="宋体"/>
          <w:color w:val="auto"/>
          <w:lang w:bidi="ar-SA"/>
        </w:rPr>
        <w:t>0.1变更的范围</w:t>
      </w:r>
    </w:p>
    <w:p w14:paraId="6B2ABF58">
      <w:pPr>
        <w:pStyle w:val="32"/>
        <w:snapToGrid w:val="0"/>
        <w:spacing w:line="360" w:lineRule="auto"/>
        <w:ind w:firstLine="600"/>
        <w:jc w:val="left"/>
        <w:outlineLvl w:val="9"/>
        <w:rPr>
          <w:rFonts w:hint="eastAsia" w:ascii="宋体" w:eastAsia="宋体" w:cs="宋体"/>
          <w:color w:val="auto"/>
          <w:lang w:bidi="ar-SA"/>
        </w:rPr>
      </w:pPr>
      <w:r>
        <w:rPr>
          <w:rFonts w:hint="eastAsia" w:ascii="宋体" w:eastAsia="宋体" w:cs="宋体"/>
          <w:color w:val="auto"/>
          <w:lang w:bidi="ar-SA"/>
        </w:rPr>
        <w:t>关于变更的范围的约定：</w:t>
      </w:r>
      <w:bookmarkStart w:id="449" w:name="OLE_LINK35"/>
      <w:bookmarkStart w:id="450" w:name="OLE_LINK36"/>
      <w:r>
        <w:rPr>
          <w:rFonts w:hint="eastAsia" w:ascii="宋体" w:eastAsia="宋体" w:cs="宋体"/>
          <w:color w:val="auto"/>
          <w:u w:val="single"/>
          <w:lang w:bidi="ar-SA"/>
        </w:rPr>
        <w:t>按通用条款，无特殊约定</w:t>
      </w:r>
      <w:bookmarkEnd w:id="449"/>
      <w:bookmarkEnd w:id="450"/>
      <w:r>
        <w:rPr>
          <w:rFonts w:hint="eastAsia" w:ascii="宋体" w:eastAsia="宋体" w:cs="宋体"/>
          <w:color w:val="auto"/>
          <w:lang w:bidi="ar-SA"/>
        </w:rPr>
        <w:t>。</w:t>
      </w:r>
    </w:p>
    <w:p w14:paraId="0C3758FE">
      <w:pPr>
        <w:pStyle w:val="32"/>
        <w:snapToGrid w:val="0"/>
        <w:spacing w:line="360" w:lineRule="auto"/>
        <w:jc w:val="left"/>
        <w:outlineLvl w:val="9"/>
        <w:rPr>
          <w:rFonts w:hint="eastAsia" w:ascii="宋体" w:eastAsia="宋体" w:cs="宋体"/>
          <w:color w:val="auto"/>
          <w:lang w:bidi="ar-SA"/>
        </w:rPr>
      </w:pPr>
      <w:bookmarkStart w:id="451" w:name="_Toc28010"/>
      <w:bookmarkStart w:id="452" w:name="_Toc5199"/>
      <w:r>
        <w:rPr>
          <w:rFonts w:hint="eastAsia" w:ascii="宋体" w:eastAsia="宋体" w:cs="宋体"/>
          <w:color w:val="auto"/>
          <w:lang w:bidi="ar-SA"/>
        </w:rPr>
        <w:t>10.4 变更估价</w:t>
      </w:r>
      <w:bookmarkEnd w:id="451"/>
      <w:bookmarkEnd w:id="452"/>
    </w:p>
    <w:p w14:paraId="380D8AD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10.4.1 变更估价原则</w:t>
      </w:r>
    </w:p>
    <w:p w14:paraId="6D7F82A1">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 xml:space="preserve">关于变更估价的约定: </w:t>
      </w:r>
      <w:bookmarkStart w:id="453" w:name="_Toc251051742"/>
      <w:r>
        <w:rPr>
          <w:rFonts w:hint="eastAsia" w:ascii="宋体" w:eastAsia="宋体" w:cs="宋体"/>
          <w:bCs/>
          <w:color w:val="auto"/>
          <w:u w:val="single"/>
          <w:lang w:bidi="ar-SA"/>
        </w:rPr>
        <w:t>因设计变更、相关签证及工程量清单错项、漏项引起工程项目、工程量任何变化的，变更合同价款按下列方法进行：</w:t>
      </w:r>
      <w:bookmarkEnd w:id="453"/>
      <w:r>
        <w:rPr>
          <w:rFonts w:hint="eastAsia" w:ascii="宋体" w:eastAsia="宋体" w:cs="宋体"/>
          <w:bCs/>
          <w:color w:val="auto"/>
          <w:u w:val="single"/>
          <w:lang w:bidi="ar-SA"/>
        </w:rPr>
        <w:fldChar w:fldCharType="begin"/>
      </w:r>
      <w:r>
        <w:rPr>
          <w:rFonts w:hint="eastAsia" w:ascii="宋体" w:eastAsia="宋体" w:cs="宋体"/>
          <w:bCs/>
          <w:color w:val="auto"/>
          <w:u w:val="single"/>
          <w:lang w:bidi="ar-SA"/>
        </w:rPr>
        <w:instrText xml:space="preserve"> = 1 \* GB3 </w:instrText>
      </w:r>
      <w:r>
        <w:rPr>
          <w:rFonts w:hint="eastAsia" w:ascii="宋体" w:eastAsia="宋体" w:cs="宋体"/>
          <w:bCs/>
          <w:color w:val="auto"/>
          <w:u w:val="single"/>
          <w:lang w:bidi="ar-SA"/>
        </w:rPr>
        <w:fldChar w:fldCharType="separate"/>
      </w:r>
      <w:r>
        <w:rPr>
          <w:rFonts w:hint="eastAsia" w:ascii="宋体" w:eastAsia="宋体" w:cs="宋体"/>
          <w:bCs/>
          <w:color w:val="auto"/>
          <w:u w:val="single"/>
          <w:lang w:bidi="ar-SA"/>
        </w:rPr>
        <w:t>①</w:t>
      </w:r>
      <w:r>
        <w:rPr>
          <w:rFonts w:hint="eastAsia" w:ascii="宋体" w:eastAsia="宋体" w:cs="宋体"/>
          <w:bCs/>
          <w:color w:val="auto"/>
          <w:u w:val="single"/>
          <w:lang w:bidi="ar-SA"/>
        </w:rPr>
        <w:fldChar w:fldCharType="end"/>
      </w:r>
      <w:r>
        <w:rPr>
          <w:rFonts w:hint="eastAsia" w:ascii="宋体" w:eastAsia="宋体" w:cs="宋体"/>
          <w:color w:val="auto"/>
          <w:u w:val="single"/>
          <w:lang w:bidi="ar-SA"/>
        </w:rPr>
        <w:t>合同中已有适用于变更工程的项，按合同中已有的综合单价确定；</w:t>
      </w:r>
      <w:r>
        <w:rPr>
          <w:rFonts w:hint="eastAsia" w:ascii="宋体" w:eastAsia="宋体" w:cs="宋体"/>
          <w:color w:val="auto"/>
          <w:u w:val="single"/>
          <w:lang w:bidi="ar-SA"/>
        </w:rPr>
        <w:fldChar w:fldCharType="begin"/>
      </w:r>
      <w:r>
        <w:rPr>
          <w:rFonts w:hint="eastAsia" w:ascii="宋体" w:eastAsia="宋体" w:cs="宋体"/>
          <w:color w:val="auto"/>
          <w:u w:val="single"/>
          <w:lang w:bidi="ar-SA"/>
        </w:rPr>
        <w:instrText xml:space="preserve"> = 2 \* GB3 </w:instrText>
      </w:r>
      <w:r>
        <w:rPr>
          <w:rFonts w:hint="eastAsia" w:ascii="宋体" w:eastAsia="宋体" w:cs="宋体"/>
          <w:color w:val="auto"/>
          <w:u w:val="single"/>
          <w:lang w:bidi="ar-SA"/>
        </w:rPr>
        <w:fldChar w:fldCharType="separate"/>
      </w:r>
      <w:r>
        <w:rPr>
          <w:rFonts w:hint="eastAsia" w:ascii="宋体" w:eastAsia="宋体" w:cs="宋体"/>
          <w:color w:val="auto"/>
          <w:u w:val="single"/>
          <w:lang w:bidi="ar-SA"/>
        </w:rPr>
        <w:t>②</w:t>
      </w:r>
      <w:r>
        <w:rPr>
          <w:rFonts w:hint="eastAsia" w:ascii="宋体" w:eastAsia="宋体" w:cs="宋体"/>
          <w:color w:val="auto"/>
          <w:u w:val="single"/>
          <w:lang w:bidi="ar-SA"/>
        </w:rPr>
        <w:fldChar w:fldCharType="end"/>
      </w:r>
      <w:r>
        <w:rPr>
          <w:rFonts w:hint="eastAsia" w:ascii="宋体" w:eastAsia="宋体" w:cs="宋体"/>
          <w:color w:val="auto"/>
          <w:u w:val="single"/>
          <w:lang w:bidi="ar-SA"/>
        </w:rPr>
        <w:t>合同中有类似变更工程的项（指工程量清单项目中除主要材料不同外，人工、机械及其他材料均相同的项），综合单价按已有类似的综合单价加材料价差来确定；③合同中没有适用或类似于变更工程的项，其综合单价套用广西现行消耗量定额，费率按预算价的费率构成计取，材料价按施工期间《林市建设工程造价信息（龙胜县）》公布价格的算数平均值计取，装修、水电材料以及材料价格缺项的根据市场询价签证确定其材料价格，最后总价乘以系数（</w:t>
      </w:r>
      <w:r>
        <w:rPr>
          <w:rFonts w:hint="eastAsia" w:ascii="宋体" w:cs="宋体"/>
          <w:color w:val="auto"/>
          <w:u w:val="single"/>
          <w:lang w:eastAsia="zh-CN" w:bidi="ar-SA"/>
        </w:rPr>
        <w:t>磋商</w:t>
      </w:r>
      <w:r>
        <w:rPr>
          <w:rFonts w:hint="eastAsia" w:ascii="宋体" w:eastAsia="宋体" w:cs="宋体"/>
          <w:color w:val="auto"/>
          <w:u w:val="single"/>
          <w:lang w:bidi="ar-SA"/>
        </w:rPr>
        <w:t>报价/预算价）；④不适用上述条款的项，则由发包人和承包人协商签证确定；⑤因不可抗力产生的费用由发包人及承包人双方协商分担</w:t>
      </w:r>
      <w:r>
        <w:rPr>
          <w:rFonts w:hint="eastAsia" w:ascii="宋体" w:eastAsia="宋体" w:cs="宋体"/>
          <w:color w:val="auto"/>
          <w:lang w:bidi="ar-SA"/>
        </w:rPr>
        <w:t>。</w:t>
      </w:r>
    </w:p>
    <w:p w14:paraId="7CA537B5">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Start w:id="454" w:name="_Toc296347196"/>
      <w:bookmarkStart w:id="455" w:name="_Toc296891025"/>
      <w:bookmarkStart w:id="456" w:name="_Toc296503197"/>
      <w:bookmarkStart w:id="457" w:name="_Toc292559907"/>
      <w:bookmarkStart w:id="458" w:name="_Toc296944536"/>
      <w:bookmarkStart w:id="459" w:name="_Toc297216203"/>
      <w:bookmarkStart w:id="460" w:name="_Toc297120497"/>
      <w:bookmarkStart w:id="461" w:name="_Toc296346698"/>
      <w:bookmarkStart w:id="462" w:name="_Toc297123544"/>
      <w:bookmarkStart w:id="463" w:name="_Toc300934993"/>
      <w:bookmarkStart w:id="464" w:name="_Toc296891237"/>
      <w:bookmarkStart w:id="465" w:name="_Toc292559402"/>
      <w:bookmarkStart w:id="466" w:name="_Toc303539150"/>
      <w:bookmarkStart w:id="467" w:name="_Toc297048383"/>
      <w:bookmarkStart w:id="468" w:name="_Toc312677503"/>
      <w:bookmarkStart w:id="469" w:name="_Toc312678029"/>
      <w:bookmarkStart w:id="470" w:name="_Toc304295570"/>
      <w:r>
        <w:rPr>
          <w:rFonts w:hint="eastAsia" w:ascii="宋体" w:eastAsia="宋体" w:cs="宋体"/>
          <w:color w:val="auto"/>
          <w:lang w:bidi="ar-SA"/>
        </w:rPr>
        <w:t>0.5承</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Start w:id="471" w:name="_Toc296347202"/>
      <w:bookmarkStart w:id="472" w:name="_Toc296346704"/>
      <w:bookmarkStart w:id="473" w:name="_Toc303539151"/>
      <w:bookmarkStart w:id="474" w:name="_Toc296891031"/>
      <w:bookmarkStart w:id="475" w:name="_Toc297123545"/>
      <w:bookmarkStart w:id="476" w:name="_Toc300934994"/>
      <w:bookmarkStart w:id="477" w:name="_Toc297048389"/>
      <w:bookmarkStart w:id="478" w:name="_Toc296503203"/>
      <w:bookmarkStart w:id="479" w:name="_Toc292559913"/>
      <w:bookmarkStart w:id="480" w:name="_Toc297120503"/>
      <w:bookmarkStart w:id="481" w:name="_Toc292559408"/>
      <w:bookmarkStart w:id="482" w:name="_Toc296891243"/>
      <w:bookmarkStart w:id="483" w:name="_Toc297216204"/>
      <w:bookmarkStart w:id="484" w:name="_Toc296944542"/>
      <w:r>
        <w:rPr>
          <w:rFonts w:hint="eastAsia" w:ascii="宋体" w:eastAsia="宋体" w:cs="宋体"/>
          <w:color w:val="auto"/>
          <w:lang w:bidi="ar-SA"/>
        </w:rPr>
        <w:t>包人的合理化建议</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14:paraId="38024B3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监理人审查承包人合理化建议的期限：</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14F669E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发包人审批承包人合理化建议的期限：</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3330D8AF">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承</w:t>
      </w:r>
      <w:bookmarkStart w:id="485" w:name="_Toc292559914"/>
      <w:bookmarkStart w:id="486" w:name="_Toc303539152"/>
      <w:bookmarkStart w:id="487" w:name="_Toc296944543"/>
      <w:bookmarkStart w:id="488" w:name="_Toc296891032"/>
      <w:bookmarkStart w:id="489" w:name="_Toc300934995"/>
      <w:bookmarkStart w:id="490" w:name="_Toc312678030"/>
      <w:bookmarkStart w:id="491" w:name="_Toc296891244"/>
      <w:bookmarkStart w:id="492" w:name="_Toc297120504"/>
      <w:bookmarkStart w:id="493" w:name="_Toc292559409"/>
      <w:bookmarkStart w:id="494" w:name="_Toc304295571"/>
      <w:bookmarkStart w:id="495" w:name="_Toc296347203"/>
      <w:bookmarkStart w:id="496" w:name="_Toc297216205"/>
      <w:bookmarkStart w:id="497" w:name="_Toc312677504"/>
      <w:bookmarkStart w:id="498" w:name="_Toc297123546"/>
      <w:bookmarkStart w:id="499" w:name="_Toc318581175"/>
      <w:bookmarkStart w:id="500" w:name="_Toc296346705"/>
      <w:bookmarkStart w:id="501" w:name="_Toc296503204"/>
      <w:bookmarkStart w:id="502" w:name="_Toc297048390"/>
      <w:r>
        <w:rPr>
          <w:rFonts w:hint="eastAsia" w:ascii="宋体" w:eastAsia="宋体" w:cs="宋体"/>
          <w:color w:val="auto"/>
          <w:lang w:bidi="ar-SA"/>
        </w:rPr>
        <w:t>包人提出的合理化建议降低了合同价格或者提高了工程经济效益的奖励的方法和金额为：</w:t>
      </w:r>
      <w:r>
        <w:rPr>
          <w:rFonts w:hint="eastAsia" w:ascii="宋体" w:eastAsia="宋体" w:cs="宋体"/>
          <w:color w:val="auto"/>
          <w:u w:val="single"/>
          <w:lang w:bidi="ar-SA"/>
        </w:rPr>
        <w:t xml:space="preserve">  / </w:t>
      </w:r>
      <w:r>
        <w:rPr>
          <w:rFonts w:hint="eastAsia" w:ascii="宋体" w:eastAsia="宋体" w:cs="宋体"/>
          <w:color w:val="auto"/>
          <w:lang w:bidi="ar-SA"/>
        </w:rPr>
        <w:t>。</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5B6892A3">
      <w:pPr>
        <w:pStyle w:val="32"/>
        <w:snapToGrid w:val="0"/>
        <w:spacing w:line="360" w:lineRule="auto"/>
        <w:jc w:val="left"/>
        <w:outlineLvl w:val="9"/>
        <w:rPr>
          <w:rFonts w:hint="eastAsia" w:ascii="宋体" w:eastAsia="宋体" w:cs="宋体"/>
          <w:color w:val="auto"/>
          <w:lang w:bidi="ar-SA"/>
        </w:rPr>
      </w:pPr>
      <w:bookmarkStart w:id="503" w:name="_Toc13872"/>
      <w:bookmarkStart w:id="504" w:name="_Toc29273"/>
      <w:r>
        <w:rPr>
          <w:rFonts w:hint="eastAsia" w:ascii="宋体" w:eastAsia="宋体" w:cs="宋体"/>
          <w:color w:val="auto"/>
          <w:lang w:bidi="ar-SA"/>
        </w:rPr>
        <w:t>1</w:t>
      </w:r>
      <w:bookmarkStart w:id="505" w:name="_Toc296347198"/>
      <w:bookmarkStart w:id="506" w:name="_Toc296503199"/>
      <w:bookmarkStart w:id="507" w:name="_Toc297216207"/>
      <w:bookmarkStart w:id="508" w:name="_Toc312678033"/>
      <w:bookmarkStart w:id="509" w:name="_Toc300934997"/>
      <w:bookmarkStart w:id="510" w:name="_Toc297123548"/>
      <w:bookmarkStart w:id="511" w:name="_Toc296891027"/>
      <w:bookmarkStart w:id="512" w:name="_Toc312677507"/>
      <w:bookmarkStart w:id="513" w:name="_Toc292559909"/>
      <w:bookmarkStart w:id="514" w:name="_Toc296891239"/>
      <w:bookmarkStart w:id="515" w:name="_Toc297120499"/>
      <w:bookmarkStart w:id="516" w:name="_Toc304295574"/>
      <w:bookmarkStart w:id="517" w:name="_Toc303539154"/>
      <w:bookmarkStart w:id="518" w:name="_Toc296346700"/>
      <w:bookmarkStart w:id="519" w:name="_Toc297048385"/>
      <w:bookmarkStart w:id="520" w:name="_Toc292559404"/>
      <w:bookmarkStart w:id="521" w:name="_Toc296944538"/>
      <w:r>
        <w:rPr>
          <w:rFonts w:hint="eastAsia" w:ascii="宋体" w:eastAsia="宋体" w:cs="宋体"/>
          <w:color w:val="auto"/>
          <w:lang w:bidi="ar-SA"/>
        </w:rPr>
        <w:t>0.7 暂估价</w:t>
      </w:r>
      <w:bookmarkEnd w:id="503"/>
      <w:bookmarkEnd w:id="504"/>
    </w:p>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72D6AEC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暂</w:t>
      </w:r>
      <w:bookmarkStart w:id="522" w:name="_Toc312678034"/>
      <w:bookmarkStart w:id="523" w:name="_Toc312677508"/>
      <w:bookmarkStart w:id="524" w:name="_Toc318581176"/>
      <w:r>
        <w:rPr>
          <w:rFonts w:hint="eastAsia" w:ascii="宋体" w:eastAsia="宋体" w:cs="宋体"/>
          <w:color w:val="auto"/>
          <w:kern w:val="0"/>
          <w:lang w:bidi="ar-SA"/>
        </w:rPr>
        <w:t>估价材料和工程设备的明细详见附件11：《</w:t>
      </w:r>
      <w:r>
        <w:rPr>
          <w:rFonts w:hint="eastAsia" w:ascii="宋体" w:eastAsia="宋体" w:cs="宋体"/>
          <w:color w:val="auto"/>
          <w:lang w:bidi="ar-SA"/>
        </w:rPr>
        <w:t>暂估价一览表》</w:t>
      </w:r>
      <w:r>
        <w:rPr>
          <w:rFonts w:hint="eastAsia" w:ascii="宋体" w:eastAsia="宋体" w:cs="宋体"/>
          <w:color w:val="auto"/>
          <w:kern w:val="0"/>
          <w:lang w:bidi="ar-SA"/>
        </w:rPr>
        <w:t>。</w:t>
      </w:r>
    </w:p>
    <w:bookmarkEnd w:id="522"/>
    <w:bookmarkEnd w:id="523"/>
    <w:bookmarkEnd w:id="524"/>
    <w:p w14:paraId="269309F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w:t>
      </w:r>
      <w:bookmarkStart w:id="525" w:name="_Toc312677509"/>
      <w:bookmarkStart w:id="526" w:name="_Toc318581177"/>
      <w:bookmarkStart w:id="527" w:name="_Toc312678035"/>
      <w:r>
        <w:rPr>
          <w:rFonts w:hint="eastAsia" w:ascii="宋体" w:eastAsia="宋体" w:cs="宋体"/>
          <w:color w:val="auto"/>
          <w:lang w:bidi="ar-SA"/>
        </w:rPr>
        <w:t>0.7.1 依法必须招标的暂估价项目</w:t>
      </w:r>
    </w:p>
    <w:bookmarkEnd w:id="525"/>
    <w:bookmarkEnd w:id="526"/>
    <w:bookmarkEnd w:id="527"/>
    <w:p w14:paraId="7708D30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对于依法必须招标的暂估价项目的确认和批准采取第</w:t>
      </w:r>
      <w:r>
        <w:rPr>
          <w:rFonts w:hint="eastAsia" w:ascii="宋体" w:eastAsia="宋体" w:cs="宋体"/>
          <w:color w:val="auto"/>
          <w:u w:val="single"/>
          <w:lang w:bidi="ar-SA"/>
        </w:rPr>
        <w:t xml:space="preserve"> / </w:t>
      </w:r>
      <w:r>
        <w:rPr>
          <w:rFonts w:hint="eastAsia" w:ascii="宋体" w:eastAsia="宋体" w:cs="宋体"/>
          <w:color w:val="auto"/>
          <w:lang w:bidi="ar-SA"/>
        </w:rPr>
        <w:t>种方式确定。</w:t>
      </w:r>
    </w:p>
    <w:p w14:paraId="5552378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第1种方式：对于依法必须招标的暂估价项目，由承包人招标，对该暂估价项目的确认和批准按照以下约定执行：</w:t>
      </w:r>
    </w:p>
    <w:p w14:paraId="12A7C5A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（1）承包人应当根据施工进度计划，，在招标工作启动前14天将招标方案通过监理人报送发包人审查，发包人应当在收到招标方案后7天内批准或</w:t>
      </w:r>
      <w:bookmarkStart w:id="528" w:name="OLE_LINK55"/>
      <w:r>
        <w:rPr>
          <w:rFonts w:hint="eastAsia" w:ascii="宋体" w:eastAsia="宋体" w:cs="宋体"/>
          <w:color w:val="auto"/>
          <w:lang w:bidi="ar-SA"/>
        </w:rPr>
        <w:t>提出修改意见</w:t>
      </w:r>
      <w:bookmarkEnd w:id="528"/>
      <w:r>
        <w:rPr>
          <w:rFonts w:hint="eastAsia" w:ascii="宋体" w:eastAsia="宋体" w:cs="宋体"/>
          <w:color w:val="auto"/>
          <w:lang w:bidi="ar-SA"/>
        </w:rPr>
        <w:t>。承包人应当按照经过发包人批准的招标方案开展工作；</w:t>
      </w:r>
    </w:p>
    <w:p w14:paraId="6B586FDF">
      <w:pPr>
        <w:pStyle w:val="32"/>
        <w:numPr>
          <w:ilvl w:val="0"/>
          <w:numId w:val="3"/>
        </w:numPr>
        <w:snapToGrid w:val="0"/>
        <w:spacing w:line="360" w:lineRule="auto"/>
        <w:ind w:left="0" w:firstLine="420" w:firstLineChars="200"/>
        <w:jc w:val="left"/>
        <w:outlineLvl w:val="9"/>
        <w:rPr>
          <w:rFonts w:hint="eastAsia" w:ascii="宋体" w:eastAsia="宋体" w:cs="宋体"/>
          <w:color w:val="auto"/>
          <w:lang w:bidi="ar-SA"/>
        </w:rPr>
      </w:pPr>
      <w:bookmarkStart w:id="529" w:name="OLE_LINK57"/>
      <w:r>
        <w:rPr>
          <w:rFonts w:hint="eastAsia" w:ascii="宋体" w:eastAsia="宋体" w:cs="宋体"/>
          <w:color w:val="auto"/>
          <w:lang w:bidi="ar-SA"/>
        </w:rPr>
        <w:t>承包人应当根据施工进度计划</w:t>
      </w:r>
      <w:bookmarkEnd w:id="529"/>
      <w:r>
        <w:rPr>
          <w:rFonts w:hint="eastAsia" w:ascii="宋体" w:eastAsia="宋体" w:cs="宋体"/>
          <w:color w:val="auto"/>
          <w:lang w:bidi="ar-SA"/>
        </w:rPr>
        <w:t>，提前14天将招标文件通过监理人报送发包人审批，发包人应当在收到报送的相关文件后7天内完成审批或提出修改意见；发包人有权确定招标控制价并按照法律规定参加评标；</w:t>
      </w:r>
    </w:p>
    <w:p w14:paraId="50804BEC">
      <w:pPr>
        <w:pStyle w:val="32"/>
        <w:numPr>
          <w:ilvl w:val="0"/>
          <w:numId w:val="3"/>
        </w:numPr>
        <w:snapToGrid w:val="0"/>
        <w:spacing w:line="360" w:lineRule="auto"/>
        <w:ind w:left="0"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与供应商、分包人在签订暂估价合同前，应当提前7天将确定的中标候选供应商或中标候选分包人的资料报送分包人，发包人应在收到资料后3天内与承包人共同确定中标人；承包人应当在签订合同后7天内，将暂估价合同副本报送发包人留存。</w:t>
      </w:r>
    </w:p>
    <w:p w14:paraId="01E64CB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第2种方式：对于依法必须招标的暂估价项目，由发包人和承包人共同招标确定暂估价供应商或分包人，承包人应按照施工进度计划，在招标工作启动前14天通知发包人，并提交暂估价招标方案和工作分工。发包人应在收到后7天内确认。确定中标人后，由发包人、承包人与中标人共同签订暂估价合同。</w:t>
      </w:r>
    </w:p>
    <w:p w14:paraId="728EB79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10.7.2 不属于依法必须招标的暂估价项目</w:t>
      </w:r>
    </w:p>
    <w:p w14:paraId="642FE44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对于不属于依法必须招标的暂估价项目的确认和批准采取第</w:t>
      </w:r>
      <w:r>
        <w:rPr>
          <w:rFonts w:hint="eastAsia" w:ascii="宋体" w:eastAsia="宋体" w:cs="宋体"/>
          <w:color w:val="auto"/>
          <w:u w:val="single"/>
          <w:lang w:bidi="ar-SA"/>
        </w:rPr>
        <w:t xml:space="preserve"> 1 </w:t>
      </w:r>
      <w:r>
        <w:rPr>
          <w:rFonts w:hint="eastAsia" w:ascii="宋体" w:eastAsia="宋体" w:cs="宋体"/>
          <w:color w:val="auto"/>
          <w:lang w:bidi="ar-SA"/>
        </w:rPr>
        <w:t>种方式确定。</w:t>
      </w:r>
    </w:p>
    <w:p w14:paraId="1AF517A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第1种方式：对于不属于依法必须招标的暂估价项目，按本项约定确认和批准：</w:t>
      </w:r>
    </w:p>
    <w:p w14:paraId="022F409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承包人应当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DC7551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（2）发包人认为承包人确定的供应商、分包人无法满足工程质量或合同要求的，发包人可以要求承包人重新确定暂估价项目的供应商、分包人；</w:t>
      </w:r>
    </w:p>
    <w:p w14:paraId="67E379D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（3）承包人应当在签订暂估价项目合同后7天内，将暂估价合同副本报送发包人留存。</w:t>
      </w:r>
    </w:p>
    <w:p w14:paraId="5668A8B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第2种方式：承包人按照第10.7.1项｛依法必须招标的暂估价项目｝约定的第1种方式确定暂估价项目</w:t>
      </w:r>
    </w:p>
    <w:p w14:paraId="64431AC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第3种方式：承包人直接实施的暂估价项目</w:t>
      </w:r>
    </w:p>
    <w:p w14:paraId="3671734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承包人直接实施的暂估价项目的约定：</w:t>
      </w:r>
    </w:p>
    <w:p w14:paraId="69CDC246">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68C479CE">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（2）暂估价项目综合单价的确定：按专用条款10.4.1条，但材料和设备价格需双方共同市场询价后签证确定。</w:t>
      </w:r>
    </w:p>
    <w:p w14:paraId="7057484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u w:val="single"/>
          <w:lang w:bidi="ar-SA"/>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w:t>
      </w:r>
      <w:r>
        <w:rPr>
          <w:rFonts w:hint="eastAsia" w:ascii="宋体" w:eastAsia="宋体" w:cs="宋体"/>
          <w:color w:val="auto"/>
          <w:highlight w:val="none"/>
          <w:u w:val="single"/>
          <w:lang w:bidi="ar-SA"/>
        </w:rPr>
        <w:t>，发包人按《</w:t>
      </w:r>
      <w:r>
        <w:rPr>
          <w:rFonts w:hint="eastAsia" w:ascii="宋体" w:cs="宋体"/>
          <w:color w:val="auto"/>
          <w:highlight w:val="none"/>
          <w:u w:val="single"/>
          <w:lang w:val="en-US" w:eastAsia="zh-CN" w:bidi="ar-SA"/>
        </w:rPr>
        <w:t>建筑</w:t>
      </w:r>
      <w:r>
        <w:rPr>
          <w:rFonts w:hint="eastAsia" w:ascii="宋体" w:eastAsia="宋体" w:cs="宋体"/>
          <w:color w:val="auto"/>
          <w:highlight w:val="none"/>
          <w:u w:val="single"/>
          <w:lang w:bidi="ar-SA"/>
        </w:rPr>
        <w:t>工程预算定额》规定的费率（有区间的取中值）支付承包人总承包服务费。B、当发包人对不能达成一致的暂估价材料改为甲供材料时，发</w:t>
      </w:r>
      <w:r>
        <w:rPr>
          <w:rFonts w:hint="eastAsia" w:ascii="宋体" w:eastAsia="宋体" w:cs="宋体"/>
          <w:color w:val="auto"/>
          <w:u w:val="single"/>
          <w:lang w:bidi="ar-SA"/>
        </w:rPr>
        <w:t>包人向承包人支付1%的材料保管费，数量按现行定额消耗量的1.05倍计算，如承包人超出此数量，则由承包人自行填补数量的空缺。</w:t>
      </w:r>
    </w:p>
    <w:p w14:paraId="149A58CB">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10.8 暂列金额</w:t>
      </w:r>
    </w:p>
    <w:p w14:paraId="746F5A65">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合同当事人关于暂列金额使用的约定：</w:t>
      </w:r>
      <w:r>
        <w:rPr>
          <w:rFonts w:hint="eastAsia" w:ascii="宋体" w:eastAsia="宋体" w:cs="宋体"/>
          <w:color w:val="auto"/>
          <w:u w:val="single"/>
          <w:lang w:bidi="ar-SA"/>
        </w:rPr>
        <w:t>（1）已签订合同价中的暂列金额按照发包人的要求使用。（2）本工程暂列金额按</w:t>
      </w:r>
      <w:r>
        <w:rPr>
          <w:rFonts w:hint="eastAsia" w:ascii="宋体" w:cs="宋体"/>
          <w:color w:val="auto"/>
          <w:u w:val="single"/>
          <w:lang w:eastAsia="zh-CN" w:bidi="ar-SA"/>
        </w:rPr>
        <w:t>采购</w:t>
      </w:r>
      <w:r>
        <w:rPr>
          <w:rFonts w:hint="eastAsia" w:ascii="宋体" w:eastAsia="宋体" w:cs="宋体"/>
          <w:color w:val="auto"/>
          <w:u w:val="single"/>
          <w:lang w:bidi="ar-SA"/>
        </w:rPr>
        <w:t>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r>
        <w:rPr>
          <w:rFonts w:hint="eastAsia" w:ascii="宋体" w:eastAsia="宋体" w:cs="宋体"/>
          <w:color w:val="auto"/>
          <w:kern w:val="0"/>
          <w:lang w:bidi="ar-SA"/>
        </w:rPr>
        <w:t>。</w:t>
      </w:r>
    </w:p>
    <w:p w14:paraId="1D50F56F">
      <w:pPr>
        <w:pStyle w:val="53"/>
        <w:snapToGrid w:val="0"/>
        <w:jc w:val="left"/>
        <w:outlineLvl w:val="9"/>
        <w:rPr>
          <w:rFonts w:hint="eastAsia" w:ascii="宋体" w:eastAsia="宋体" w:cs="宋体"/>
          <w:b w:val="0"/>
          <w:color w:val="auto"/>
          <w:sz w:val="21"/>
          <w:szCs w:val="21"/>
          <w:lang w:bidi="ar-SA"/>
        </w:rPr>
      </w:pPr>
      <w:bookmarkStart w:id="530" w:name="_Toc351203643"/>
      <w:r>
        <w:rPr>
          <w:rFonts w:hint="eastAsia" w:ascii="宋体" w:eastAsia="宋体" w:cs="宋体"/>
          <w:b w:val="0"/>
          <w:color w:val="auto"/>
          <w:sz w:val="21"/>
          <w:szCs w:val="21"/>
          <w:lang w:bidi="ar-SA"/>
        </w:rPr>
        <w:t>11. 价格调整</w:t>
      </w:r>
      <w:bookmarkEnd w:id="530"/>
    </w:p>
    <w:p w14:paraId="0A72DA57">
      <w:pPr>
        <w:pStyle w:val="32"/>
        <w:snapToGrid w:val="0"/>
        <w:spacing w:line="360" w:lineRule="auto"/>
        <w:jc w:val="left"/>
        <w:outlineLvl w:val="9"/>
        <w:rPr>
          <w:rFonts w:hint="eastAsia" w:ascii="宋体" w:eastAsia="宋体" w:cs="宋体"/>
          <w:color w:val="auto"/>
          <w:lang w:bidi="ar-SA"/>
        </w:rPr>
      </w:pPr>
      <w:bookmarkStart w:id="531" w:name="_Toc292559406"/>
      <w:bookmarkStart w:id="532" w:name="_Toc300935000"/>
      <w:bookmarkStart w:id="533" w:name="_Toc297123550"/>
      <w:bookmarkStart w:id="534" w:name="_Toc296347200"/>
      <w:bookmarkStart w:id="535" w:name="_Toc304295577"/>
      <w:bookmarkStart w:id="536" w:name="_Toc297120501"/>
      <w:bookmarkStart w:id="537" w:name="_Toc296891029"/>
      <w:bookmarkStart w:id="538" w:name="_Toc296503201"/>
      <w:bookmarkStart w:id="539" w:name="_Toc296944540"/>
      <w:bookmarkStart w:id="540" w:name="_Toc303539157"/>
      <w:bookmarkStart w:id="541" w:name="_Toc296346702"/>
      <w:bookmarkStart w:id="542" w:name="_Toc312678039"/>
      <w:bookmarkStart w:id="543" w:name="_Toc292559911"/>
      <w:bookmarkStart w:id="544" w:name="_Toc297216209"/>
      <w:bookmarkStart w:id="545" w:name="_Toc296891241"/>
      <w:bookmarkStart w:id="546" w:name="_Toc297048387"/>
      <w:r>
        <w:rPr>
          <w:rFonts w:hint="eastAsia" w:ascii="宋体" w:eastAsia="宋体" w:cs="宋体"/>
          <w:color w:val="auto"/>
          <w:lang w:bidi="ar-SA"/>
        </w:rPr>
        <w:t>11.1 市场价格波动引起的调整</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6424142C">
      <w:pPr>
        <w:pStyle w:val="51"/>
        <w:outlineLvl w:val="9"/>
        <w:rPr>
          <w:rFonts w:hint="eastAsia" w:ascii="宋体" w:eastAsia="宋体" w:cs="宋体"/>
          <w:color w:val="auto"/>
          <w:lang w:bidi="ar-SA"/>
        </w:rPr>
      </w:pPr>
      <w:r>
        <w:rPr>
          <w:rFonts w:hint="eastAsia" w:ascii="宋体" w:eastAsia="宋体" w:cs="宋体"/>
          <w:color w:val="auto"/>
          <w:kern w:val="0"/>
          <w:lang w:bidi="ar-SA"/>
        </w:rPr>
        <w:t>市场价格波动是否调整合同价格的约定：</w:t>
      </w:r>
      <w:r>
        <w:rPr>
          <w:rFonts w:hint="eastAsia" w:ascii="宋体" w:eastAsia="宋体" w:cs="宋体"/>
          <w:color w:val="auto"/>
          <w:u w:val="single"/>
          <w:lang w:bidi="ar-SA"/>
        </w:rPr>
        <w:t xml:space="preserve">     是     </w:t>
      </w:r>
      <w:r>
        <w:rPr>
          <w:rFonts w:hint="eastAsia" w:ascii="宋体" w:eastAsia="宋体" w:cs="宋体"/>
          <w:color w:val="auto"/>
          <w:lang w:bidi="ar-SA"/>
        </w:rPr>
        <w:t>。</w:t>
      </w:r>
    </w:p>
    <w:p w14:paraId="12FC386A">
      <w:pPr>
        <w:pStyle w:val="54"/>
        <w:outlineLvl w:val="9"/>
        <w:rPr>
          <w:rFonts w:hint="eastAsia" w:ascii="宋体" w:eastAsia="宋体" w:cs="宋体"/>
          <w:color w:val="auto"/>
          <w:lang w:bidi="ar-SA"/>
        </w:rPr>
      </w:pPr>
      <w:r>
        <w:rPr>
          <w:rFonts w:hint="eastAsia" w:ascii="宋体" w:eastAsia="宋体" w:cs="宋体"/>
          <w:color w:val="auto"/>
          <w:lang w:bidi="ar-SA"/>
        </w:rPr>
        <w:t>因市场价格波动调整合同价格，采用以下第</w:t>
      </w:r>
      <w:r>
        <w:rPr>
          <w:rFonts w:hint="eastAsia" w:ascii="宋体" w:eastAsia="宋体" w:cs="宋体"/>
          <w:color w:val="auto"/>
          <w:u w:val="single"/>
          <w:lang w:bidi="ar-SA"/>
        </w:rPr>
        <w:t xml:space="preserve"> 3 </w:t>
      </w:r>
      <w:r>
        <w:rPr>
          <w:rFonts w:hint="eastAsia" w:ascii="宋体" w:eastAsia="宋体" w:cs="宋体"/>
          <w:color w:val="auto"/>
          <w:lang w:bidi="ar-SA"/>
        </w:rPr>
        <w:t>种方式对合同价格进行调整：</w:t>
      </w:r>
    </w:p>
    <w:p w14:paraId="72F97513">
      <w:pPr>
        <w:pStyle w:val="54"/>
        <w:outlineLvl w:val="9"/>
        <w:rPr>
          <w:rFonts w:hint="eastAsia" w:ascii="宋体" w:eastAsia="宋体" w:cs="宋体"/>
          <w:color w:val="auto"/>
          <w:lang w:bidi="ar-SA"/>
        </w:rPr>
      </w:pPr>
      <w:r>
        <w:rPr>
          <w:rFonts w:hint="eastAsia" w:ascii="宋体" w:eastAsia="宋体" w:cs="宋体"/>
          <w:color w:val="auto"/>
          <w:lang w:bidi="ar-SA"/>
        </w:rPr>
        <w:t>第1种方式：采用价格指数进行价格调整。</w:t>
      </w:r>
    </w:p>
    <w:p w14:paraId="7B06ECB3">
      <w:pPr>
        <w:pStyle w:val="54"/>
        <w:outlineLvl w:val="9"/>
        <w:rPr>
          <w:rFonts w:hint="eastAsia" w:ascii="宋体" w:eastAsia="宋体" w:cs="宋体"/>
          <w:color w:val="auto"/>
          <w:u w:val="single"/>
          <w:lang w:bidi="ar-SA"/>
        </w:rPr>
      </w:pPr>
      <w:r>
        <w:rPr>
          <w:rFonts w:hint="eastAsia" w:ascii="宋体" w:eastAsia="宋体" w:cs="宋体"/>
          <w:color w:val="auto"/>
          <w:lang w:bidi="ar-SA"/>
        </w:rPr>
        <w:t>关于各可调因子、定值和变值权重，以及基本价格指数及其来源的约定：</w:t>
      </w:r>
      <w:r>
        <w:rPr>
          <w:rFonts w:hint="eastAsia" w:ascii="宋体" w:eastAsia="宋体" w:cs="宋体"/>
          <w:color w:val="auto"/>
          <w:u w:val="single"/>
          <w:lang w:bidi="ar-SA"/>
        </w:rPr>
        <w:t xml:space="preserve">  /   </w:t>
      </w:r>
      <w:r>
        <w:rPr>
          <w:rFonts w:hint="eastAsia" w:ascii="宋体" w:eastAsia="宋体" w:cs="宋体"/>
          <w:color w:val="auto"/>
          <w:lang w:bidi="ar-SA"/>
        </w:rPr>
        <w:t xml:space="preserve">；  </w:t>
      </w:r>
    </w:p>
    <w:p w14:paraId="6AF4F1A0">
      <w:pPr>
        <w:pStyle w:val="54"/>
        <w:outlineLvl w:val="9"/>
        <w:rPr>
          <w:rFonts w:hint="eastAsia" w:ascii="宋体" w:eastAsia="宋体" w:cs="宋体"/>
          <w:color w:val="auto"/>
          <w:lang w:bidi="ar-SA"/>
        </w:rPr>
      </w:pPr>
      <w:r>
        <w:rPr>
          <w:rFonts w:hint="eastAsia" w:ascii="宋体" w:eastAsia="宋体" w:cs="宋体"/>
          <w:color w:val="auto"/>
          <w:lang w:bidi="ar-SA"/>
        </w:rPr>
        <w:t>第2种方式：采用造价信息进行价格调整。</w:t>
      </w:r>
    </w:p>
    <w:p w14:paraId="6774F081">
      <w:pPr>
        <w:pStyle w:val="54"/>
        <w:spacing w:line="440" w:lineRule="exact"/>
        <w:outlineLvl w:val="9"/>
        <w:rPr>
          <w:rFonts w:hint="eastAsia" w:ascii="宋体" w:eastAsia="宋体" w:cs="宋体"/>
          <w:color w:val="auto"/>
          <w:lang w:bidi="ar-SA"/>
        </w:rPr>
      </w:pPr>
      <w:r>
        <w:rPr>
          <w:rFonts w:hint="eastAsia" w:ascii="宋体" w:eastAsia="宋体" w:cs="宋体"/>
          <w:color w:val="auto"/>
          <w:lang w:bidi="ar-SA"/>
        </w:rPr>
        <w:t>（2）关于基准价格的约定：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270DB3AD">
      <w:pPr>
        <w:pStyle w:val="54"/>
        <w:spacing w:line="440" w:lineRule="exact"/>
        <w:outlineLvl w:val="9"/>
        <w:rPr>
          <w:rFonts w:hint="eastAsia" w:ascii="宋体" w:eastAsia="宋体" w:cs="宋体"/>
          <w:color w:val="auto"/>
          <w:lang w:bidi="ar-SA"/>
        </w:rPr>
      </w:pPr>
      <w:r>
        <w:rPr>
          <w:rFonts w:hint="eastAsia" w:ascii="宋体" w:eastAsia="宋体" w:cs="宋体"/>
          <w:color w:val="auto"/>
          <w:lang w:bidi="ar-SA"/>
        </w:rPr>
        <w:t>专用合同条款①承包人在已标价工程量清单或预算书中载明的材料单价低于基准价格的：专用合同条款合同履行期间材料单价涨幅以基准价格为基础超过</w:t>
      </w:r>
      <w:r>
        <w:rPr>
          <w:rFonts w:hint="eastAsia" w:ascii="宋体" w:eastAsia="宋体" w:cs="宋体"/>
          <w:color w:val="auto"/>
          <w:u w:val="single"/>
          <w:lang w:bidi="ar-SA"/>
        </w:rPr>
        <w:t xml:space="preserve"> 5 </w:t>
      </w:r>
      <w:r>
        <w:rPr>
          <w:rFonts w:hint="eastAsia" w:ascii="宋体" w:eastAsia="宋体" w:cs="宋体"/>
          <w:color w:val="auto"/>
          <w:lang w:bidi="ar-SA"/>
        </w:rPr>
        <w:t>%时，或材料单价跌幅以已标价工程量清单或预算书中载明材料单价为基础超过</w:t>
      </w:r>
      <w:r>
        <w:rPr>
          <w:rFonts w:hint="eastAsia" w:ascii="宋体" w:eastAsia="宋体" w:cs="宋体"/>
          <w:color w:val="auto"/>
          <w:u w:val="single"/>
          <w:lang w:bidi="ar-SA"/>
        </w:rPr>
        <w:t xml:space="preserve"> 5 </w:t>
      </w:r>
      <w:r>
        <w:rPr>
          <w:rFonts w:hint="eastAsia" w:ascii="宋体" w:eastAsia="宋体" w:cs="宋体"/>
          <w:color w:val="auto"/>
          <w:lang w:bidi="ar-SA"/>
        </w:rPr>
        <w:t>%时，其超过部分据实调整。</w:t>
      </w:r>
    </w:p>
    <w:p w14:paraId="38ABE21D">
      <w:pPr>
        <w:pStyle w:val="54"/>
        <w:spacing w:line="440" w:lineRule="exact"/>
        <w:outlineLvl w:val="9"/>
        <w:rPr>
          <w:rFonts w:hint="eastAsia" w:ascii="宋体" w:eastAsia="宋体" w:cs="宋体"/>
          <w:color w:val="auto"/>
          <w:lang w:bidi="ar-SA"/>
        </w:rPr>
      </w:pPr>
      <w:r>
        <w:rPr>
          <w:rFonts w:hint="eastAsia" w:ascii="宋体" w:eastAsia="宋体" w:cs="宋体"/>
          <w:color w:val="auto"/>
          <w:lang w:bidi="ar-SA"/>
        </w:rPr>
        <w:t>②承包人在已标价工程量清单或预算书中载明的材料单价高于基准价格的：专用合同条款合同履行期间材料单价跌幅以基准价格为基础超过</w:t>
      </w:r>
      <w:r>
        <w:rPr>
          <w:rFonts w:hint="eastAsia" w:ascii="宋体" w:eastAsia="宋体" w:cs="宋体"/>
          <w:color w:val="auto"/>
          <w:u w:val="single"/>
          <w:lang w:bidi="ar-SA"/>
        </w:rPr>
        <w:t xml:space="preserve"> 5 </w:t>
      </w:r>
      <w:r>
        <w:rPr>
          <w:rFonts w:hint="eastAsia" w:ascii="宋体" w:eastAsia="宋体" w:cs="宋体"/>
          <w:color w:val="auto"/>
          <w:lang w:bidi="ar-SA"/>
        </w:rPr>
        <w:t>%时，材料单价涨幅以已标价工程量清单或预算书中载明材料单价为基础超过</w:t>
      </w:r>
      <w:r>
        <w:rPr>
          <w:rFonts w:hint="eastAsia" w:ascii="宋体" w:eastAsia="宋体" w:cs="宋体"/>
          <w:color w:val="auto"/>
          <w:u w:val="single"/>
          <w:lang w:bidi="ar-SA"/>
        </w:rPr>
        <w:t xml:space="preserve"> 5</w:t>
      </w:r>
      <w:r>
        <w:rPr>
          <w:rFonts w:hint="eastAsia" w:ascii="宋体" w:eastAsia="宋体" w:cs="宋体"/>
          <w:color w:val="auto"/>
          <w:lang w:bidi="ar-SA"/>
        </w:rPr>
        <w:t>%时，其超过部分据实调整。</w:t>
      </w:r>
    </w:p>
    <w:p w14:paraId="37721866">
      <w:pPr>
        <w:pStyle w:val="54"/>
        <w:spacing w:line="440" w:lineRule="exact"/>
        <w:outlineLvl w:val="9"/>
        <w:rPr>
          <w:rFonts w:hint="eastAsia" w:ascii="宋体" w:eastAsia="宋体" w:cs="宋体"/>
          <w:color w:val="auto"/>
          <w:lang w:bidi="ar-SA"/>
        </w:rPr>
      </w:pPr>
      <w:r>
        <w:rPr>
          <w:rFonts w:hint="eastAsia" w:ascii="宋体" w:eastAsia="宋体" w:cs="宋体"/>
          <w:color w:val="auto"/>
          <w:lang w:bidi="ar-SA"/>
        </w:rPr>
        <w:t>③承包人在已标价工程量清单或预算书中载明的材料单价等于基准单价的：专用合同条款合同履行期间材料单价涨跌幅以基准单价为基础超过±</w:t>
      </w:r>
      <w:r>
        <w:rPr>
          <w:rFonts w:hint="eastAsia" w:ascii="宋体" w:eastAsia="宋体" w:cs="宋体"/>
          <w:color w:val="auto"/>
          <w:u w:val="single"/>
          <w:lang w:bidi="ar-SA"/>
        </w:rPr>
        <w:t xml:space="preserve"> 5  </w:t>
      </w:r>
      <w:r>
        <w:rPr>
          <w:rFonts w:hint="eastAsia" w:ascii="宋体" w:eastAsia="宋体" w:cs="宋体"/>
          <w:color w:val="auto"/>
          <w:lang w:bidi="ar-SA"/>
        </w:rPr>
        <w:t>%时，其超过部分据实调整。</w:t>
      </w:r>
    </w:p>
    <w:p w14:paraId="4074C381">
      <w:pPr>
        <w:pStyle w:val="32"/>
        <w:snapToGrid w:val="0"/>
        <w:spacing w:line="440" w:lineRule="exact"/>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第3种方式：</w:t>
      </w:r>
      <w:r>
        <w:rPr>
          <w:rFonts w:hint="eastAsia" w:ascii="宋体" w:eastAsia="宋体" w:cs="宋体"/>
          <w:color w:val="auto"/>
          <w:u w:val="single"/>
          <w:lang w:bidi="ar-SA"/>
        </w:rPr>
        <w:t xml:space="preserve"> 承包人应根据施工期间主要材料可能由于市场价格上涨（或下跌）因素自行考虑由此引起的风险并计入</w:t>
      </w:r>
      <w:r>
        <w:rPr>
          <w:rFonts w:hint="eastAsia" w:ascii="宋体" w:cs="宋体"/>
          <w:color w:val="auto"/>
          <w:u w:val="single"/>
          <w:lang w:eastAsia="zh-CN" w:bidi="ar-SA"/>
        </w:rPr>
        <w:t>磋商</w:t>
      </w:r>
      <w:r>
        <w:rPr>
          <w:rFonts w:hint="eastAsia" w:ascii="宋体" w:eastAsia="宋体" w:cs="宋体"/>
          <w:color w:val="auto"/>
          <w:u w:val="single"/>
          <w:lang w:bidi="ar-SA"/>
        </w:rPr>
        <w:t>报价中。承包人应对自己的报价承担风险。但是若本工程施工期间由于市场价格上涨（或下跌）比</w:t>
      </w:r>
      <w:r>
        <w:rPr>
          <w:rFonts w:hint="eastAsia" w:ascii="宋体" w:cs="宋体"/>
          <w:b/>
          <w:bCs/>
          <w:color w:val="auto"/>
          <w:u w:val="single"/>
          <w:lang w:val="en-US" w:eastAsia="zh-CN" w:bidi="ar-SA"/>
        </w:rPr>
        <w:t xml:space="preserve"> 2026</w:t>
      </w:r>
      <w:r>
        <w:rPr>
          <w:rFonts w:hint="eastAsia" w:ascii="宋体" w:eastAsia="宋体" w:cs="宋体"/>
          <w:b/>
          <w:bCs/>
          <w:color w:val="auto"/>
          <w:u w:val="single"/>
          <w:lang w:bidi="ar-SA"/>
        </w:rPr>
        <w:t>年第</w:t>
      </w:r>
      <w:r>
        <w:rPr>
          <w:rFonts w:hint="eastAsia" w:ascii="宋体" w:cs="宋体"/>
          <w:b/>
          <w:bCs/>
          <w:color w:val="auto"/>
          <w:u w:val="single"/>
          <w:lang w:val="en-US" w:eastAsia="zh-CN" w:bidi="ar-SA"/>
        </w:rPr>
        <w:t>2</w:t>
      </w:r>
      <w:r>
        <w:rPr>
          <w:rFonts w:hint="eastAsia" w:ascii="宋体" w:eastAsia="宋体" w:cs="宋体"/>
          <w:b/>
          <w:bCs/>
          <w:color w:val="auto"/>
          <w:u w:val="single"/>
          <w:lang w:bidi="ar-SA"/>
        </w:rPr>
        <w:t>期</w:t>
      </w:r>
      <w:r>
        <w:rPr>
          <w:rFonts w:hint="eastAsia" w:ascii="宋体" w:eastAsia="宋体" w:cs="宋体"/>
          <w:color w:val="auto"/>
          <w:u w:val="single"/>
          <w:lang w:bidi="ar-SA"/>
        </w:rPr>
        <w:t>《林市建设工程造价信息（龙胜县）》公布价格相差±5%（含5%）以上时，材料价格可以进行调整。调整方法：材料价格（材料价格以该材料施工使用期间《林市建设工程造价信息（龙胜县）》平均价格为准）高（低）出±5%（含5%）以上部分×(</w:t>
      </w:r>
      <w:r>
        <w:rPr>
          <w:rFonts w:hint="eastAsia" w:ascii="宋体" w:cs="宋体"/>
          <w:color w:val="auto"/>
          <w:u w:val="single"/>
          <w:lang w:eastAsia="zh-CN" w:bidi="ar-SA"/>
        </w:rPr>
        <w:t>成交</w:t>
      </w:r>
      <w:r>
        <w:rPr>
          <w:rFonts w:hint="eastAsia" w:ascii="宋体" w:eastAsia="宋体" w:cs="宋体"/>
          <w:color w:val="auto"/>
          <w:u w:val="single"/>
          <w:lang w:bidi="ar-SA"/>
        </w:rPr>
        <w:t>的</w:t>
      </w:r>
      <w:r>
        <w:rPr>
          <w:rFonts w:hint="eastAsia" w:ascii="宋体" w:cs="宋体"/>
          <w:color w:val="auto"/>
          <w:u w:val="single"/>
          <w:lang w:eastAsia="zh-CN" w:bidi="ar-SA"/>
        </w:rPr>
        <w:t>磋商</w:t>
      </w:r>
      <w:r>
        <w:rPr>
          <w:rFonts w:hint="eastAsia" w:ascii="宋体" w:eastAsia="宋体" w:cs="宋体"/>
          <w:color w:val="auto"/>
          <w:u w:val="single"/>
          <w:lang w:bidi="ar-SA"/>
        </w:rPr>
        <w:t>报价÷预算控制价)，调增或调减合同价</w:t>
      </w:r>
      <w:r>
        <w:rPr>
          <w:rFonts w:hint="eastAsia" w:ascii="宋体" w:eastAsia="宋体" w:cs="宋体"/>
          <w:color w:val="auto"/>
          <w:lang w:bidi="ar-SA"/>
        </w:rPr>
        <w:t>。</w:t>
      </w:r>
    </w:p>
    <w:bookmarkEnd w:id="425"/>
    <w:bookmarkEnd w:id="426"/>
    <w:bookmarkEnd w:id="427"/>
    <w:bookmarkEnd w:id="428"/>
    <w:bookmarkEnd w:id="429"/>
    <w:bookmarkEnd w:id="430"/>
    <w:p w14:paraId="2E38FCE6">
      <w:pPr>
        <w:pStyle w:val="53"/>
        <w:snapToGrid w:val="0"/>
        <w:jc w:val="left"/>
        <w:outlineLvl w:val="9"/>
        <w:rPr>
          <w:rFonts w:hint="eastAsia" w:ascii="宋体" w:eastAsia="宋体" w:cs="宋体"/>
          <w:b w:val="0"/>
          <w:color w:val="auto"/>
          <w:sz w:val="21"/>
          <w:szCs w:val="21"/>
          <w:lang w:bidi="ar-SA"/>
        </w:rPr>
      </w:pPr>
      <w:bookmarkStart w:id="547" w:name="_Toc296346706"/>
      <w:bookmarkStart w:id="548" w:name="_Toc296347204"/>
      <w:bookmarkStart w:id="549" w:name="_Toc296891033"/>
      <w:bookmarkStart w:id="550" w:name="_Toc297120505"/>
      <w:bookmarkStart w:id="551" w:name="_Toc292559410"/>
      <w:bookmarkStart w:id="552" w:name="_Toc296503205"/>
      <w:bookmarkStart w:id="553" w:name="_Toc297048391"/>
      <w:bookmarkStart w:id="554" w:name="_Toc292559915"/>
      <w:bookmarkStart w:id="555" w:name="_Toc296891245"/>
      <w:bookmarkStart w:id="556" w:name="_Toc296944544"/>
      <w:bookmarkStart w:id="557" w:name="_Toc351203644"/>
      <w:bookmarkStart w:id="558" w:name="_Toc303539159"/>
      <w:bookmarkStart w:id="559" w:name="_Toc297123552"/>
      <w:bookmarkStart w:id="560" w:name="_Toc304295579"/>
      <w:bookmarkStart w:id="561" w:name="_Toc312678040"/>
      <w:bookmarkStart w:id="562" w:name="_Toc300935002"/>
      <w:bookmarkStart w:id="563" w:name="_Toc297216211"/>
      <w:r>
        <w:rPr>
          <w:rFonts w:hint="eastAsia" w:ascii="宋体" w:eastAsia="宋体" w:cs="宋体"/>
          <w:b w:val="0"/>
          <w:color w:val="auto"/>
          <w:sz w:val="21"/>
          <w:szCs w:val="21"/>
          <w:lang w:bidi="ar-SA"/>
        </w:rPr>
        <w:t xml:space="preserve">12. </w:t>
      </w:r>
      <w:bookmarkEnd w:id="547"/>
      <w:bookmarkEnd w:id="548"/>
      <w:bookmarkEnd w:id="549"/>
      <w:bookmarkEnd w:id="550"/>
      <w:bookmarkEnd w:id="551"/>
      <w:bookmarkEnd w:id="552"/>
      <w:bookmarkEnd w:id="553"/>
      <w:bookmarkEnd w:id="554"/>
      <w:bookmarkEnd w:id="555"/>
      <w:bookmarkEnd w:id="556"/>
      <w:r>
        <w:rPr>
          <w:rFonts w:hint="eastAsia" w:ascii="宋体" w:eastAsia="宋体" w:cs="宋体"/>
          <w:b w:val="0"/>
          <w:color w:val="auto"/>
          <w:sz w:val="21"/>
          <w:szCs w:val="21"/>
          <w:lang w:bidi="ar-SA"/>
        </w:rPr>
        <w:t>合同价格、计量与支付</w:t>
      </w:r>
      <w:bookmarkEnd w:id="557"/>
    </w:p>
    <w:bookmarkEnd w:id="558"/>
    <w:bookmarkEnd w:id="559"/>
    <w:bookmarkEnd w:id="560"/>
    <w:bookmarkEnd w:id="561"/>
    <w:bookmarkEnd w:id="562"/>
    <w:bookmarkEnd w:id="563"/>
    <w:p w14:paraId="6FD0D4AA">
      <w:pPr>
        <w:pStyle w:val="32"/>
        <w:snapToGrid w:val="0"/>
        <w:spacing w:line="360" w:lineRule="auto"/>
        <w:jc w:val="left"/>
        <w:outlineLvl w:val="9"/>
        <w:rPr>
          <w:rFonts w:hint="eastAsia" w:ascii="宋体" w:eastAsia="宋体" w:cs="宋体"/>
          <w:color w:val="auto"/>
          <w:lang w:bidi="ar-SA"/>
        </w:rPr>
      </w:pPr>
      <w:bookmarkStart w:id="564" w:name="_Toc267251461"/>
      <w:bookmarkStart w:id="565" w:name="_Toc292559411"/>
      <w:bookmarkStart w:id="566" w:name="_Toc292559916"/>
      <w:bookmarkStart w:id="567" w:name="_Toc296503206"/>
      <w:bookmarkStart w:id="568" w:name="_Toc296891246"/>
      <w:bookmarkStart w:id="569" w:name="_Toc297048392"/>
      <w:bookmarkStart w:id="570" w:name="_Toc296346707"/>
      <w:bookmarkStart w:id="571" w:name="_Toc296347205"/>
      <w:bookmarkStart w:id="572" w:name="_Toc296944545"/>
      <w:bookmarkStart w:id="573" w:name="_Toc296891034"/>
      <w:bookmarkStart w:id="574" w:name="_Toc297120506"/>
      <w:bookmarkStart w:id="575" w:name="_Toc304295580"/>
      <w:bookmarkStart w:id="576" w:name="_Toc312678041"/>
      <w:bookmarkStart w:id="577" w:name="_Toc297216212"/>
      <w:bookmarkStart w:id="578" w:name="_Toc300935003"/>
      <w:bookmarkStart w:id="579" w:name="_Toc303539160"/>
      <w:bookmarkStart w:id="580" w:name="_Toc297123553"/>
      <w:r>
        <w:rPr>
          <w:rFonts w:hint="eastAsia" w:ascii="宋体" w:eastAsia="宋体" w:cs="宋体"/>
          <w:color w:val="auto"/>
          <w:lang w:bidi="ar-SA"/>
        </w:rPr>
        <w:t>12.1 合</w:t>
      </w:r>
      <w:bookmarkEnd w:id="564"/>
      <w:bookmarkEnd w:id="565"/>
      <w:bookmarkEnd w:id="566"/>
      <w:r>
        <w:rPr>
          <w:rFonts w:hint="eastAsia" w:ascii="宋体" w:eastAsia="宋体" w:cs="宋体"/>
          <w:color w:val="auto"/>
          <w:lang w:bidi="ar-SA"/>
        </w:rPr>
        <w:t>同价</w:t>
      </w:r>
      <w:bookmarkEnd w:id="567"/>
      <w:bookmarkEnd w:id="568"/>
      <w:bookmarkEnd w:id="569"/>
      <w:bookmarkEnd w:id="570"/>
      <w:bookmarkEnd w:id="571"/>
      <w:bookmarkEnd w:id="572"/>
      <w:bookmarkEnd w:id="573"/>
      <w:bookmarkEnd w:id="574"/>
      <w:r>
        <w:rPr>
          <w:rFonts w:hint="eastAsia" w:ascii="宋体" w:eastAsia="宋体" w:cs="宋体"/>
          <w:color w:val="auto"/>
          <w:lang w:bidi="ar-SA"/>
        </w:rPr>
        <w:t>格形式</w:t>
      </w:r>
    </w:p>
    <w:bookmarkEnd w:id="575"/>
    <w:bookmarkEnd w:id="576"/>
    <w:bookmarkEnd w:id="577"/>
    <w:bookmarkEnd w:id="578"/>
    <w:bookmarkEnd w:id="579"/>
    <w:bookmarkEnd w:id="580"/>
    <w:p w14:paraId="2F1952C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1、单价合同。</w:t>
      </w:r>
    </w:p>
    <w:p w14:paraId="1921505A">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本合同价款采用固定综合单价方式确定。</w:t>
      </w:r>
    </w:p>
    <w:p w14:paraId="6923057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综合单价包含的风险范围：</w:t>
      </w:r>
      <w:r>
        <w:rPr>
          <w:rFonts w:hint="eastAsia" w:ascii="宋体" w:eastAsia="宋体" w:cs="宋体"/>
          <w:color w:val="auto"/>
          <w:u w:val="single"/>
          <w:lang w:bidi="ar-SA"/>
        </w:rPr>
        <w:t>除工程变更、项目特征不符、政策性调整、专用条款11.1条约定的材料、设备价格变动风险以外因素</w:t>
      </w:r>
      <w:r>
        <w:rPr>
          <w:rFonts w:hint="eastAsia" w:ascii="宋体" w:eastAsia="宋体" w:cs="宋体"/>
          <w:color w:val="auto"/>
          <w:lang w:bidi="ar-SA"/>
        </w:rPr>
        <w:t>。</w:t>
      </w:r>
    </w:p>
    <w:p w14:paraId="02ED23A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风险范围以外合同价格的调整方法：</w:t>
      </w:r>
    </w:p>
    <w:p w14:paraId="27598B7F">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①工程变更：按10.4.1变更估价原则的约定调整。</w:t>
      </w:r>
    </w:p>
    <w:p w14:paraId="7E211957">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②政策性调整：按国家和地方</w:t>
      </w:r>
      <w:r>
        <w:rPr>
          <w:rFonts w:hint="eastAsia" w:ascii="宋体" w:cs="宋体"/>
          <w:color w:val="auto"/>
          <w:u w:val="single"/>
          <w:lang w:eastAsia="zh-CN" w:bidi="ar-SA"/>
        </w:rPr>
        <w:t>交通</w:t>
      </w:r>
      <w:r>
        <w:rPr>
          <w:rFonts w:hint="eastAsia" w:ascii="宋体" w:eastAsia="宋体" w:cs="宋体"/>
          <w:color w:val="auto"/>
          <w:u w:val="single"/>
          <w:lang w:bidi="ar-SA"/>
        </w:rPr>
        <w:t>行政主管部门颁布的文件执行。</w:t>
      </w:r>
    </w:p>
    <w:p w14:paraId="2208AABE">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u w:val="single"/>
          <w:lang w:bidi="ar-SA"/>
        </w:rPr>
        <w:t>③材料价格风险：按11.1的约定调整。</w:t>
      </w:r>
    </w:p>
    <w:p w14:paraId="301427E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u w:val="single"/>
          <w:lang w:bidi="ar-SA"/>
        </w:rPr>
        <w:t>④其它：无 。</w:t>
      </w:r>
    </w:p>
    <w:p w14:paraId="65E7523E">
      <w:pPr>
        <w:pStyle w:val="32"/>
        <w:snapToGrid w:val="0"/>
        <w:spacing w:line="360" w:lineRule="auto"/>
        <w:jc w:val="left"/>
        <w:outlineLvl w:val="9"/>
        <w:rPr>
          <w:rFonts w:hint="eastAsia" w:ascii="宋体" w:eastAsia="宋体" w:cs="宋体"/>
          <w:color w:val="auto"/>
          <w:lang w:bidi="ar-SA"/>
        </w:rPr>
      </w:pPr>
      <w:bookmarkStart w:id="581" w:name="_Toc300935004"/>
      <w:bookmarkStart w:id="582" w:name="_Toc304295581"/>
      <w:bookmarkStart w:id="583" w:name="_Toc312678042"/>
      <w:bookmarkStart w:id="584" w:name="_Toc297216213"/>
      <w:bookmarkStart w:id="585" w:name="_Toc297123554"/>
      <w:bookmarkStart w:id="586" w:name="_Toc303539161"/>
      <w:bookmarkStart w:id="587" w:name="_Toc296891035"/>
      <w:bookmarkStart w:id="588" w:name="_Toc296944546"/>
      <w:bookmarkStart w:id="589" w:name="_Toc296503207"/>
      <w:bookmarkStart w:id="590" w:name="_Toc292559917"/>
      <w:bookmarkStart w:id="591" w:name="_Toc296346708"/>
      <w:bookmarkStart w:id="592" w:name="_Toc296347206"/>
      <w:bookmarkStart w:id="593" w:name="_Toc297048393"/>
      <w:bookmarkStart w:id="594" w:name="_Toc296891247"/>
      <w:bookmarkStart w:id="595" w:name="_Toc292559412"/>
      <w:bookmarkStart w:id="596" w:name="_Toc297120507"/>
      <w:r>
        <w:rPr>
          <w:rFonts w:hint="eastAsia" w:ascii="宋体" w:eastAsia="宋体" w:cs="宋体"/>
          <w:color w:val="auto"/>
          <w:lang w:bidi="ar-SA"/>
        </w:rPr>
        <w:t>12.2 预付款</w:t>
      </w:r>
    </w:p>
    <w:bookmarkEnd w:id="581"/>
    <w:bookmarkEnd w:id="582"/>
    <w:bookmarkEnd w:id="583"/>
    <w:bookmarkEnd w:id="584"/>
    <w:bookmarkEnd w:id="585"/>
    <w:bookmarkEnd w:id="586"/>
    <w:p w14:paraId="21BBDA4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12.2.1 预付款的支付</w:t>
      </w:r>
    </w:p>
    <w:p w14:paraId="1109B600">
      <w:pPr>
        <w:pStyle w:val="32"/>
        <w:pageBreakBefore w:val="0"/>
        <w:kinsoku/>
        <w:topLinePunct w:val="0"/>
        <w:bidi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按合同总价（扣除暂列金额）的30%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52A08A8">
      <w:pPr>
        <w:pStyle w:val="35"/>
        <w:spacing w:line="360" w:lineRule="auto"/>
        <w:ind w:firstLine="420" w:firstLineChars="200"/>
        <w:jc w:val="left"/>
        <w:rPr>
          <w:rStyle w:val="22"/>
          <w:rFonts w:ascii="Calibri" w:hAnsi="Calibri" w:eastAsia="宋体" w:cs="Times New Roman"/>
          <w:color w:val="auto"/>
          <w:highlight w:val="none"/>
        </w:rPr>
      </w:pPr>
      <w:r>
        <w:rPr>
          <w:rStyle w:val="22"/>
          <w:rFonts w:hint="eastAsia" w:ascii="Calibri" w:hAnsi="宋体" w:eastAsia="宋体" w:cs="宋体"/>
          <w:color w:val="auto"/>
          <w:highlight w:val="none"/>
        </w:rPr>
        <w:t>预付款支付期限：</w:t>
      </w:r>
      <w:r>
        <w:rPr>
          <w:rStyle w:val="22"/>
          <w:rFonts w:hint="eastAsia" w:cs="Times New Roman"/>
          <w:color w:val="auto"/>
          <w:highlight w:val="none"/>
          <w:u w:val="single"/>
          <w:lang w:val="en-US" w:eastAsia="zh-CN"/>
        </w:rPr>
        <w:t>合同签订后15天之内</w:t>
      </w:r>
      <w:r>
        <w:rPr>
          <w:rStyle w:val="22"/>
          <w:rFonts w:hint="eastAsia" w:ascii="Calibri" w:hAnsi="宋体" w:eastAsia="宋体" w:cs="宋体"/>
          <w:color w:val="auto"/>
          <w:highlight w:val="none"/>
        </w:rPr>
        <w:t>。</w:t>
      </w:r>
    </w:p>
    <w:p w14:paraId="5A2229BA">
      <w:pPr>
        <w:pStyle w:val="35"/>
        <w:spacing w:line="360" w:lineRule="auto"/>
        <w:ind w:firstLine="420" w:firstLineChars="200"/>
        <w:jc w:val="left"/>
        <w:rPr>
          <w:rStyle w:val="22"/>
          <w:rFonts w:ascii="Calibri" w:hAnsi="Calibri" w:eastAsia="宋体" w:cs="Times New Roman"/>
          <w:color w:val="auto"/>
          <w:highlight w:val="none"/>
        </w:rPr>
      </w:pPr>
      <w:r>
        <w:rPr>
          <w:rStyle w:val="22"/>
          <w:rFonts w:hint="eastAsia" w:ascii="Calibri" w:hAnsi="宋体" w:eastAsia="宋体" w:cs="宋体"/>
          <w:color w:val="auto"/>
          <w:highlight w:val="none"/>
        </w:rPr>
        <w:t>预付款扣回的方式：</w:t>
      </w:r>
      <w:r>
        <w:rPr>
          <w:rStyle w:val="22"/>
          <w:rFonts w:hint="eastAsia" w:ascii="Calibri" w:hAnsi="宋体" w:eastAsia="宋体" w:cs="宋体"/>
          <w:color w:val="auto"/>
          <w:highlight w:val="none"/>
          <w:u w:val="single"/>
        </w:rPr>
        <w:t>申请工程进度款时一次性扣回</w:t>
      </w:r>
      <w:r>
        <w:rPr>
          <w:rStyle w:val="22"/>
          <w:rFonts w:hint="eastAsia" w:ascii="Calibri" w:hAnsi="宋体" w:eastAsia="宋体" w:cs="宋体"/>
          <w:color w:val="auto"/>
          <w:highlight w:val="none"/>
        </w:rPr>
        <w:t>。</w:t>
      </w:r>
    </w:p>
    <w:p w14:paraId="75A8A1A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12.2.2 预付款担保</w:t>
      </w:r>
    </w:p>
    <w:p w14:paraId="5F27D39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承包人提交预付款担保的期限：</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186F33B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预付款担保的形式为：</w:t>
      </w:r>
      <w:r>
        <w:rPr>
          <w:rFonts w:hint="eastAsia" w:ascii="宋体" w:eastAsia="宋体" w:cs="宋体"/>
          <w:color w:val="auto"/>
          <w:u w:val="single"/>
          <w:lang w:bidi="ar-SA"/>
        </w:rPr>
        <w:t xml:space="preserve">  /  </w:t>
      </w:r>
      <w:r>
        <w:rPr>
          <w:rFonts w:hint="eastAsia" w:ascii="宋体" w:eastAsia="宋体" w:cs="宋体"/>
          <w:color w:val="auto"/>
          <w:lang w:bidi="ar-SA"/>
        </w:rPr>
        <w:t>。</w:t>
      </w:r>
    </w:p>
    <w:bookmarkEnd w:id="587"/>
    <w:bookmarkEnd w:id="588"/>
    <w:bookmarkEnd w:id="589"/>
    <w:bookmarkEnd w:id="590"/>
    <w:bookmarkEnd w:id="591"/>
    <w:bookmarkEnd w:id="592"/>
    <w:bookmarkEnd w:id="593"/>
    <w:bookmarkEnd w:id="594"/>
    <w:bookmarkEnd w:id="595"/>
    <w:bookmarkEnd w:id="596"/>
    <w:p w14:paraId="1044676D">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12.3 计量</w:t>
      </w:r>
    </w:p>
    <w:p w14:paraId="07D6EB0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12.3.1 计量原则</w:t>
      </w:r>
    </w:p>
    <w:p w14:paraId="6928D6A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工程量计算规则：</w:t>
      </w:r>
      <w:r>
        <w:rPr>
          <w:rFonts w:hint="eastAsia" w:ascii="宋体" w:hAnsi="宋体" w:eastAsia="宋体" w:cs="宋体"/>
          <w:color w:val="auto"/>
          <w:sz w:val="21"/>
          <w:szCs w:val="21"/>
          <w:highlight w:val="none"/>
          <w:u w:val="single"/>
        </w:rPr>
        <w:t>实际完成的工程量按国家标准及广西壮族自治区各相关文件规定的计算规则和有关合同约束力的图纸进行计量</w:t>
      </w:r>
      <w:r>
        <w:rPr>
          <w:rFonts w:hint="eastAsia" w:ascii="宋体" w:eastAsia="宋体" w:cs="宋体"/>
          <w:color w:val="auto"/>
          <w:lang w:bidi="ar-SA"/>
        </w:rPr>
        <w:t>。</w:t>
      </w:r>
    </w:p>
    <w:p w14:paraId="6288FAD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12.3.2 计量周期</w:t>
      </w:r>
    </w:p>
    <w:p w14:paraId="22FBBDC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关于计量周期的约定：</w:t>
      </w:r>
      <w:r>
        <w:rPr>
          <w:rFonts w:hint="eastAsia" w:ascii="宋体" w:eastAsia="宋体" w:cs="宋体"/>
          <w:color w:val="auto"/>
          <w:u w:val="single"/>
          <w:lang w:bidi="ar-SA"/>
        </w:rPr>
        <w:t>本合同的计量周期为月，每月 25 日为当月计量截止日期（不含当日）和下月计量起始日期（含当日）</w:t>
      </w:r>
      <w:r>
        <w:rPr>
          <w:rFonts w:hint="eastAsia" w:ascii="宋体" w:eastAsia="宋体" w:cs="宋体"/>
          <w:color w:val="auto"/>
          <w:lang w:bidi="ar-SA"/>
        </w:rPr>
        <w:t>。</w:t>
      </w:r>
    </w:p>
    <w:p w14:paraId="0BBBD5C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12.3.3 单价合同的计量</w:t>
      </w:r>
    </w:p>
    <w:p w14:paraId="2AACB34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关于单价合同计量的约定：</w:t>
      </w:r>
      <w:r>
        <w:rPr>
          <w:rFonts w:hint="eastAsia" w:ascii="宋体" w:eastAsia="宋体" w:cs="宋体"/>
          <w:color w:val="auto"/>
          <w:u w:val="single"/>
          <w:lang w:bidi="ar-SA"/>
        </w:rPr>
        <w:t>同通用条款,无特殊约定</w:t>
      </w:r>
      <w:r>
        <w:rPr>
          <w:rFonts w:hint="eastAsia" w:ascii="宋体" w:eastAsia="宋体" w:cs="宋体"/>
          <w:color w:val="auto"/>
          <w:lang w:bidi="ar-SA"/>
        </w:rPr>
        <w:t>。</w:t>
      </w:r>
    </w:p>
    <w:p w14:paraId="3395515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12.3.4 总价合同的计量</w:t>
      </w:r>
    </w:p>
    <w:p w14:paraId="105D3FF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关于总价合同计量的约定：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15D4504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12.3.5总价合同采用支付分解表计量支付的，是否适用第</w:t>
      </w:r>
      <w:r>
        <w:rPr>
          <w:rFonts w:hint="eastAsia" w:ascii="宋体" w:eastAsia="宋体" w:cs="宋体"/>
          <w:color w:val="auto"/>
          <w:kern w:val="0"/>
          <w:lang w:bidi="ar-SA"/>
        </w:rPr>
        <w:t xml:space="preserve">12.3.4 </w:t>
      </w:r>
      <w:r>
        <w:rPr>
          <w:rFonts w:hint="eastAsia" w:ascii="宋体" w:eastAsia="宋体" w:cs="宋体"/>
          <w:color w:val="auto"/>
          <w:lang w:bidi="ar-SA"/>
        </w:rPr>
        <w:t>项</w:t>
      </w:r>
      <w:r>
        <w:rPr>
          <w:rFonts w:hint="eastAsia" w:ascii="宋体" w:eastAsia="宋体" w:cs="宋体"/>
          <w:color w:val="auto"/>
          <w:kern w:val="0"/>
          <w:lang w:bidi="ar-SA"/>
        </w:rPr>
        <w:t>〔总价合同的计量〕</w:t>
      </w:r>
      <w:r>
        <w:rPr>
          <w:rFonts w:hint="eastAsia" w:ascii="宋体" w:eastAsia="宋体" w:cs="宋体"/>
          <w:color w:val="auto"/>
          <w:lang w:bidi="ar-SA"/>
        </w:rPr>
        <w:t>约定进行计量：</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02C3D9B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12.3.6 其他价格形式合同的计量</w:t>
      </w:r>
    </w:p>
    <w:p w14:paraId="2EB5667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其他价格形式的计量方式和程序：</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13906A46">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12.4 工程进度款支付</w:t>
      </w:r>
    </w:p>
    <w:p w14:paraId="11F7B29B">
      <w:pPr>
        <w:pStyle w:val="32"/>
        <w:snapToGrid w:val="0"/>
        <w:spacing w:line="360" w:lineRule="auto"/>
        <w:ind w:firstLine="420" w:firstLineChars="200"/>
        <w:jc w:val="left"/>
        <w:outlineLvl w:val="9"/>
        <w:rPr>
          <w:rFonts w:hint="eastAsia" w:ascii="宋体" w:eastAsia="宋体" w:cs="宋体"/>
          <w:color w:val="auto"/>
          <w:lang w:bidi="ar-SA"/>
        </w:rPr>
      </w:pPr>
      <w:bookmarkStart w:id="597" w:name="_Toc296891039"/>
      <w:bookmarkStart w:id="598" w:name="_Toc297216215"/>
      <w:bookmarkStart w:id="599" w:name="_Toc296346712"/>
      <w:bookmarkStart w:id="600" w:name="_Toc300935006"/>
      <w:bookmarkStart w:id="601" w:name="_Toc292559921"/>
      <w:bookmarkStart w:id="602" w:name="_Toc296944550"/>
      <w:bookmarkStart w:id="603" w:name="_Toc303539163"/>
      <w:bookmarkStart w:id="604" w:name="_Toc297048397"/>
      <w:bookmarkStart w:id="605" w:name="_Toc297123556"/>
      <w:bookmarkStart w:id="606" w:name="_Toc296891251"/>
      <w:bookmarkStart w:id="607" w:name="_Toc296503211"/>
      <w:bookmarkStart w:id="608" w:name="_Toc296347210"/>
      <w:bookmarkStart w:id="609" w:name="_Toc297120511"/>
      <w:bookmarkStart w:id="610" w:name="_Toc292559416"/>
      <w:r>
        <w:rPr>
          <w:rFonts w:hint="eastAsia" w:ascii="宋体" w:eastAsia="宋体" w:cs="宋体"/>
          <w:color w:val="auto"/>
          <w:lang w:bidi="ar-SA"/>
        </w:rPr>
        <w:t>12.4.1 付款周期</w:t>
      </w:r>
    </w:p>
    <w:p w14:paraId="2EA2090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关于付款周期的约定：</w:t>
      </w:r>
      <w:r>
        <w:rPr>
          <w:rFonts w:hint="eastAsia" w:ascii="宋体" w:cs="宋体"/>
          <w:color w:val="auto"/>
          <w:u w:val="single"/>
          <w:lang w:eastAsia="zh-CN" w:bidi="ar-SA"/>
        </w:rPr>
        <w:t>按</w:t>
      </w:r>
      <w:r>
        <w:rPr>
          <w:rFonts w:hint="eastAsia" w:ascii="宋体" w:eastAsia="宋体" w:cs="宋体"/>
          <w:b/>
          <w:color w:val="auto"/>
          <w:u w:val="single"/>
          <w:lang w:eastAsia="zh-CN" w:bidi="ar-SA"/>
        </w:rPr>
        <w:t>工程进度支付进度款，由承包人发起工程进度款支付申请，待发包人完成</w:t>
      </w:r>
      <w:r>
        <w:rPr>
          <w:rFonts w:hint="eastAsia" w:ascii="宋体" w:eastAsia="宋体" w:cs="宋体"/>
          <w:b/>
          <w:color w:val="auto"/>
          <w:u w:val="single"/>
          <w:lang w:val="en-US" w:eastAsia="zh-CN" w:bidi="ar-SA"/>
        </w:rPr>
        <w:t>龙胜县</w:t>
      </w:r>
      <w:r>
        <w:rPr>
          <w:rFonts w:hint="eastAsia" w:ascii="宋体" w:eastAsia="宋体" w:cs="宋体"/>
          <w:b/>
          <w:color w:val="auto"/>
          <w:u w:val="single"/>
          <w:lang w:eastAsia="zh-CN" w:bidi="ar-SA"/>
        </w:rPr>
        <w:t>财政支付流程后支付</w:t>
      </w:r>
      <w:r>
        <w:rPr>
          <w:rFonts w:hint="eastAsia" w:ascii="宋体" w:eastAsia="宋体" w:cs="宋体"/>
          <w:b/>
          <w:color w:val="auto"/>
          <w:u w:val="single"/>
          <w:lang w:bidi="ar-SA"/>
        </w:rPr>
        <w:t xml:space="preserve">。 </w:t>
      </w:r>
      <w:r>
        <w:rPr>
          <w:rFonts w:hint="eastAsia" w:ascii="宋体" w:eastAsia="宋体" w:cs="宋体"/>
          <w:bCs/>
          <w:color w:val="auto"/>
          <w:u w:val="single"/>
          <w:lang w:bidi="ar-SA"/>
        </w:rPr>
        <w:t xml:space="preserve"> </w:t>
      </w:r>
    </w:p>
    <w:p w14:paraId="3425CE9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12.4.2 进度付款申请单的编制</w:t>
      </w:r>
    </w:p>
    <w:p w14:paraId="5931344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关于进度付款申请单编制的约定：</w:t>
      </w:r>
      <w:bookmarkStart w:id="611" w:name="OLE_LINK41"/>
      <w:r>
        <w:rPr>
          <w:rFonts w:hint="eastAsia" w:ascii="宋体" w:eastAsia="宋体" w:cs="宋体"/>
          <w:color w:val="auto"/>
          <w:u w:val="single"/>
          <w:lang w:bidi="ar-SA"/>
        </w:rPr>
        <w:t>按通用条款，无特殊约定</w:t>
      </w:r>
      <w:bookmarkEnd w:id="611"/>
      <w:r>
        <w:rPr>
          <w:rFonts w:hint="eastAsia" w:ascii="宋体" w:eastAsia="宋体" w:cs="宋体"/>
          <w:color w:val="auto"/>
          <w:lang w:bidi="ar-SA"/>
        </w:rPr>
        <w:t>。</w:t>
      </w:r>
    </w:p>
    <w:p w14:paraId="3E0C609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Pr>
          <w:rFonts w:hint="eastAsia" w:ascii="宋体" w:eastAsia="宋体" w:cs="宋体"/>
          <w:color w:val="auto"/>
          <w:lang w:bidi="ar-SA"/>
        </w:rPr>
        <w:t>2.4.3 进度付款申请单的提交</w:t>
      </w:r>
    </w:p>
    <w:p w14:paraId="30EDF2D9">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（1）单价合同进度付款申请单提交的约定：</w:t>
      </w:r>
      <w:bookmarkStart w:id="612" w:name="OLE_LINK42"/>
      <w:r>
        <w:rPr>
          <w:rFonts w:hint="eastAsia" w:ascii="宋体" w:eastAsia="宋体" w:cs="宋体"/>
          <w:color w:val="auto"/>
          <w:u w:val="single"/>
          <w:lang w:bidi="ar-SA"/>
        </w:rPr>
        <w:t>按通用条款，无特殊约定</w:t>
      </w:r>
      <w:bookmarkEnd w:id="612"/>
      <w:r>
        <w:rPr>
          <w:rFonts w:hint="eastAsia" w:ascii="宋体" w:eastAsia="宋体" w:cs="宋体"/>
          <w:color w:val="auto"/>
          <w:lang w:bidi="ar-SA"/>
        </w:rPr>
        <w:t>。</w:t>
      </w:r>
    </w:p>
    <w:p w14:paraId="3A467E0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（2）总价合同进度付款申请单提交的约定：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6CCF6CA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（3）其他价格形式合同进度付款申请单提交的约定：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52721BF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12.4.4 进度款审核和支付</w:t>
      </w:r>
    </w:p>
    <w:p w14:paraId="40490074">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（1）监理人审查并报送发包人的期限：</w:t>
      </w:r>
      <w:r>
        <w:rPr>
          <w:rFonts w:hint="eastAsia" w:ascii="宋体" w:eastAsia="宋体" w:cs="宋体"/>
          <w:color w:val="auto"/>
          <w:u w:val="single"/>
          <w:lang w:bidi="ar-SA"/>
        </w:rPr>
        <w:t>收到申请3个工作日</w:t>
      </w:r>
      <w:r>
        <w:rPr>
          <w:rFonts w:hint="eastAsia" w:ascii="宋体" w:eastAsia="宋体" w:cs="宋体"/>
          <w:color w:val="auto"/>
          <w:lang w:bidi="ar-SA"/>
        </w:rPr>
        <w:t>。</w:t>
      </w:r>
    </w:p>
    <w:p w14:paraId="1F4FA9A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发包人完成审批并签发进度款支付证书的期限：</w:t>
      </w:r>
      <w:r>
        <w:rPr>
          <w:rFonts w:hint="eastAsia" w:ascii="宋体" w:eastAsia="宋体" w:cs="宋体"/>
          <w:color w:val="auto"/>
          <w:u w:val="single"/>
          <w:lang w:bidi="ar-SA"/>
        </w:rPr>
        <w:t>收到监理审查报告后7个工作日</w:t>
      </w:r>
      <w:r>
        <w:rPr>
          <w:rFonts w:hint="eastAsia" w:ascii="宋体" w:eastAsia="宋体" w:cs="宋体"/>
          <w:color w:val="auto"/>
          <w:lang w:bidi="ar-SA"/>
        </w:rPr>
        <w:t>。</w:t>
      </w:r>
    </w:p>
    <w:p w14:paraId="7E33998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（2）发包人支付进度款的期限：</w:t>
      </w:r>
      <w:r>
        <w:rPr>
          <w:rFonts w:hint="eastAsia" w:ascii="宋体" w:eastAsia="宋体" w:cs="宋体"/>
          <w:color w:val="auto"/>
          <w:u w:val="single"/>
          <w:lang w:bidi="ar-SA"/>
        </w:rPr>
        <w:t>进度款支付证书签发后14天内完成支付</w:t>
      </w:r>
      <w:r>
        <w:rPr>
          <w:rFonts w:hint="eastAsia" w:ascii="宋体" w:eastAsia="宋体" w:cs="宋体"/>
          <w:color w:val="auto"/>
          <w:lang w:bidi="ar-SA"/>
        </w:rPr>
        <w:t>。</w:t>
      </w:r>
    </w:p>
    <w:p w14:paraId="36A38A09">
      <w:pPr>
        <w:pStyle w:val="32"/>
        <w:snapToGrid w:val="0"/>
        <w:spacing w:line="360" w:lineRule="auto"/>
        <w:ind w:firstLine="525" w:firstLineChars="250"/>
        <w:jc w:val="left"/>
        <w:outlineLvl w:val="9"/>
        <w:rPr>
          <w:rFonts w:hint="eastAsia" w:ascii="宋体" w:eastAsia="宋体" w:cs="宋体"/>
          <w:color w:val="auto"/>
          <w:lang w:bidi="ar-SA"/>
        </w:rPr>
      </w:pPr>
      <w:r>
        <w:rPr>
          <w:rFonts w:hint="eastAsia" w:ascii="宋体" w:eastAsia="宋体" w:cs="宋体"/>
          <w:color w:val="auto"/>
          <w:lang w:bidi="ar-SA"/>
        </w:rPr>
        <w:t>发包人逾期支付进度款的违约金的计算方式：</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6574D4A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12.4.6 支付分解表的编制</w:t>
      </w:r>
    </w:p>
    <w:p w14:paraId="53932E4C">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2、总价合同支付分解表的编制与审批：</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0770D67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3、单价合同的总价项目支付分解表的编制与审批：</w:t>
      </w:r>
      <w:r>
        <w:rPr>
          <w:rFonts w:hint="eastAsia" w:ascii="宋体" w:eastAsia="宋体" w:cs="宋体"/>
          <w:color w:val="auto"/>
          <w:u w:val="single"/>
          <w:lang w:bidi="ar-SA"/>
        </w:rPr>
        <w:t xml:space="preserve">  /  </w:t>
      </w:r>
      <w:r>
        <w:rPr>
          <w:rFonts w:hint="eastAsia" w:ascii="宋体" w:eastAsia="宋体" w:cs="宋体"/>
          <w:color w:val="auto"/>
          <w:lang w:bidi="ar-SA"/>
        </w:rPr>
        <w:t>。</w:t>
      </w:r>
    </w:p>
    <w:bookmarkEnd w:id="431"/>
    <w:p w14:paraId="035EA0B7">
      <w:pPr>
        <w:pStyle w:val="53"/>
        <w:snapToGrid w:val="0"/>
        <w:jc w:val="left"/>
        <w:outlineLvl w:val="9"/>
        <w:rPr>
          <w:rFonts w:hint="eastAsia" w:ascii="宋体" w:eastAsia="宋体" w:cs="宋体"/>
          <w:b w:val="0"/>
          <w:color w:val="auto"/>
          <w:sz w:val="21"/>
          <w:szCs w:val="21"/>
          <w:lang w:bidi="ar-SA"/>
        </w:rPr>
      </w:pPr>
      <w:bookmarkStart w:id="613" w:name="_Toc351203645"/>
      <w:bookmarkStart w:id="614" w:name="_Toc296891047"/>
      <w:bookmarkStart w:id="615" w:name="_Toc297123564"/>
      <w:bookmarkStart w:id="616" w:name="_Toc296944558"/>
      <w:bookmarkStart w:id="617" w:name="_Toc304295593"/>
      <w:bookmarkStart w:id="618" w:name="_Toc296346720"/>
      <w:bookmarkStart w:id="619" w:name="_Toc296891259"/>
      <w:bookmarkStart w:id="620" w:name="_Toc292559424"/>
      <w:bookmarkStart w:id="621" w:name="_Toc303539172"/>
      <w:bookmarkStart w:id="622" w:name="_Toc297120519"/>
      <w:bookmarkStart w:id="623" w:name="_Toc296347218"/>
      <w:bookmarkStart w:id="624" w:name="_Toc292559929"/>
      <w:bookmarkStart w:id="625" w:name="_Toc297048405"/>
      <w:bookmarkStart w:id="626" w:name="_Toc296503219"/>
      <w:bookmarkStart w:id="627" w:name="_Toc300935015"/>
      <w:bookmarkStart w:id="628" w:name="_Toc312678053"/>
      <w:bookmarkStart w:id="629" w:name="_Toc297216223"/>
      <w:r>
        <w:rPr>
          <w:rFonts w:hint="eastAsia" w:ascii="宋体" w:eastAsia="宋体" w:cs="宋体"/>
          <w:b w:val="0"/>
          <w:color w:val="auto"/>
          <w:sz w:val="21"/>
          <w:szCs w:val="21"/>
          <w:lang w:bidi="ar-SA"/>
        </w:rPr>
        <w:t>13. 验收和工程试车</w:t>
      </w:r>
      <w:bookmarkEnd w:id="613"/>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14:paraId="0FD6979E">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13.1 分部分项工程验收</w:t>
      </w:r>
    </w:p>
    <w:p w14:paraId="68C1EEF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13.1.2监理人不能按时进行验收时，应提前</w:t>
      </w:r>
      <w:r>
        <w:rPr>
          <w:rFonts w:hint="eastAsia" w:ascii="宋体" w:eastAsia="宋体" w:cs="宋体"/>
          <w:color w:val="auto"/>
          <w:u w:val="single"/>
          <w:lang w:bidi="ar-SA"/>
        </w:rPr>
        <w:t>24</w:t>
      </w:r>
      <w:r>
        <w:rPr>
          <w:rFonts w:hint="eastAsia" w:ascii="宋体" w:eastAsia="宋体" w:cs="宋体"/>
          <w:color w:val="auto"/>
          <w:lang w:bidi="ar-SA"/>
        </w:rPr>
        <w:t>小时提交书面延期要求。</w:t>
      </w:r>
    </w:p>
    <w:p w14:paraId="395A99CA">
      <w:pPr>
        <w:pStyle w:val="32"/>
        <w:snapToGrid w:val="0"/>
        <w:spacing w:line="360" w:lineRule="auto"/>
        <w:ind w:firstLine="420" w:firstLineChars="200"/>
        <w:jc w:val="left"/>
        <w:outlineLvl w:val="9"/>
        <w:rPr>
          <w:rFonts w:hint="eastAsia" w:ascii="宋体" w:eastAsia="宋体" w:cs="宋体"/>
          <w:b/>
          <w:color w:val="auto"/>
          <w:lang w:bidi="ar-SA"/>
        </w:rPr>
      </w:pPr>
      <w:r>
        <w:rPr>
          <w:rFonts w:hint="eastAsia" w:ascii="宋体" w:eastAsia="宋体" w:cs="宋体"/>
          <w:color w:val="auto"/>
          <w:lang w:bidi="ar-SA"/>
        </w:rPr>
        <w:t>关于延期最长不得超过：</w:t>
      </w:r>
      <w:r>
        <w:rPr>
          <w:rFonts w:hint="eastAsia" w:ascii="宋体" w:eastAsia="宋体" w:cs="宋体"/>
          <w:color w:val="auto"/>
          <w:u w:val="single"/>
          <w:lang w:bidi="ar-SA"/>
        </w:rPr>
        <w:t>48</w:t>
      </w:r>
      <w:r>
        <w:rPr>
          <w:rFonts w:hint="eastAsia" w:ascii="宋体" w:eastAsia="宋体" w:cs="宋体"/>
          <w:color w:val="auto"/>
          <w:lang w:bidi="ar-SA"/>
        </w:rPr>
        <w:t>小时。</w:t>
      </w:r>
    </w:p>
    <w:p w14:paraId="5A28DC47">
      <w:pPr>
        <w:pStyle w:val="32"/>
        <w:snapToGrid w:val="0"/>
        <w:spacing w:line="360" w:lineRule="auto"/>
        <w:jc w:val="left"/>
        <w:outlineLvl w:val="9"/>
        <w:rPr>
          <w:rFonts w:hint="eastAsia" w:ascii="宋体" w:eastAsia="宋体" w:cs="宋体"/>
          <w:color w:val="auto"/>
          <w:lang w:bidi="ar-SA"/>
        </w:rPr>
      </w:pPr>
      <w:bookmarkStart w:id="630" w:name="_Toc296891051"/>
      <w:bookmarkStart w:id="631" w:name="_Toc297123565"/>
      <w:bookmarkStart w:id="632" w:name="_Toc296347222"/>
      <w:bookmarkStart w:id="633" w:name="_Toc292559933"/>
      <w:bookmarkStart w:id="634" w:name="_Toc297216224"/>
      <w:bookmarkStart w:id="635" w:name="_Toc312678056"/>
      <w:bookmarkStart w:id="636" w:name="_Toc297120523"/>
      <w:bookmarkStart w:id="637" w:name="_Toc296944562"/>
      <w:bookmarkStart w:id="638" w:name="_Toc304295596"/>
      <w:bookmarkStart w:id="639" w:name="_Toc296891263"/>
      <w:bookmarkStart w:id="640" w:name="_Toc296503223"/>
      <w:bookmarkStart w:id="641" w:name="_Toc300935016"/>
      <w:bookmarkStart w:id="642" w:name="_Toc296346724"/>
      <w:bookmarkStart w:id="643" w:name="_Toc303539173"/>
      <w:bookmarkStart w:id="644" w:name="_Toc292559428"/>
      <w:bookmarkStart w:id="645" w:name="_Toc297048409"/>
      <w:bookmarkStart w:id="646" w:name="_Toc267251476"/>
      <w:bookmarkStart w:id="647" w:name="_Toc267251470"/>
      <w:bookmarkStart w:id="648" w:name="_Toc267251472"/>
      <w:bookmarkStart w:id="649" w:name="_Toc267251471"/>
      <w:bookmarkStart w:id="650" w:name="_Toc267251474"/>
      <w:bookmarkStart w:id="651" w:name="_Toc267251473"/>
      <w:bookmarkStart w:id="652" w:name="_Toc267251475"/>
      <w:r>
        <w:rPr>
          <w:rFonts w:hint="eastAsia" w:ascii="宋体" w:eastAsia="宋体" w:cs="宋体"/>
          <w:color w:val="auto"/>
          <w:lang w:bidi="ar-SA"/>
        </w:rPr>
        <w:t>13.2 竣工验收</w:t>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14:paraId="4E073702">
      <w:pPr>
        <w:pStyle w:val="32"/>
        <w:snapToGrid w:val="0"/>
        <w:spacing w:line="360" w:lineRule="auto"/>
        <w:ind w:firstLine="420" w:firstLineChars="200"/>
        <w:jc w:val="left"/>
        <w:outlineLvl w:val="9"/>
        <w:rPr>
          <w:rFonts w:hint="eastAsia" w:ascii="宋体" w:eastAsia="宋体" w:cs="宋体"/>
          <w:color w:val="auto"/>
          <w:lang w:bidi="ar-SA"/>
        </w:rPr>
      </w:pPr>
      <w:bookmarkStart w:id="653" w:name="_Toc280868704"/>
      <w:bookmarkStart w:id="654" w:name="_Toc280868705"/>
      <w:bookmarkStart w:id="655" w:name="_Toc280868706"/>
      <w:bookmarkStart w:id="656" w:name="_Toc280868707"/>
      <w:bookmarkStart w:id="657" w:name="_Toc280868708"/>
      <w:bookmarkStart w:id="658" w:name="_Toc280868709"/>
      <w:r>
        <w:rPr>
          <w:rFonts w:hint="eastAsia" w:ascii="宋体" w:eastAsia="宋体" w:cs="宋体"/>
          <w:color w:val="auto"/>
          <w:lang w:bidi="ar-SA"/>
        </w:rPr>
        <w:t>13.2.2竣工验收程序</w:t>
      </w:r>
    </w:p>
    <w:bookmarkEnd w:id="653"/>
    <w:p w14:paraId="131DA186">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关于竣工验收程序的约定：</w:t>
      </w:r>
      <w:r>
        <w:rPr>
          <w:rFonts w:hint="eastAsia" w:ascii="宋体" w:eastAsia="宋体" w:cs="宋体"/>
          <w:color w:val="auto"/>
          <w:u w:val="single"/>
          <w:lang w:bidi="ar-SA"/>
        </w:rPr>
        <w:t>按通用条款，无特殊约定</w:t>
      </w:r>
      <w:r>
        <w:rPr>
          <w:rFonts w:hint="eastAsia" w:ascii="宋体" w:eastAsia="宋体" w:cs="宋体"/>
          <w:color w:val="auto"/>
          <w:lang w:bidi="ar-SA"/>
        </w:rPr>
        <w:t>。</w:t>
      </w:r>
    </w:p>
    <w:p w14:paraId="3B559FC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发包人不按照本项约定组织竣工验收、颁发工程接收证书的违约金的计算方法：</w:t>
      </w:r>
      <w:r>
        <w:rPr>
          <w:rFonts w:hint="eastAsia" w:ascii="宋体" w:eastAsia="宋体" w:cs="宋体"/>
          <w:color w:val="auto"/>
          <w:u w:val="single"/>
          <w:lang w:bidi="ar-SA"/>
        </w:rPr>
        <w:t xml:space="preserve">  /  </w:t>
      </w:r>
      <w:r>
        <w:rPr>
          <w:rFonts w:hint="eastAsia" w:ascii="宋体" w:eastAsia="宋体" w:cs="宋体"/>
          <w:color w:val="auto"/>
          <w:lang w:bidi="ar-SA"/>
        </w:rPr>
        <w:t>。</w:t>
      </w:r>
    </w:p>
    <w:bookmarkEnd w:id="654"/>
    <w:p w14:paraId="6EF4326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13.2.5移交、接收全部与部分工程</w:t>
      </w:r>
    </w:p>
    <w:bookmarkEnd w:id="655"/>
    <w:p w14:paraId="0341F703">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承包人向发包人移交工程的期限：</w:t>
      </w:r>
      <w:r>
        <w:rPr>
          <w:rFonts w:hint="eastAsia" w:ascii="宋体" w:eastAsia="宋体" w:cs="宋体"/>
          <w:color w:val="auto"/>
          <w:u w:val="single"/>
          <w:lang w:bidi="ar-SA"/>
        </w:rPr>
        <w:t>竣工验收后7天内</w:t>
      </w:r>
      <w:r>
        <w:rPr>
          <w:rFonts w:hint="eastAsia" w:ascii="宋体" w:eastAsia="宋体" w:cs="宋体"/>
          <w:color w:val="auto"/>
          <w:lang w:bidi="ar-SA"/>
        </w:rPr>
        <w:t>。</w:t>
      </w:r>
    </w:p>
    <w:p w14:paraId="5AA09CDA">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kern w:val="0"/>
          <w:lang w:bidi="ar-SA"/>
        </w:rPr>
        <w:t>发包人未按本合同约定接收全部或部分工程的，违约金的计算方法为：</w:t>
      </w:r>
      <w:r>
        <w:rPr>
          <w:rFonts w:hint="eastAsia" w:ascii="宋体" w:eastAsia="宋体" w:cs="宋体"/>
          <w:color w:val="auto"/>
          <w:u w:val="single"/>
          <w:lang w:bidi="ar-SA"/>
        </w:rPr>
        <w:t xml:space="preserve">  /  </w:t>
      </w:r>
      <w:r>
        <w:rPr>
          <w:rFonts w:hint="eastAsia" w:ascii="宋体" w:eastAsia="宋体" w:cs="宋体"/>
          <w:color w:val="auto"/>
          <w:lang w:bidi="ar-SA"/>
        </w:rPr>
        <w:t>。</w:t>
      </w:r>
    </w:p>
    <w:bookmarkEnd w:id="656"/>
    <w:p w14:paraId="63D7AEB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承包人未按时移交工程的，违约金的计算方法为：</w:t>
      </w:r>
      <w:r>
        <w:rPr>
          <w:rFonts w:hint="eastAsia" w:ascii="宋体" w:eastAsia="宋体" w:cs="宋体"/>
          <w:color w:val="auto"/>
          <w:szCs w:val="21"/>
          <w:u w:val="single"/>
          <w:lang w:bidi="ar-SA"/>
        </w:rPr>
        <w:t>每拖延一天工期支付给发包人按</w:t>
      </w:r>
      <w:r>
        <w:rPr>
          <w:rFonts w:hint="eastAsia" w:ascii="宋体" w:eastAsia="宋体" w:cs="宋体"/>
          <w:color w:val="auto"/>
          <w:szCs w:val="21"/>
          <w:u w:val="single"/>
          <w:lang w:val="zh-CN" w:eastAsia="zh-CN" w:bidi="ar-SA"/>
        </w:rPr>
        <w:t>合同价</w:t>
      </w:r>
      <w:r>
        <w:rPr>
          <w:rFonts w:hint="eastAsia" w:ascii="宋体" w:eastAsia="宋体" w:cs="宋体"/>
          <w:color w:val="auto"/>
          <w:szCs w:val="21"/>
          <w:u w:val="single"/>
          <w:lang w:bidi="ar-SA"/>
        </w:rPr>
        <w:t xml:space="preserve">款扣除社会保险费、发包人材料价款、暂估专业工程、暂列金额后的0.1‰/天的违约金，违约金最高限额为合同价扣除社会保险费、发包人材料价款、暂估专业工程、暂列金额后的2%  </w:t>
      </w:r>
      <w:r>
        <w:rPr>
          <w:rFonts w:hint="eastAsia" w:ascii="宋体" w:eastAsia="宋体" w:cs="宋体"/>
          <w:color w:val="auto"/>
          <w:lang w:bidi="ar-SA"/>
        </w:rPr>
        <w:t>。</w:t>
      </w:r>
    </w:p>
    <w:p w14:paraId="65679B21">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13.3 工程试车</w:t>
      </w:r>
    </w:p>
    <w:bookmarkEnd w:id="657"/>
    <w:p w14:paraId="1CD252CA">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13.3.1 试车程序</w:t>
      </w:r>
    </w:p>
    <w:p w14:paraId="625ECAAF">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工程试车内容：</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43EA719E">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（1）单机无负荷试车费用由</w:t>
      </w:r>
      <w:r>
        <w:rPr>
          <w:rFonts w:hint="eastAsia" w:ascii="宋体" w:eastAsia="宋体" w:cs="宋体"/>
          <w:color w:val="auto"/>
          <w:u w:val="single"/>
          <w:lang w:bidi="ar-SA"/>
        </w:rPr>
        <w:t xml:space="preserve"> / </w:t>
      </w:r>
      <w:r>
        <w:rPr>
          <w:rFonts w:hint="eastAsia" w:ascii="宋体" w:eastAsia="宋体" w:cs="宋体"/>
          <w:color w:val="auto"/>
          <w:kern w:val="0"/>
          <w:lang w:bidi="ar-SA"/>
        </w:rPr>
        <w:t>承担；</w:t>
      </w:r>
    </w:p>
    <w:p w14:paraId="0E2AFAFC">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（2）无负荷联动试车费用由</w:t>
      </w:r>
      <w:r>
        <w:rPr>
          <w:rFonts w:hint="eastAsia" w:ascii="宋体" w:eastAsia="宋体" w:cs="宋体"/>
          <w:color w:val="auto"/>
          <w:u w:val="single"/>
          <w:lang w:bidi="ar-SA"/>
        </w:rPr>
        <w:t xml:space="preserve">  /  </w:t>
      </w:r>
      <w:r>
        <w:rPr>
          <w:rFonts w:hint="eastAsia" w:ascii="宋体" w:eastAsia="宋体" w:cs="宋体"/>
          <w:color w:val="auto"/>
          <w:kern w:val="0"/>
          <w:lang w:bidi="ar-SA"/>
        </w:rPr>
        <w:t>承担。</w:t>
      </w:r>
    </w:p>
    <w:p w14:paraId="0A2B22D5">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13.3.3 投料试车</w:t>
      </w:r>
    </w:p>
    <w:p w14:paraId="4800A1DF">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关于投料试车相关事项的约定：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72BED2A4">
      <w:pPr>
        <w:pStyle w:val="32"/>
        <w:snapToGrid w:val="0"/>
        <w:spacing w:line="360" w:lineRule="auto"/>
        <w:jc w:val="left"/>
        <w:outlineLvl w:val="9"/>
        <w:rPr>
          <w:rFonts w:hint="eastAsia" w:ascii="宋体" w:eastAsia="宋体" w:cs="宋体"/>
          <w:color w:val="auto"/>
          <w:lang w:bidi="ar-SA"/>
        </w:rPr>
      </w:pPr>
      <w:bookmarkStart w:id="659" w:name="_Toc24558"/>
      <w:bookmarkStart w:id="660" w:name="_Toc902"/>
      <w:r>
        <w:rPr>
          <w:rFonts w:hint="eastAsia" w:ascii="宋体" w:eastAsia="宋体" w:cs="宋体"/>
          <w:color w:val="auto"/>
          <w:lang w:bidi="ar-SA"/>
        </w:rPr>
        <w:t>13.6 竣工退场</w:t>
      </w:r>
      <w:bookmarkEnd w:id="659"/>
      <w:bookmarkEnd w:id="660"/>
    </w:p>
    <w:p w14:paraId="798B0940">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13.6.1 竣工退场</w:t>
      </w:r>
    </w:p>
    <w:p w14:paraId="1ACCB2CC">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承包人完成竣工退场的期限：</w:t>
      </w:r>
      <w:r>
        <w:rPr>
          <w:rFonts w:hint="eastAsia" w:ascii="宋体" w:eastAsia="宋体" w:cs="宋体"/>
          <w:color w:val="auto"/>
          <w:u w:val="single"/>
          <w:lang w:bidi="ar-SA"/>
        </w:rPr>
        <w:t>颁发工程接收证书后7天内完成工程的移交</w:t>
      </w:r>
      <w:r>
        <w:rPr>
          <w:rFonts w:hint="eastAsia" w:ascii="宋体" w:eastAsia="宋体" w:cs="宋体"/>
          <w:color w:val="auto"/>
          <w:kern w:val="0"/>
          <w:lang w:bidi="ar-SA"/>
        </w:rPr>
        <w:t>。</w:t>
      </w:r>
    </w:p>
    <w:p w14:paraId="5656CC33">
      <w:pPr>
        <w:pStyle w:val="53"/>
        <w:snapToGrid w:val="0"/>
        <w:jc w:val="left"/>
        <w:outlineLvl w:val="9"/>
        <w:rPr>
          <w:rFonts w:hint="eastAsia" w:ascii="宋体" w:eastAsia="宋体" w:cs="宋体"/>
          <w:b w:val="0"/>
          <w:color w:val="auto"/>
          <w:sz w:val="21"/>
          <w:szCs w:val="21"/>
          <w:lang w:bidi="ar-SA"/>
        </w:rPr>
      </w:pPr>
      <w:bookmarkStart w:id="661" w:name="_Toc351203646"/>
      <w:r>
        <w:rPr>
          <w:rFonts w:hint="eastAsia" w:ascii="宋体" w:eastAsia="宋体" w:cs="宋体"/>
          <w:b w:val="0"/>
          <w:color w:val="auto"/>
          <w:sz w:val="21"/>
          <w:szCs w:val="21"/>
          <w:lang w:bidi="ar-SA"/>
        </w:rPr>
        <w:t>14. 竣工结算</w:t>
      </w:r>
      <w:bookmarkEnd w:id="661"/>
    </w:p>
    <w:p w14:paraId="79786A04">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14.1 竣工结算申请</w:t>
      </w:r>
    </w:p>
    <w:p w14:paraId="3560FCE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承包人提交竣工结算申请单的期限：</w:t>
      </w:r>
      <w:r>
        <w:rPr>
          <w:rFonts w:hint="eastAsia" w:ascii="宋体" w:eastAsia="宋体" w:cs="宋体"/>
          <w:color w:val="auto"/>
          <w:u w:val="single"/>
          <w:lang w:bidi="ar-SA"/>
        </w:rPr>
        <w:t>竣工验收合格后28天内提交完整的结算资料交监理初审，然后交发包人审核，发包人亦可请有资质的造价咨询机构审核。承包人如未在规定时间内提供完整的工程竣工结算资料，经发包人催促后14天内仍未提供或没有明确答复，发包人有权根据已有资料进行审查，责任由承包人自负</w:t>
      </w:r>
      <w:r>
        <w:rPr>
          <w:rFonts w:hint="eastAsia" w:ascii="宋体" w:eastAsia="宋体" w:cs="宋体"/>
          <w:color w:val="auto"/>
          <w:lang w:bidi="ar-SA"/>
        </w:rPr>
        <w:t>。</w:t>
      </w:r>
    </w:p>
    <w:p w14:paraId="7104140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竣工结算申请单应包括的内容：</w:t>
      </w:r>
      <w:r>
        <w:rPr>
          <w:rFonts w:hint="eastAsia" w:ascii="宋体" w:eastAsia="宋体" w:cs="宋体"/>
          <w:color w:val="auto"/>
          <w:u w:val="single"/>
          <w:lang w:bidi="ar-SA"/>
        </w:rPr>
        <w:t>竣工结算由承包人提交相关结算资料,主要包括：工程结算书及工程量计算底稿各4份；</w:t>
      </w:r>
      <w:r>
        <w:rPr>
          <w:rFonts w:hint="eastAsia" w:ascii="宋体" w:cs="宋体"/>
          <w:color w:val="auto"/>
          <w:u w:val="single"/>
          <w:lang w:eastAsia="zh-CN" w:bidi="ar-SA"/>
        </w:rPr>
        <w:t>磋商</w:t>
      </w:r>
      <w:r>
        <w:rPr>
          <w:rFonts w:hint="eastAsia" w:ascii="宋体" w:eastAsia="宋体" w:cs="宋体"/>
          <w:color w:val="auto"/>
          <w:u w:val="single"/>
          <w:lang w:bidi="ar-SA"/>
        </w:rPr>
        <w:t>文件、</w:t>
      </w:r>
      <w:r>
        <w:rPr>
          <w:rFonts w:hint="eastAsia" w:ascii="宋体" w:cs="宋体"/>
          <w:color w:val="auto"/>
          <w:u w:val="single"/>
          <w:lang w:eastAsia="zh-CN" w:bidi="ar-SA"/>
        </w:rPr>
        <w:t>响应</w:t>
      </w:r>
      <w:r>
        <w:rPr>
          <w:rFonts w:hint="eastAsia" w:ascii="宋体" w:eastAsia="宋体" w:cs="宋体"/>
          <w:color w:val="auto"/>
          <w:u w:val="single"/>
          <w:lang w:bidi="ar-SA"/>
        </w:rPr>
        <w:t>文件、</w:t>
      </w:r>
      <w:r>
        <w:rPr>
          <w:rFonts w:hint="eastAsia" w:ascii="宋体" w:cs="宋体"/>
          <w:color w:val="auto"/>
          <w:u w:val="single"/>
          <w:lang w:eastAsia="zh-CN" w:bidi="ar-SA"/>
        </w:rPr>
        <w:t>成交</w:t>
      </w:r>
      <w:r>
        <w:rPr>
          <w:rFonts w:hint="eastAsia" w:ascii="宋体" w:eastAsia="宋体" w:cs="宋体"/>
          <w:color w:val="auto"/>
          <w:u w:val="single"/>
          <w:lang w:bidi="ar-SA"/>
        </w:rPr>
        <w:t>通知书、建设质量竣工验收意见书、合同、工程量清单、签证单及工作联系函汇报等资料各2份；电子文档（含计算量底稿及结算书）1份</w:t>
      </w:r>
      <w:r>
        <w:rPr>
          <w:rFonts w:hint="eastAsia" w:ascii="宋体" w:eastAsia="宋体" w:cs="宋体"/>
          <w:color w:val="auto"/>
          <w:lang w:bidi="ar-SA"/>
        </w:rPr>
        <w:t>。</w:t>
      </w:r>
    </w:p>
    <w:p w14:paraId="2EA50F69">
      <w:pPr>
        <w:pStyle w:val="32"/>
        <w:snapToGrid w:val="0"/>
        <w:spacing w:line="360" w:lineRule="auto"/>
        <w:jc w:val="left"/>
        <w:outlineLvl w:val="9"/>
        <w:rPr>
          <w:rFonts w:hint="eastAsia" w:ascii="宋体" w:eastAsia="宋体" w:cs="宋体"/>
          <w:color w:val="auto"/>
          <w:lang w:bidi="ar-SA"/>
        </w:rPr>
      </w:pPr>
      <w:bookmarkStart w:id="662" w:name="_Toc4819"/>
      <w:bookmarkStart w:id="663" w:name="_Toc17840"/>
      <w:r>
        <w:rPr>
          <w:rFonts w:hint="eastAsia" w:ascii="宋体" w:eastAsia="宋体" w:cs="宋体"/>
          <w:color w:val="auto"/>
          <w:lang w:bidi="ar-SA"/>
        </w:rPr>
        <w:t>14.2 竣工结算审核</w:t>
      </w:r>
      <w:bookmarkEnd w:id="662"/>
      <w:bookmarkEnd w:id="663"/>
    </w:p>
    <w:p w14:paraId="1C50AED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发包人审批竣工结算报告的期限：</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500"/>
        <w:gridCol w:w="5769"/>
      </w:tblGrid>
      <w:tr w14:paraId="0E0D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546" w:type="dxa"/>
            <w:noWrap w:val="0"/>
            <w:vAlign w:val="center"/>
          </w:tcPr>
          <w:p w14:paraId="43DA4A66">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color w:val="auto"/>
                <w:lang w:bidi="ar-SA"/>
              </w:rPr>
              <w:t xml:space="preserve"> </w:t>
            </w:r>
          </w:p>
        </w:tc>
        <w:tc>
          <w:tcPr>
            <w:tcW w:w="2500" w:type="dxa"/>
            <w:noWrap w:val="0"/>
            <w:vAlign w:val="center"/>
          </w:tcPr>
          <w:p w14:paraId="33AC67A7">
            <w:pPr>
              <w:pStyle w:val="32"/>
              <w:snapToGrid w:val="0"/>
              <w:spacing w:line="360" w:lineRule="auto"/>
              <w:ind w:firstLine="27" w:firstLineChars="13"/>
              <w:jc w:val="left"/>
              <w:outlineLvl w:val="9"/>
              <w:rPr>
                <w:rFonts w:hint="eastAsia" w:ascii="宋体" w:eastAsia="宋体" w:cs="宋体"/>
                <w:bCs/>
                <w:color w:val="auto"/>
                <w:lang w:bidi="ar-SA"/>
              </w:rPr>
            </w:pPr>
            <w:r>
              <w:rPr>
                <w:rFonts w:hint="eastAsia" w:ascii="宋体" w:eastAsia="宋体" w:cs="宋体"/>
                <w:bCs/>
                <w:color w:val="auto"/>
                <w:lang w:bidi="ar-SA"/>
              </w:rPr>
              <w:t>工程竣工结算报告金额</w:t>
            </w:r>
          </w:p>
        </w:tc>
        <w:tc>
          <w:tcPr>
            <w:tcW w:w="5769" w:type="dxa"/>
            <w:noWrap w:val="0"/>
            <w:vAlign w:val="center"/>
          </w:tcPr>
          <w:p w14:paraId="6B734370">
            <w:pPr>
              <w:pStyle w:val="32"/>
              <w:snapToGrid w:val="0"/>
              <w:spacing w:line="360" w:lineRule="auto"/>
              <w:ind w:firstLine="436" w:firstLineChars="208"/>
              <w:jc w:val="left"/>
              <w:outlineLvl w:val="9"/>
              <w:rPr>
                <w:rFonts w:hint="eastAsia" w:ascii="宋体" w:eastAsia="宋体" w:cs="宋体"/>
                <w:bCs/>
                <w:color w:val="auto"/>
                <w:lang w:bidi="ar-SA"/>
              </w:rPr>
            </w:pPr>
            <w:r>
              <w:rPr>
                <w:rFonts w:hint="eastAsia" w:ascii="宋体" w:eastAsia="宋体" w:cs="宋体"/>
                <w:bCs/>
                <w:color w:val="auto"/>
                <w:lang w:bidi="ar-SA"/>
              </w:rPr>
              <w:t>发包人审查时间</w:t>
            </w:r>
          </w:p>
        </w:tc>
      </w:tr>
      <w:tr w14:paraId="080A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546" w:type="dxa"/>
            <w:noWrap w:val="0"/>
            <w:vAlign w:val="center"/>
          </w:tcPr>
          <w:p w14:paraId="23B7722D">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bCs/>
                <w:color w:val="auto"/>
                <w:lang w:bidi="ar-SA"/>
              </w:rPr>
              <w:t>1</w:t>
            </w:r>
          </w:p>
        </w:tc>
        <w:tc>
          <w:tcPr>
            <w:tcW w:w="2500" w:type="dxa"/>
            <w:noWrap w:val="0"/>
            <w:vAlign w:val="center"/>
          </w:tcPr>
          <w:p w14:paraId="00223313">
            <w:pPr>
              <w:pStyle w:val="32"/>
              <w:snapToGrid w:val="0"/>
              <w:spacing w:line="360" w:lineRule="auto"/>
              <w:ind w:firstLine="27" w:firstLineChars="13"/>
              <w:jc w:val="left"/>
              <w:outlineLvl w:val="9"/>
              <w:rPr>
                <w:rFonts w:hint="eastAsia" w:ascii="宋体" w:eastAsia="宋体" w:cs="宋体"/>
                <w:bCs/>
                <w:color w:val="auto"/>
                <w:lang w:bidi="ar-SA"/>
              </w:rPr>
            </w:pPr>
            <w:r>
              <w:rPr>
                <w:rFonts w:hint="eastAsia" w:ascii="宋体" w:eastAsia="宋体" w:cs="宋体"/>
                <w:bCs/>
                <w:color w:val="auto"/>
                <w:lang w:bidi="ar-SA"/>
              </w:rPr>
              <w:t>500万元以下</w:t>
            </w:r>
          </w:p>
        </w:tc>
        <w:tc>
          <w:tcPr>
            <w:tcW w:w="5769" w:type="dxa"/>
            <w:noWrap w:val="0"/>
            <w:vAlign w:val="center"/>
          </w:tcPr>
          <w:p w14:paraId="56E69E77">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bCs/>
                <w:color w:val="auto"/>
                <w:lang w:bidi="ar-SA"/>
              </w:rPr>
              <w:t>从接到竣工结算报告和完整的竣工结算资料之日起20天</w:t>
            </w:r>
          </w:p>
        </w:tc>
      </w:tr>
      <w:tr w14:paraId="5D73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546" w:type="dxa"/>
            <w:noWrap w:val="0"/>
            <w:vAlign w:val="center"/>
          </w:tcPr>
          <w:p w14:paraId="7209D12C">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bCs/>
                <w:color w:val="auto"/>
                <w:lang w:bidi="ar-SA"/>
              </w:rPr>
              <w:t>2</w:t>
            </w:r>
          </w:p>
        </w:tc>
        <w:tc>
          <w:tcPr>
            <w:tcW w:w="2500" w:type="dxa"/>
            <w:noWrap w:val="0"/>
            <w:vAlign w:val="center"/>
          </w:tcPr>
          <w:p w14:paraId="6FD96272">
            <w:pPr>
              <w:pStyle w:val="32"/>
              <w:snapToGrid w:val="0"/>
              <w:spacing w:line="360" w:lineRule="auto"/>
              <w:ind w:firstLine="27" w:firstLineChars="13"/>
              <w:jc w:val="left"/>
              <w:outlineLvl w:val="9"/>
              <w:rPr>
                <w:rFonts w:hint="eastAsia" w:ascii="宋体" w:eastAsia="宋体" w:cs="宋体"/>
                <w:bCs/>
                <w:color w:val="auto"/>
                <w:lang w:bidi="ar-SA"/>
              </w:rPr>
            </w:pPr>
            <w:r>
              <w:rPr>
                <w:rFonts w:hint="eastAsia" w:ascii="宋体" w:eastAsia="宋体" w:cs="宋体"/>
                <w:bCs/>
                <w:color w:val="auto"/>
                <w:lang w:bidi="ar-SA"/>
              </w:rPr>
              <w:t>500万元-2000万元</w:t>
            </w:r>
          </w:p>
        </w:tc>
        <w:tc>
          <w:tcPr>
            <w:tcW w:w="5769" w:type="dxa"/>
            <w:noWrap w:val="0"/>
            <w:vAlign w:val="center"/>
          </w:tcPr>
          <w:p w14:paraId="484DBD26">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bCs/>
                <w:color w:val="auto"/>
                <w:lang w:bidi="ar-SA"/>
              </w:rPr>
              <w:t>从接到竣工结算报告和完整的竣工结算资料之日起30天</w:t>
            </w:r>
          </w:p>
        </w:tc>
      </w:tr>
      <w:tr w14:paraId="5C95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546" w:type="dxa"/>
            <w:noWrap w:val="0"/>
            <w:vAlign w:val="center"/>
          </w:tcPr>
          <w:p w14:paraId="5DF337D2">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bCs/>
                <w:color w:val="auto"/>
                <w:lang w:bidi="ar-SA"/>
              </w:rPr>
              <w:t>3</w:t>
            </w:r>
          </w:p>
        </w:tc>
        <w:tc>
          <w:tcPr>
            <w:tcW w:w="2500" w:type="dxa"/>
            <w:noWrap w:val="0"/>
            <w:vAlign w:val="center"/>
          </w:tcPr>
          <w:p w14:paraId="4DFA9724">
            <w:pPr>
              <w:pStyle w:val="32"/>
              <w:snapToGrid w:val="0"/>
              <w:spacing w:line="360" w:lineRule="auto"/>
              <w:ind w:firstLine="27" w:firstLineChars="13"/>
              <w:jc w:val="left"/>
              <w:outlineLvl w:val="9"/>
              <w:rPr>
                <w:rFonts w:hint="eastAsia" w:ascii="宋体" w:eastAsia="宋体" w:cs="宋体"/>
                <w:bCs/>
                <w:color w:val="auto"/>
                <w:lang w:bidi="ar-SA"/>
              </w:rPr>
            </w:pPr>
            <w:r>
              <w:rPr>
                <w:rFonts w:hint="eastAsia" w:ascii="宋体" w:eastAsia="宋体" w:cs="宋体"/>
                <w:bCs/>
                <w:color w:val="auto"/>
                <w:lang w:bidi="ar-SA"/>
              </w:rPr>
              <w:t>2000万元-5000万元</w:t>
            </w:r>
          </w:p>
        </w:tc>
        <w:tc>
          <w:tcPr>
            <w:tcW w:w="5769" w:type="dxa"/>
            <w:noWrap w:val="0"/>
            <w:vAlign w:val="center"/>
          </w:tcPr>
          <w:p w14:paraId="4090F259">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bCs/>
                <w:color w:val="auto"/>
                <w:lang w:bidi="ar-SA"/>
              </w:rPr>
              <w:t>从接到竣工结算报告和完整的竣工结算资料之日起45天</w:t>
            </w:r>
          </w:p>
        </w:tc>
      </w:tr>
      <w:tr w14:paraId="36CA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546" w:type="dxa"/>
            <w:noWrap w:val="0"/>
            <w:vAlign w:val="center"/>
          </w:tcPr>
          <w:p w14:paraId="0226719D">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bCs/>
                <w:color w:val="auto"/>
                <w:lang w:bidi="ar-SA"/>
              </w:rPr>
              <w:t>4</w:t>
            </w:r>
          </w:p>
        </w:tc>
        <w:tc>
          <w:tcPr>
            <w:tcW w:w="2500" w:type="dxa"/>
            <w:noWrap w:val="0"/>
            <w:vAlign w:val="center"/>
          </w:tcPr>
          <w:p w14:paraId="1AF79810">
            <w:pPr>
              <w:pStyle w:val="32"/>
              <w:snapToGrid w:val="0"/>
              <w:spacing w:line="360" w:lineRule="auto"/>
              <w:ind w:firstLine="27" w:firstLineChars="13"/>
              <w:jc w:val="left"/>
              <w:outlineLvl w:val="9"/>
              <w:rPr>
                <w:rFonts w:hint="eastAsia" w:ascii="宋体" w:eastAsia="宋体" w:cs="宋体"/>
                <w:bCs/>
                <w:color w:val="auto"/>
                <w:lang w:bidi="ar-SA"/>
              </w:rPr>
            </w:pPr>
            <w:r>
              <w:rPr>
                <w:rFonts w:hint="eastAsia" w:ascii="宋体" w:eastAsia="宋体" w:cs="宋体"/>
                <w:bCs/>
                <w:color w:val="auto"/>
                <w:lang w:bidi="ar-SA"/>
              </w:rPr>
              <w:t>5000万元以上</w:t>
            </w:r>
          </w:p>
        </w:tc>
        <w:tc>
          <w:tcPr>
            <w:tcW w:w="5769" w:type="dxa"/>
            <w:noWrap w:val="0"/>
            <w:vAlign w:val="center"/>
          </w:tcPr>
          <w:p w14:paraId="337277DD">
            <w:pPr>
              <w:pStyle w:val="32"/>
              <w:snapToGrid w:val="0"/>
              <w:spacing w:line="360" w:lineRule="auto"/>
              <w:jc w:val="left"/>
              <w:outlineLvl w:val="9"/>
              <w:rPr>
                <w:rFonts w:hint="eastAsia" w:ascii="宋体" w:eastAsia="宋体" w:cs="宋体"/>
                <w:bCs/>
                <w:color w:val="auto"/>
                <w:lang w:bidi="ar-SA"/>
              </w:rPr>
            </w:pPr>
            <w:r>
              <w:rPr>
                <w:rFonts w:hint="eastAsia" w:ascii="宋体" w:eastAsia="宋体" w:cs="宋体"/>
                <w:bCs/>
                <w:color w:val="auto"/>
                <w:lang w:bidi="ar-SA"/>
              </w:rPr>
              <w:t>从接到竣工结算报告和完整的竣工结算资料之日起60天</w:t>
            </w:r>
          </w:p>
        </w:tc>
      </w:tr>
    </w:tbl>
    <w:p w14:paraId="74493FDF">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bCs/>
          <w:color w:val="auto"/>
          <w:lang w:bidi="ar-SA"/>
        </w:rPr>
        <w:t>因承包人提供的结算资料不完整而需要补充或承包人不按时对账耽误时间时，审查时间应相应顺延</w:t>
      </w:r>
      <w:r>
        <w:rPr>
          <w:rFonts w:hint="eastAsia" w:ascii="宋体" w:eastAsia="宋体" w:cs="宋体"/>
          <w:color w:val="auto"/>
          <w:lang w:bidi="ar-SA"/>
        </w:rPr>
        <w:t>。</w:t>
      </w:r>
    </w:p>
    <w:p w14:paraId="5D6D95B1">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发包人审批竣工付款申请单的期限：</w:t>
      </w:r>
      <w:r>
        <w:rPr>
          <w:rFonts w:hint="eastAsia" w:ascii="宋体" w:eastAsia="宋体" w:cs="宋体"/>
          <w:bCs/>
          <w:color w:val="auto"/>
          <w:u w:val="single"/>
          <w:lang w:bidi="ar-SA"/>
        </w:rPr>
        <w:t>从接到竣工结算报告和完整的竣工结算资料之日起</w:t>
      </w:r>
      <w:r>
        <w:rPr>
          <w:rFonts w:hint="eastAsia" w:ascii="宋体" w:eastAsia="宋体" w:cs="宋体"/>
          <w:bCs/>
          <w:color w:val="auto"/>
          <w:u w:val="single"/>
          <w:lang w:val="en-US" w:eastAsia="zh-CN" w:bidi="ar-SA"/>
        </w:rPr>
        <w:t>2</w:t>
      </w:r>
      <w:r>
        <w:rPr>
          <w:rFonts w:hint="eastAsia" w:ascii="宋体" w:eastAsia="宋体" w:cs="宋体"/>
          <w:bCs/>
          <w:color w:val="auto"/>
          <w:u w:val="single"/>
          <w:lang w:bidi="ar-SA"/>
        </w:rPr>
        <w:t>0天</w:t>
      </w:r>
      <w:r>
        <w:rPr>
          <w:rFonts w:hint="eastAsia" w:ascii="宋体" w:eastAsia="宋体" w:cs="宋体"/>
          <w:color w:val="auto"/>
          <w:u w:val="single"/>
          <w:lang w:bidi="ar-SA"/>
        </w:rPr>
        <w:t>。</w:t>
      </w:r>
    </w:p>
    <w:p w14:paraId="63A40E0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发包人完成竣工付款的期限：</w:t>
      </w:r>
      <w:r>
        <w:rPr>
          <w:rFonts w:hint="eastAsia" w:ascii="宋体" w:eastAsia="宋体" w:cs="宋体"/>
          <w:color w:val="auto"/>
          <w:u w:val="single"/>
          <w:lang w:bidi="ar-SA"/>
        </w:rPr>
        <w:t>按财政付款程序办理相关支付手续　</w:t>
      </w:r>
      <w:r>
        <w:rPr>
          <w:rFonts w:hint="eastAsia" w:ascii="宋体" w:eastAsia="宋体" w:cs="宋体"/>
          <w:color w:val="auto"/>
          <w:lang w:bidi="ar-SA"/>
        </w:rPr>
        <w:t>。</w:t>
      </w:r>
    </w:p>
    <w:p w14:paraId="03D8585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关于竣工付款证书异议部分复核的方式和程序：</w:t>
      </w:r>
      <w:bookmarkStart w:id="664" w:name="OLE_LINK47"/>
      <w:r>
        <w:rPr>
          <w:rFonts w:hint="eastAsia" w:ascii="宋体" w:eastAsia="宋体" w:cs="宋体"/>
          <w:color w:val="auto"/>
          <w:u w:val="single"/>
          <w:lang w:bidi="ar-SA"/>
        </w:rPr>
        <w:t>按通用条款，无特殊约定</w:t>
      </w:r>
      <w:bookmarkEnd w:id="664"/>
      <w:r>
        <w:rPr>
          <w:rFonts w:hint="eastAsia" w:ascii="宋体" w:eastAsia="宋体" w:cs="宋体"/>
          <w:color w:val="auto"/>
          <w:lang w:bidi="ar-SA"/>
        </w:rPr>
        <w:t>。</w:t>
      </w:r>
    </w:p>
    <w:p w14:paraId="12FF4D6F">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14.4 最终结清</w:t>
      </w:r>
    </w:p>
    <w:p w14:paraId="0148A1D2">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14.4.1 最终结清申请单</w:t>
      </w:r>
    </w:p>
    <w:p w14:paraId="2283B75A">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承包人提交最终结清申请单的份数：</w:t>
      </w:r>
      <w:r>
        <w:rPr>
          <w:rFonts w:hint="eastAsia" w:ascii="宋体" w:eastAsia="宋体" w:cs="宋体"/>
          <w:color w:val="auto"/>
          <w:u w:val="single"/>
          <w:lang w:bidi="ar-SA"/>
        </w:rPr>
        <w:t>一式四份</w:t>
      </w:r>
      <w:r>
        <w:rPr>
          <w:rFonts w:hint="eastAsia" w:ascii="宋体" w:eastAsia="宋体" w:cs="宋体"/>
          <w:color w:val="auto"/>
          <w:lang w:bidi="ar-SA"/>
        </w:rPr>
        <w:t>。</w:t>
      </w:r>
    </w:p>
    <w:p w14:paraId="7339B5A8">
      <w:pPr>
        <w:pStyle w:val="56"/>
        <w:spacing w:line="400" w:lineRule="exact"/>
        <w:ind w:firstLine="420" w:firstLineChars="200"/>
        <w:jc w:val="left"/>
        <w:outlineLvl w:val="9"/>
        <w:rPr>
          <w:rFonts w:hint="eastAsia" w:ascii="宋体" w:eastAsia="宋体" w:cs="宋体"/>
          <w:color w:val="auto"/>
          <w:szCs w:val="21"/>
          <w:lang w:bidi="ar-SA"/>
        </w:rPr>
      </w:pPr>
      <w:r>
        <w:rPr>
          <w:rFonts w:hint="eastAsia" w:ascii="宋体" w:eastAsia="宋体" w:cs="宋体"/>
          <w:color w:val="auto"/>
          <w:kern w:val="0"/>
          <w:lang w:bidi="ar-SA"/>
        </w:rPr>
        <w:t>承包人提交最终结算申请单的期限：</w:t>
      </w:r>
      <w:r>
        <w:rPr>
          <w:rFonts w:hint="eastAsia" w:ascii="宋体" w:eastAsia="宋体" w:cs="宋体"/>
          <w:color w:val="auto"/>
          <w:kern w:val="0"/>
          <w:szCs w:val="21"/>
          <w:u w:val="single"/>
          <w:lang w:bidi="ar-SA"/>
        </w:rPr>
        <w:t>缺陷责任期终止证书签发后14天内向监理人提交4份竣工付款申请单及相关证明材料</w:t>
      </w:r>
      <w:r>
        <w:rPr>
          <w:rFonts w:hint="eastAsia" w:ascii="宋体" w:eastAsia="宋体" w:cs="宋体"/>
          <w:color w:val="auto"/>
          <w:szCs w:val="21"/>
          <w:lang w:bidi="ar-SA"/>
        </w:rPr>
        <w:t>。</w:t>
      </w:r>
    </w:p>
    <w:p w14:paraId="15DF4632">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14.4.2 最终结清证书和支付</w:t>
      </w:r>
    </w:p>
    <w:p w14:paraId="4B9D077B">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（1）发包人完成最终结清申请单的审批并颁发最终结清证书的期限：</w:t>
      </w:r>
      <w:r>
        <w:rPr>
          <w:rFonts w:hint="eastAsia" w:ascii="宋体" w:eastAsia="宋体" w:cs="宋体"/>
          <w:color w:val="auto"/>
          <w:u w:val="single"/>
          <w:lang w:bidi="ar-SA"/>
        </w:rPr>
        <w:t>按通用条款，无特殊约定</w:t>
      </w:r>
      <w:r>
        <w:rPr>
          <w:rFonts w:hint="eastAsia" w:ascii="宋体" w:eastAsia="宋体" w:cs="宋体"/>
          <w:color w:val="auto"/>
          <w:lang w:bidi="ar-SA"/>
        </w:rPr>
        <w:t>。</w:t>
      </w:r>
    </w:p>
    <w:p w14:paraId="231343C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（2）发包人完成支付的期限：</w:t>
      </w:r>
      <w:r>
        <w:rPr>
          <w:rFonts w:hint="eastAsia" w:ascii="宋体" w:eastAsia="宋体" w:cs="宋体"/>
          <w:color w:val="auto"/>
          <w:u w:val="single"/>
          <w:lang w:bidi="ar-SA"/>
        </w:rPr>
        <w:t>按财政付款程序办理相关支付手续</w:t>
      </w:r>
      <w:r>
        <w:rPr>
          <w:rFonts w:hint="eastAsia" w:ascii="宋体" w:eastAsia="宋体" w:cs="宋体"/>
          <w:color w:val="auto"/>
          <w:lang w:bidi="ar-SA"/>
        </w:rPr>
        <w:t>。</w:t>
      </w:r>
    </w:p>
    <w:bookmarkEnd w:id="646"/>
    <w:bookmarkEnd w:id="647"/>
    <w:bookmarkEnd w:id="648"/>
    <w:bookmarkEnd w:id="649"/>
    <w:bookmarkEnd w:id="650"/>
    <w:bookmarkEnd w:id="651"/>
    <w:bookmarkEnd w:id="652"/>
    <w:bookmarkEnd w:id="658"/>
    <w:p w14:paraId="11F94C2E">
      <w:pPr>
        <w:pStyle w:val="53"/>
        <w:snapToGrid w:val="0"/>
        <w:jc w:val="left"/>
        <w:outlineLvl w:val="9"/>
        <w:rPr>
          <w:rFonts w:hint="eastAsia" w:ascii="宋体" w:eastAsia="宋体" w:cs="宋体"/>
          <w:b w:val="0"/>
          <w:color w:val="auto"/>
          <w:sz w:val="21"/>
          <w:szCs w:val="21"/>
          <w:lang w:bidi="ar-SA"/>
        </w:rPr>
      </w:pPr>
      <w:bookmarkStart w:id="665" w:name="_Toc351203647"/>
      <w:bookmarkStart w:id="666" w:name="_Toc267251483"/>
      <w:bookmarkStart w:id="667" w:name="_Toc267251484"/>
      <w:bookmarkStart w:id="668" w:name="_Toc267251482"/>
      <w:bookmarkStart w:id="669" w:name="_Toc267251485"/>
      <w:bookmarkStart w:id="670" w:name="_Toc267251486"/>
      <w:bookmarkStart w:id="671" w:name="_Toc267251488"/>
      <w:bookmarkStart w:id="672" w:name="_Toc267251490"/>
      <w:bookmarkStart w:id="673" w:name="_Toc267251489"/>
      <w:bookmarkStart w:id="674" w:name="_Toc267251496"/>
      <w:bookmarkStart w:id="675" w:name="_Toc267251501"/>
      <w:bookmarkStart w:id="676" w:name="_Toc267251503"/>
      <w:bookmarkStart w:id="677" w:name="_Toc267251492"/>
      <w:bookmarkStart w:id="678" w:name="_Toc267251498"/>
      <w:bookmarkStart w:id="679" w:name="_Toc267251502"/>
      <w:bookmarkStart w:id="680" w:name="_Toc267251491"/>
      <w:bookmarkStart w:id="681" w:name="_Toc267251499"/>
      <w:bookmarkStart w:id="682" w:name="_Toc267251497"/>
      <w:bookmarkStart w:id="683" w:name="_Toc267251495"/>
      <w:bookmarkStart w:id="684" w:name="_Toc267251493"/>
      <w:bookmarkStart w:id="685" w:name="_Toc267251494"/>
      <w:bookmarkStart w:id="686" w:name="_Toc267251504"/>
      <w:bookmarkStart w:id="687" w:name="_Toc267251506"/>
      <w:bookmarkStart w:id="688" w:name="_Toc267251507"/>
      <w:bookmarkStart w:id="689" w:name="_Toc267251508"/>
      <w:bookmarkStart w:id="690" w:name="_Toc267251513"/>
      <w:bookmarkStart w:id="691" w:name="_Toc267251511"/>
      <w:bookmarkStart w:id="692" w:name="_Toc267251514"/>
      <w:bookmarkStart w:id="693" w:name="_Toc267251510"/>
      <w:bookmarkStart w:id="694" w:name="_Toc267251509"/>
      <w:bookmarkStart w:id="695" w:name="_Toc267251515"/>
      <w:r>
        <w:rPr>
          <w:rFonts w:hint="eastAsia" w:ascii="宋体" w:eastAsia="宋体" w:cs="宋体"/>
          <w:b w:val="0"/>
          <w:color w:val="auto"/>
          <w:sz w:val="21"/>
          <w:szCs w:val="21"/>
          <w:lang w:bidi="ar-SA"/>
        </w:rPr>
        <w:t>15. 缺陷责任期与保修</w:t>
      </w:r>
      <w:bookmarkEnd w:id="665"/>
    </w:p>
    <w:p w14:paraId="30238B91">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15.2缺陷责任期</w:t>
      </w:r>
      <w:bookmarkEnd w:id="666"/>
    </w:p>
    <w:p w14:paraId="1E66920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缺陷责任期的具体期限：</w:t>
      </w:r>
      <w:r>
        <w:rPr>
          <w:rFonts w:hint="eastAsia" w:ascii="宋体" w:eastAsia="宋体" w:cs="宋体"/>
          <w:color w:val="auto"/>
          <w:u w:val="single"/>
          <w:lang w:bidi="ar-SA"/>
        </w:rPr>
        <w:t>24个月</w:t>
      </w:r>
      <w:r>
        <w:rPr>
          <w:rFonts w:hint="eastAsia" w:ascii="宋体" w:eastAsia="宋体" w:cs="宋体"/>
          <w:color w:val="auto"/>
          <w:lang w:bidi="ar-SA"/>
        </w:rPr>
        <w:t>。</w:t>
      </w:r>
    </w:p>
    <w:p w14:paraId="3564063C">
      <w:pPr>
        <w:pStyle w:val="32"/>
        <w:snapToGrid w:val="0"/>
        <w:spacing w:line="360" w:lineRule="auto"/>
        <w:jc w:val="left"/>
        <w:outlineLvl w:val="9"/>
        <w:rPr>
          <w:rFonts w:hint="eastAsia" w:ascii="宋体" w:eastAsia="宋体" w:cs="宋体"/>
          <w:color w:val="auto"/>
          <w:lang w:bidi="ar-SA"/>
        </w:rPr>
      </w:pPr>
      <w:bookmarkStart w:id="696" w:name="_Toc24045"/>
      <w:bookmarkStart w:id="697" w:name="_Toc3680"/>
      <w:r>
        <w:rPr>
          <w:rFonts w:hint="eastAsia" w:ascii="宋体" w:eastAsia="宋体" w:cs="宋体"/>
          <w:color w:val="auto"/>
          <w:lang w:bidi="ar-SA"/>
        </w:rPr>
        <w:t>15.3 质量保证金</w:t>
      </w:r>
      <w:bookmarkEnd w:id="696"/>
      <w:bookmarkEnd w:id="697"/>
    </w:p>
    <w:p w14:paraId="5CE5976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关于是否扣留质量保证金的约定：</w:t>
      </w:r>
      <w:r>
        <w:rPr>
          <w:rFonts w:hint="eastAsia" w:ascii="宋体" w:eastAsia="宋体" w:cs="宋体"/>
          <w:color w:val="auto"/>
          <w:u w:val="single"/>
          <w:lang w:bidi="ar-SA"/>
        </w:rPr>
        <w:t>扣留</w:t>
      </w:r>
      <w:r>
        <w:rPr>
          <w:rFonts w:hint="eastAsia" w:ascii="宋体" w:eastAsia="宋体" w:cs="宋体"/>
          <w:color w:val="auto"/>
          <w:lang w:bidi="ar-SA"/>
        </w:rPr>
        <w:t>。</w:t>
      </w:r>
    </w:p>
    <w:p w14:paraId="6F1EE884">
      <w:pPr>
        <w:pStyle w:val="32"/>
        <w:snapToGrid w:val="0"/>
        <w:spacing w:line="360" w:lineRule="auto"/>
        <w:ind w:firstLine="420" w:firstLineChars="200"/>
        <w:jc w:val="left"/>
        <w:outlineLvl w:val="9"/>
        <w:rPr>
          <w:rFonts w:hint="eastAsia" w:ascii="宋体" w:eastAsia="宋体" w:cs="宋体"/>
          <w:color w:val="auto"/>
          <w:lang w:bidi="ar-SA"/>
        </w:rPr>
      </w:pPr>
      <w:bookmarkStart w:id="698" w:name="_Toc8542"/>
      <w:bookmarkStart w:id="699" w:name="_Toc2443"/>
      <w:r>
        <w:rPr>
          <w:rFonts w:hint="eastAsia" w:ascii="宋体" w:eastAsia="宋体" w:cs="宋体"/>
          <w:color w:val="auto"/>
          <w:lang w:bidi="ar-SA"/>
        </w:rPr>
        <w:t>15.3.1 承包人提供质量保证金的方式</w:t>
      </w:r>
      <w:bookmarkEnd w:id="698"/>
      <w:bookmarkEnd w:id="699"/>
    </w:p>
    <w:p w14:paraId="641183E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质量保证金采用以下第</w:t>
      </w:r>
      <w:r>
        <w:rPr>
          <w:rFonts w:hint="eastAsia" w:ascii="宋体" w:eastAsia="宋体" w:cs="宋体"/>
          <w:color w:val="auto"/>
          <w:u w:val="single"/>
          <w:lang w:bidi="ar-SA"/>
        </w:rPr>
        <w:t xml:space="preserve"> （2） </w:t>
      </w:r>
      <w:r>
        <w:rPr>
          <w:rFonts w:hint="eastAsia" w:ascii="宋体" w:eastAsia="宋体" w:cs="宋体"/>
          <w:color w:val="auto"/>
          <w:lang w:bidi="ar-SA"/>
        </w:rPr>
        <w:t>种方式：</w:t>
      </w:r>
    </w:p>
    <w:p w14:paraId="1A39B2EC">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（1）质量保证金保函，保证金额为：</w:t>
      </w:r>
      <w:r>
        <w:rPr>
          <w:rFonts w:hint="eastAsia" w:ascii="宋体" w:eastAsia="宋体" w:cs="宋体"/>
          <w:color w:val="auto"/>
          <w:kern w:val="0"/>
          <w:u w:val="single"/>
          <w:lang w:bidi="ar-SA"/>
        </w:rPr>
        <w:t xml:space="preserve"> / </w:t>
      </w:r>
      <w:r>
        <w:rPr>
          <w:rFonts w:hint="eastAsia" w:ascii="宋体" w:eastAsia="宋体" w:cs="宋体"/>
          <w:color w:val="auto"/>
          <w:kern w:val="0"/>
          <w:lang w:bidi="ar-SA"/>
        </w:rPr>
        <w:t xml:space="preserve">； </w:t>
      </w:r>
    </w:p>
    <w:p w14:paraId="243EA765">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（2）</w:t>
      </w:r>
      <w:r>
        <w:rPr>
          <w:rFonts w:hint="eastAsia" w:ascii="宋体" w:eastAsia="宋体" w:cs="宋体"/>
          <w:color w:val="auto"/>
          <w:kern w:val="0"/>
          <w:u w:val="single"/>
          <w:lang w:bidi="ar-SA"/>
        </w:rPr>
        <w:t xml:space="preserve"> 3 </w:t>
      </w:r>
      <w:r>
        <w:rPr>
          <w:rFonts w:hint="eastAsia" w:ascii="宋体" w:eastAsia="宋体" w:cs="宋体"/>
          <w:color w:val="auto"/>
          <w:kern w:val="0"/>
          <w:lang w:bidi="ar-SA"/>
        </w:rPr>
        <w:t>%的工程款；</w:t>
      </w:r>
    </w:p>
    <w:p w14:paraId="045F5781">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（3）其他方式:</w:t>
      </w:r>
      <w:r>
        <w:rPr>
          <w:rFonts w:hint="eastAsia" w:ascii="宋体" w:eastAsia="宋体" w:cs="宋体"/>
          <w:color w:val="auto"/>
          <w:kern w:val="0"/>
          <w:u w:val="single"/>
          <w:lang w:bidi="ar-SA"/>
        </w:rPr>
        <w:t xml:space="preserve">  /  </w:t>
      </w:r>
      <w:r>
        <w:rPr>
          <w:rFonts w:hint="eastAsia" w:ascii="宋体" w:eastAsia="宋体" w:cs="宋体"/>
          <w:color w:val="auto"/>
          <w:kern w:val="0"/>
          <w:lang w:bidi="ar-SA"/>
        </w:rPr>
        <w:t>。</w:t>
      </w:r>
    </w:p>
    <w:p w14:paraId="5BBEB28D">
      <w:pPr>
        <w:pStyle w:val="32"/>
        <w:snapToGrid w:val="0"/>
        <w:spacing w:line="360" w:lineRule="auto"/>
        <w:ind w:firstLine="420" w:firstLineChars="200"/>
        <w:jc w:val="left"/>
        <w:outlineLvl w:val="9"/>
        <w:rPr>
          <w:rFonts w:hint="eastAsia" w:ascii="宋体" w:eastAsia="宋体" w:cs="宋体"/>
          <w:color w:val="auto"/>
          <w:lang w:bidi="ar-SA"/>
        </w:rPr>
      </w:pPr>
      <w:bookmarkStart w:id="700" w:name="_Toc14464"/>
      <w:bookmarkStart w:id="701" w:name="_Toc20484"/>
      <w:r>
        <w:rPr>
          <w:rFonts w:hint="eastAsia" w:ascii="宋体" w:eastAsia="宋体" w:cs="宋体"/>
          <w:color w:val="auto"/>
          <w:lang w:bidi="ar-SA"/>
        </w:rPr>
        <w:t>15.3.2 质量保证金的扣留</w:t>
      </w:r>
      <w:bookmarkEnd w:id="700"/>
      <w:bookmarkEnd w:id="701"/>
      <w:r>
        <w:rPr>
          <w:rFonts w:hint="eastAsia" w:ascii="宋体" w:eastAsia="宋体" w:cs="宋体"/>
          <w:color w:val="auto"/>
          <w:lang w:bidi="ar-SA"/>
        </w:rPr>
        <w:t xml:space="preserve"> </w:t>
      </w:r>
    </w:p>
    <w:p w14:paraId="6351EDF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质量保证金的扣留采取以下第</w:t>
      </w:r>
      <w:r>
        <w:rPr>
          <w:rFonts w:hint="eastAsia" w:ascii="宋体" w:eastAsia="宋体" w:cs="宋体"/>
          <w:color w:val="auto"/>
          <w:u w:val="single"/>
          <w:lang w:bidi="ar-SA"/>
        </w:rPr>
        <w:t xml:space="preserve"> （2） </w:t>
      </w:r>
      <w:r>
        <w:rPr>
          <w:rFonts w:hint="eastAsia" w:ascii="宋体" w:eastAsia="宋体" w:cs="宋体"/>
          <w:color w:val="auto"/>
          <w:lang w:bidi="ar-SA"/>
        </w:rPr>
        <w:t>种方式：</w:t>
      </w:r>
    </w:p>
    <w:p w14:paraId="29145823">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（1）在支付工程进度款时逐次扣留，在此情形下，质量保证金的计算基数不包括预付款的支付、扣回以及价格调整的金额；</w:t>
      </w:r>
    </w:p>
    <w:p w14:paraId="0DB44080">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bookmarkStart w:id="702" w:name="_Toc31978"/>
      <w:bookmarkStart w:id="703" w:name="_Toc4185"/>
      <w:r>
        <w:rPr>
          <w:rFonts w:hint="eastAsia" w:ascii="宋体" w:eastAsia="宋体" w:cs="宋体"/>
          <w:color w:val="auto"/>
          <w:kern w:val="0"/>
          <w:lang w:bidi="ar-SA"/>
        </w:rPr>
        <w:t>（2）工程竣工结算时一次性扣留质量保证金；</w:t>
      </w:r>
      <w:bookmarkEnd w:id="702"/>
      <w:bookmarkEnd w:id="703"/>
    </w:p>
    <w:p w14:paraId="490374B4">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（3）其他扣留方式:</w:t>
      </w:r>
      <w:r>
        <w:rPr>
          <w:rFonts w:hint="eastAsia" w:ascii="宋体" w:eastAsia="宋体" w:cs="宋体"/>
          <w:color w:val="auto"/>
          <w:kern w:val="0"/>
          <w:u w:val="single"/>
          <w:lang w:bidi="ar-SA"/>
        </w:rPr>
        <w:t xml:space="preserve">  /  </w:t>
      </w:r>
      <w:r>
        <w:rPr>
          <w:rFonts w:hint="eastAsia" w:ascii="宋体" w:eastAsia="宋体" w:cs="宋体"/>
          <w:color w:val="auto"/>
          <w:kern w:val="0"/>
          <w:lang w:bidi="ar-SA"/>
        </w:rPr>
        <w:t>。</w:t>
      </w:r>
    </w:p>
    <w:p w14:paraId="00244356">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lang w:bidi="ar-SA"/>
        </w:rPr>
        <w:t>关于质量保证金的补充约定：</w:t>
      </w:r>
      <w:r>
        <w:rPr>
          <w:rFonts w:hint="eastAsia" w:ascii="宋体" w:eastAsia="宋体" w:cs="宋体"/>
          <w:color w:val="auto"/>
          <w:u w:val="single"/>
          <w:lang w:bidi="ar-SA"/>
        </w:rPr>
        <w:t>本工程双方约定质保金为工程结算总造价的3%；待取得工程竣工验收证书之日起到2年</w:t>
      </w:r>
      <w:r>
        <w:rPr>
          <w:rFonts w:hint="eastAsia" w:ascii="宋体" w:eastAsia="宋体" w:cs="宋体"/>
          <w:bCs/>
          <w:color w:val="auto"/>
          <w:u w:val="single"/>
          <w:lang w:bidi="ar-SA"/>
        </w:rPr>
        <w:t>缺陷责任期</w:t>
      </w:r>
      <w:r>
        <w:rPr>
          <w:rFonts w:hint="eastAsia" w:ascii="宋体" w:eastAsia="宋体" w:cs="宋体"/>
          <w:color w:val="auto"/>
          <w:u w:val="single"/>
          <w:lang w:bidi="ar-SA"/>
        </w:rPr>
        <w:t>满后，如无质量问题14日内一次性付清（无息）</w:t>
      </w:r>
      <w:r>
        <w:rPr>
          <w:rFonts w:hint="eastAsia" w:ascii="宋体" w:eastAsia="宋体" w:cs="宋体"/>
          <w:color w:val="auto"/>
          <w:kern w:val="0"/>
          <w:lang w:bidi="ar-SA"/>
        </w:rPr>
        <w:t>。</w:t>
      </w:r>
    </w:p>
    <w:p w14:paraId="7872C32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u w:val="single"/>
          <w:lang w:bidi="ar-SA"/>
        </w:rPr>
        <w:t>保修期内，如发生属承包人责任的质量问题，按本保修书第四条第1款约定。承包人在保修期内拒绝履行保修义务或7天不到现场维修的，发包人无需承包人同意直接委托他人修理，其费用无需承包人同意由发包人在质量保修金中扣除。超过保修金额的部分，承包人应当在接到缴款通知书之日起7个工作日内付清，否则按应缴款额的1%/日计罚。</w:t>
      </w:r>
    </w:p>
    <w:bookmarkEnd w:id="667"/>
    <w:bookmarkEnd w:id="668"/>
    <w:p w14:paraId="6308EEDD">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15.4保修</w:t>
      </w:r>
    </w:p>
    <w:bookmarkEnd w:id="669"/>
    <w:p w14:paraId="4A9BF9F5">
      <w:pPr>
        <w:pStyle w:val="32"/>
        <w:snapToGrid w:val="0"/>
        <w:spacing w:line="360" w:lineRule="auto"/>
        <w:ind w:firstLine="409" w:firstLineChars="195"/>
        <w:jc w:val="left"/>
        <w:outlineLvl w:val="9"/>
        <w:rPr>
          <w:rFonts w:hint="eastAsia" w:ascii="宋体" w:eastAsia="宋体" w:cs="宋体"/>
          <w:color w:val="auto"/>
          <w:lang w:bidi="ar-SA"/>
        </w:rPr>
      </w:pPr>
      <w:r>
        <w:rPr>
          <w:rFonts w:hint="eastAsia" w:ascii="宋体" w:eastAsia="宋体" w:cs="宋体"/>
          <w:color w:val="auto"/>
          <w:lang w:bidi="ar-SA"/>
        </w:rPr>
        <w:t>15.4.1 保修责任</w:t>
      </w:r>
    </w:p>
    <w:p w14:paraId="50ECC607">
      <w:pPr>
        <w:pStyle w:val="32"/>
        <w:snapToGrid w:val="0"/>
        <w:spacing w:line="360" w:lineRule="auto"/>
        <w:ind w:firstLine="409" w:firstLineChars="195"/>
        <w:jc w:val="left"/>
        <w:outlineLvl w:val="9"/>
        <w:rPr>
          <w:rFonts w:hint="eastAsia" w:ascii="宋体" w:eastAsia="宋体" w:cs="宋体"/>
          <w:color w:val="auto"/>
          <w:kern w:val="0"/>
          <w:lang w:bidi="ar-SA"/>
        </w:rPr>
      </w:pPr>
      <w:r>
        <w:rPr>
          <w:rFonts w:hint="eastAsia" w:ascii="宋体" w:eastAsia="宋体" w:cs="宋体"/>
          <w:color w:val="auto"/>
          <w:lang w:bidi="ar-SA"/>
        </w:rPr>
        <w:t>工程保修期为：</w:t>
      </w:r>
      <w:r>
        <w:rPr>
          <w:rFonts w:hint="eastAsia" w:ascii="宋体" w:eastAsia="宋体" w:cs="宋体"/>
          <w:color w:val="auto"/>
          <w:u w:val="single"/>
          <w:lang w:bidi="ar-SA"/>
        </w:rPr>
        <w:t>详见《工程质量保修书》</w:t>
      </w:r>
      <w:r>
        <w:rPr>
          <w:rFonts w:hint="eastAsia" w:ascii="宋体" w:eastAsia="宋体" w:cs="宋体"/>
          <w:color w:val="auto"/>
          <w:kern w:val="0"/>
          <w:lang w:bidi="ar-SA"/>
        </w:rPr>
        <w:t>。</w:t>
      </w:r>
    </w:p>
    <w:p w14:paraId="1236DE51">
      <w:pPr>
        <w:pStyle w:val="32"/>
        <w:snapToGrid w:val="0"/>
        <w:spacing w:line="360" w:lineRule="auto"/>
        <w:ind w:firstLine="409" w:firstLineChars="195"/>
        <w:jc w:val="left"/>
        <w:outlineLvl w:val="9"/>
        <w:rPr>
          <w:rFonts w:hint="eastAsia" w:ascii="宋体" w:eastAsia="宋体" w:cs="宋体"/>
          <w:color w:val="auto"/>
          <w:lang w:bidi="ar-SA"/>
        </w:rPr>
      </w:pPr>
      <w:r>
        <w:rPr>
          <w:rFonts w:hint="eastAsia" w:ascii="宋体" w:eastAsia="宋体" w:cs="宋体"/>
          <w:color w:val="auto"/>
          <w:lang w:bidi="ar-SA"/>
        </w:rPr>
        <w:t>15.4.3 修复通知</w:t>
      </w:r>
    </w:p>
    <w:p w14:paraId="2C363C88">
      <w:pPr>
        <w:pStyle w:val="32"/>
        <w:snapToGrid w:val="0"/>
        <w:spacing w:line="360" w:lineRule="auto"/>
        <w:ind w:firstLine="409" w:firstLineChars="195"/>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承包人收到保修通知并到达工程现场的合理时间：</w:t>
      </w:r>
      <w:r>
        <w:rPr>
          <w:rFonts w:hint="eastAsia" w:ascii="宋体" w:eastAsia="宋体" w:cs="宋体"/>
          <w:color w:val="auto"/>
          <w:u w:val="single"/>
          <w:lang w:bidi="ar-SA"/>
        </w:rPr>
        <w:t>24小时</w:t>
      </w:r>
      <w:r>
        <w:rPr>
          <w:rFonts w:hint="eastAsia" w:ascii="宋体" w:eastAsia="宋体" w:cs="宋体"/>
          <w:color w:val="auto"/>
          <w:kern w:val="0"/>
          <w:lang w:bidi="ar-SA"/>
        </w:rPr>
        <w:t>。</w:t>
      </w:r>
    </w:p>
    <w:bookmarkEnd w:id="670"/>
    <w:bookmarkEnd w:id="671"/>
    <w:bookmarkEnd w:id="672"/>
    <w:bookmarkEnd w:id="673"/>
    <w:p w14:paraId="15EDBC88">
      <w:pPr>
        <w:pStyle w:val="53"/>
        <w:snapToGrid w:val="0"/>
        <w:jc w:val="left"/>
        <w:outlineLvl w:val="9"/>
        <w:rPr>
          <w:rFonts w:hint="eastAsia" w:ascii="宋体" w:eastAsia="宋体" w:cs="宋体"/>
          <w:b w:val="0"/>
          <w:color w:val="auto"/>
          <w:sz w:val="21"/>
          <w:szCs w:val="21"/>
          <w:lang w:bidi="ar-SA"/>
        </w:rPr>
      </w:pPr>
      <w:bookmarkStart w:id="704" w:name="_Toc351203648"/>
      <w:bookmarkStart w:id="705" w:name="_Toc280868717"/>
      <w:bookmarkStart w:id="706" w:name="_Toc280868718"/>
      <w:r>
        <w:rPr>
          <w:rFonts w:hint="eastAsia" w:ascii="宋体" w:eastAsia="宋体" w:cs="宋体"/>
          <w:b w:val="0"/>
          <w:color w:val="auto"/>
          <w:sz w:val="21"/>
          <w:szCs w:val="21"/>
          <w:lang w:bidi="ar-SA"/>
        </w:rPr>
        <w:t>16. 违约</w:t>
      </w:r>
      <w:bookmarkEnd w:id="704"/>
    </w:p>
    <w:p w14:paraId="52CE674E">
      <w:pPr>
        <w:pStyle w:val="32"/>
        <w:snapToGrid w:val="0"/>
        <w:spacing w:line="360" w:lineRule="auto"/>
        <w:jc w:val="left"/>
        <w:outlineLvl w:val="9"/>
        <w:rPr>
          <w:rFonts w:hint="eastAsia" w:ascii="宋体" w:eastAsia="宋体" w:cs="宋体"/>
          <w:color w:val="auto"/>
          <w:lang w:bidi="ar-SA"/>
        </w:rPr>
      </w:pPr>
      <w:bookmarkStart w:id="707" w:name="_Toc18352"/>
      <w:bookmarkStart w:id="708" w:name="_Toc8463"/>
      <w:r>
        <w:rPr>
          <w:rFonts w:hint="eastAsia" w:ascii="宋体" w:eastAsia="宋体" w:cs="宋体"/>
          <w:color w:val="auto"/>
          <w:lang w:bidi="ar-SA"/>
        </w:rPr>
        <w:t>16.1 发包人违约</w:t>
      </w:r>
      <w:bookmarkEnd w:id="707"/>
      <w:bookmarkEnd w:id="708"/>
    </w:p>
    <w:p w14:paraId="10056AC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16.1.1发包人违约的情形</w:t>
      </w:r>
    </w:p>
    <w:p w14:paraId="088F2921">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发包人违约的其他情形：</w:t>
      </w:r>
      <w:r>
        <w:rPr>
          <w:rFonts w:hint="eastAsia" w:ascii="宋体" w:eastAsia="宋体" w:cs="宋体"/>
          <w:color w:val="auto"/>
          <w:kern w:val="0"/>
          <w:u w:val="single"/>
          <w:lang w:bidi="ar-SA"/>
        </w:rPr>
        <w:t>按通用条款执行</w:t>
      </w:r>
      <w:r>
        <w:rPr>
          <w:rFonts w:hint="eastAsia" w:ascii="宋体" w:eastAsia="宋体" w:cs="宋体"/>
          <w:color w:val="auto"/>
          <w:kern w:val="0"/>
          <w:lang w:bidi="ar-SA"/>
        </w:rPr>
        <w:t>。</w:t>
      </w:r>
    </w:p>
    <w:p w14:paraId="4F516534">
      <w:pPr>
        <w:pStyle w:val="32"/>
        <w:snapToGrid w:val="0"/>
        <w:spacing w:line="360" w:lineRule="auto"/>
        <w:ind w:left="1050" w:hanging="1050" w:hangingChars="500"/>
        <w:jc w:val="left"/>
        <w:outlineLvl w:val="9"/>
        <w:rPr>
          <w:rFonts w:hint="eastAsia" w:ascii="宋体" w:eastAsia="宋体" w:cs="宋体"/>
          <w:color w:val="auto"/>
          <w:kern w:val="0"/>
          <w:lang w:bidi="ar-SA"/>
        </w:rPr>
      </w:pPr>
      <w:r>
        <w:rPr>
          <w:rFonts w:hint="eastAsia" w:ascii="宋体" w:eastAsia="宋体" w:cs="宋体"/>
          <w:color w:val="auto"/>
          <w:kern w:val="0"/>
          <w:lang w:bidi="ar-SA"/>
        </w:rPr>
        <w:t xml:space="preserve">    16.1.2 发包人违约的责任</w:t>
      </w:r>
    </w:p>
    <w:p w14:paraId="1639AEA0">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发包人违约责任的承担方式和计算方法：</w:t>
      </w:r>
    </w:p>
    <w:p w14:paraId="6E523AD9">
      <w:pPr>
        <w:pStyle w:val="32"/>
        <w:snapToGrid w:val="0"/>
        <w:spacing w:line="360" w:lineRule="auto"/>
        <w:ind w:firstLine="420" w:firstLineChars="200"/>
        <w:jc w:val="left"/>
        <w:outlineLvl w:val="9"/>
        <w:rPr>
          <w:rFonts w:hint="eastAsia" w:ascii="宋体" w:eastAsia="宋体" w:cs="宋体"/>
          <w:color w:val="auto"/>
          <w:kern w:val="0"/>
          <w:u w:val="single"/>
          <w:lang w:bidi="ar-SA"/>
        </w:rPr>
      </w:pPr>
      <w:r>
        <w:rPr>
          <w:rFonts w:hint="eastAsia" w:ascii="宋体" w:eastAsia="宋体" w:cs="宋体"/>
          <w:color w:val="auto"/>
          <w:kern w:val="0"/>
          <w:lang w:bidi="ar-SA"/>
        </w:rPr>
        <w:t>（1）因发包人原因未能在计划开工日期前7天内下达开工通知的违约责任：</w:t>
      </w:r>
      <w:r>
        <w:rPr>
          <w:rFonts w:hint="eastAsia" w:ascii="宋体" w:eastAsia="宋体" w:cs="宋体"/>
          <w:color w:val="auto"/>
          <w:kern w:val="0"/>
          <w:u w:val="single"/>
          <w:lang w:bidi="ar-SA"/>
        </w:rPr>
        <w:t xml:space="preserve">按通用条款执行  </w:t>
      </w:r>
      <w:r>
        <w:rPr>
          <w:rFonts w:hint="eastAsia" w:ascii="宋体" w:eastAsia="宋体" w:cs="宋体"/>
          <w:color w:val="auto"/>
          <w:kern w:val="0"/>
          <w:lang w:bidi="ar-SA"/>
        </w:rPr>
        <w:t>。</w:t>
      </w:r>
    </w:p>
    <w:p w14:paraId="481D3172">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（2）因发包人原因未能按合同约定支付合同价款的违约责任：</w:t>
      </w:r>
      <w:r>
        <w:rPr>
          <w:rFonts w:hint="eastAsia" w:ascii="宋体" w:eastAsia="宋体" w:cs="宋体"/>
          <w:color w:val="auto"/>
          <w:kern w:val="0"/>
          <w:u w:val="single"/>
          <w:lang w:bidi="ar-SA"/>
        </w:rPr>
        <w:t xml:space="preserve">每延误一天，按合同价款扣除社会保险费、发包人材料价款、暂估专业工程、暂列金额后的0.01%向承包人支付违约金，工期相应顺延  </w:t>
      </w:r>
      <w:r>
        <w:rPr>
          <w:rFonts w:hint="eastAsia" w:ascii="宋体" w:eastAsia="宋体" w:cs="宋体"/>
          <w:color w:val="auto"/>
          <w:kern w:val="0"/>
          <w:lang w:bidi="ar-SA"/>
        </w:rPr>
        <w:t>。</w:t>
      </w:r>
    </w:p>
    <w:p w14:paraId="466CBA4B">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（3）发包人违反第10.1款〔变更的范围〕第（2）项约定，自行实施被取消的工作或转由他人实施的违约责任：</w:t>
      </w:r>
      <w:r>
        <w:rPr>
          <w:rFonts w:hint="eastAsia" w:ascii="宋体" w:eastAsia="宋体" w:cs="宋体"/>
          <w:color w:val="auto"/>
          <w:kern w:val="0"/>
          <w:u w:val="single"/>
          <w:lang w:bidi="ar-SA"/>
        </w:rPr>
        <w:t xml:space="preserve">按通用条款执行  </w:t>
      </w:r>
      <w:r>
        <w:rPr>
          <w:rFonts w:hint="eastAsia" w:ascii="宋体" w:eastAsia="宋体" w:cs="宋体"/>
          <w:color w:val="auto"/>
          <w:kern w:val="0"/>
          <w:lang w:bidi="ar-SA"/>
        </w:rPr>
        <w:t>。</w:t>
      </w:r>
    </w:p>
    <w:p w14:paraId="0D550031">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（4）发包人提供的材料、工程设备的规格、数量或质量不符合合同约定，或因发包人原因导致交货日期延误或交货地点变更等情况的违约责任：</w:t>
      </w:r>
      <w:r>
        <w:rPr>
          <w:rFonts w:hint="eastAsia" w:ascii="宋体" w:eastAsia="宋体" w:cs="宋体"/>
          <w:color w:val="auto"/>
          <w:kern w:val="0"/>
          <w:u w:val="single"/>
          <w:lang w:bidi="ar-SA"/>
        </w:rPr>
        <w:t xml:space="preserve">  导致承包人无法正常施工的，延误工期顺延  </w:t>
      </w:r>
      <w:r>
        <w:rPr>
          <w:rFonts w:hint="eastAsia" w:ascii="宋体" w:eastAsia="宋体" w:cs="宋体"/>
          <w:color w:val="auto"/>
          <w:kern w:val="0"/>
          <w:lang w:bidi="ar-SA"/>
        </w:rPr>
        <w:t>。</w:t>
      </w:r>
    </w:p>
    <w:p w14:paraId="3138939A">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（5）因发包人违反合同约定造成暂停施工的违约责任：</w:t>
      </w:r>
      <w:r>
        <w:rPr>
          <w:rFonts w:hint="eastAsia" w:ascii="宋体" w:eastAsia="宋体" w:cs="宋体"/>
          <w:color w:val="auto"/>
          <w:kern w:val="0"/>
          <w:u w:val="single"/>
          <w:lang w:bidi="ar-SA"/>
        </w:rPr>
        <w:t xml:space="preserve">  致承包人发生的误工及机械闲置费用、脚手架租赁费用等现场核准由发包人承担，工期顺延  </w:t>
      </w:r>
      <w:r>
        <w:rPr>
          <w:rFonts w:hint="eastAsia" w:ascii="宋体" w:eastAsia="宋体" w:cs="宋体"/>
          <w:color w:val="auto"/>
          <w:kern w:val="0"/>
          <w:lang w:bidi="ar-SA"/>
        </w:rPr>
        <w:t>。</w:t>
      </w:r>
    </w:p>
    <w:p w14:paraId="4A56DB70">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（6）发包人无正当理由没有在约定期限内发出复工指示，导致承包人无法复工的违约责任：</w:t>
      </w:r>
      <w:r>
        <w:rPr>
          <w:rFonts w:hint="eastAsia" w:ascii="宋体" w:eastAsia="宋体" w:cs="宋体"/>
          <w:color w:val="auto"/>
          <w:kern w:val="0"/>
          <w:u w:val="single"/>
          <w:lang w:bidi="ar-SA"/>
        </w:rPr>
        <w:t xml:space="preserve"> /  </w:t>
      </w:r>
      <w:r>
        <w:rPr>
          <w:rFonts w:hint="eastAsia" w:ascii="宋体" w:eastAsia="宋体" w:cs="宋体"/>
          <w:color w:val="auto"/>
          <w:kern w:val="0"/>
          <w:lang w:bidi="ar-SA"/>
        </w:rPr>
        <w:t>。</w:t>
      </w:r>
    </w:p>
    <w:p w14:paraId="458B1ECF">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（7）其他：</w:t>
      </w:r>
      <w:r>
        <w:rPr>
          <w:rFonts w:hint="eastAsia" w:ascii="宋体" w:eastAsia="宋体" w:cs="宋体"/>
          <w:color w:val="auto"/>
          <w:kern w:val="0"/>
          <w:u w:val="single"/>
          <w:lang w:bidi="ar-SA"/>
        </w:rPr>
        <w:t xml:space="preserve">  /  </w:t>
      </w:r>
      <w:r>
        <w:rPr>
          <w:rFonts w:hint="eastAsia" w:ascii="宋体" w:eastAsia="宋体" w:cs="宋体"/>
          <w:color w:val="auto"/>
          <w:kern w:val="0"/>
          <w:lang w:bidi="ar-SA"/>
        </w:rPr>
        <w:t>。</w:t>
      </w:r>
    </w:p>
    <w:p w14:paraId="27BC406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16.1.3 因发包人违约解除合同</w:t>
      </w:r>
    </w:p>
    <w:p w14:paraId="2E24B01B">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承包人按16.1.1项〔发包人违约的情形〕约定暂停施工满</w:t>
      </w:r>
      <w:r>
        <w:rPr>
          <w:rFonts w:hint="eastAsia" w:ascii="宋体" w:eastAsia="宋体" w:cs="宋体"/>
          <w:color w:val="auto"/>
          <w:kern w:val="0"/>
          <w:u w:val="single"/>
          <w:lang w:bidi="ar-SA"/>
        </w:rPr>
        <w:t xml:space="preserve"> 28 </w:t>
      </w:r>
      <w:r>
        <w:rPr>
          <w:rFonts w:hint="eastAsia" w:ascii="宋体" w:eastAsia="宋体" w:cs="宋体"/>
          <w:color w:val="auto"/>
          <w:kern w:val="0"/>
          <w:lang w:bidi="ar-SA"/>
        </w:rPr>
        <w:t>天后发包人仍不纠正其违约行为并致使合同目的不能实现的，承包人有权解除合同。</w:t>
      </w:r>
    </w:p>
    <w:p w14:paraId="6D009635">
      <w:pPr>
        <w:pStyle w:val="32"/>
        <w:snapToGrid w:val="0"/>
        <w:spacing w:line="360" w:lineRule="auto"/>
        <w:jc w:val="left"/>
        <w:outlineLvl w:val="9"/>
        <w:rPr>
          <w:rFonts w:hint="eastAsia" w:ascii="宋体" w:eastAsia="宋体" w:cs="宋体"/>
          <w:color w:val="auto"/>
          <w:lang w:bidi="ar-SA"/>
        </w:rPr>
      </w:pPr>
      <w:bookmarkStart w:id="709" w:name="_Toc4864"/>
      <w:bookmarkStart w:id="710" w:name="_Toc16129"/>
      <w:r>
        <w:rPr>
          <w:rFonts w:hint="eastAsia" w:ascii="宋体" w:eastAsia="宋体" w:cs="宋体"/>
          <w:color w:val="auto"/>
          <w:lang w:bidi="ar-SA"/>
        </w:rPr>
        <w:t>16.2 承包人违约</w:t>
      </w:r>
      <w:bookmarkEnd w:id="709"/>
      <w:bookmarkEnd w:id="710"/>
    </w:p>
    <w:p w14:paraId="42F0DBA1">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16.2.1 承包人违约的情形</w:t>
      </w:r>
    </w:p>
    <w:p w14:paraId="4F063935">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承包人违约的其他情形：</w:t>
      </w:r>
      <w:r>
        <w:rPr>
          <w:rFonts w:hint="eastAsia" w:ascii="宋体" w:eastAsia="宋体" w:cs="宋体"/>
          <w:color w:val="auto"/>
          <w:u w:val="single"/>
          <w:lang w:bidi="ar-SA"/>
        </w:rPr>
        <w:t>按通用条款,无特殊约定</w:t>
      </w:r>
      <w:r>
        <w:rPr>
          <w:rFonts w:hint="eastAsia" w:ascii="宋体" w:eastAsia="宋体" w:cs="宋体"/>
          <w:color w:val="auto"/>
          <w:kern w:val="0"/>
          <w:lang w:bidi="ar-SA"/>
        </w:rPr>
        <w:t>。</w:t>
      </w:r>
    </w:p>
    <w:p w14:paraId="06E6CD83">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16.2.2承包人违约的责任</w:t>
      </w:r>
    </w:p>
    <w:p w14:paraId="00A410CB">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承包人违约责任的承担方式和计算方法：</w:t>
      </w:r>
    </w:p>
    <w:p w14:paraId="59EE4604">
      <w:pPr>
        <w:pStyle w:val="32"/>
        <w:snapToGrid w:val="0"/>
        <w:spacing w:line="360" w:lineRule="auto"/>
        <w:ind w:firstLine="525" w:firstLineChars="250"/>
        <w:jc w:val="left"/>
        <w:outlineLvl w:val="9"/>
        <w:rPr>
          <w:rFonts w:hint="eastAsia" w:ascii="宋体" w:eastAsia="宋体" w:cs="宋体"/>
          <w:color w:val="auto"/>
          <w:u w:val="single"/>
          <w:lang w:bidi="ar-SA"/>
        </w:rPr>
      </w:pPr>
      <w:r>
        <w:rPr>
          <w:rFonts w:hint="eastAsia" w:ascii="宋体" w:eastAsia="宋体" w:cs="宋体"/>
          <w:color w:val="auto"/>
          <w:kern w:val="0"/>
          <w:u w:val="single"/>
          <w:lang w:bidi="ar-SA"/>
        </w:rPr>
        <w:t>（1）</w:t>
      </w:r>
      <w:r>
        <w:rPr>
          <w:rFonts w:hint="eastAsia" w:ascii="宋体" w:eastAsia="宋体" w:cs="宋体"/>
          <w:color w:val="auto"/>
          <w:u w:val="single"/>
          <w:lang w:bidi="ar-SA"/>
        </w:rPr>
        <w:t>承包人未按本合同通用条款第16.2.1（2）、（3）条内容完成的，承包人无条件返工处理。修复至工程质量要求并承担相关费用，并在发包人规定的时间内完成返工，否则发包人有权扣罚该分项工程2%的工程款作为处罚。如承包人拒不整改，发包人将在付款和结算时扣除涉及未整改的相应清单项目的全部费用，承包人还须承担由此产生的相应后果。</w:t>
      </w:r>
    </w:p>
    <w:p w14:paraId="47D543FD">
      <w:pPr>
        <w:pStyle w:val="32"/>
        <w:snapToGrid w:val="0"/>
        <w:spacing w:line="360" w:lineRule="auto"/>
        <w:ind w:firstLine="420" w:firstLineChars="200"/>
        <w:jc w:val="left"/>
        <w:outlineLvl w:val="9"/>
        <w:rPr>
          <w:rFonts w:hint="eastAsia" w:ascii="宋体" w:eastAsia="宋体" w:cs="宋体"/>
          <w:color w:val="auto"/>
          <w:kern w:val="0"/>
          <w:u w:val="single"/>
          <w:lang w:bidi="ar-SA"/>
        </w:rPr>
      </w:pPr>
      <w:r>
        <w:rPr>
          <w:rFonts w:hint="eastAsia" w:ascii="宋体" w:eastAsia="宋体" w:cs="宋体"/>
          <w:color w:val="auto"/>
          <w:kern w:val="0"/>
          <w:u w:val="single"/>
          <w:lang w:bidi="ar-SA"/>
        </w:rPr>
        <w:t>（2）承包人有本合同通用条款第16.2.1（6）条情形的，或经监理人检验认为修复质量不合格而承包人拒绝再进行修补的，发包人将扣除承包人全部质量保修金。</w:t>
      </w:r>
    </w:p>
    <w:p w14:paraId="5A707070">
      <w:pPr>
        <w:pStyle w:val="32"/>
        <w:snapToGrid w:val="0"/>
        <w:spacing w:line="360" w:lineRule="auto"/>
        <w:ind w:firstLine="420" w:firstLineChars="200"/>
        <w:jc w:val="left"/>
        <w:outlineLvl w:val="9"/>
        <w:rPr>
          <w:rFonts w:hint="eastAsia" w:ascii="宋体" w:eastAsia="宋体" w:cs="宋体"/>
          <w:color w:val="auto"/>
          <w:kern w:val="0"/>
          <w:u w:val="single"/>
          <w:lang w:bidi="ar-SA"/>
        </w:rPr>
      </w:pPr>
      <w:r>
        <w:rPr>
          <w:rFonts w:hint="eastAsia" w:ascii="宋体" w:eastAsia="宋体" w:cs="宋体"/>
          <w:color w:val="auto"/>
          <w:kern w:val="0"/>
          <w:u w:val="single"/>
          <w:lang w:bidi="ar-SA"/>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eastAsia="宋体" w:cs="宋体"/>
          <w:color w:val="auto"/>
          <w:kern w:val="0"/>
          <w:lang w:bidi="ar-SA"/>
        </w:rPr>
        <w:t>。</w:t>
      </w:r>
      <w:r>
        <w:rPr>
          <w:rFonts w:hint="eastAsia" w:ascii="宋体" w:eastAsia="宋体" w:cs="宋体"/>
          <w:color w:val="auto"/>
          <w:lang w:bidi="ar-SA"/>
        </w:rPr>
        <w:t xml:space="preserve">    </w:t>
      </w:r>
    </w:p>
    <w:p w14:paraId="1637B6A8">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16.2.3 因承包人违约解除合同</w:t>
      </w:r>
    </w:p>
    <w:p w14:paraId="48BFB7B7">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关于承包人违约解除合同的特别约定：</w:t>
      </w:r>
      <w:r>
        <w:rPr>
          <w:rFonts w:hint="eastAsia" w:ascii="宋体" w:eastAsia="宋体" w:cs="宋体"/>
          <w:color w:val="auto"/>
          <w:u w:val="single"/>
          <w:lang w:bidi="ar-SA"/>
        </w:rPr>
        <w:t>承包人有违反以下情况之一的，发包人有权解除合同，并没收其全部履约保证金</w:t>
      </w:r>
      <w:r>
        <w:rPr>
          <w:rFonts w:hint="eastAsia" w:ascii="宋体" w:eastAsia="宋体" w:cs="宋体"/>
          <w:color w:val="auto"/>
          <w:kern w:val="0"/>
          <w:lang w:bidi="ar-SA"/>
        </w:rPr>
        <w:t>。</w:t>
      </w:r>
    </w:p>
    <w:p w14:paraId="227D9E4D">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(1)承包人无正当理由不按开工通知的要求及时进场组织施工和不按签订协议书时商定的进度计划有效地开展施工准备，造成工期延误的；</w:t>
      </w:r>
    </w:p>
    <w:p w14:paraId="7924B918">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(2)承包人违反本合同通用条款第3.5条规定私自将合同或合同的任何部分或任何权利转让给其他人，或私自将工程或工程的一部分分包出去的；</w:t>
      </w:r>
    </w:p>
    <w:p w14:paraId="687770E7">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(3)未经监理人批准，承包人私自将已按</w:t>
      </w:r>
      <w:r>
        <w:rPr>
          <w:rFonts w:hint="eastAsia" w:ascii="宋体" w:cs="宋体"/>
          <w:color w:val="auto"/>
          <w:kern w:val="0"/>
          <w:lang w:eastAsia="zh-CN" w:bidi="ar-SA"/>
        </w:rPr>
        <w:t>响应</w:t>
      </w:r>
      <w:r>
        <w:rPr>
          <w:rFonts w:hint="eastAsia" w:ascii="宋体" w:eastAsia="宋体" w:cs="宋体"/>
          <w:color w:val="auto"/>
          <w:kern w:val="0"/>
          <w:lang w:bidi="ar-SA"/>
        </w:rPr>
        <w:t>文件承诺进入工地的工程设备、施工设备、临时工程或材料撤离工地的；</w:t>
      </w:r>
    </w:p>
    <w:p w14:paraId="3203AE75">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(4)由于承包人原因拒绝按合同进度计划及时完成合同规定的工程，而又未采取有效措施赶上进度，造成工期严重延误的；</w:t>
      </w:r>
    </w:p>
    <w:p w14:paraId="2B371C44">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(5)承包人否认合同有效或拒绝履行合同规定的承包人义务，或由于法律、财务等原因导致承包人无法继续履行或实质上已停止履行合同的义务的；</w:t>
      </w:r>
    </w:p>
    <w:p w14:paraId="30EC15D3">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(6)合同签订之日起十五日内，</w:t>
      </w:r>
      <w:r>
        <w:rPr>
          <w:rFonts w:hint="eastAsia" w:ascii="宋体" w:eastAsia="宋体" w:cs="宋体"/>
          <w:color w:val="auto"/>
          <w:lang w:bidi="ar-SA"/>
        </w:rPr>
        <w:t>项目具备进场条件，如承包人无法按照合同规定</w:t>
      </w:r>
      <w:r>
        <w:rPr>
          <w:rFonts w:hint="eastAsia" w:ascii="宋体" w:eastAsia="宋体" w:cs="宋体"/>
          <w:color w:val="auto"/>
          <w:kern w:val="0"/>
          <w:lang w:bidi="ar-SA"/>
        </w:rPr>
        <w:t>及</w:t>
      </w:r>
      <w:r>
        <w:rPr>
          <w:rFonts w:hint="eastAsia" w:ascii="宋体" w:cs="宋体"/>
          <w:color w:val="auto"/>
          <w:kern w:val="0"/>
          <w:lang w:eastAsia="zh-CN" w:bidi="ar-SA"/>
        </w:rPr>
        <w:t>响应</w:t>
      </w:r>
      <w:r>
        <w:rPr>
          <w:rFonts w:hint="eastAsia" w:ascii="宋体" w:eastAsia="宋体" w:cs="宋体"/>
          <w:color w:val="auto"/>
          <w:kern w:val="0"/>
          <w:lang w:bidi="ar-SA"/>
        </w:rPr>
        <w:t>文件的承诺进场经监理工程师认可的全部人员和机械的。</w:t>
      </w:r>
    </w:p>
    <w:p w14:paraId="68EFBC4A">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kern w:val="0"/>
          <w:lang w:bidi="ar-SA"/>
        </w:rPr>
        <w:t>发包人继续使用承包人在施工现场的材料、设备、临时工程、承包人文件和由承包人或以其名义编制的其他文件的费用承担方式：</w:t>
      </w:r>
      <w:r>
        <w:rPr>
          <w:rFonts w:hint="eastAsia" w:ascii="宋体" w:eastAsia="宋体" w:cs="宋体"/>
          <w:color w:val="auto"/>
          <w:kern w:val="0"/>
          <w:u w:val="single"/>
          <w:lang w:bidi="ar-SA"/>
        </w:rPr>
        <w:t>双方另行协商</w:t>
      </w:r>
      <w:r>
        <w:rPr>
          <w:rFonts w:hint="eastAsia" w:ascii="宋体" w:eastAsia="宋体" w:cs="宋体"/>
          <w:color w:val="auto"/>
          <w:kern w:val="0"/>
          <w:lang w:bidi="ar-SA"/>
        </w:rPr>
        <w:t>。</w:t>
      </w:r>
    </w:p>
    <w:p w14:paraId="0EE0EB2C">
      <w:pPr>
        <w:pStyle w:val="53"/>
        <w:snapToGrid w:val="0"/>
        <w:jc w:val="left"/>
        <w:outlineLvl w:val="9"/>
        <w:rPr>
          <w:rFonts w:hint="eastAsia" w:ascii="宋体" w:eastAsia="宋体" w:cs="宋体"/>
          <w:b w:val="0"/>
          <w:color w:val="auto"/>
          <w:sz w:val="21"/>
          <w:szCs w:val="21"/>
          <w:lang w:bidi="ar-SA"/>
        </w:rPr>
      </w:pPr>
      <w:bookmarkStart w:id="711" w:name="_Toc351203649"/>
      <w:r>
        <w:rPr>
          <w:rFonts w:hint="eastAsia" w:ascii="宋体" w:eastAsia="宋体" w:cs="宋体"/>
          <w:b w:val="0"/>
          <w:color w:val="auto"/>
          <w:sz w:val="21"/>
          <w:szCs w:val="21"/>
          <w:lang w:bidi="ar-SA"/>
        </w:rPr>
        <w:t>17. 不可抗力</w:t>
      </w:r>
      <w:bookmarkEnd w:id="711"/>
      <w:r>
        <w:rPr>
          <w:rFonts w:hint="eastAsia" w:ascii="宋体" w:eastAsia="宋体" w:cs="宋体"/>
          <w:b w:val="0"/>
          <w:color w:val="auto"/>
          <w:sz w:val="21"/>
          <w:szCs w:val="21"/>
          <w:lang w:bidi="ar-SA"/>
        </w:rPr>
        <w:t xml:space="preserve"> </w:t>
      </w:r>
      <w:bookmarkEnd w:id="705"/>
    </w:p>
    <w:p w14:paraId="4B237A19">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17.1 不可抗力的确认</w:t>
      </w:r>
    </w:p>
    <w:p w14:paraId="24ED4B0E">
      <w:pPr>
        <w:pStyle w:val="32"/>
        <w:snapToGrid w:val="0"/>
        <w:spacing w:line="360" w:lineRule="auto"/>
        <w:ind w:firstLine="420" w:firstLineChars="200"/>
        <w:jc w:val="left"/>
        <w:outlineLvl w:val="9"/>
        <w:rPr>
          <w:rFonts w:hint="eastAsia" w:ascii="宋体" w:eastAsia="宋体" w:cs="宋体"/>
          <w:color w:val="auto"/>
          <w:kern w:val="0"/>
          <w:u w:val="single"/>
          <w:lang w:bidi="ar-SA"/>
        </w:rPr>
      </w:pPr>
      <w:r>
        <w:rPr>
          <w:rFonts w:hint="eastAsia" w:ascii="宋体" w:eastAsia="宋体" w:cs="宋体"/>
          <w:color w:val="auto"/>
          <w:lang w:bidi="ar-SA"/>
        </w:rPr>
        <w:t>除通用合同条款约定的不可抗力事件之外，视为不可抗力的其他情形：</w:t>
      </w:r>
      <w:r>
        <w:rPr>
          <w:rFonts w:hint="eastAsia" w:ascii="宋体" w:eastAsia="宋体" w:cs="宋体"/>
          <w:color w:val="auto"/>
          <w:kern w:val="0"/>
          <w:u w:val="single"/>
          <w:lang w:bidi="ar-SA"/>
        </w:rPr>
        <w:t xml:space="preserve">  包括因战争、恐怖主义、动乱、空中飞行物体坠落或其他非发包人、承包人责任造成的爆炸、停工、火灾，以及：1、当地气象部门规定的情形；2、当地地震部门规定的情形；3、当地卫生部门规定的情形；4、疫情；5、其他不可预见，不能避免不能克服的事件 </w:t>
      </w:r>
      <w:r>
        <w:rPr>
          <w:rFonts w:hint="eastAsia" w:ascii="宋体" w:eastAsia="宋体" w:cs="宋体"/>
          <w:color w:val="auto"/>
          <w:kern w:val="0"/>
          <w:lang w:bidi="ar-SA"/>
        </w:rPr>
        <w:t>。</w:t>
      </w:r>
    </w:p>
    <w:p w14:paraId="118268C7">
      <w:pPr>
        <w:pStyle w:val="32"/>
        <w:snapToGrid w:val="0"/>
        <w:spacing w:line="360" w:lineRule="auto"/>
        <w:jc w:val="left"/>
        <w:outlineLvl w:val="9"/>
        <w:rPr>
          <w:rFonts w:hint="eastAsia" w:ascii="宋体" w:eastAsia="宋体" w:cs="宋体"/>
          <w:color w:val="auto"/>
          <w:lang w:bidi="ar-SA"/>
        </w:rPr>
      </w:pPr>
      <w:bookmarkStart w:id="712" w:name="_Toc17766"/>
      <w:bookmarkStart w:id="713" w:name="_Toc13076"/>
      <w:r>
        <w:rPr>
          <w:rFonts w:hint="eastAsia" w:ascii="宋体" w:eastAsia="宋体" w:cs="宋体"/>
          <w:color w:val="auto"/>
          <w:lang w:bidi="ar-SA"/>
        </w:rPr>
        <w:t>17.4 因不可抗力解除合同</w:t>
      </w:r>
      <w:bookmarkEnd w:id="712"/>
      <w:bookmarkEnd w:id="713"/>
    </w:p>
    <w:p w14:paraId="1650B13D">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合同解除后，发包人应在商定或确定发包人应支付款项后</w:t>
      </w:r>
      <w:r>
        <w:rPr>
          <w:rFonts w:hint="eastAsia" w:ascii="宋体" w:eastAsia="宋体" w:cs="宋体"/>
          <w:color w:val="auto"/>
          <w:u w:val="single"/>
          <w:lang w:bidi="ar-SA"/>
        </w:rPr>
        <w:t>28</w:t>
      </w:r>
      <w:r>
        <w:rPr>
          <w:rFonts w:hint="eastAsia" w:ascii="宋体" w:eastAsia="宋体" w:cs="宋体"/>
          <w:color w:val="auto"/>
          <w:lang w:bidi="ar-SA"/>
        </w:rPr>
        <w:t>天内完成款项的支付。</w:t>
      </w:r>
    </w:p>
    <w:p w14:paraId="2E861ADE">
      <w:pPr>
        <w:pStyle w:val="53"/>
        <w:snapToGrid w:val="0"/>
        <w:jc w:val="left"/>
        <w:outlineLvl w:val="9"/>
        <w:rPr>
          <w:rFonts w:hint="eastAsia" w:ascii="宋体" w:eastAsia="宋体" w:cs="宋体"/>
          <w:b w:val="0"/>
          <w:color w:val="auto"/>
          <w:sz w:val="21"/>
          <w:szCs w:val="21"/>
          <w:lang w:bidi="ar-SA"/>
        </w:rPr>
      </w:pPr>
      <w:bookmarkStart w:id="714" w:name="_Toc351203650"/>
      <w:r>
        <w:rPr>
          <w:rFonts w:hint="eastAsia" w:ascii="宋体" w:eastAsia="宋体" w:cs="宋体"/>
          <w:b w:val="0"/>
          <w:color w:val="auto"/>
          <w:sz w:val="21"/>
          <w:szCs w:val="21"/>
          <w:lang w:bidi="ar-SA"/>
        </w:rPr>
        <w:t>18. 保险</w:t>
      </w:r>
      <w:bookmarkEnd w:id="714"/>
    </w:p>
    <w:bookmarkEnd w:id="706"/>
    <w:p w14:paraId="2AB482D6">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18.1 工程保险</w:t>
      </w:r>
    </w:p>
    <w:p w14:paraId="560FD280">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关于工程保险的特别约定：</w:t>
      </w:r>
      <w:r>
        <w:rPr>
          <w:rFonts w:hint="eastAsia" w:ascii="宋体" w:eastAsia="宋体" w:cs="宋体"/>
          <w:color w:val="auto"/>
          <w:kern w:val="0"/>
          <w:u w:val="single"/>
          <w:lang w:bidi="ar-SA"/>
        </w:rPr>
        <w:t xml:space="preserve">  /  </w:t>
      </w:r>
      <w:r>
        <w:rPr>
          <w:rFonts w:hint="eastAsia" w:ascii="宋体" w:eastAsia="宋体" w:cs="宋体"/>
          <w:color w:val="auto"/>
          <w:kern w:val="0"/>
          <w:lang w:bidi="ar-SA"/>
        </w:rPr>
        <w:t>。</w:t>
      </w:r>
    </w:p>
    <w:p w14:paraId="2C645E1D">
      <w:pPr>
        <w:pStyle w:val="32"/>
        <w:snapToGrid w:val="0"/>
        <w:spacing w:line="360" w:lineRule="auto"/>
        <w:jc w:val="left"/>
        <w:outlineLvl w:val="9"/>
        <w:rPr>
          <w:rFonts w:hint="eastAsia" w:ascii="宋体" w:eastAsia="宋体" w:cs="宋体"/>
          <w:color w:val="auto"/>
          <w:lang w:bidi="ar-SA"/>
        </w:rPr>
      </w:pPr>
      <w:bookmarkStart w:id="715" w:name="_Toc30777"/>
      <w:bookmarkStart w:id="716" w:name="_Toc26106"/>
      <w:r>
        <w:rPr>
          <w:rFonts w:hint="eastAsia" w:ascii="宋体" w:eastAsia="宋体" w:cs="宋体"/>
          <w:color w:val="auto"/>
          <w:lang w:bidi="ar-SA"/>
        </w:rPr>
        <w:t>18.3 其他保险</w:t>
      </w:r>
      <w:bookmarkEnd w:id="715"/>
      <w:bookmarkEnd w:id="716"/>
    </w:p>
    <w:p w14:paraId="17236F45">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lang w:bidi="ar-SA"/>
        </w:rPr>
        <w:t>关于其他保险的约定：</w:t>
      </w:r>
      <w:r>
        <w:rPr>
          <w:rFonts w:hint="eastAsia" w:ascii="宋体" w:eastAsia="宋体" w:cs="宋体"/>
          <w:color w:val="auto"/>
          <w:kern w:val="0"/>
          <w:u w:val="single"/>
          <w:lang w:bidi="ar-SA"/>
        </w:rPr>
        <w:t xml:space="preserve">  /  </w:t>
      </w:r>
      <w:r>
        <w:rPr>
          <w:rFonts w:hint="eastAsia" w:ascii="宋体" w:eastAsia="宋体" w:cs="宋体"/>
          <w:color w:val="auto"/>
          <w:kern w:val="0"/>
          <w:lang w:bidi="ar-SA"/>
        </w:rPr>
        <w:t>。</w:t>
      </w:r>
    </w:p>
    <w:p w14:paraId="6D00AF83">
      <w:pPr>
        <w:pStyle w:val="32"/>
        <w:snapToGrid w:val="0"/>
        <w:spacing w:line="360" w:lineRule="auto"/>
        <w:ind w:firstLine="420" w:firstLineChars="200"/>
        <w:jc w:val="left"/>
        <w:outlineLvl w:val="9"/>
        <w:rPr>
          <w:rFonts w:hint="eastAsia" w:ascii="宋体" w:eastAsia="宋体" w:cs="宋体"/>
          <w:color w:val="auto"/>
          <w:kern w:val="0"/>
          <w:lang w:bidi="ar-SA"/>
        </w:rPr>
      </w:pPr>
      <w:r>
        <w:rPr>
          <w:rFonts w:hint="eastAsia" w:ascii="宋体" w:eastAsia="宋体" w:cs="宋体"/>
          <w:color w:val="auto"/>
          <w:lang w:bidi="ar-SA"/>
        </w:rPr>
        <w:t>承包人是否应为其施工设备等办理财产保险：</w:t>
      </w:r>
      <w:r>
        <w:rPr>
          <w:rFonts w:hint="eastAsia" w:ascii="宋体" w:eastAsia="宋体" w:cs="宋体"/>
          <w:color w:val="auto"/>
          <w:u w:val="single"/>
          <w:lang w:bidi="ar-SA"/>
        </w:rPr>
        <w:t>按通用条款，无特殊约定</w:t>
      </w:r>
      <w:r>
        <w:rPr>
          <w:rFonts w:hint="eastAsia" w:ascii="宋体" w:eastAsia="宋体" w:cs="宋体"/>
          <w:color w:val="auto"/>
          <w:lang w:bidi="ar-SA"/>
        </w:rPr>
        <w:t>。</w:t>
      </w:r>
    </w:p>
    <w:p w14:paraId="5F5E1F1B">
      <w:pPr>
        <w:pStyle w:val="32"/>
        <w:snapToGrid w:val="0"/>
        <w:spacing w:line="360" w:lineRule="auto"/>
        <w:jc w:val="left"/>
        <w:outlineLvl w:val="9"/>
        <w:rPr>
          <w:rFonts w:hint="eastAsia" w:ascii="宋体" w:eastAsia="宋体" w:cs="宋体"/>
          <w:color w:val="auto"/>
          <w:lang w:bidi="ar-SA"/>
        </w:rPr>
      </w:pPr>
      <w:r>
        <w:rPr>
          <w:rFonts w:hint="eastAsia" w:ascii="宋体" w:eastAsia="宋体" w:cs="宋体"/>
          <w:color w:val="auto"/>
          <w:lang w:bidi="ar-SA"/>
        </w:rPr>
        <w:t>18.7 通知义务</w:t>
      </w:r>
    </w:p>
    <w:p w14:paraId="6C0428E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kern w:val="0"/>
          <w:lang w:bidi="ar-SA"/>
        </w:rPr>
        <w:t>关于变更保险合同时的通知义务的约定：</w:t>
      </w:r>
      <w:r>
        <w:rPr>
          <w:rFonts w:hint="eastAsia" w:ascii="宋体" w:eastAsia="宋体" w:cs="宋体"/>
          <w:color w:val="auto"/>
          <w:u w:val="single"/>
          <w:lang w:bidi="ar-SA"/>
        </w:rPr>
        <w:t>按通用条款，无特殊约定</w:t>
      </w:r>
      <w:r>
        <w:rPr>
          <w:rFonts w:hint="eastAsia" w:ascii="宋体" w:eastAsia="宋体" w:cs="宋体"/>
          <w:color w:val="auto"/>
          <w:lang w:bidi="ar-SA"/>
        </w:rPr>
        <w:t>。</w:t>
      </w:r>
    </w:p>
    <w:bookmarkEnd w:id="674"/>
    <w:bookmarkEnd w:id="675"/>
    <w:bookmarkEnd w:id="676"/>
    <w:bookmarkEnd w:id="677"/>
    <w:bookmarkEnd w:id="678"/>
    <w:bookmarkEnd w:id="679"/>
    <w:bookmarkEnd w:id="680"/>
    <w:bookmarkEnd w:id="681"/>
    <w:bookmarkEnd w:id="682"/>
    <w:bookmarkEnd w:id="683"/>
    <w:bookmarkEnd w:id="684"/>
    <w:bookmarkEnd w:id="685"/>
    <w:p w14:paraId="100426E6">
      <w:pPr>
        <w:pStyle w:val="53"/>
        <w:snapToGrid w:val="0"/>
        <w:jc w:val="left"/>
        <w:outlineLvl w:val="9"/>
        <w:rPr>
          <w:rFonts w:hint="eastAsia" w:ascii="宋体" w:eastAsia="宋体" w:cs="宋体"/>
          <w:b w:val="0"/>
          <w:color w:val="auto"/>
          <w:sz w:val="21"/>
          <w:szCs w:val="21"/>
          <w:lang w:bidi="ar-SA"/>
        </w:rPr>
      </w:pPr>
      <w:bookmarkStart w:id="717" w:name="_Toc351203651"/>
      <w:r>
        <w:rPr>
          <w:rFonts w:hint="eastAsia" w:ascii="宋体" w:eastAsia="宋体" w:cs="宋体"/>
          <w:b w:val="0"/>
          <w:color w:val="auto"/>
          <w:sz w:val="21"/>
          <w:szCs w:val="21"/>
          <w:lang w:bidi="ar-SA"/>
        </w:rPr>
        <w:t>20. 争议解决</w:t>
      </w:r>
      <w:bookmarkEnd w:id="717"/>
    </w:p>
    <w:bookmarkEnd w:id="686"/>
    <w:bookmarkEnd w:id="687"/>
    <w:p w14:paraId="46CF0B0C">
      <w:pPr>
        <w:pStyle w:val="32"/>
        <w:snapToGrid w:val="0"/>
        <w:spacing w:line="360" w:lineRule="auto"/>
        <w:jc w:val="left"/>
        <w:outlineLvl w:val="9"/>
        <w:rPr>
          <w:rFonts w:hint="eastAsia" w:ascii="宋体" w:eastAsia="宋体" w:cs="宋体"/>
          <w:color w:val="auto"/>
          <w:lang w:bidi="ar-SA"/>
        </w:rPr>
      </w:pPr>
      <w:bookmarkStart w:id="718" w:name="_Toc6559"/>
      <w:bookmarkStart w:id="719" w:name="_Toc2138"/>
      <w:r>
        <w:rPr>
          <w:rFonts w:hint="eastAsia" w:ascii="宋体" w:eastAsia="宋体" w:cs="宋体"/>
          <w:color w:val="auto"/>
          <w:lang w:bidi="ar-SA"/>
        </w:rPr>
        <w:t>20.3 争</w:t>
      </w:r>
      <w:bookmarkEnd w:id="688"/>
      <w:r>
        <w:rPr>
          <w:rFonts w:hint="eastAsia" w:ascii="宋体" w:eastAsia="宋体" w:cs="宋体"/>
          <w:color w:val="auto"/>
          <w:lang w:bidi="ar-SA"/>
        </w:rPr>
        <w:t>议评审</w:t>
      </w:r>
      <w:bookmarkEnd w:id="718"/>
      <w:bookmarkEnd w:id="719"/>
    </w:p>
    <w:p w14:paraId="374131D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合同当事人是否同意将工程争议提交争议评审小组决定：</w:t>
      </w:r>
      <w:r>
        <w:rPr>
          <w:rFonts w:hint="eastAsia" w:ascii="宋体" w:eastAsia="宋体" w:cs="宋体"/>
          <w:color w:val="auto"/>
          <w:u w:val="single"/>
          <w:lang w:bidi="ar-SA"/>
        </w:rPr>
        <w:t xml:space="preserve">  /  </w:t>
      </w:r>
      <w:r>
        <w:rPr>
          <w:rFonts w:hint="eastAsia" w:ascii="宋体" w:eastAsia="宋体" w:cs="宋体"/>
          <w:color w:val="auto"/>
          <w:lang w:bidi="ar-SA"/>
        </w:rPr>
        <w:t xml:space="preserve">。  </w:t>
      </w:r>
    </w:p>
    <w:p w14:paraId="3AF2FAAB">
      <w:pPr>
        <w:pStyle w:val="32"/>
        <w:snapToGrid w:val="0"/>
        <w:spacing w:line="360" w:lineRule="auto"/>
        <w:ind w:firstLine="420" w:firstLineChars="200"/>
        <w:jc w:val="left"/>
        <w:outlineLvl w:val="9"/>
        <w:rPr>
          <w:rFonts w:hint="eastAsia" w:ascii="宋体" w:eastAsia="宋体" w:cs="宋体"/>
          <w:color w:val="auto"/>
          <w:lang w:bidi="ar-SA"/>
        </w:rPr>
      </w:pPr>
      <w:bookmarkStart w:id="720" w:name="_Toc30387"/>
      <w:bookmarkStart w:id="721" w:name="_Toc32765"/>
      <w:r>
        <w:rPr>
          <w:rFonts w:hint="eastAsia" w:ascii="宋体" w:eastAsia="宋体" w:cs="宋体"/>
          <w:color w:val="auto"/>
          <w:lang w:bidi="ar-SA"/>
        </w:rPr>
        <w:t>20.3.1 争议评审小组的确定</w:t>
      </w:r>
      <w:bookmarkEnd w:id="720"/>
      <w:bookmarkEnd w:id="721"/>
    </w:p>
    <w:p w14:paraId="4DB71172">
      <w:pPr>
        <w:pStyle w:val="32"/>
        <w:snapToGrid w:val="0"/>
        <w:spacing w:line="360" w:lineRule="auto"/>
        <w:ind w:firstLine="420" w:firstLineChars="200"/>
        <w:jc w:val="left"/>
        <w:outlineLvl w:val="9"/>
        <w:rPr>
          <w:rFonts w:hint="eastAsia" w:ascii="宋体" w:eastAsia="宋体" w:cs="宋体"/>
          <w:color w:val="auto"/>
          <w:u w:val="single"/>
          <w:lang w:bidi="ar-SA"/>
        </w:rPr>
      </w:pPr>
      <w:r>
        <w:rPr>
          <w:rFonts w:hint="eastAsia" w:ascii="宋体" w:eastAsia="宋体" w:cs="宋体"/>
          <w:color w:val="auto"/>
          <w:lang w:bidi="ar-SA"/>
        </w:rPr>
        <w:t>争议评审小组成员的确定：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3498725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选定争议评审员的期限：</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5915CC34">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争议评审小组成员的报酬承担方式：</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16F4ABFE">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其他事项的约定：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08A2FF32">
      <w:pPr>
        <w:pStyle w:val="32"/>
        <w:autoSpaceDE w:val="0"/>
        <w:autoSpaceDN w:val="0"/>
        <w:adjustRightInd w:val="0"/>
        <w:snapToGrid w:val="0"/>
        <w:spacing w:line="360" w:lineRule="auto"/>
        <w:ind w:firstLine="420" w:firstLineChars="200"/>
        <w:jc w:val="left"/>
        <w:outlineLvl w:val="9"/>
        <w:rPr>
          <w:rFonts w:hint="eastAsia" w:ascii="宋体" w:eastAsia="宋体" w:cs="宋体"/>
          <w:color w:val="auto"/>
          <w:kern w:val="0"/>
          <w:lang w:bidi="ar-SA"/>
        </w:rPr>
      </w:pPr>
      <w:bookmarkStart w:id="722" w:name="_Toc17574"/>
      <w:bookmarkStart w:id="723" w:name="_Toc22312"/>
      <w:r>
        <w:rPr>
          <w:rFonts w:hint="eastAsia" w:ascii="宋体" w:eastAsia="宋体" w:cs="宋体"/>
          <w:color w:val="auto"/>
          <w:kern w:val="0"/>
          <w:lang w:bidi="ar-SA"/>
        </w:rPr>
        <w:t>20.3.2 争议评审小组的决定</w:t>
      </w:r>
      <w:bookmarkEnd w:id="722"/>
      <w:bookmarkEnd w:id="723"/>
    </w:p>
    <w:p w14:paraId="6279A6D5">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合同当事人关于本项的约定：</w:t>
      </w:r>
      <w:r>
        <w:rPr>
          <w:rFonts w:hint="eastAsia" w:ascii="宋体" w:eastAsia="宋体" w:cs="宋体"/>
          <w:color w:val="auto"/>
          <w:u w:val="single"/>
          <w:lang w:bidi="ar-SA"/>
        </w:rPr>
        <w:t xml:space="preserve">  /  </w:t>
      </w:r>
      <w:r>
        <w:rPr>
          <w:rFonts w:hint="eastAsia" w:ascii="宋体" w:eastAsia="宋体" w:cs="宋体"/>
          <w:color w:val="auto"/>
          <w:lang w:bidi="ar-SA"/>
        </w:rPr>
        <w:t>。</w:t>
      </w:r>
    </w:p>
    <w:p w14:paraId="18BDC5C3">
      <w:pPr>
        <w:pStyle w:val="32"/>
        <w:snapToGrid w:val="0"/>
        <w:spacing w:line="360" w:lineRule="auto"/>
        <w:jc w:val="left"/>
        <w:outlineLvl w:val="9"/>
        <w:rPr>
          <w:rFonts w:hint="eastAsia" w:ascii="宋体" w:eastAsia="宋体" w:cs="宋体"/>
          <w:color w:val="auto"/>
          <w:lang w:bidi="ar-SA"/>
        </w:rPr>
      </w:pPr>
      <w:bookmarkStart w:id="724" w:name="_Toc28534"/>
      <w:bookmarkStart w:id="725" w:name="_Toc18706"/>
      <w:r>
        <w:rPr>
          <w:rFonts w:hint="eastAsia" w:ascii="宋体" w:eastAsia="宋体" w:cs="宋体"/>
          <w:color w:val="auto"/>
          <w:lang w:bidi="ar-SA"/>
        </w:rPr>
        <w:t>20.4仲裁或诉讼</w:t>
      </w:r>
      <w:bookmarkEnd w:id="689"/>
      <w:bookmarkEnd w:id="724"/>
      <w:bookmarkEnd w:id="725"/>
    </w:p>
    <w:p w14:paraId="59D08057">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因合同及合同有关事项发生的争议，按下列第</w:t>
      </w:r>
      <w:r>
        <w:rPr>
          <w:rFonts w:hint="eastAsia" w:ascii="宋体" w:eastAsia="宋体" w:cs="宋体"/>
          <w:color w:val="auto"/>
          <w:u w:val="single"/>
          <w:lang w:bidi="ar-SA"/>
        </w:rPr>
        <w:t xml:space="preserve"> （2） </w:t>
      </w:r>
      <w:r>
        <w:rPr>
          <w:rFonts w:hint="eastAsia" w:ascii="宋体" w:eastAsia="宋体" w:cs="宋体"/>
          <w:color w:val="auto"/>
          <w:lang w:bidi="ar-SA"/>
        </w:rPr>
        <w:t>种方式解决：</w:t>
      </w:r>
    </w:p>
    <w:p w14:paraId="4186DD83">
      <w:pPr>
        <w:pStyle w:val="32"/>
        <w:snapToGrid w:val="0"/>
        <w:spacing w:line="360" w:lineRule="auto"/>
        <w:ind w:firstLine="420" w:firstLineChars="200"/>
        <w:jc w:val="left"/>
        <w:outlineLvl w:val="9"/>
        <w:rPr>
          <w:rFonts w:hint="eastAsia" w:ascii="宋体" w:eastAsia="宋体" w:cs="宋体"/>
          <w:color w:val="auto"/>
          <w:lang w:bidi="ar-SA"/>
        </w:rPr>
      </w:pPr>
      <w:r>
        <w:rPr>
          <w:rFonts w:hint="eastAsia" w:ascii="宋体" w:eastAsia="宋体" w:cs="宋体"/>
          <w:color w:val="auto"/>
          <w:lang w:bidi="ar-SA"/>
        </w:rPr>
        <w:t>（1）向</w:t>
      </w:r>
      <w:r>
        <w:rPr>
          <w:rFonts w:hint="eastAsia" w:ascii="宋体" w:eastAsia="宋体" w:cs="宋体"/>
          <w:color w:val="auto"/>
          <w:u w:val="single"/>
          <w:lang w:bidi="ar-SA"/>
        </w:rPr>
        <w:t xml:space="preserve"> 桂林市  </w:t>
      </w:r>
      <w:r>
        <w:rPr>
          <w:rFonts w:hint="eastAsia" w:ascii="宋体" w:eastAsia="宋体" w:cs="宋体"/>
          <w:color w:val="auto"/>
          <w:lang w:bidi="ar-SA"/>
        </w:rPr>
        <w:t>仲裁委员会申请仲裁；</w:t>
      </w:r>
    </w:p>
    <w:p w14:paraId="76248DB5">
      <w:pPr>
        <w:pStyle w:val="32"/>
        <w:snapToGrid w:val="0"/>
        <w:spacing w:line="360" w:lineRule="auto"/>
        <w:ind w:firstLine="420" w:firstLineChars="200"/>
        <w:jc w:val="left"/>
        <w:outlineLvl w:val="9"/>
        <w:rPr>
          <w:rFonts w:hint="eastAsia" w:ascii="宋体" w:eastAsia="宋体" w:cs="宋体"/>
          <w:b/>
          <w:bCs/>
          <w:color w:val="auto"/>
          <w:sz w:val="24"/>
          <w:lang w:bidi="ar-SA"/>
        </w:rPr>
      </w:pPr>
      <w:r>
        <w:rPr>
          <w:rFonts w:hint="eastAsia" w:ascii="宋体" w:eastAsia="宋体" w:cs="宋体"/>
          <w:color w:val="auto"/>
          <w:lang w:bidi="ar-SA"/>
        </w:rPr>
        <w:t>（2）向</w:t>
      </w:r>
      <w:r>
        <w:rPr>
          <w:rFonts w:hint="eastAsia" w:ascii="宋体" w:eastAsia="宋体" w:cs="宋体"/>
          <w:color w:val="auto"/>
          <w:u w:val="single"/>
          <w:lang w:bidi="ar-SA"/>
        </w:rPr>
        <w:t>有管辖权的</w:t>
      </w:r>
      <w:r>
        <w:rPr>
          <w:rFonts w:hint="eastAsia" w:ascii="宋体" w:eastAsia="宋体" w:cs="宋体"/>
          <w:color w:val="auto"/>
          <w:lang w:bidi="ar-SA"/>
        </w:rPr>
        <w:t>人民法院起诉。</w:t>
      </w:r>
      <w:bookmarkEnd w:id="690"/>
      <w:bookmarkEnd w:id="691"/>
      <w:bookmarkEnd w:id="692"/>
      <w:bookmarkEnd w:id="693"/>
      <w:bookmarkEnd w:id="694"/>
      <w:bookmarkEnd w:id="695"/>
    </w:p>
    <w:p w14:paraId="5F77BD4C">
      <w:pPr>
        <w:outlineLvl w:val="9"/>
        <w:rPr>
          <w:color w:val="auto"/>
        </w:rPr>
      </w:pPr>
    </w:p>
    <w:p w14:paraId="1AA674ED">
      <w:pPr>
        <w:outlineLvl w:val="9"/>
        <w:rPr>
          <w:rFonts w:hint="eastAsia"/>
          <w:color w:val="auto"/>
        </w:rPr>
      </w:pPr>
    </w:p>
    <w:p w14:paraId="39353B84">
      <w:pPr>
        <w:outlineLvl w:val="9"/>
        <w:rPr>
          <w:rFonts w:hint="eastAsia"/>
          <w:color w:val="auto"/>
        </w:rPr>
      </w:pPr>
    </w:p>
    <w:p w14:paraId="11C21823">
      <w:pPr>
        <w:pStyle w:val="29"/>
        <w:jc w:val="center"/>
        <w:outlineLvl w:val="9"/>
        <w:rPr>
          <w:rFonts w:hint="eastAsia" w:ascii="宋体" w:eastAsia="宋体" w:cs="宋体"/>
          <w:color w:val="auto"/>
          <w:sz w:val="30"/>
          <w:szCs w:val="30"/>
          <w:lang w:bidi="ar-SA"/>
        </w:rPr>
      </w:pPr>
    </w:p>
    <w:p w14:paraId="60163203">
      <w:pPr>
        <w:pStyle w:val="29"/>
        <w:jc w:val="center"/>
        <w:outlineLvl w:val="9"/>
        <w:rPr>
          <w:rFonts w:hint="eastAsia" w:ascii="宋体" w:eastAsia="宋体" w:cs="宋体"/>
          <w:color w:val="auto"/>
          <w:sz w:val="30"/>
          <w:szCs w:val="30"/>
          <w:lang w:bidi="ar-SA"/>
        </w:rPr>
      </w:pPr>
    </w:p>
    <w:p w14:paraId="33607E60">
      <w:pPr>
        <w:pStyle w:val="29"/>
        <w:jc w:val="center"/>
        <w:outlineLvl w:val="9"/>
        <w:rPr>
          <w:rFonts w:hint="eastAsia" w:ascii="宋体" w:eastAsia="宋体" w:cs="宋体"/>
          <w:color w:val="auto"/>
          <w:sz w:val="30"/>
          <w:szCs w:val="30"/>
          <w:lang w:bidi="ar-SA"/>
        </w:rPr>
      </w:pPr>
    </w:p>
    <w:p w14:paraId="54CE2FDA">
      <w:pPr>
        <w:pStyle w:val="29"/>
        <w:jc w:val="center"/>
        <w:outlineLvl w:val="9"/>
        <w:rPr>
          <w:rFonts w:hint="eastAsia" w:ascii="宋体" w:eastAsia="宋体" w:cs="宋体"/>
          <w:color w:val="auto"/>
          <w:sz w:val="30"/>
          <w:szCs w:val="30"/>
          <w:lang w:bidi="ar-SA"/>
        </w:rPr>
      </w:pPr>
    </w:p>
    <w:p w14:paraId="157DE95D">
      <w:pPr>
        <w:pStyle w:val="29"/>
        <w:jc w:val="center"/>
        <w:outlineLvl w:val="9"/>
        <w:rPr>
          <w:rFonts w:hint="eastAsia" w:ascii="宋体" w:eastAsia="宋体" w:cs="宋体"/>
          <w:color w:val="auto"/>
          <w:sz w:val="30"/>
          <w:szCs w:val="30"/>
          <w:lang w:bidi="ar-SA"/>
        </w:rPr>
      </w:pPr>
      <w:r>
        <w:rPr>
          <w:rFonts w:hint="eastAsia" w:ascii="宋体" w:eastAsia="宋体" w:cs="宋体"/>
          <w:color w:val="auto"/>
          <w:sz w:val="30"/>
          <w:szCs w:val="30"/>
          <w:lang w:bidi="ar-SA"/>
        </w:rPr>
        <w:t>工程质量保修书</w:t>
      </w:r>
    </w:p>
    <w:p w14:paraId="4E2317FF">
      <w:pPr>
        <w:pStyle w:val="29"/>
        <w:outlineLvl w:val="9"/>
        <w:rPr>
          <w:rFonts w:hint="eastAsia" w:ascii="宋体" w:eastAsia="宋体" w:cs="宋体"/>
          <w:color w:val="auto"/>
          <w:sz w:val="30"/>
          <w:szCs w:val="30"/>
          <w:lang w:bidi="ar-SA"/>
        </w:rPr>
      </w:pPr>
    </w:p>
    <w:p w14:paraId="486FE54C">
      <w:pPr>
        <w:pStyle w:val="51"/>
        <w:outlineLvl w:val="9"/>
        <w:rPr>
          <w:rFonts w:hint="eastAsia" w:ascii="宋体" w:eastAsia="宋体" w:cs="宋体"/>
          <w:color w:val="auto"/>
          <w:lang w:bidi="ar-SA"/>
        </w:rPr>
      </w:pPr>
      <w:r>
        <w:rPr>
          <w:rFonts w:hint="eastAsia" w:ascii="宋体" w:eastAsia="宋体" w:cs="宋体"/>
          <w:color w:val="auto"/>
          <w:lang w:bidi="ar-SA"/>
        </w:rPr>
        <w:t>发包人（全称）：</w:t>
      </w:r>
      <w:r>
        <w:rPr>
          <w:rFonts w:hint="eastAsia" w:ascii="宋体" w:eastAsia="宋体" w:cs="宋体"/>
          <w:color w:val="auto"/>
          <w:u w:val="single"/>
          <w:lang w:bidi="ar-SA"/>
        </w:rPr>
        <w:t xml:space="preserve">                                </w:t>
      </w:r>
      <w:r>
        <w:rPr>
          <w:rFonts w:hint="eastAsia" w:ascii="宋体" w:eastAsia="宋体" w:cs="宋体"/>
          <w:color w:val="auto"/>
          <w:lang w:bidi="ar-SA"/>
        </w:rPr>
        <w:t xml:space="preserve"> </w:t>
      </w:r>
    </w:p>
    <w:p w14:paraId="4DC59F83">
      <w:pPr>
        <w:pStyle w:val="51"/>
        <w:outlineLvl w:val="9"/>
        <w:rPr>
          <w:rFonts w:hint="eastAsia" w:ascii="宋体" w:eastAsia="宋体" w:cs="宋体"/>
          <w:color w:val="auto"/>
          <w:lang w:bidi="ar-SA"/>
        </w:rPr>
      </w:pPr>
      <w:r>
        <w:rPr>
          <w:rFonts w:hint="eastAsia" w:ascii="宋体" w:eastAsia="宋体" w:cs="宋体"/>
          <w:color w:val="auto"/>
          <w:lang w:bidi="ar-SA"/>
        </w:rPr>
        <w:t>承包人（全称）：</w:t>
      </w:r>
      <w:r>
        <w:rPr>
          <w:rFonts w:hint="eastAsia" w:ascii="宋体" w:eastAsia="宋体" w:cs="宋体"/>
          <w:color w:val="auto"/>
          <w:u w:val="single"/>
          <w:lang w:bidi="ar-SA"/>
        </w:rPr>
        <w:t xml:space="preserve">                                </w:t>
      </w:r>
      <w:r>
        <w:rPr>
          <w:rFonts w:hint="eastAsia" w:ascii="宋体" w:eastAsia="宋体" w:cs="宋体"/>
          <w:color w:val="auto"/>
          <w:lang w:bidi="ar-SA"/>
        </w:rPr>
        <w:t xml:space="preserve"> </w:t>
      </w:r>
    </w:p>
    <w:p w14:paraId="1B54B83A">
      <w:pPr>
        <w:pStyle w:val="51"/>
        <w:outlineLvl w:val="9"/>
        <w:rPr>
          <w:rFonts w:hint="eastAsia" w:ascii="宋体" w:eastAsia="宋体" w:cs="宋体"/>
          <w:color w:val="auto"/>
          <w:lang w:bidi="ar-SA"/>
        </w:rPr>
      </w:pPr>
    </w:p>
    <w:p w14:paraId="1ED4D83F">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发包人和承包人根据《中华人民共和国建筑法》和《建设工程质量管理条例》，经协商一致就</w:t>
      </w:r>
      <w:r>
        <w:rPr>
          <w:rFonts w:hint="eastAsia" w:ascii="宋体" w:eastAsia="宋体" w:cs="宋体"/>
          <w:color w:val="auto"/>
          <w:u w:val="single"/>
          <w:lang w:bidi="ar-SA"/>
        </w:rPr>
        <w:t>（工程全称）</w:t>
      </w:r>
      <w:r>
        <w:rPr>
          <w:rFonts w:hint="eastAsia" w:ascii="宋体" w:eastAsia="宋体" w:cs="宋体"/>
          <w:color w:val="auto"/>
          <w:lang w:bidi="ar-SA"/>
        </w:rPr>
        <w:t>签订工程质量保修书。</w:t>
      </w:r>
    </w:p>
    <w:p w14:paraId="157340BE">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一、工程质量保修范围和内容</w:t>
      </w:r>
    </w:p>
    <w:p w14:paraId="20F14CFF">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承包人在质量保修期内，按照有关法律规定和合同约定，承担工程质量保修责任。</w:t>
      </w:r>
    </w:p>
    <w:p w14:paraId="2D6CDA8C">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质量保修范围包括</w:t>
      </w:r>
      <w:r>
        <w:rPr>
          <w:rFonts w:hint="eastAsia" w:ascii="宋体" w:eastAsia="宋体" w:cs="宋体"/>
          <w:color w:val="auto"/>
          <w:u w:val="single"/>
          <w:lang w:bidi="ar-SA"/>
        </w:rPr>
        <w:t>承包范围内施工内容</w:t>
      </w:r>
      <w:r>
        <w:rPr>
          <w:rFonts w:hint="eastAsia" w:ascii="宋体" w:eastAsia="宋体" w:cs="宋体"/>
          <w:color w:val="auto"/>
          <w:lang w:bidi="ar-SA"/>
        </w:rPr>
        <w:t>，以及双方约定的其他项目。具体保修的内容，双方约定如下：</w:t>
      </w:r>
      <w:r>
        <w:rPr>
          <w:rFonts w:hint="eastAsia" w:ascii="宋体" w:eastAsia="宋体" w:cs="宋体"/>
          <w:color w:val="auto"/>
          <w:u w:val="single"/>
          <w:lang w:bidi="ar-SA"/>
        </w:rPr>
        <w:t>本工程所有施工内容</w:t>
      </w:r>
      <w:r>
        <w:rPr>
          <w:rFonts w:hint="eastAsia" w:ascii="宋体" w:eastAsia="宋体" w:cs="宋体"/>
          <w:color w:val="auto"/>
          <w:lang w:bidi="ar-SA"/>
        </w:rPr>
        <w:t>。</w:t>
      </w:r>
    </w:p>
    <w:p w14:paraId="479D2B86">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二、质量保修期</w:t>
      </w:r>
    </w:p>
    <w:p w14:paraId="2AD72D98">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根据《建设工程质量管理条例》及有关规定，工程的质量保修期如下：</w:t>
      </w:r>
    </w:p>
    <w:p w14:paraId="19C070E4">
      <w:pPr>
        <w:pStyle w:val="56"/>
        <w:adjustRightInd w:val="0"/>
        <w:snapToGrid w:val="0"/>
        <w:spacing w:line="400" w:lineRule="exact"/>
        <w:ind w:firstLine="420" w:firstLineChars="200"/>
        <w:outlineLvl w:val="9"/>
        <w:rPr>
          <w:rFonts w:hint="eastAsia" w:ascii="宋体" w:eastAsia="宋体" w:cs="宋体"/>
          <w:color w:val="auto"/>
          <w:szCs w:val="21"/>
          <w:lang w:bidi="ar-SA"/>
        </w:rPr>
      </w:pPr>
      <w:r>
        <w:rPr>
          <w:rFonts w:hint="eastAsia" w:ascii="宋体" w:eastAsia="宋体" w:cs="宋体"/>
          <w:color w:val="auto"/>
          <w:szCs w:val="21"/>
          <w:lang w:bidi="ar-SA"/>
        </w:rPr>
        <w:t>1．地基基础工程和主体结构工程为设计文件规定的工程合理使用年限；</w:t>
      </w:r>
    </w:p>
    <w:p w14:paraId="364216CE">
      <w:pPr>
        <w:pStyle w:val="56"/>
        <w:adjustRightInd w:val="0"/>
        <w:snapToGrid w:val="0"/>
        <w:spacing w:line="400" w:lineRule="exact"/>
        <w:ind w:firstLine="420" w:firstLineChars="200"/>
        <w:outlineLvl w:val="9"/>
        <w:rPr>
          <w:rFonts w:hint="eastAsia" w:ascii="宋体" w:eastAsia="宋体" w:cs="宋体"/>
          <w:color w:val="auto"/>
          <w:szCs w:val="21"/>
          <w:lang w:bidi="ar-SA"/>
        </w:rPr>
      </w:pPr>
      <w:r>
        <w:rPr>
          <w:rFonts w:hint="eastAsia" w:ascii="宋体" w:eastAsia="宋体" w:cs="宋体"/>
          <w:color w:val="auto"/>
          <w:szCs w:val="21"/>
          <w:lang w:bidi="ar-SA"/>
        </w:rPr>
        <w:t>2．屋面防水工程、有防水要求的卫生间、房间和外墙面的防渗为</w:t>
      </w:r>
      <w:r>
        <w:rPr>
          <w:rFonts w:hint="eastAsia" w:ascii="宋体" w:eastAsia="宋体" w:cs="宋体"/>
          <w:color w:val="auto"/>
          <w:szCs w:val="21"/>
          <w:u w:val="single"/>
          <w:lang w:bidi="ar-SA"/>
        </w:rPr>
        <w:t xml:space="preserve"> 五  </w:t>
      </w:r>
      <w:r>
        <w:rPr>
          <w:rFonts w:hint="eastAsia" w:ascii="宋体" w:eastAsia="宋体" w:cs="宋体"/>
          <w:color w:val="auto"/>
          <w:szCs w:val="21"/>
          <w:lang w:bidi="ar-SA"/>
        </w:rPr>
        <w:t>年；</w:t>
      </w:r>
    </w:p>
    <w:p w14:paraId="73340CAA">
      <w:pPr>
        <w:pStyle w:val="56"/>
        <w:adjustRightInd w:val="0"/>
        <w:snapToGrid w:val="0"/>
        <w:spacing w:line="400" w:lineRule="exact"/>
        <w:outlineLvl w:val="9"/>
        <w:rPr>
          <w:rFonts w:hint="eastAsia" w:ascii="宋体" w:eastAsia="宋体" w:cs="宋体"/>
          <w:color w:val="auto"/>
          <w:szCs w:val="21"/>
          <w:lang w:bidi="ar-SA"/>
        </w:rPr>
      </w:pPr>
      <w:r>
        <w:rPr>
          <w:rFonts w:hint="eastAsia" w:ascii="宋体" w:eastAsia="宋体" w:cs="宋体"/>
          <w:color w:val="auto"/>
          <w:szCs w:val="21"/>
          <w:lang w:bidi="ar-SA"/>
        </w:rPr>
        <w:t xml:space="preserve">    3．装修工程为</w:t>
      </w:r>
      <w:r>
        <w:rPr>
          <w:rFonts w:hint="eastAsia" w:ascii="宋体" w:eastAsia="宋体" w:cs="宋体"/>
          <w:color w:val="auto"/>
          <w:szCs w:val="21"/>
          <w:u w:val="single"/>
          <w:lang w:bidi="ar-SA"/>
        </w:rPr>
        <w:t xml:space="preserve">  两  </w:t>
      </w:r>
      <w:r>
        <w:rPr>
          <w:rFonts w:hint="eastAsia" w:ascii="宋体" w:eastAsia="宋体" w:cs="宋体"/>
          <w:color w:val="auto"/>
          <w:szCs w:val="21"/>
          <w:lang w:bidi="ar-SA"/>
        </w:rPr>
        <w:t>年；</w:t>
      </w:r>
    </w:p>
    <w:p w14:paraId="5A70F3D8">
      <w:pPr>
        <w:pStyle w:val="56"/>
        <w:adjustRightInd w:val="0"/>
        <w:snapToGrid w:val="0"/>
        <w:spacing w:line="400" w:lineRule="exact"/>
        <w:ind w:left="420" w:leftChars="200" w:firstLine="105" w:firstLineChars="50"/>
        <w:outlineLvl w:val="9"/>
        <w:rPr>
          <w:rFonts w:hint="eastAsia" w:ascii="宋体" w:eastAsia="宋体" w:cs="宋体"/>
          <w:color w:val="auto"/>
          <w:szCs w:val="21"/>
          <w:lang w:bidi="ar-SA"/>
        </w:rPr>
      </w:pPr>
      <w:r>
        <w:rPr>
          <w:rFonts w:hint="eastAsia" w:ascii="宋体" w:eastAsia="宋体" w:cs="宋体"/>
          <w:color w:val="auto"/>
          <w:szCs w:val="21"/>
          <w:lang w:bidi="ar-SA"/>
        </w:rPr>
        <w:t>4．电气管线、给排水管道、设备安装工程为</w:t>
      </w:r>
      <w:r>
        <w:rPr>
          <w:rFonts w:hint="eastAsia" w:ascii="宋体" w:eastAsia="宋体" w:cs="宋体"/>
          <w:color w:val="auto"/>
          <w:szCs w:val="21"/>
          <w:u w:val="single"/>
          <w:lang w:bidi="ar-SA"/>
        </w:rPr>
        <w:t xml:space="preserve">  两  </w:t>
      </w:r>
      <w:r>
        <w:rPr>
          <w:rFonts w:hint="eastAsia" w:ascii="宋体" w:eastAsia="宋体" w:cs="宋体"/>
          <w:color w:val="auto"/>
          <w:szCs w:val="21"/>
          <w:lang w:bidi="ar-SA"/>
        </w:rPr>
        <w:t>年；</w:t>
      </w:r>
    </w:p>
    <w:p w14:paraId="53F13514">
      <w:pPr>
        <w:pStyle w:val="56"/>
        <w:adjustRightInd w:val="0"/>
        <w:snapToGrid w:val="0"/>
        <w:spacing w:line="400" w:lineRule="exact"/>
        <w:ind w:left="420" w:leftChars="200" w:firstLine="105" w:firstLineChars="50"/>
        <w:outlineLvl w:val="9"/>
        <w:rPr>
          <w:rFonts w:hint="eastAsia" w:ascii="宋体" w:eastAsia="宋体" w:cs="宋体"/>
          <w:color w:val="auto"/>
          <w:szCs w:val="21"/>
          <w:lang w:bidi="ar-SA"/>
        </w:rPr>
      </w:pPr>
      <w:r>
        <w:rPr>
          <w:rFonts w:hint="eastAsia" w:ascii="宋体" w:eastAsia="宋体" w:cs="宋体"/>
          <w:color w:val="auto"/>
          <w:szCs w:val="21"/>
          <w:lang w:bidi="ar-SA"/>
        </w:rPr>
        <w:t>5．供热与供冷系统为</w:t>
      </w:r>
      <w:r>
        <w:rPr>
          <w:rFonts w:hint="eastAsia" w:ascii="宋体" w:eastAsia="宋体" w:cs="宋体"/>
          <w:color w:val="auto"/>
          <w:szCs w:val="21"/>
          <w:u w:val="single"/>
          <w:lang w:bidi="ar-SA"/>
        </w:rPr>
        <w:t xml:space="preserve">  两  </w:t>
      </w:r>
      <w:r>
        <w:rPr>
          <w:rFonts w:hint="eastAsia" w:ascii="宋体" w:eastAsia="宋体" w:cs="宋体"/>
          <w:color w:val="auto"/>
          <w:szCs w:val="21"/>
          <w:lang w:bidi="ar-SA"/>
        </w:rPr>
        <w:t>个采暖期、供冷期；</w:t>
      </w:r>
    </w:p>
    <w:p w14:paraId="2F52BD93">
      <w:pPr>
        <w:pStyle w:val="56"/>
        <w:adjustRightInd w:val="0"/>
        <w:snapToGrid w:val="0"/>
        <w:spacing w:line="400" w:lineRule="exact"/>
        <w:ind w:left="420" w:leftChars="200" w:firstLine="105" w:firstLineChars="50"/>
        <w:outlineLvl w:val="9"/>
        <w:rPr>
          <w:rFonts w:hint="eastAsia" w:ascii="宋体" w:eastAsia="宋体" w:cs="宋体"/>
          <w:color w:val="auto"/>
          <w:szCs w:val="21"/>
          <w:lang w:bidi="ar-SA"/>
        </w:rPr>
      </w:pPr>
      <w:r>
        <w:rPr>
          <w:rFonts w:hint="eastAsia" w:ascii="宋体" w:eastAsia="宋体" w:cs="宋体"/>
          <w:color w:val="auto"/>
          <w:szCs w:val="21"/>
          <w:lang w:bidi="ar-SA"/>
        </w:rPr>
        <w:t>6．住宅小区内的给排水设施、道路等配套工程为</w:t>
      </w:r>
      <w:r>
        <w:rPr>
          <w:rFonts w:hint="eastAsia" w:ascii="宋体" w:eastAsia="宋体" w:cs="宋体"/>
          <w:color w:val="auto"/>
          <w:szCs w:val="21"/>
          <w:u w:val="single"/>
          <w:lang w:bidi="ar-SA"/>
        </w:rPr>
        <w:t xml:space="preserve">  两 </w:t>
      </w:r>
      <w:r>
        <w:rPr>
          <w:rFonts w:hint="eastAsia" w:ascii="宋体" w:eastAsia="宋体" w:cs="宋体"/>
          <w:color w:val="auto"/>
          <w:szCs w:val="21"/>
          <w:lang w:bidi="ar-SA"/>
        </w:rPr>
        <w:t>年；</w:t>
      </w:r>
    </w:p>
    <w:p w14:paraId="25B307CE">
      <w:pPr>
        <w:pStyle w:val="56"/>
        <w:adjustRightInd w:val="0"/>
        <w:snapToGrid w:val="0"/>
        <w:spacing w:line="400" w:lineRule="exact"/>
        <w:ind w:left="420" w:leftChars="200" w:firstLine="105" w:firstLineChars="50"/>
        <w:outlineLvl w:val="9"/>
        <w:rPr>
          <w:rFonts w:hint="eastAsia" w:ascii="宋体" w:eastAsia="宋体" w:cs="宋体"/>
          <w:color w:val="auto"/>
          <w:szCs w:val="21"/>
          <w:lang w:bidi="ar-SA"/>
        </w:rPr>
      </w:pPr>
      <w:r>
        <w:rPr>
          <w:rFonts w:hint="eastAsia" w:ascii="宋体" w:eastAsia="宋体" w:cs="宋体"/>
          <w:color w:val="auto"/>
          <w:szCs w:val="21"/>
          <w:lang w:bidi="ar-SA"/>
        </w:rPr>
        <w:t>7、园林绿化种植工程为</w:t>
      </w:r>
      <w:r>
        <w:rPr>
          <w:rFonts w:hint="eastAsia" w:ascii="宋体" w:eastAsia="宋体" w:cs="宋体"/>
          <w:color w:val="auto"/>
          <w:szCs w:val="21"/>
          <w:u w:val="single"/>
          <w:lang w:bidi="ar-SA"/>
        </w:rPr>
        <w:t xml:space="preserve"> 两 </w:t>
      </w:r>
      <w:r>
        <w:rPr>
          <w:rFonts w:hint="eastAsia" w:ascii="宋体" w:eastAsia="宋体" w:cs="宋体"/>
          <w:color w:val="auto"/>
          <w:szCs w:val="21"/>
          <w:lang w:bidi="ar-SA"/>
        </w:rPr>
        <w:t>年；</w:t>
      </w:r>
    </w:p>
    <w:p w14:paraId="61A512D2">
      <w:pPr>
        <w:pStyle w:val="56"/>
        <w:adjustRightInd w:val="0"/>
        <w:snapToGrid w:val="0"/>
        <w:spacing w:line="400" w:lineRule="exact"/>
        <w:ind w:left="420" w:leftChars="200" w:firstLine="105" w:firstLineChars="50"/>
        <w:outlineLvl w:val="9"/>
        <w:rPr>
          <w:rFonts w:hint="eastAsia" w:ascii="宋体" w:eastAsia="宋体" w:cs="宋体"/>
          <w:color w:val="auto"/>
          <w:szCs w:val="21"/>
          <w:lang w:bidi="ar-SA"/>
        </w:rPr>
      </w:pPr>
      <w:r>
        <w:rPr>
          <w:rFonts w:hint="eastAsia" w:ascii="宋体" w:eastAsia="宋体" w:cs="宋体"/>
          <w:color w:val="auto"/>
          <w:szCs w:val="21"/>
          <w:lang w:bidi="ar-SA"/>
        </w:rPr>
        <w:t>8、桥梁、</w:t>
      </w:r>
      <w:r>
        <w:rPr>
          <w:rFonts w:hint="eastAsia" w:ascii="宋体" w:eastAsia="宋体" w:cs="宋体"/>
          <w:color w:val="auto"/>
          <w:kern w:val="0"/>
          <w:szCs w:val="21"/>
          <w:lang w:bidi="ar-SA"/>
        </w:rPr>
        <w:t>道路工程为</w:t>
      </w:r>
      <w:r>
        <w:rPr>
          <w:rFonts w:hint="eastAsia" w:ascii="宋体" w:eastAsia="宋体" w:cs="宋体"/>
          <w:color w:val="auto"/>
          <w:kern w:val="0"/>
          <w:szCs w:val="21"/>
          <w:u w:val="single"/>
          <w:lang w:bidi="ar-SA"/>
        </w:rPr>
        <w:t xml:space="preserve"> 两 </w:t>
      </w:r>
      <w:r>
        <w:rPr>
          <w:rFonts w:hint="eastAsia" w:ascii="宋体" w:eastAsia="宋体" w:cs="宋体"/>
          <w:color w:val="auto"/>
          <w:kern w:val="0"/>
          <w:szCs w:val="21"/>
          <w:lang w:bidi="ar-SA"/>
        </w:rPr>
        <w:t>年；</w:t>
      </w:r>
    </w:p>
    <w:p w14:paraId="32ADD47F">
      <w:pPr>
        <w:pStyle w:val="56"/>
        <w:adjustRightInd w:val="0"/>
        <w:snapToGrid w:val="0"/>
        <w:spacing w:line="400" w:lineRule="exact"/>
        <w:ind w:left="420" w:leftChars="200" w:firstLine="105" w:firstLineChars="50"/>
        <w:outlineLvl w:val="9"/>
        <w:rPr>
          <w:rFonts w:hint="eastAsia" w:ascii="宋体" w:eastAsia="宋体" w:cs="宋体"/>
          <w:color w:val="auto"/>
          <w:szCs w:val="21"/>
          <w:u w:val="single"/>
          <w:lang w:bidi="ar-SA"/>
        </w:rPr>
      </w:pPr>
      <w:r>
        <w:rPr>
          <w:rFonts w:hint="eastAsia" w:ascii="宋体" w:eastAsia="宋体" w:cs="宋体"/>
          <w:color w:val="auto"/>
          <w:szCs w:val="21"/>
          <w:lang w:bidi="ar-SA"/>
        </w:rPr>
        <w:t>9、其他项目保修期限约定如下：</w:t>
      </w:r>
      <w:r>
        <w:rPr>
          <w:rFonts w:hint="eastAsia" w:ascii="宋体" w:eastAsia="宋体" w:cs="宋体"/>
          <w:color w:val="auto"/>
          <w:szCs w:val="21"/>
          <w:u w:val="single"/>
          <w:lang w:bidi="ar-SA"/>
        </w:rPr>
        <w:t>质量保修规范如国家有新规定，则按新规定执行。</w:t>
      </w:r>
    </w:p>
    <w:p w14:paraId="22C2076B">
      <w:pPr>
        <w:pStyle w:val="56"/>
        <w:adjustRightInd w:val="0"/>
        <w:snapToGrid w:val="0"/>
        <w:spacing w:line="400" w:lineRule="exact"/>
        <w:ind w:left="420" w:leftChars="200" w:firstLine="105" w:firstLineChars="50"/>
        <w:outlineLvl w:val="9"/>
        <w:rPr>
          <w:rFonts w:hint="eastAsia" w:ascii="宋体" w:eastAsia="宋体" w:cs="宋体"/>
          <w:color w:val="auto"/>
          <w:szCs w:val="21"/>
          <w:lang w:bidi="ar-SA"/>
        </w:rPr>
      </w:pPr>
      <w:r>
        <w:rPr>
          <w:rFonts w:hint="eastAsia" w:ascii="宋体" w:eastAsia="宋体" w:cs="宋体"/>
          <w:color w:val="auto"/>
          <w:szCs w:val="21"/>
          <w:lang w:bidi="ar-SA"/>
        </w:rPr>
        <w:t>质量保修期自工程竣工验收合格之日起计算。</w:t>
      </w:r>
    </w:p>
    <w:p w14:paraId="39077156">
      <w:pPr>
        <w:pStyle w:val="51"/>
        <w:spacing w:line="400" w:lineRule="exact"/>
        <w:ind w:firstLine="417" w:firstLineChars="199"/>
        <w:outlineLvl w:val="9"/>
        <w:rPr>
          <w:rFonts w:hint="eastAsia" w:ascii="宋体" w:eastAsia="宋体" w:cs="宋体"/>
          <w:color w:val="auto"/>
          <w:lang w:bidi="ar-SA"/>
        </w:rPr>
      </w:pPr>
      <w:r>
        <w:rPr>
          <w:rFonts w:hint="eastAsia" w:ascii="宋体" w:eastAsia="宋体" w:cs="宋体"/>
          <w:color w:val="auto"/>
          <w:lang w:bidi="ar-SA"/>
        </w:rPr>
        <w:t>三、缺陷责任期</w:t>
      </w:r>
    </w:p>
    <w:p w14:paraId="307CA453">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工程缺陷责任期为</w:t>
      </w:r>
      <w:r>
        <w:rPr>
          <w:rFonts w:hint="eastAsia" w:ascii="宋体" w:eastAsia="宋体" w:cs="宋体"/>
          <w:color w:val="auto"/>
          <w:u w:val="single"/>
          <w:lang w:bidi="ar-SA"/>
        </w:rPr>
        <w:t xml:space="preserve">  24  </w:t>
      </w:r>
      <w:r>
        <w:rPr>
          <w:rFonts w:hint="eastAsia" w:ascii="宋体" w:eastAsia="宋体" w:cs="宋体"/>
          <w:color w:val="auto"/>
          <w:lang w:bidi="ar-SA"/>
        </w:rPr>
        <w:t>个月，缺陷责任期自工程实际竣工之日起计算。单位工程先于全部工程进行验收，单位工程缺陷责任期自单位工程验收合格之日起算。</w:t>
      </w:r>
    </w:p>
    <w:p w14:paraId="4FC6D6A5">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缺陷责任期终止后，发包人应退还剩余的质量保证金。</w:t>
      </w:r>
    </w:p>
    <w:p w14:paraId="1DCB5096">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 xml:space="preserve"> 四、质量保修责任</w:t>
      </w:r>
    </w:p>
    <w:p w14:paraId="6AF6AD94">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1．属于保修范围、内容的项目，承包人应当在接到保修通知之日起7天内派人保修。承包人不在约定期限内派人保修的，发包人可以委托他人修理。</w:t>
      </w:r>
    </w:p>
    <w:p w14:paraId="280D0BDD">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2．发生紧急事故需抢修的，承包人在接到事故通知后，应当立即到达事故现场抢修。</w:t>
      </w:r>
    </w:p>
    <w:p w14:paraId="4D85E827">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3．对于涉及结构安全的质量问题，应当按照《建设工程质量管理条例》的规定，立即向当地有关部门报告，采取安全防范措施，并由原设计人或者具有相应资质等级的设计人提出保修方案，承包人实施保修。</w:t>
      </w:r>
    </w:p>
    <w:p w14:paraId="67D82F04">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4．质量保修完成后，由发包人组织验收。</w:t>
      </w:r>
    </w:p>
    <w:p w14:paraId="6DB23839">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五、保修费用</w:t>
      </w:r>
    </w:p>
    <w:p w14:paraId="2BAE0424">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保修费用由造成质量缺陷的责任方承担。</w:t>
      </w:r>
    </w:p>
    <w:p w14:paraId="24991B17">
      <w:pPr>
        <w:pStyle w:val="56"/>
        <w:snapToGrid w:val="0"/>
        <w:spacing w:line="400" w:lineRule="exact"/>
        <w:ind w:firstLine="420" w:firstLineChars="200"/>
        <w:outlineLvl w:val="9"/>
        <w:rPr>
          <w:rFonts w:hint="eastAsia" w:ascii="宋体" w:eastAsia="宋体" w:cs="宋体"/>
          <w:b/>
          <w:bCs/>
          <w:color w:val="auto"/>
          <w:szCs w:val="21"/>
          <w:lang w:bidi="ar-SA"/>
        </w:rPr>
      </w:pPr>
      <w:r>
        <w:rPr>
          <w:rFonts w:hint="eastAsia" w:ascii="宋体" w:eastAsia="宋体" w:cs="宋体"/>
          <w:color w:val="auto"/>
          <w:lang w:bidi="ar-SA"/>
        </w:rPr>
        <w:t>六、双方约定的其他工程质量保修事项：</w:t>
      </w:r>
      <w:r>
        <w:rPr>
          <w:rFonts w:hint="eastAsia" w:ascii="宋体" w:eastAsia="宋体" w:cs="宋体"/>
          <w:b/>
          <w:bCs/>
          <w:color w:val="auto"/>
          <w:szCs w:val="21"/>
          <w:lang w:bidi="ar-SA"/>
        </w:rPr>
        <w:t xml:space="preserve"> </w:t>
      </w:r>
    </w:p>
    <w:p w14:paraId="367AB0D5">
      <w:pPr>
        <w:pStyle w:val="56"/>
        <w:snapToGrid w:val="0"/>
        <w:spacing w:line="400" w:lineRule="exact"/>
        <w:ind w:firstLine="306" w:firstLineChars="145"/>
        <w:outlineLvl w:val="9"/>
        <w:rPr>
          <w:rFonts w:hint="eastAsia" w:ascii="宋体" w:eastAsia="宋体" w:cs="宋体"/>
          <w:bCs/>
          <w:color w:val="auto"/>
          <w:szCs w:val="21"/>
          <w:u w:val="single"/>
          <w:lang w:bidi="ar-SA"/>
        </w:rPr>
      </w:pPr>
      <w:r>
        <w:rPr>
          <w:rFonts w:hint="eastAsia" w:ascii="宋体" w:eastAsia="宋体" w:cs="宋体"/>
          <w:b/>
          <w:bCs/>
          <w:color w:val="auto"/>
          <w:szCs w:val="21"/>
          <w:lang w:bidi="ar-SA"/>
        </w:rPr>
        <w:t xml:space="preserve"> </w:t>
      </w:r>
      <w:r>
        <w:rPr>
          <w:rFonts w:hint="eastAsia" w:ascii="宋体" w:eastAsia="宋体" w:cs="宋体"/>
          <w:bCs/>
          <w:color w:val="auto"/>
          <w:szCs w:val="21"/>
          <w:lang w:bidi="ar-SA"/>
        </w:rPr>
        <w:t>1、承包人未按照法律法规有关规定和合同约定履行质量保修义务的，发包人有权从质量保证金中扣留用于质量保修的各项支出。</w:t>
      </w:r>
    </w:p>
    <w:p w14:paraId="510EC3DB">
      <w:pPr>
        <w:pStyle w:val="56"/>
        <w:snapToGrid w:val="0"/>
        <w:spacing w:line="400" w:lineRule="exact"/>
        <w:outlineLvl w:val="9"/>
        <w:rPr>
          <w:rFonts w:hint="eastAsia" w:ascii="宋体" w:eastAsia="宋体" w:cs="宋体"/>
          <w:color w:val="auto"/>
          <w:lang w:bidi="ar-SA"/>
        </w:rPr>
      </w:pPr>
      <w:r>
        <w:rPr>
          <w:rFonts w:hint="eastAsia" w:ascii="宋体" w:eastAsia="宋体" w:cs="宋体"/>
          <w:bCs/>
          <w:color w:val="auto"/>
          <w:szCs w:val="21"/>
          <w:lang w:bidi="ar-SA"/>
        </w:rPr>
        <w:t xml:space="preserve">    2、质量保修金比例：</w:t>
      </w:r>
      <w:r>
        <w:rPr>
          <w:rFonts w:hint="eastAsia" w:ascii="宋体" w:eastAsia="宋体" w:cs="宋体"/>
          <w:bCs/>
          <w:color w:val="auto"/>
          <w:szCs w:val="21"/>
          <w:u w:val="single"/>
          <w:lang w:bidi="ar-SA"/>
        </w:rPr>
        <w:t>工程结算价的3%，待取得工程竣工验收证书之日起到2年缺陷责任期满后，如无质量问题14日内一次性付清（无息）。</w:t>
      </w:r>
    </w:p>
    <w:p w14:paraId="48052342">
      <w:pPr>
        <w:pStyle w:val="51"/>
        <w:spacing w:line="400" w:lineRule="exact"/>
        <w:outlineLvl w:val="9"/>
        <w:rPr>
          <w:rFonts w:hint="eastAsia" w:ascii="宋体" w:eastAsia="宋体" w:cs="宋体"/>
          <w:color w:val="auto"/>
          <w:lang w:bidi="ar-SA"/>
        </w:rPr>
      </w:pPr>
      <w:r>
        <w:rPr>
          <w:rFonts w:hint="eastAsia" w:ascii="宋体" w:eastAsia="宋体" w:cs="宋体"/>
          <w:color w:val="auto"/>
          <w:lang w:bidi="ar-SA"/>
        </w:rPr>
        <w:t>工程质量保修书由发包人、承包人在工程竣工验收前共同签署，作为施工合同附件，其有效期限至保修期满。</w:t>
      </w:r>
    </w:p>
    <w:p w14:paraId="2C06EFCF">
      <w:pPr>
        <w:pStyle w:val="51"/>
        <w:spacing w:line="400" w:lineRule="exact"/>
        <w:outlineLvl w:val="9"/>
        <w:rPr>
          <w:rFonts w:ascii="宋体" w:hAnsi="宋体"/>
          <w:color w:val="auto"/>
        </w:rPr>
      </w:pPr>
    </w:p>
    <w:p w14:paraId="0064E26B">
      <w:pPr>
        <w:pStyle w:val="51"/>
        <w:outlineLvl w:val="9"/>
        <w:rPr>
          <w:rFonts w:ascii="宋体" w:hAnsi="宋体"/>
          <w:color w:val="auto"/>
        </w:rPr>
      </w:pPr>
    </w:p>
    <w:p w14:paraId="0D6F55D7">
      <w:pPr>
        <w:pStyle w:val="51"/>
        <w:outlineLvl w:val="9"/>
        <w:rPr>
          <w:rFonts w:ascii="宋体" w:hAnsi="宋体"/>
          <w:color w:val="auto"/>
        </w:rPr>
      </w:pPr>
      <w:r>
        <w:rPr>
          <w:rFonts w:ascii="宋体" w:hAnsi="宋体"/>
          <w:color w:val="auto"/>
        </w:rPr>
        <w:t>发包人(公章)：</w:t>
      </w:r>
      <w:r>
        <w:rPr>
          <w:rFonts w:ascii="宋体" w:hAnsi="宋体"/>
          <w:color w:val="auto"/>
          <w:u w:val="single"/>
        </w:rPr>
        <w:t xml:space="preserve">        </w:t>
      </w:r>
      <w:r>
        <w:rPr>
          <w:rFonts w:ascii="宋体" w:hAnsi="宋体"/>
          <w:color w:val="auto"/>
        </w:rPr>
        <w:t xml:space="preserve"> 承包人(公章)：</w:t>
      </w:r>
      <w:r>
        <w:rPr>
          <w:rFonts w:ascii="宋体" w:hAnsi="宋体"/>
          <w:color w:val="auto"/>
          <w:u w:val="single"/>
        </w:rPr>
        <w:t xml:space="preserve">           </w:t>
      </w:r>
    </w:p>
    <w:p w14:paraId="2BFC59C7">
      <w:pPr>
        <w:pStyle w:val="51"/>
        <w:outlineLvl w:val="9"/>
        <w:rPr>
          <w:rFonts w:ascii="宋体" w:hAnsi="宋体"/>
          <w:color w:val="auto"/>
        </w:rPr>
      </w:pPr>
      <w:r>
        <w:rPr>
          <w:rFonts w:ascii="宋体" w:hAnsi="宋体"/>
          <w:color w:val="auto"/>
        </w:rPr>
        <w:t>地  址：</w:t>
      </w:r>
      <w:r>
        <w:rPr>
          <w:rFonts w:ascii="宋体" w:hAnsi="宋体"/>
          <w:color w:val="auto"/>
          <w:u w:val="single"/>
        </w:rPr>
        <w:t xml:space="preserve">     </w:t>
      </w:r>
      <w:r>
        <w:rPr>
          <w:rFonts w:ascii="宋体" w:hAnsi="宋体"/>
          <w:color w:val="auto"/>
        </w:rPr>
        <w:t xml:space="preserve"> </w:t>
      </w:r>
      <w:r>
        <w:rPr>
          <w:rFonts w:hint="eastAsia" w:ascii="宋体" w:hAnsi="宋体"/>
          <w:color w:val="auto"/>
        </w:rPr>
        <w:t xml:space="preserve"> </w:t>
      </w:r>
      <w:r>
        <w:rPr>
          <w:rFonts w:ascii="宋体" w:hAnsi="宋体"/>
          <w:color w:val="auto"/>
        </w:rPr>
        <w:t>地  址：</w:t>
      </w:r>
      <w:r>
        <w:rPr>
          <w:rFonts w:ascii="宋体" w:hAnsi="宋体"/>
          <w:color w:val="auto"/>
          <w:u w:val="single"/>
        </w:rPr>
        <w:t xml:space="preserve">       </w:t>
      </w:r>
    </w:p>
    <w:p w14:paraId="2C39943A">
      <w:pPr>
        <w:pStyle w:val="51"/>
        <w:outlineLvl w:val="9"/>
        <w:rPr>
          <w:rFonts w:ascii="宋体" w:hAnsi="宋体"/>
          <w:color w:val="auto"/>
        </w:rPr>
      </w:pPr>
      <w:r>
        <w:rPr>
          <w:rFonts w:ascii="宋体" w:hAnsi="宋体"/>
          <w:color w:val="auto"/>
        </w:rPr>
        <w:t>法定代表人(签字)：</w:t>
      </w:r>
      <w:r>
        <w:rPr>
          <w:rFonts w:ascii="宋体" w:hAnsi="宋体"/>
          <w:color w:val="auto"/>
          <w:u w:val="single"/>
        </w:rPr>
        <w:t xml:space="preserve">      </w:t>
      </w:r>
      <w:r>
        <w:rPr>
          <w:rFonts w:ascii="宋体" w:hAnsi="宋体"/>
          <w:color w:val="auto"/>
        </w:rPr>
        <w:t xml:space="preserve"> 法定代表人(签字)：</w:t>
      </w:r>
      <w:r>
        <w:rPr>
          <w:rFonts w:ascii="宋体" w:hAnsi="宋体"/>
          <w:color w:val="auto"/>
          <w:u w:val="single"/>
        </w:rPr>
        <w:t xml:space="preserve">       </w:t>
      </w:r>
    </w:p>
    <w:p w14:paraId="26B03B44">
      <w:pPr>
        <w:pStyle w:val="51"/>
        <w:outlineLvl w:val="9"/>
        <w:rPr>
          <w:rFonts w:ascii="宋体" w:hAnsi="宋体"/>
          <w:color w:val="auto"/>
        </w:rPr>
      </w:pPr>
      <w:r>
        <w:rPr>
          <w:rFonts w:ascii="宋体" w:hAnsi="宋体"/>
          <w:color w:val="auto"/>
        </w:rPr>
        <w:t>委托代理人(签字)：</w:t>
      </w:r>
      <w:r>
        <w:rPr>
          <w:rFonts w:ascii="宋体" w:hAnsi="宋体"/>
          <w:color w:val="auto"/>
          <w:u w:val="single"/>
        </w:rPr>
        <w:t xml:space="preserve">      </w:t>
      </w:r>
      <w:r>
        <w:rPr>
          <w:rFonts w:ascii="宋体" w:hAnsi="宋体"/>
          <w:color w:val="auto"/>
        </w:rPr>
        <w:t xml:space="preserve"> 委托代理人(签字)：</w:t>
      </w:r>
      <w:r>
        <w:rPr>
          <w:rFonts w:ascii="宋体" w:hAnsi="宋体"/>
          <w:color w:val="auto"/>
          <w:u w:val="single"/>
        </w:rPr>
        <w:t xml:space="preserve">       </w:t>
      </w:r>
    </w:p>
    <w:p w14:paraId="0AFBDEC9">
      <w:pPr>
        <w:pStyle w:val="51"/>
        <w:outlineLvl w:val="9"/>
        <w:rPr>
          <w:rFonts w:ascii="宋体" w:hAnsi="宋体"/>
          <w:color w:val="auto"/>
        </w:rPr>
      </w:pPr>
      <w:r>
        <w:rPr>
          <w:rFonts w:ascii="宋体" w:hAnsi="宋体"/>
          <w:color w:val="auto"/>
        </w:rPr>
        <w:t>电  话：</w:t>
      </w:r>
      <w:r>
        <w:rPr>
          <w:rFonts w:ascii="宋体" w:hAnsi="宋体"/>
          <w:color w:val="auto"/>
          <w:u w:val="single"/>
        </w:rPr>
        <w:t xml:space="preserve">   </w:t>
      </w:r>
      <w:r>
        <w:rPr>
          <w:rFonts w:ascii="宋体" w:hAnsi="宋体"/>
          <w:color w:val="auto"/>
        </w:rPr>
        <w:t xml:space="preserve"> </w:t>
      </w:r>
      <w:r>
        <w:rPr>
          <w:rFonts w:hint="eastAsia" w:ascii="宋体" w:hAnsi="宋体"/>
          <w:color w:val="auto"/>
        </w:rPr>
        <w:t xml:space="preserve"> </w:t>
      </w:r>
      <w:r>
        <w:rPr>
          <w:rFonts w:ascii="宋体" w:hAnsi="宋体"/>
          <w:color w:val="auto"/>
        </w:rPr>
        <w:t>电  话：</w:t>
      </w:r>
      <w:r>
        <w:rPr>
          <w:rFonts w:ascii="宋体" w:hAnsi="宋体"/>
          <w:color w:val="auto"/>
          <w:u w:val="single"/>
        </w:rPr>
        <w:t xml:space="preserve">     </w:t>
      </w:r>
    </w:p>
    <w:p w14:paraId="4B9D694E">
      <w:pPr>
        <w:pStyle w:val="51"/>
        <w:outlineLvl w:val="9"/>
        <w:rPr>
          <w:rFonts w:ascii="宋体" w:hAnsi="宋体"/>
          <w:color w:val="auto"/>
        </w:rPr>
      </w:pPr>
      <w:r>
        <w:rPr>
          <w:rFonts w:ascii="宋体" w:hAnsi="宋体"/>
          <w:color w:val="auto"/>
        </w:rPr>
        <w:t>传  真：</w:t>
      </w:r>
      <w:r>
        <w:rPr>
          <w:rFonts w:ascii="宋体" w:hAnsi="宋体"/>
          <w:color w:val="auto"/>
          <w:u w:val="single"/>
        </w:rPr>
        <w:t xml:space="preserve">   </w:t>
      </w:r>
      <w:r>
        <w:rPr>
          <w:rFonts w:ascii="宋体" w:hAnsi="宋体"/>
          <w:color w:val="auto"/>
        </w:rPr>
        <w:t xml:space="preserve"> </w:t>
      </w:r>
      <w:r>
        <w:rPr>
          <w:rFonts w:hint="eastAsia" w:ascii="宋体" w:hAnsi="宋体"/>
          <w:color w:val="auto"/>
        </w:rPr>
        <w:t xml:space="preserve"> </w:t>
      </w:r>
      <w:r>
        <w:rPr>
          <w:rFonts w:ascii="宋体" w:hAnsi="宋体"/>
          <w:color w:val="auto"/>
        </w:rPr>
        <w:t>传  真：</w:t>
      </w:r>
      <w:r>
        <w:rPr>
          <w:rFonts w:ascii="宋体" w:hAnsi="宋体"/>
          <w:color w:val="auto"/>
          <w:u w:val="single"/>
        </w:rPr>
        <w:t xml:space="preserve">     </w:t>
      </w:r>
    </w:p>
    <w:p w14:paraId="2951DAE2">
      <w:pPr>
        <w:pStyle w:val="51"/>
        <w:outlineLvl w:val="9"/>
        <w:rPr>
          <w:rFonts w:ascii="宋体" w:hAnsi="宋体"/>
          <w:color w:val="auto"/>
        </w:rPr>
      </w:pPr>
      <w:r>
        <w:rPr>
          <w:rFonts w:ascii="宋体" w:hAnsi="宋体"/>
          <w:color w:val="auto"/>
        </w:rPr>
        <w:t>开户银行：</w:t>
      </w:r>
      <w:r>
        <w:rPr>
          <w:rFonts w:ascii="宋体" w:hAnsi="宋体"/>
          <w:color w:val="auto"/>
          <w:u w:val="single"/>
        </w:rPr>
        <w:t xml:space="preserve">   </w:t>
      </w:r>
      <w:r>
        <w:rPr>
          <w:rFonts w:ascii="宋体" w:hAnsi="宋体"/>
          <w:color w:val="auto"/>
        </w:rPr>
        <w:t xml:space="preserve"> </w:t>
      </w:r>
      <w:r>
        <w:rPr>
          <w:rFonts w:hint="eastAsia" w:ascii="宋体" w:hAnsi="宋体"/>
          <w:color w:val="auto"/>
        </w:rPr>
        <w:t xml:space="preserve"> </w:t>
      </w:r>
      <w:r>
        <w:rPr>
          <w:rFonts w:ascii="宋体" w:hAnsi="宋体"/>
          <w:color w:val="auto"/>
        </w:rPr>
        <w:t>开户银行：</w:t>
      </w:r>
      <w:r>
        <w:rPr>
          <w:rFonts w:ascii="宋体" w:hAnsi="宋体"/>
          <w:color w:val="auto"/>
          <w:u w:val="single"/>
        </w:rPr>
        <w:t xml:space="preserve">   </w:t>
      </w:r>
    </w:p>
    <w:p w14:paraId="15C9CC72">
      <w:pPr>
        <w:pStyle w:val="51"/>
        <w:outlineLvl w:val="9"/>
        <w:rPr>
          <w:rFonts w:ascii="宋体" w:hAnsi="宋体"/>
          <w:color w:val="auto"/>
        </w:rPr>
      </w:pPr>
      <w:r>
        <w:rPr>
          <w:rFonts w:ascii="宋体" w:hAnsi="宋体"/>
          <w:color w:val="auto"/>
        </w:rPr>
        <w:t>账  号：</w:t>
      </w:r>
      <w:r>
        <w:rPr>
          <w:rFonts w:ascii="宋体" w:hAnsi="宋体"/>
          <w:color w:val="auto"/>
          <w:u w:val="single"/>
        </w:rPr>
        <w:t xml:space="preserve">       </w:t>
      </w:r>
      <w:r>
        <w:rPr>
          <w:rFonts w:ascii="宋体" w:hAnsi="宋体"/>
          <w:color w:val="auto"/>
        </w:rPr>
        <w:t xml:space="preserve">  账  号：</w:t>
      </w:r>
      <w:r>
        <w:rPr>
          <w:rFonts w:ascii="宋体" w:hAnsi="宋体"/>
          <w:color w:val="auto"/>
          <w:u w:val="single"/>
        </w:rPr>
        <w:t xml:space="preserve">     </w:t>
      </w:r>
    </w:p>
    <w:p w14:paraId="06D0F65C">
      <w:pPr>
        <w:pStyle w:val="51"/>
        <w:outlineLvl w:val="9"/>
        <w:rPr>
          <w:rFonts w:ascii="宋体" w:hAnsi="宋体"/>
          <w:color w:val="auto"/>
          <w:sz w:val="30"/>
          <w:szCs w:val="30"/>
        </w:rPr>
      </w:pPr>
      <w:r>
        <w:rPr>
          <w:rFonts w:ascii="宋体" w:hAnsi="宋体"/>
          <w:color w:val="auto"/>
        </w:rPr>
        <w:t>邮政编码：</w:t>
      </w:r>
      <w:r>
        <w:rPr>
          <w:rFonts w:ascii="宋体" w:hAnsi="宋体"/>
          <w:color w:val="auto"/>
          <w:u w:val="single"/>
        </w:rPr>
        <w:t xml:space="preserve">     </w:t>
      </w:r>
      <w:r>
        <w:rPr>
          <w:rFonts w:ascii="宋体" w:hAnsi="宋体"/>
          <w:color w:val="auto"/>
        </w:rPr>
        <w:t xml:space="preserve"> </w:t>
      </w:r>
      <w:r>
        <w:rPr>
          <w:rFonts w:hint="eastAsia" w:ascii="宋体" w:hAnsi="宋体"/>
          <w:color w:val="auto"/>
        </w:rPr>
        <w:t xml:space="preserve"> </w:t>
      </w:r>
      <w:r>
        <w:rPr>
          <w:rFonts w:ascii="宋体" w:hAnsi="宋体"/>
          <w:color w:val="auto"/>
        </w:rPr>
        <w:t>邮政编码：</w:t>
      </w:r>
      <w:r>
        <w:rPr>
          <w:rFonts w:ascii="宋体" w:hAnsi="宋体"/>
          <w:color w:val="auto"/>
          <w:u w:val="single"/>
        </w:rPr>
        <w:t xml:space="preserve">   </w:t>
      </w:r>
    </w:p>
    <w:p w14:paraId="0042601F">
      <w:pPr>
        <w:spacing w:before="156"/>
        <w:rPr>
          <w:rFonts w:hint="eastAsia" w:ascii="宋体" w:cs="宋体"/>
          <w:color w:val="auto"/>
          <w:sz w:val="24"/>
          <w:highlight w:val="none"/>
          <w:lang w:bidi="ar-SA"/>
        </w:rPr>
      </w:pPr>
      <w:r>
        <w:rPr>
          <w:rFonts w:eastAsia="仿宋_GB2312"/>
          <w:color w:val="auto"/>
          <w:sz w:val="30"/>
          <w:szCs w:val="30"/>
        </w:rPr>
        <w:br w:type="page"/>
      </w:r>
    </w:p>
    <w:p w14:paraId="335D6E8B">
      <w:pPr>
        <w:jc w:val="center"/>
        <w:outlineLvl w:val="0"/>
        <w:rPr>
          <w:rFonts w:hint="eastAsia"/>
          <w:b/>
          <w:color w:val="auto"/>
          <w:sz w:val="36"/>
          <w:szCs w:val="36"/>
          <w:highlight w:val="none"/>
        </w:rPr>
      </w:pPr>
      <w:bookmarkStart w:id="726" w:name="_Toc3234"/>
      <w:r>
        <w:rPr>
          <w:rFonts w:hint="eastAsia" w:ascii="仿宋_GB2312" w:eastAsia="仿宋_GB2312"/>
          <w:b/>
          <w:color w:val="auto"/>
          <w:kern w:val="0"/>
          <w:sz w:val="44"/>
          <w:szCs w:val="44"/>
          <w:highlight w:val="none"/>
        </w:rPr>
        <w:t xml:space="preserve">第五章  </w:t>
      </w:r>
      <w:r>
        <w:rPr>
          <w:rFonts w:hint="eastAsia"/>
          <w:b/>
          <w:color w:val="auto"/>
          <w:sz w:val="36"/>
          <w:szCs w:val="36"/>
          <w:highlight w:val="none"/>
        </w:rPr>
        <w:t>工程量清单</w:t>
      </w:r>
      <w:bookmarkEnd w:id="726"/>
    </w:p>
    <w:p w14:paraId="7068380F">
      <w:pPr>
        <w:pStyle w:val="12"/>
        <w:spacing w:line="360" w:lineRule="auto"/>
        <w:ind w:firstLine="422" w:firstLineChars="200"/>
        <w:rPr>
          <w:rFonts w:hint="eastAsia" w:ascii="宋体" w:hAnsi="宋体" w:eastAsia="宋体" w:cs="宋体"/>
          <w:color w:val="auto"/>
          <w:kern w:val="21"/>
          <w:sz w:val="21"/>
          <w:szCs w:val="21"/>
          <w:highlight w:val="none"/>
        </w:rPr>
      </w:pPr>
      <w:bookmarkStart w:id="727" w:name="_Toc160609998"/>
      <w:bookmarkStart w:id="728" w:name="_Toc164138057"/>
      <w:bookmarkStart w:id="729" w:name="_Toc194308407"/>
      <w:r>
        <w:rPr>
          <w:rFonts w:hint="eastAsia" w:ascii="宋体" w:hAnsi="宋体" w:eastAsia="宋体" w:cs="宋体"/>
          <w:b/>
          <w:color w:val="auto"/>
          <w:sz w:val="21"/>
          <w:szCs w:val="21"/>
          <w:highlight w:val="none"/>
        </w:rPr>
        <w:t>一、工程量清单说明</w:t>
      </w:r>
      <w:bookmarkEnd w:id="727"/>
      <w:bookmarkEnd w:id="728"/>
      <w:r>
        <w:rPr>
          <w:rFonts w:hint="eastAsia" w:ascii="宋体" w:hAnsi="宋体" w:eastAsia="宋体" w:cs="宋体"/>
          <w:color w:val="auto"/>
          <w:kern w:val="21"/>
          <w:sz w:val="21"/>
          <w:szCs w:val="21"/>
          <w:highlight w:val="none"/>
        </w:rPr>
        <w:t>：</w:t>
      </w:r>
      <w:bookmarkEnd w:id="729"/>
    </w:p>
    <w:p w14:paraId="2DDAA66A">
      <w:pPr>
        <w:pStyle w:val="12"/>
        <w:spacing w:line="360" w:lineRule="auto"/>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r>
        <w:rPr>
          <w:rFonts w:hint="eastAsia" w:ascii="宋体" w:hAnsi="宋体" w:eastAsia="宋体" w:cs="宋体"/>
          <w:color w:val="auto"/>
          <w:sz w:val="21"/>
          <w:szCs w:val="21"/>
          <w:highlight w:val="none"/>
        </w:rPr>
        <w:t>工程量清单是竞争性磋商文件的组成部分，仅作为磋商报价的共同基础</w:t>
      </w:r>
      <w:r>
        <w:rPr>
          <w:rFonts w:hint="eastAsia" w:ascii="宋体" w:hAnsi="宋体" w:eastAsia="宋体" w:cs="宋体"/>
          <w:color w:val="auto"/>
          <w:kern w:val="21"/>
          <w:sz w:val="21"/>
          <w:szCs w:val="21"/>
          <w:highlight w:val="none"/>
        </w:rPr>
        <w:t>，不作为最终结算与支付的依据</w:t>
      </w:r>
      <w:r>
        <w:rPr>
          <w:rFonts w:hint="eastAsia" w:ascii="宋体" w:hAnsi="宋体" w:eastAsia="宋体" w:cs="宋体"/>
          <w:color w:val="auto"/>
          <w:sz w:val="21"/>
          <w:szCs w:val="21"/>
          <w:highlight w:val="none"/>
        </w:rPr>
        <w:t>。成交后结算支付，以经</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u w:val="single"/>
        </w:rPr>
        <w:t xml:space="preserve">审图公司  </w:t>
      </w:r>
      <w:r>
        <w:rPr>
          <w:rFonts w:hint="eastAsia" w:ascii="宋体" w:hAnsi="宋体" w:eastAsia="宋体" w:cs="宋体"/>
          <w:color w:val="auto"/>
          <w:sz w:val="21"/>
          <w:szCs w:val="21"/>
          <w:highlight w:val="none"/>
        </w:rPr>
        <w:t>审定的设计图纸和设计变更实际工程量为依据，按成交单位的磋商所报的工程量清单的单价支付费用。</w:t>
      </w:r>
    </w:p>
    <w:p w14:paraId="3E60BFC0">
      <w:pPr>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21"/>
          <w:sz w:val="21"/>
          <w:szCs w:val="21"/>
          <w:highlight w:val="none"/>
        </w:rPr>
        <w:t>2.</w:t>
      </w:r>
      <w:r>
        <w:rPr>
          <w:rFonts w:hint="eastAsia" w:ascii="宋体" w:hAnsi="宋体" w:eastAsia="宋体" w:cs="宋体"/>
          <w:b/>
          <w:bCs/>
          <w:color w:val="auto"/>
          <w:kern w:val="0"/>
          <w:sz w:val="21"/>
          <w:szCs w:val="21"/>
          <w:highlight w:val="none"/>
        </w:rPr>
        <w:t>计价及结算参考依据</w:t>
      </w:r>
      <w:r>
        <w:rPr>
          <w:rFonts w:hint="eastAsia" w:ascii="宋体" w:hAnsi="宋体" w:eastAsia="宋体" w:cs="宋体"/>
          <w:color w:val="auto"/>
          <w:kern w:val="0"/>
          <w:sz w:val="21"/>
          <w:szCs w:val="21"/>
          <w:highlight w:val="none"/>
        </w:rPr>
        <w:t>：</w:t>
      </w:r>
      <w:r>
        <w:rPr>
          <w:rFonts w:hint="eastAsia"/>
          <w:color w:val="auto"/>
          <w:lang w:val="en-US" w:eastAsia="zh-CN"/>
        </w:rPr>
        <w:t>（1）</w:t>
      </w:r>
      <w:r>
        <w:rPr>
          <w:rFonts w:hint="eastAsia"/>
          <w:color w:val="auto"/>
        </w:rPr>
        <w:t>《建设工程工程量清单计价规范（GB50500-2013）》《建设工程工程量清单计价规范（GB50500-2013）广西壮族自治区实施细则》；</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《建设工程工程量计价规范》(GB50854~50862-2013)、《建设工程工程量计价规范》(GB50854~50862-2013)广西壮族自治区实施细则》（修订本）；</w:t>
      </w:r>
      <w:r>
        <w:rPr>
          <w:rFonts w:hint="eastAsia"/>
          <w:color w:val="auto"/>
          <w:lang w:val="en-US" w:eastAsia="zh-CN"/>
        </w:rPr>
        <w:t>（3）</w:t>
      </w:r>
      <w:r>
        <w:rPr>
          <w:rFonts w:hint="eastAsia"/>
          <w:color w:val="auto"/>
        </w:rPr>
        <w:t>2024年《广西壮族自治区建筑装饰装修工程消耗量定额》；</w:t>
      </w: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2024年《广西壮族自治区建筑工程拆除消耗量定额》；</w:t>
      </w:r>
      <w:r>
        <w:rPr>
          <w:rFonts w:hint="eastAsia"/>
          <w:color w:val="auto"/>
          <w:lang w:val="en-US" w:eastAsia="zh-CN"/>
        </w:rPr>
        <w:t>（5）</w:t>
      </w:r>
      <w:r>
        <w:rPr>
          <w:rFonts w:hint="eastAsia"/>
          <w:color w:val="auto"/>
        </w:rPr>
        <w:t>2022年《广西壮族自治区市政工程消耗量定额》、2022年《广西壮族自治区市政工程费用定额》；</w:t>
      </w:r>
      <w:r>
        <w:rPr>
          <w:rFonts w:hint="eastAsia"/>
          <w:color w:val="auto"/>
          <w:lang w:val="en-US" w:eastAsia="zh-CN"/>
        </w:rPr>
        <w:t>（6）</w:t>
      </w:r>
      <w:r>
        <w:rPr>
          <w:rFonts w:hint="eastAsia"/>
          <w:color w:val="auto"/>
        </w:rPr>
        <w:t>2022年《广西壮族自治区市政工程人工材料配合比机械台班参考价》；</w:t>
      </w:r>
      <w:r>
        <w:rPr>
          <w:rFonts w:hint="eastAsia"/>
          <w:color w:val="auto"/>
          <w:lang w:val="en-US" w:eastAsia="zh-CN"/>
        </w:rPr>
        <w:t>（7）</w:t>
      </w:r>
      <w:r>
        <w:rPr>
          <w:rFonts w:hint="eastAsia"/>
          <w:color w:val="auto"/>
        </w:rPr>
        <w:t>桂建标[2023]7号5月25日后工程《关于调整建设工程人工工资工资单价的通知》；</w:t>
      </w:r>
      <w:r>
        <w:rPr>
          <w:rFonts w:hint="eastAsia"/>
          <w:color w:val="auto"/>
          <w:lang w:val="en-US" w:eastAsia="zh-CN"/>
        </w:rPr>
        <w:t>（8）</w:t>
      </w:r>
      <w:r>
        <w:rPr>
          <w:rFonts w:hint="eastAsia"/>
          <w:color w:val="auto"/>
        </w:rPr>
        <w:t>广西壮族自治区住房和城乡建设厅印发的桂建标[2016]17号《关于建筑业实施营业税改增值税后广西壮族自治区建设工程计价依据调整的通知》；</w:t>
      </w:r>
      <w:r>
        <w:rPr>
          <w:rFonts w:hint="eastAsia"/>
          <w:color w:val="auto"/>
          <w:lang w:val="en-US" w:eastAsia="zh-CN"/>
        </w:rPr>
        <w:t>（9）</w:t>
      </w:r>
      <w:r>
        <w:rPr>
          <w:rFonts w:hint="eastAsia"/>
          <w:color w:val="auto"/>
        </w:rPr>
        <w:t>2018年《关于调整除税价计算适用增值税税率的通知 桂造价[2018]14号》。</w:t>
      </w:r>
      <w:r>
        <w:rPr>
          <w:rFonts w:hint="eastAsia"/>
          <w:color w:val="auto"/>
          <w:lang w:eastAsia="zh-CN"/>
        </w:rPr>
        <w:t>（</w:t>
      </w:r>
      <w:r>
        <w:rPr>
          <w:rFonts w:hint="eastAsia"/>
          <w:color w:val="auto"/>
          <w:lang w:val="en-US" w:eastAsia="zh-CN"/>
        </w:rPr>
        <w:t>10</w:t>
      </w:r>
      <w:r>
        <w:rPr>
          <w:rFonts w:hint="eastAsia"/>
          <w:color w:val="auto"/>
          <w:lang w:eastAsia="zh-CN"/>
        </w:rPr>
        <w:t>）</w:t>
      </w:r>
      <w:r>
        <w:rPr>
          <w:rFonts w:hint="eastAsia"/>
          <w:color w:val="auto"/>
        </w:rPr>
        <w:t>信息价选用《桂林市建设工程造价信息（龙胜县）》2026年第2期，龙胜县信息价没有的按同期的桂林市信息价。</w:t>
      </w:r>
    </w:p>
    <w:p w14:paraId="03EA3F57">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3.在有数量标出的子目中，有价标的工程量清单中的每一细目须填入单价和合价。</w:t>
      </w:r>
      <w:r>
        <w:rPr>
          <w:rFonts w:hint="eastAsia" w:ascii="宋体" w:hAnsi="宋体" w:eastAsia="宋体" w:cs="宋体"/>
          <w:color w:val="auto"/>
          <w:sz w:val="21"/>
          <w:szCs w:val="21"/>
          <w:highlight w:val="none"/>
        </w:rPr>
        <w:t>供应商</w:t>
      </w:r>
      <w:r>
        <w:rPr>
          <w:rFonts w:hint="eastAsia" w:ascii="宋体" w:hAnsi="宋体" w:eastAsia="宋体" w:cs="宋体"/>
          <w:color w:val="auto"/>
          <w:kern w:val="21"/>
          <w:sz w:val="21"/>
          <w:szCs w:val="21"/>
          <w:highlight w:val="none"/>
        </w:rPr>
        <w:t>没有填写单价和合价的细目，其费用应视为已分配在相关工程细目的单价与合价之中。</w:t>
      </w:r>
    </w:p>
    <w:p w14:paraId="2BC2A84E">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4.工程量清单中的任何算术性错误，磋商小组将按下述原则予以调整。</w:t>
      </w:r>
    </w:p>
    <w:p w14:paraId="2DCF8FB9">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(a)如果用数字表示的数额与用文字表示的数额不一致时，以文字数额为准。</w:t>
      </w:r>
    </w:p>
    <w:p w14:paraId="5AAAD1E7">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(b)当单价与数量的乘积与总额之间不一致时，通常以标出的单价为准，除非磋商小组认为有明显的小数点出错，此时应以标出的总额为准，并修改单价。</w:t>
      </w:r>
    </w:p>
    <w:p w14:paraId="0BAE7319">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5.</w:t>
      </w:r>
      <w:r>
        <w:rPr>
          <w:rFonts w:hint="eastAsia" w:ascii="宋体" w:hAnsi="宋体" w:eastAsia="宋体" w:cs="宋体"/>
          <w:color w:val="auto"/>
          <w:sz w:val="21"/>
          <w:szCs w:val="21"/>
          <w:highlight w:val="none"/>
          <w:lang w:bidi="ar-SA"/>
        </w:rPr>
        <w:t>供应商应按招标工程量清单填报价格。项目编码、项目名称、项目特征、计量单位、工程量必须与招标工程量清单一致，投标人不得对招标工程量清单项目进行增减调整</w:t>
      </w:r>
      <w:r>
        <w:rPr>
          <w:rFonts w:hint="eastAsia" w:ascii="宋体" w:hAnsi="宋体" w:eastAsia="宋体" w:cs="宋体"/>
          <w:color w:val="auto"/>
          <w:sz w:val="21"/>
          <w:szCs w:val="21"/>
          <w:highlight w:val="none"/>
        </w:rPr>
        <w:t>。</w:t>
      </w:r>
    </w:p>
    <w:p w14:paraId="46803903">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6.</w:t>
      </w:r>
      <w:r>
        <w:rPr>
          <w:rFonts w:hint="eastAsia" w:ascii="宋体" w:hAnsi="宋体" w:eastAsia="宋体" w:cs="宋体"/>
          <w:color w:val="auto"/>
          <w:sz w:val="21"/>
          <w:szCs w:val="21"/>
          <w:highlight w:val="none"/>
        </w:rPr>
        <w:t>供应商</w:t>
      </w:r>
      <w:r>
        <w:rPr>
          <w:rFonts w:hint="eastAsia" w:ascii="宋体" w:hAnsi="宋体" w:eastAsia="宋体" w:cs="宋体"/>
          <w:color w:val="auto"/>
          <w:kern w:val="21"/>
          <w:sz w:val="21"/>
          <w:szCs w:val="21"/>
          <w:highlight w:val="none"/>
        </w:rPr>
        <w:t>如发现工程预算控制价中计算存在明显误差或有遗漏的，应在规定的时间前向采购人或采购代理机构提出书面异议或修正要求。</w:t>
      </w:r>
    </w:p>
    <w:p w14:paraId="5B1540C6">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7.</w:t>
      </w:r>
      <w:r>
        <w:rPr>
          <w:rFonts w:hint="eastAsia" w:ascii="宋体" w:hAnsi="宋体" w:eastAsia="宋体" w:cs="宋体"/>
          <w:color w:val="auto"/>
          <w:sz w:val="21"/>
          <w:szCs w:val="21"/>
          <w:highlight w:val="none"/>
        </w:rPr>
        <w:t>供应商</w:t>
      </w:r>
      <w:r>
        <w:rPr>
          <w:rFonts w:hint="eastAsia" w:ascii="宋体" w:hAnsi="宋体" w:eastAsia="宋体" w:cs="宋体"/>
          <w:color w:val="auto"/>
          <w:kern w:val="21"/>
          <w:sz w:val="21"/>
          <w:szCs w:val="21"/>
          <w:highlight w:val="none"/>
        </w:rPr>
        <w:t>应对</w:t>
      </w:r>
      <w:r>
        <w:rPr>
          <w:rFonts w:hint="eastAsia" w:ascii="宋体" w:hAnsi="宋体" w:eastAsia="宋体" w:cs="宋体"/>
          <w:color w:val="auto"/>
          <w:sz w:val="21"/>
          <w:szCs w:val="21"/>
          <w:highlight w:val="none"/>
        </w:rPr>
        <w:t>竞争性磋商文件</w:t>
      </w:r>
      <w:r>
        <w:rPr>
          <w:rFonts w:hint="eastAsia" w:ascii="宋体" w:hAnsi="宋体" w:eastAsia="宋体" w:cs="宋体"/>
          <w:color w:val="auto"/>
          <w:kern w:val="21"/>
          <w:sz w:val="21"/>
          <w:szCs w:val="21"/>
          <w:highlight w:val="none"/>
        </w:rPr>
        <w:t>中工程量清单所列的各项内容和要求作实质性响应，报价不得低于企业成本。</w:t>
      </w:r>
    </w:p>
    <w:p w14:paraId="2D828ABB">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8.</w:t>
      </w:r>
      <w:r>
        <w:rPr>
          <w:rFonts w:hint="eastAsia" w:ascii="宋体" w:hAnsi="宋体" w:eastAsia="宋体" w:cs="宋体"/>
          <w:color w:val="auto"/>
          <w:sz w:val="21"/>
          <w:szCs w:val="21"/>
          <w:highlight w:val="none"/>
        </w:rPr>
        <w:t>供应商</w:t>
      </w:r>
      <w:r>
        <w:rPr>
          <w:rFonts w:hint="eastAsia" w:ascii="宋体" w:hAnsi="宋体" w:eastAsia="宋体" w:cs="宋体"/>
          <w:color w:val="auto"/>
          <w:kern w:val="21"/>
          <w:sz w:val="21"/>
          <w:szCs w:val="21"/>
          <w:highlight w:val="none"/>
        </w:rPr>
        <w:t>应采用综合单价进行工程量清单报价，不得采用总价让利或以百分比让利等形式进行报价。</w:t>
      </w:r>
    </w:p>
    <w:p w14:paraId="1FF66887">
      <w:pPr>
        <w:pStyle w:val="12"/>
        <w:spacing w:line="440" w:lineRule="exact"/>
        <w:ind w:firstLine="422" w:firstLineChars="200"/>
        <w:rPr>
          <w:rFonts w:hint="eastAsia" w:ascii="宋体" w:hAnsi="宋体" w:eastAsia="宋体" w:cs="宋体"/>
          <w:b/>
          <w:color w:val="auto"/>
          <w:sz w:val="21"/>
          <w:szCs w:val="21"/>
          <w:highlight w:val="none"/>
        </w:rPr>
      </w:pPr>
    </w:p>
    <w:p w14:paraId="2AA6F8C0">
      <w:pPr>
        <w:pStyle w:val="12"/>
        <w:spacing w:line="44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二、磋商报价说明</w:t>
      </w:r>
    </w:p>
    <w:p w14:paraId="20DE218C">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1.工程量清单中的每一子目须填入单价或价格，且只允许有一个报价。</w:t>
      </w:r>
    </w:p>
    <w:p w14:paraId="0B5FA560">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2.符合合同条款规定的全部费用应认为已被计入有标价的工程量清单所列各子目之中，未列子目不予计量的工作，其费用应视为已分摊在本合同工程的有关子目的单价或总价之中。</w:t>
      </w:r>
    </w:p>
    <w:p w14:paraId="08D9911F">
      <w:pPr>
        <w:pStyle w:val="12"/>
        <w:spacing w:line="440" w:lineRule="exact"/>
        <w:ind w:firstLine="42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3.工程量清单中各项金额均以人民币（元）结算。</w:t>
      </w:r>
    </w:p>
    <w:p w14:paraId="28416CCF">
      <w:pPr>
        <w:pStyle w:val="12"/>
        <w:spacing w:line="440" w:lineRule="exact"/>
        <w:ind w:firstLine="420" w:firstLineChars="200"/>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 xml:space="preserve">4.供应商应采用综合单价进行工程量清单报价，不得采用总价让利或以百分比让利等形式进行报价。                          </w:t>
      </w:r>
    </w:p>
    <w:p w14:paraId="1CC824A3">
      <w:pPr>
        <w:tabs>
          <w:tab w:val="left" w:pos="210"/>
        </w:tabs>
        <w:spacing w:line="440" w:lineRule="exact"/>
        <w:ind w:firstLine="316" w:firstLineChars="15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三、注意事项及要求：</w:t>
      </w:r>
    </w:p>
    <w:p w14:paraId="72AD75C1">
      <w:pPr>
        <w:tabs>
          <w:tab w:val="left" w:pos="210"/>
        </w:tabs>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1.严格按国家标准及本项目工程量清单、主管部门规定要求施工；</w:t>
      </w:r>
    </w:p>
    <w:p w14:paraId="1650677B">
      <w:pPr>
        <w:pStyle w:val="8"/>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lang w:eastAsia="zh-CN"/>
        </w:rPr>
        <w:t>个日历天</w:t>
      </w:r>
      <w:r>
        <w:rPr>
          <w:rFonts w:hint="eastAsia" w:ascii="宋体" w:hAnsi="宋体" w:eastAsia="宋体" w:cs="宋体"/>
          <w:color w:val="auto"/>
          <w:sz w:val="21"/>
          <w:szCs w:val="21"/>
          <w:highlight w:val="none"/>
        </w:rPr>
        <w:t>；</w:t>
      </w:r>
    </w:p>
    <w:p w14:paraId="5F45B088">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3.质量标准：</w:t>
      </w:r>
      <w:r>
        <w:rPr>
          <w:rFonts w:hint="eastAsia" w:ascii="宋体" w:hAnsi="宋体" w:eastAsia="宋体" w:cs="宋体"/>
          <w:color w:val="auto"/>
          <w:sz w:val="21"/>
          <w:szCs w:val="21"/>
          <w:highlight w:val="none"/>
          <w:u w:val="single"/>
        </w:rPr>
        <w:t>达到国家施工验收规范合格标准</w:t>
      </w:r>
      <w:r>
        <w:rPr>
          <w:rFonts w:hint="eastAsia" w:ascii="宋体" w:hAnsi="宋体" w:eastAsia="宋体" w:cs="宋体"/>
          <w:color w:val="auto"/>
          <w:sz w:val="21"/>
          <w:szCs w:val="21"/>
          <w:highlight w:val="none"/>
        </w:rPr>
        <w:t>。</w:t>
      </w:r>
    </w:p>
    <w:p w14:paraId="3597CD6C">
      <w:pPr>
        <w:snapToGrid w:val="0"/>
        <w:spacing w:line="420" w:lineRule="exact"/>
        <w:ind w:firstLine="420" w:firstLineChars="200"/>
        <w:rPr>
          <w:rFonts w:hint="eastAsia" w:ascii="宋体" w:hAnsi="宋体" w:eastAsia="宋体" w:cs="宋体"/>
          <w:b w:val="0"/>
          <w:bCs/>
          <w:color w:val="auto"/>
          <w:sz w:val="21"/>
          <w:szCs w:val="21"/>
          <w:highlight w:val="none"/>
          <w:lang w:bidi="ar-SA"/>
        </w:rPr>
      </w:pPr>
      <w:r>
        <w:rPr>
          <w:rFonts w:hint="eastAsia" w:ascii="宋体" w:hAnsi="宋体" w:eastAsia="宋体" w:cs="宋体"/>
          <w:b w:val="0"/>
          <w:bCs/>
          <w:color w:val="auto"/>
          <w:sz w:val="21"/>
          <w:szCs w:val="21"/>
          <w:highlight w:val="none"/>
        </w:rPr>
        <w:t xml:space="preserve">4. </w:t>
      </w:r>
      <w:r>
        <w:rPr>
          <w:rFonts w:hint="eastAsia" w:ascii="宋体" w:hAnsi="宋体" w:eastAsia="宋体" w:cs="宋体"/>
          <w:b/>
          <w:color w:val="auto"/>
          <w:sz w:val="21"/>
          <w:szCs w:val="21"/>
          <w:highlight w:val="none"/>
          <w:lang w:bidi="ar-SA"/>
        </w:rPr>
        <w:t>本</w:t>
      </w:r>
      <w:r>
        <w:rPr>
          <w:rFonts w:hint="eastAsia" w:ascii="宋体" w:hAnsi="宋体" w:eastAsia="宋体" w:cs="宋体"/>
          <w:b/>
          <w:color w:val="auto"/>
          <w:sz w:val="21"/>
          <w:szCs w:val="21"/>
          <w:highlight w:val="none"/>
          <w:lang w:eastAsia="zh-CN" w:bidi="ar-SA"/>
        </w:rPr>
        <w:t>项目</w:t>
      </w:r>
      <w:r>
        <w:rPr>
          <w:rFonts w:hint="eastAsia" w:ascii="宋体" w:hAnsi="宋体" w:eastAsia="宋体" w:cs="宋体"/>
          <w:b/>
          <w:color w:val="auto"/>
          <w:sz w:val="21"/>
          <w:szCs w:val="21"/>
          <w:highlight w:val="none"/>
          <w:lang w:bidi="ar-SA"/>
        </w:rPr>
        <w:t>工程招标控制总造价（最高</w:t>
      </w:r>
      <w:r>
        <w:rPr>
          <w:rFonts w:hint="eastAsia" w:ascii="宋体" w:hAnsi="宋体" w:eastAsia="宋体" w:cs="宋体"/>
          <w:b/>
          <w:color w:val="auto"/>
          <w:sz w:val="21"/>
          <w:szCs w:val="21"/>
          <w:highlight w:val="none"/>
          <w:lang w:eastAsia="zh-CN" w:bidi="ar-SA"/>
        </w:rPr>
        <w:t>磋商</w:t>
      </w:r>
      <w:r>
        <w:rPr>
          <w:rFonts w:hint="eastAsia" w:ascii="宋体" w:hAnsi="宋体" w:eastAsia="宋体" w:cs="宋体"/>
          <w:b/>
          <w:color w:val="auto"/>
          <w:sz w:val="21"/>
          <w:szCs w:val="21"/>
          <w:highlight w:val="none"/>
          <w:lang w:bidi="ar-SA"/>
        </w:rPr>
        <w:t>限价）为</w:t>
      </w:r>
      <w:r>
        <w:rPr>
          <w:rFonts w:hint="eastAsia" w:ascii="宋体" w:hAnsi="宋体" w:cs="宋体"/>
          <w:b/>
          <w:bCs/>
          <w:color w:val="auto"/>
          <w:sz w:val="21"/>
          <w:szCs w:val="21"/>
          <w:highlight w:val="none"/>
          <w:lang w:val="en-US" w:eastAsia="zh-CN"/>
        </w:rPr>
        <w:t>1022385.56</w:t>
      </w:r>
      <w:r>
        <w:rPr>
          <w:rFonts w:hint="eastAsia" w:ascii="宋体" w:hAnsi="宋体" w:eastAsia="宋体" w:cs="宋体"/>
          <w:b/>
          <w:color w:val="auto"/>
          <w:sz w:val="21"/>
          <w:szCs w:val="21"/>
          <w:highlight w:val="none"/>
          <w:lang w:bidi="ar-SA"/>
        </w:rPr>
        <w:t>元</w:t>
      </w:r>
      <w:r>
        <w:rPr>
          <w:rFonts w:hint="eastAsia" w:ascii="宋体" w:hAnsi="宋体" w:eastAsia="宋体" w:cs="宋体"/>
          <w:b w:val="0"/>
          <w:bCs/>
          <w:color w:val="auto"/>
          <w:sz w:val="21"/>
          <w:szCs w:val="21"/>
          <w:highlight w:val="none"/>
          <w:lang w:bidi="ar-SA"/>
        </w:rPr>
        <w:t>，</w:t>
      </w:r>
      <w:r>
        <w:rPr>
          <w:rFonts w:hint="eastAsia" w:ascii="宋体" w:hAnsi="宋体" w:eastAsia="宋体" w:cs="宋体"/>
          <w:b w:val="0"/>
          <w:bCs/>
          <w:color w:val="auto"/>
          <w:sz w:val="21"/>
          <w:szCs w:val="21"/>
          <w:highlight w:val="none"/>
          <w:lang w:eastAsia="zh-CN" w:bidi="ar-SA"/>
        </w:rPr>
        <w:t>供应商</w:t>
      </w:r>
      <w:r>
        <w:rPr>
          <w:rFonts w:hint="eastAsia" w:ascii="宋体" w:hAnsi="宋体" w:eastAsia="宋体" w:cs="宋体"/>
          <w:b w:val="0"/>
          <w:bCs/>
          <w:color w:val="auto"/>
          <w:sz w:val="21"/>
          <w:szCs w:val="21"/>
          <w:highlight w:val="none"/>
          <w:lang w:bidi="ar-SA"/>
        </w:rPr>
        <w:t>的</w:t>
      </w:r>
      <w:r>
        <w:rPr>
          <w:rFonts w:hint="eastAsia" w:ascii="宋体" w:hAnsi="宋体" w:eastAsia="宋体" w:cs="宋体"/>
          <w:b w:val="0"/>
          <w:bCs/>
          <w:color w:val="auto"/>
          <w:sz w:val="21"/>
          <w:szCs w:val="21"/>
          <w:highlight w:val="none"/>
          <w:lang w:eastAsia="zh-CN" w:bidi="ar-SA"/>
        </w:rPr>
        <w:t>最后磋商</w:t>
      </w:r>
      <w:r>
        <w:rPr>
          <w:rFonts w:hint="eastAsia" w:ascii="宋体" w:hAnsi="宋体" w:eastAsia="宋体" w:cs="宋体"/>
          <w:b w:val="0"/>
          <w:bCs/>
          <w:color w:val="auto"/>
          <w:sz w:val="21"/>
          <w:szCs w:val="21"/>
          <w:highlight w:val="none"/>
          <w:lang w:bidi="ar-SA"/>
        </w:rPr>
        <w:t>总报价高于本</w:t>
      </w:r>
      <w:r>
        <w:rPr>
          <w:rFonts w:hint="eastAsia" w:ascii="宋体" w:hAnsi="宋体" w:eastAsia="宋体" w:cs="宋体"/>
          <w:b w:val="0"/>
          <w:bCs/>
          <w:color w:val="auto"/>
          <w:sz w:val="21"/>
          <w:szCs w:val="21"/>
          <w:highlight w:val="none"/>
          <w:lang w:eastAsia="zh-CN" w:bidi="ar-SA"/>
        </w:rPr>
        <w:t>项目</w:t>
      </w:r>
      <w:r>
        <w:rPr>
          <w:rFonts w:hint="eastAsia" w:ascii="宋体" w:hAnsi="宋体" w:eastAsia="宋体" w:cs="宋体"/>
          <w:b w:val="0"/>
          <w:bCs/>
          <w:color w:val="auto"/>
          <w:sz w:val="21"/>
          <w:szCs w:val="21"/>
          <w:highlight w:val="none"/>
          <w:lang w:bidi="ar-SA"/>
        </w:rPr>
        <w:t>工程招标控制总造价（最高</w:t>
      </w:r>
      <w:r>
        <w:rPr>
          <w:rFonts w:hint="eastAsia" w:ascii="宋体" w:hAnsi="宋体" w:eastAsia="宋体" w:cs="宋体"/>
          <w:b w:val="0"/>
          <w:bCs/>
          <w:color w:val="auto"/>
          <w:sz w:val="21"/>
          <w:szCs w:val="21"/>
          <w:highlight w:val="none"/>
          <w:lang w:eastAsia="zh-CN" w:bidi="ar-SA"/>
        </w:rPr>
        <w:t>磋商</w:t>
      </w:r>
      <w:r>
        <w:rPr>
          <w:rFonts w:hint="eastAsia" w:ascii="宋体" w:hAnsi="宋体" w:eastAsia="宋体" w:cs="宋体"/>
          <w:b w:val="0"/>
          <w:bCs/>
          <w:color w:val="auto"/>
          <w:sz w:val="21"/>
          <w:szCs w:val="21"/>
          <w:highlight w:val="none"/>
          <w:lang w:bidi="ar-SA"/>
        </w:rPr>
        <w:t>限价）为无效</w:t>
      </w:r>
      <w:r>
        <w:rPr>
          <w:rFonts w:hint="eastAsia" w:ascii="宋体" w:hAnsi="宋体" w:eastAsia="宋体" w:cs="宋体"/>
          <w:b w:val="0"/>
          <w:bCs/>
          <w:color w:val="auto"/>
          <w:sz w:val="21"/>
          <w:szCs w:val="21"/>
          <w:highlight w:val="none"/>
          <w:lang w:eastAsia="zh-CN" w:bidi="ar-SA"/>
        </w:rPr>
        <w:t>报价</w:t>
      </w:r>
      <w:r>
        <w:rPr>
          <w:rFonts w:hint="eastAsia" w:ascii="宋体" w:hAnsi="宋体" w:eastAsia="宋体" w:cs="宋体"/>
          <w:b w:val="0"/>
          <w:bCs/>
          <w:color w:val="auto"/>
          <w:sz w:val="21"/>
          <w:szCs w:val="21"/>
          <w:highlight w:val="none"/>
          <w:lang w:bidi="ar-SA"/>
        </w:rPr>
        <w:t>。</w:t>
      </w:r>
    </w:p>
    <w:p w14:paraId="3E710A0C">
      <w:pPr>
        <w:tabs>
          <w:tab w:val="left" w:pos="210"/>
        </w:tabs>
        <w:spacing w:line="44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四、项目所属行业：</w:t>
      </w:r>
      <w:r>
        <w:rPr>
          <w:rFonts w:hint="eastAsia" w:ascii="宋体" w:hAnsi="宋体" w:eastAsia="宋体" w:cs="宋体"/>
          <w:b/>
          <w:color w:val="auto"/>
          <w:kern w:val="0"/>
          <w:sz w:val="21"/>
          <w:szCs w:val="21"/>
          <w:highlight w:val="none"/>
          <w:lang w:bidi="ar-SA"/>
        </w:rPr>
        <w:t>所属行业依照《中小企业划型标准规定》（工信部联企业〔2011〕300号）及《国民经济行业分类》（GB/T4754-2017）的有关规定执行，本工程在《统计上大中小微型企业划分标准》中所属行业均为</w:t>
      </w:r>
      <w:r>
        <w:rPr>
          <w:rFonts w:hint="eastAsia" w:ascii="宋体" w:hAnsi="宋体" w:eastAsia="宋体" w:cs="宋体"/>
          <w:b/>
          <w:color w:val="auto"/>
          <w:kern w:val="0"/>
          <w:sz w:val="21"/>
          <w:szCs w:val="21"/>
          <w:highlight w:val="none"/>
          <w:u w:val="single"/>
          <w:lang w:bidi="ar-SA"/>
        </w:rPr>
        <w:t>建筑业。</w:t>
      </w:r>
    </w:p>
    <w:p w14:paraId="3E30CE70">
      <w:pPr>
        <w:tabs>
          <w:tab w:val="left" w:pos="210"/>
        </w:tabs>
        <w:spacing w:line="44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五、工程量清单（自行下载）。</w:t>
      </w:r>
    </w:p>
    <w:p w14:paraId="74996857">
      <w:pPr>
        <w:spacing w:line="400" w:lineRule="exact"/>
        <w:rPr>
          <w:rFonts w:hint="eastAsia" w:ascii="仿宋_GB2312" w:eastAsia="仿宋_GB2312"/>
          <w:b/>
          <w:color w:val="auto"/>
          <w:sz w:val="32"/>
          <w:szCs w:val="32"/>
          <w:highlight w:val="none"/>
        </w:rPr>
      </w:pPr>
    </w:p>
    <w:p w14:paraId="2BF59587">
      <w:pPr>
        <w:spacing w:line="620" w:lineRule="exact"/>
        <w:jc w:val="center"/>
        <w:outlineLvl w:val="0"/>
        <w:rPr>
          <w:rFonts w:hint="eastAsia" w:ascii="仿宋_GB2312" w:eastAsia="仿宋_GB2312"/>
          <w:b/>
          <w:color w:val="auto"/>
          <w:sz w:val="44"/>
          <w:szCs w:val="44"/>
          <w:highlight w:val="none"/>
        </w:rPr>
      </w:pPr>
      <w:r>
        <w:rPr>
          <w:rFonts w:hint="eastAsia" w:ascii="宋体" w:cs="宋体"/>
          <w:color w:val="auto"/>
          <w:sz w:val="24"/>
          <w:highlight w:val="none"/>
          <w:lang w:bidi="ar-SA"/>
        </w:rPr>
        <w:br w:type="page"/>
      </w:r>
      <w:bookmarkStart w:id="730" w:name="_Toc13770"/>
      <w:r>
        <w:rPr>
          <w:rFonts w:hint="eastAsia" w:ascii="宋体"/>
          <w:b/>
          <w:color w:val="auto"/>
          <w:kern w:val="0"/>
          <w:sz w:val="44"/>
          <w:szCs w:val="44"/>
          <w:highlight w:val="none"/>
        </w:rPr>
        <w:t>第六章 技术标准和要求</w:t>
      </w:r>
      <w:bookmarkEnd w:id="730"/>
    </w:p>
    <w:p w14:paraId="18768BB2">
      <w:pPr>
        <w:spacing w:line="500" w:lineRule="exact"/>
        <w:jc w:val="center"/>
        <w:rPr>
          <w:rFonts w:hint="eastAsia" w:ascii="宋体"/>
          <w:color w:val="auto"/>
          <w:szCs w:val="21"/>
          <w:highlight w:val="none"/>
        </w:rPr>
      </w:pPr>
    </w:p>
    <w:p w14:paraId="12407B0F">
      <w:pPr>
        <w:spacing w:line="620" w:lineRule="exact"/>
        <w:jc w:val="center"/>
        <w:outlineLvl w:val="9"/>
        <w:rPr>
          <w:rFonts w:hint="eastAsia" w:ascii="宋体" w:cs="宋体"/>
          <w:color w:val="auto"/>
          <w:sz w:val="24"/>
          <w:highlight w:val="none"/>
          <w:lang w:bidi="ar-SA"/>
        </w:rPr>
      </w:pPr>
      <w:r>
        <w:rPr>
          <w:rFonts w:hint="eastAsia" w:ascii="宋体" w:cs="宋体"/>
          <w:color w:val="auto"/>
          <w:sz w:val="24"/>
          <w:highlight w:val="none"/>
          <w:lang w:bidi="ar-SA"/>
        </w:rPr>
        <w:t>本章由</w:t>
      </w:r>
      <w:r>
        <w:rPr>
          <w:rFonts w:hint="eastAsia" w:ascii="宋体" w:cs="宋体"/>
          <w:color w:val="auto"/>
          <w:sz w:val="24"/>
          <w:highlight w:val="none"/>
          <w:lang w:eastAsia="zh-CN" w:bidi="ar-SA"/>
        </w:rPr>
        <w:t>采购</w:t>
      </w:r>
      <w:r>
        <w:rPr>
          <w:rFonts w:hint="eastAsia" w:ascii="宋体" w:cs="宋体"/>
          <w:color w:val="auto"/>
          <w:sz w:val="24"/>
          <w:highlight w:val="none"/>
          <w:lang w:bidi="ar-SA"/>
        </w:rPr>
        <w:t>人根据国家行业和地方现行标准、规范和规程等，以及项目具体情况摘录。</w:t>
      </w:r>
    </w:p>
    <w:p w14:paraId="5A2B87F6">
      <w:pPr>
        <w:spacing w:line="620" w:lineRule="exact"/>
        <w:jc w:val="center"/>
        <w:outlineLvl w:val="0"/>
        <w:rPr>
          <w:rFonts w:hint="eastAsia" w:ascii="仿宋_GB2312" w:eastAsia="仿宋_GB2312"/>
          <w:b/>
          <w:color w:val="auto"/>
          <w:sz w:val="44"/>
          <w:szCs w:val="44"/>
          <w:highlight w:val="none"/>
        </w:rPr>
      </w:pPr>
      <w:r>
        <w:rPr>
          <w:rFonts w:hint="eastAsia" w:ascii="宋体" w:cs="宋体"/>
          <w:color w:val="auto"/>
          <w:sz w:val="24"/>
          <w:highlight w:val="none"/>
          <w:lang w:bidi="ar-SA"/>
        </w:rPr>
        <w:br w:type="page"/>
      </w:r>
      <w:bookmarkStart w:id="731" w:name="_Toc30186"/>
      <w:r>
        <w:rPr>
          <w:rFonts w:hint="eastAsia" w:ascii="宋体"/>
          <w:b/>
          <w:color w:val="auto"/>
          <w:kern w:val="0"/>
          <w:sz w:val="44"/>
          <w:szCs w:val="44"/>
          <w:highlight w:val="none"/>
        </w:rPr>
        <w:t>第</w:t>
      </w:r>
      <w:r>
        <w:rPr>
          <w:rFonts w:hint="eastAsia" w:ascii="宋体"/>
          <w:b/>
          <w:color w:val="auto"/>
          <w:kern w:val="0"/>
          <w:sz w:val="44"/>
          <w:szCs w:val="44"/>
          <w:highlight w:val="none"/>
          <w:lang w:eastAsia="zh-CN"/>
        </w:rPr>
        <w:t>七</w:t>
      </w:r>
      <w:r>
        <w:rPr>
          <w:rFonts w:hint="eastAsia" w:ascii="宋体"/>
          <w:b/>
          <w:color w:val="auto"/>
          <w:kern w:val="0"/>
          <w:sz w:val="44"/>
          <w:szCs w:val="44"/>
          <w:highlight w:val="none"/>
        </w:rPr>
        <w:t xml:space="preserve">章 </w:t>
      </w:r>
      <w:r>
        <w:rPr>
          <w:rFonts w:hint="eastAsia" w:ascii="仿宋_GB2312" w:eastAsia="仿宋_GB2312"/>
          <w:b/>
          <w:color w:val="auto"/>
          <w:sz w:val="44"/>
          <w:szCs w:val="44"/>
          <w:highlight w:val="none"/>
        </w:rPr>
        <w:t>竞争性磋商响应文件格式</w:t>
      </w:r>
      <w:bookmarkEnd w:id="731"/>
    </w:p>
    <w:p w14:paraId="79142804">
      <w:pPr>
        <w:spacing w:line="500" w:lineRule="exact"/>
        <w:jc w:val="center"/>
        <w:rPr>
          <w:rFonts w:hint="eastAsia" w:ascii="宋体"/>
          <w:color w:val="auto"/>
          <w:szCs w:val="21"/>
          <w:highlight w:val="none"/>
        </w:rPr>
      </w:pPr>
    </w:p>
    <w:p w14:paraId="6795BF34">
      <w:pPr>
        <w:spacing w:line="500" w:lineRule="exact"/>
        <w:jc w:val="center"/>
        <w:rPr>
          <w:rFonts w:hint="eastAsia" w:ascii="宋体"/>
          <w:color w:val="auto"/>
          <w:szCs w:val="21"/>
          <w:highlight w:val="none"/>
        </w:rPr>
      </w:pPr>
    </w:p>
    <w:p w14:paraId="45226BA3">
      <w:pPr>
        <w:numPr>
          <w:ilvl w:val="0"/>
          <w:numId w:val="4"/>
        </w:numPr>
        <w:spacing w:line="440" w:lineRule="atLeast"/>
        <w:rPr>
          <w:rFonts w:hint="eastAsia" w:ascii="宋体"/>
          <w:b/>
          <w:color w:val="auto"/>
          <w:sz w:val="28"/>
          <w:szCs w:val="28"/>
          <w:highlight w:val="none"/>
        </w:rPr>
      </w:pPr>
      <w:r>
        <w:rPr>
          <w:rFonts w:hint="eastAsia" w:ascii="宋体"/>
          <w:b/>
          <w:color w:val="auto"/>
          <w:sz w:val="28"/>
          <w:szCs w:val="28"/>
          <w:highlight w:val="none"/>
        </w:rPr>
        <w:t>资格性响应证明材料：</w:t>
      </w:r>
    </w:p>
    <w:p w14:paraId="3A5E6229">
      <w:pPr>
        <w:numPr>
          <w:ilvl w:val="0"/>
          <w:numId w:val="0"/>
        </w:numPr>
        <w:spacing w:line="440" w:lineRule="atLeast"/>
        <w:ind w:firstLine="562" w:firstLineChars="200"/>
        <w:rPr>
          <w:rFonts w:hint="eastAsia" w:ascii="宋体"/>
          <w:b/>
          <w:color w:val="auto"/>
          <w:sz w:val="28"/>
          <w:szCs w:val="28"/>
          <w:highlight w:val="none"/>
        </w:rPr>
      </w:pPr>
    </w:p>
    <w:p w14:paraId="3F59BF6F">
      <w:pPr>
        <w:numPr>
          <w:ilvl w:val="0"/>
          <w:numId w:val="0"/>
        </w:numPr>
        <w:spacing w:line="440" w:lineRule="atLeast"/>
        <w:ind w:firstLine="562" w:firstLineChars="200"/>
        <w:rPr>
          <w:rFonts w:hint="eastAsia" w:ascii="宋体"/>
          <w:b/>
          <w:color w:val="auto"/>
          <w:sz w:val="28"/>
          <w:szCs w:val="28"/>
          <w:highlight w:val="none"/>
        </w:rPr>
      </w:pPr>
      <w:r>
        <w:rPr>
          <w:rFonts w:hint="eastAsia" w:ascii="宋体"/>
          <w:b/>
          <w:color w:val="auto"/>
          <w:sz w:val="28"/>
          <w:szCs w:val="28"/>
          <w:highlight w:val="none"/>
        </w:rPr>
        <w:t>1. 法定代表人的正反两面身份证扫描件（必须提供）；</w:t>
      </w:r>
    </w:p>
    <w:p w14:paraId="1E890702">
      <w:pPr>
        <w:adjustRightInd w:val="0"/>
        <w:snapToGrid w:val="0"/>
        <w:spacing w:line="300" w:lineRule="auto"/>
        <w:ind w:firstLine="562" w:firstLineChars="200"/>
        <w:rPr>
          <w:rFonts w:hint="eastAsia" w:ascii="宋体"/>
          <w:b/>
          <w:color w:val="auto"/>
          <w:sz w:val="28"/>
          <w:szCs w:val="28"/>
          <w:highlight w:val="none"/>
        </w:rPr>
      </w:pPr>
    </w:p>
    <w:p w14:paraId="4A158589">
      <w:pPr>
        <w:adjustRightInd w:val="0"/>
        <w:snapToGrid w:val="0"/>
        <w:spacing w:line="300" w:lineRule="auto"/>
        <w:ind w:firstLine="562" w:firstLineChars="200"/>
        <w:rPr>
          <w:rFonts w:hint="eastAsia" w:ascii="宋体"/>
          <w:b/>
          <w:color w:val="auto"/>
          <w:sz w:val="28"/>
          <w:szCs w:val="28"/>
          <w:highlight w:val="none"/>
        </w:rPr>
      </w:pPr>
    </w:p>
    <w:p w14:paraId="7FB254FC">
      <w:pPr>
        <w:adjustRightInd w:val="0"/>
        <w:snapToGrid w:val="0"/>
        <w:spacing w:line="300" w:lineRule="auto"/>
        <w:ind w:firstLine="562" w:firstLineChars="200"/>
        <w:rPr>
          <w:rFonts w:hint="eastAsia" w:ascii="宋体"/>
          <w:b/>
          <w:color w:val="auto"/>
          <w:sz w:val="28"/>
          <w:szCs w:val="28"/>
          <w:highlight w:val="none"/>
        </w:rPr>
      </w:pPr>
    </w:p>
    <w:p w14:paraId="174223E0">
      <w:pPr>
        <w:adjustRightInd w:val="0"/>
        <w:snapToGrid w:val="0"/>
        <w:spacing w:line="300" w:lineRule="auto"/>
        <w:ind w:firstLine="562" w:firstLineChars="200"/>
        <w:rPr>
          <w:rFonts w:hint="eastAsia" w:ascii="宋体"/>
          <w:b/>
          <w:color w:val="auto"/>
          <w:sz w:val="28"/>
          <w:szCs w:val="28"/>
          <w:highlight w:val="none"/>
        </w:rPr>
      </w:pPr>
    </w:p>
    <w:p w14:paraId="2F9ACC2E">
      <w:pPr>
        <w:adjustRightInd w:val="0"/>
        <w:snapToGrid w:val="0"/>
        <w:spacing w:line="300" w:lineRule="auto"/>
        <w:ind w:firstLine="562" w:firstLineChars="200"/>
        <w:rPr>
          <w:rFonts w:hint="eastAsia" w:ascii="宋体"/>
          <w:b/>
          <w:color w:val="auto"/>
          <w:sz w:val="28"/>
          <w:szCs w:val="28"/>
          <w:highlight w:val="none"/>
        </w:rPr>
      </w:pPr>
    </w:p>
    <w:p w14:paraId="2FE24E44">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b/>
          <w:color w:val="auto"/>
          <w:sz w:val="28"/>
          <w:szCs w:val="28"/>
          <w:highlight w:val="none"/>
        </w:rPr>
      </w:pPr>
      <w:r>
        <w:rPr>
          <w:rFonts w:hint="eastAsia" w:ascii="宋体"/>
          <w:b/>
          <w:color w:val="auto"/>
          <w:sz w:val="28"/>
          <w:szCs w:val="28"/>
          <w:highlight w:val="none"/>
        </w:rPr>
        <w:t>2.供应商的授权委托书原件、委托代理人身份证正反面扫描件以及由县级以上（含县级）社会养老保险经办机构出具的供应商为委托代理人交纳的响应文件递交截止时间前半年内任意一个月社保证明扫描件；（委托代理时必须提供）。除供应商为以下三种情形的：</w:t>
      </w:r>
    </w:p>
    <w:p w14:paraId="611CDB8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auto"/>
          <w:sz w:val="28"/>
          <w:szCs w:val="28"/>
          <w:highlight w:val="none"/>
        </w:rPr>
      </w:pPr>
      <w:r>
        <w:rPr>
          <w:rFonts w:hint="eastAsia" w:ascii="宋体"/>
          <w:b w:val="0"/>
          <w:bCs/>
          <w:color w:val="auto"/>
          <w:sz w:val="28"/>
          <w:szCs w:val="28"/>
          <w:highlight w:val="none"/>
        </w:rPr>
        <w:t>①如供应商为截标时间前60日以内成立的公司，可以提供供应商与委托代理人签订的劳动合同扫描件代替社保证明扫描件；</w:t>
      </w:r>
    </w:p>
    <w:p w14:paraId="2987FB9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auto"/>
          <w:sz w:val="28"/>
          <w:szCs w:val="28"/>
          <w:highlight w:val="none"/>
        </w:rPr>
      </w:pPr>
      <w:r>
        <w:rPr>
          <w:rFonts w:hint="eastAsia" w:ascii="宋体"/>
          <w:b w:val="0"/>
          <w:bCs/>
          <w:color w:val="auto"/>
          <w:sz w:val="28"/>
          <w:szCs w:val="28"/>
          <w:highlight w:val="none"/>
        </w:rPr>
        <w:t>②如供应商为事业单位，可以提供事业单位机构编制管理证扫描件或事业单位机构为其发放工资的工资条扫描件代替社保证明扫描件；</w:t>
      </w:r>
    </w:p>
    <w:p w14:paraId="74BA9C5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b w:val="0"/>
          <w:bCs/>
          <w:color w:val="auto"/>
          <w:sz w:val="28"/>
          <w:szCs w:val="28"/>
          <w:highlight w:val="none"/>
        </w:rPr>
      </w:pPr>
      <w:r>
        <w:rPr>
          <w:rFonts w:hint="eastAsia" w:ascii="宋体"/>
          <w:b w:val="0"/>
          <w:bCs/>
          <w:color w:val="auto"/>
          <w:sz w:val="28"/>
          <w:szCs w:val="28"/>
          <w:highlight w:val="none"/>
        </w:rPr>
        <w:t>③如委托代理人为免缴纳社保人员，提供免缴纳社保的证明材料扫描件及供应商与委托代理人签订的劳动合同扫描件代替社保证明扫描件。</w:t>
      </w:r>
    </w:p>
    <w:p w14:paraId="3C59C6B1">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宋体"/>
          <w:b/>
          <w:color w:val="auto"/>
          <w:sz w:val="28"/>
          <w:szCs w:val="28"/>
          <w:highlight w:val="none"/>
        </w:rPr>
      </w:pPr>
      <w:r>
        <w:rPr>
          <w:rFonts w:hint="eastAsia" w:ascii="宋体"/>
          <w:b/>
          <w:color w:val="auto"/>
          <w:sz w:val="28"/>
          <w:szCs w:val="28"/>
          <w:highlight w:val="none"/>
        </w:rPr>
        <w:t>【属自然人的应提供由县级以上（含县级）社会养老保险经办机构出具的自然人本人及委托代理人所交纳的响应文件递交截止时间前半年内任意一个月社保证明扫描件】；</w:t>
      </w:r>
    </w:p>
    <w:p w14:paraId="6D9B4551">
      <w:pPr>
        <w:spacing w:line="300" w:lineRule="auto"/>
        <w:jc w:val="left"/>
        <w:rPr>
          <w:rFonts w:hint="eastAsia" w:ascii="宋体"/>
          <w:color w:val="auto"/>
          <w:szCs w:val="21"/>
          <w:highlight w:val="none"/>
        </w:rPr>
      </w:pPr>
    </w:p>
    <w:p w14:paraId="411989C1">
      <w:pPr>
        <w:pStyle w:val="12"/>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 xml:space="preserve">附件：            </w:t>
      </w:r>
    </w:p>
    <w:p w14:paraId="0E13F1E2">
      <w:pPr>
        <w:pStyle w:val="12"/>
        <w:ind w:firstLine="630" w:firstLineChars="196"/>
        <w:jc w:val="center"/>
        <w:rPr>
          <w:rFonts w:hint="eastAsia" w:ascii="宋体" w:hAnsi="宋体" w:eastAsia="宋体" w:cs="宋体"/>
          <w:b/>
          <w:color w:val="auto"/>
          <w:sz w:val="32"/>
          <w:highlight w:val="none"/>
        </w:rPr>
      </w:pPr>
      <w:bookmarkStart w:id="732" w:name="_Toc5420_WPSOffice_Level1"/>
      <w:bookmarkStart w:id="733" w:name="_Toc964_WPSOffice_Level1"/>
      <w:r>
        <w:rPr>
          <w:rFonts w:hint="eastAsia" w:ascii="宋体" w:hAnsi="宋体" w:eastAsia="宋体" w:cs="宋体"/>
          <w:b/>
          <w:color w:val="auto"/>
          <w:sz w:val="32"/>
          <w:highlight w:val="none"/>
        </w:rPr>
        <w:t>授权委托书（格式一）</w:t>
      </w:r>
      <w:bookmarkEnd w:id="732"/>
      <w:bookmarkEnd w:id="733"/>
    </w:p>
    <w:p w14:paraId="1C12EEBB">
      <w:pPr>
        <w:pStyle w:val="12"/>
        <w:rPr>
          <w:rFonts w:hint="eastAsia" w:ascii="宋体" w:hAnsi="宋体" w:eastAsia="宋体" w:cs="宋体"/>
          <w:color w:val="auto"/>
          <w:highlight w:val="none"/>
        </w:rPr>
      </w:pPr>
    </w:p>
    <w:p w14:paraId="5EA9D447">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广西国兴项目管理有限公司</w:t>
      </w:r>
      <w:r>
        <w:rPr>
          <w:rFonts w:hint="eastAsia" w:ascii="宋体" w:hAnsi="宋体" w:eastAsia="宋体" w:cs="宋体"/>
          <w:color w:val="auto"/>
          <w:szCs w:val="21"/>
          <w:highlight w:val="none"/>
          <w:u w:val="single"/>
        </w:rPr>
        <w:t xml:space="preserve"> </w:t>
      </w:r>
    </w:p>
    <w:p w14:paraId="2118A8F0">
      <w:pPr>
        <w:spacing w:line="400" w:lineRule="exact"/>
        <w:rPr>
          <w:rFonts w:hint="eastAsia" w:ascii="宋体" w:hAnsi="宋体" w:eastAsia="宋体" w:cs="宋体"/>
          <w:color w:val="auto"/>
          <w:szCs w:val="21"/>
          <w:highlight w:val="none"/>
        </w:rPr>
      </w:pPr>
    </w:p>
    <w:p w14:paraId="1200BEE2">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6A1AB645">
      <w:pPr>
        <w:pStyle w:val="12"/>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1CEF2231">
      <w:pPr>
        <w:pStyle w:val="12"/>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CD5ECF7">
      <w:pPr>
        <w:pStyle w:val="12"/>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0023F2D8">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9688F45">
      <w:pPr>
        <w:spacing w:line="400" w:lineRule="exact"/>
        <w:ind w:firstLine="420" w:firstLineChars="200"/>
        <w:rPr>
          <w:rFonts w:hint="eastAsia" w:ascii="宋体" w:hAnsi="宋体" w:eastAsia="宋体" w:cs="宋体"/>
          <w:color w:val="auto"/>
          <w:kern w:val="0"/>
          <w:highlight w:val="none"/>
        </w:rPr>
      </w:pPr>
    </w:p>
    <w:p w14:paraId="75AA91B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525A988D">
      <w:pPr>
        <w:spacing w:line="400" w:lineRule="exact"/>
        <w:ind w:firstLine="420" w:firstLineChars="200"/>
        <w:rPr>
          <w:rFonts w:hint="eastAsia" w:ascii="宋体" w:hAnsi="宋体" w:eastAsia="宋体" w:cs="宋体"/>
          <w:color w:val="auto"/>
          <w:szCs w:val="21"/>
          <w:highlight w:val="none"/>
        </w:rPr>
      </w:pPr>
    </w:p>
    <w:p w14:paraId="1E7086E0">
      <w:pPr>
        <w:spacing w:line="400" w:lineRule="exact"/>
        <w:ind w:firstLine="420" w:firstLineChars="200"/>
        <w:rPr>
          <w:rFonts w:hint="eastAsia" w:ascii="宋体" w:hAnsi="宋体" w:eastAsia="宋体" w:cs="宋体"/>
          <w:color w:val="auto"/>
          <w:szCs w:val="21"/>
          <w:highlight w:val="none"/>
        </w:rPr>
      </w:pPr>
    </w:p>
    <w:p w14:paraId="4E6ECB00">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5FAF5A4">
      <w:pPr>
        <w:snapToGrid w:val="0"/>
        <w:spacing w:line="400" w:lineRule="exact"/>
        <w:ind w:firstLine="420"/>
        <w:rPr>
          <w:rFonts w:hint="eastAsia" w:ascii="宋体" w:hAnsi="宋体" w:eastAsia="宋体" w:cs="宋体"/>
          <w:color w:val="auto"/>
          <w:szCs w:val="21"/>
          <w:highlight w:val="none"/>
        </w:rPr>
      </w:pPr>
    </w:p>
    <w:p w14:paraId="4FC98B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0E292CB">
      <w:pPr>
        <w:snapToGrid w:val="0"/>
        <w:spacing w:line="400" w:lineRule="exact"/>
        <w:ind w:firstLine="420"/>
        <w:rPr>
          <w:rFonts w:hint="eastAsia" w:ascii="宋体" w:hAnsi="宋体" w:eastAsia="宋体" w:cs="宋体"/>
          <w:color w:val="auto"/>
          <w:szCs w:val="21"/>
          <w:highlight w:val="none"/>
        </w:rPr>
      </w:pPr>
    </w:p>
    <w:p w14:paraId="4DEA9287">
      <w:pPr>
        <w:pStyle w:val="9"/>
        <w:rPr>
          <w:rFonts w:hint="eastAsia" w:ascii="宋体" w:hAnsi="宋体" w:eastAsia="宋体" w:cs="宋体"/>
          <w:color w:val="auto"/>
          <w:highlight w:val="none"/>
        </w:rPr>
      </w:pPr>
    </w:p>
    <w:p w14:paraId="133F1636">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w:t>
      </w:r>
      <w:r>
        <w:rPr>
          <w:rFonts w:hint="eastAsia" w:ascii="宋体" w:hAnsi="宋体" w:eastAsia="宋体" w:cs="宋体"/>
          <w:b/>
          <w:color w:val="auto"/>
          <w:szCs w:val="21"/>
          <w:highlight w:val="none"/>
          <w:lang w:eastAsia="zh-CN"/>
        </w:rPr>
        <w:t>原件</w:t>
      </w:r>
      <w:r>
        <w:rPr>
          <w:rFonts w:hint="eastAsia" w:ascii="宋体" w:hAnsi="宋体" w:eastAsia="宋体" w:cs="宋体"/>
          <w:b/>
          <w:color w:val="auto"/>
          <w:szCs w:val="21"/>
          <w:highlight w:val="none"/>
        </w:rPr>
        <w:t>、委托代理人身份证正反面</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以及由县级以上（含县级）社会养老保险经办机构出具的供应商为委托代理人交纳的响应文件递交截止时间前半年内任意</w:t>
      </w:r>
      <w:r>
        <w:rPr>
          <w:rFonts w:hint="eastAsia" w:ascii="宋体" w:hAnsi="宋体" w:eastAsia="宋体" w:cs="宋体"/>
          <w:b/>
          <w:bCs/>
          <w:color w:val="auto"/>
          <w:szCs w:val="21"/>
          <w:highlight w:val="none"/>
          <w:lang w:val="en-US" w:eastAsia="zh-CN"/>
        </w:rPr>
        <w:t>一个</w:t>
      </w:r>
      <w:r>
        <w:rPr>
          <w:rFonts w:hint="eastAsia" w:ascii="宋体" w:hAnsi="宋体" w:eastAsia="宋体" w:cs="宋体"/>
          <w:b/>
          <w:color w:val="auto"/>
          <w:szCs w:val="21"/>
          <w:highlight w:val="none"/>
        </w:rPr>
        <w:t>月社保证明</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除供应商为以下三种情形的：</w:t>
      </w:r>
    </w:p>
    <w:p w14:paraId="7873DD65">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如供应商为截标时间前60日以内成立的公司，可以提供供应商与委托代理人签订的劳动合同</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代替社保证明</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w:t>
      </w:r>
    </w:p>
    <w:p w14:paraId="20752FEA">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（2）如供应商为事业单位，可以提供事业单位机构编制管理证</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或事业单位机构为其发放工资的工资条</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代替社保证明</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w:t>
      </w:r>
    </w:p>
    <w:p w14:paraId="3B3E3A85">
      <w:pPr>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（3）如委托代理人为免缴纳社保人员，提供免缴纳社保的证明材料</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及供应商与委托代理人签订的劳动合同</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代替社保证明</w:t>
      </w:r>
      <w:r>
        <w:rPr>
          <w:rFonts w:hint="eastAsia" w:ascii="宋体" w:hAnsi="宋体" w:cs="宋体"/>
          <w:b/>
          <w:color w:val="auto"/>
          <w:szCs w:val="21"/>
          <w:highlight w:val="none"/>
          <w:lang w:eastAsia="zh-CN"/>
        </w:rPr>
        <w:t>扫描件</w:t>
      </w:r>
      <w:r>
        <w:rPr>
          <w:rFonts w:hint="eastAsia" w:ascii="宋体" w:hAnsi="宋体" w:eastAsia="宋体" w:cs="宋体"/>
          <w:b/>
          <w:color w:val="auto"/>
          <w:szCs w:val="21"/>
          <w:highlight w:val="none"/>
        </w:rPr>
        <w:t>。</w:t>
      </w:r>
    </w:p>
    <w:p w14:paraId="437D619D">
      <w:pPr>
        <w:pStyle w:val="12"/>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73A86B71">
      <w:pPr>
        <w:pStyle w:val="12"/>
        <w:jc w:val="center"/>
        <w:rPr>
          <w:rFonts w:hint="eastAsia" w:ascii="宋体" w:hAnsi="宋体" w:eastAsia="宋体" w:cs="宋体"/>
          <w:b/>
          <w:color w:val="auto"/>
          <w:sz w:val="32"/>
          <w:highlight w:val="none"/>
        </w:rPr>
      </w:pPr>
    </w:p>
    <w:p w14:paraId="373E5A66">
      <w:pPr>
        <w:pStyle w:val="12"/>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授权委托书（格式二）</w:t>
      </w:r>
    </w:p>
    <w:p w14:paraId="41677B34">
      <w:pPr>
        <w:pStyle w:val="12"/>
        <w:jc w:val="both"/>
        <w:rPr>
          <w:rFonts w:hint="eastAsia" w:ascii="宋体" w:hAnsi="宋体" w:eastAsia="宋体" w:cs="宋体"/>
          <w:b/>
          <w:color w:val="auto"/>
          <w:sz w:val="32"/>
          <w:highlight w:val="none"/>
        </w:rPr>
      </w:pPr>
    </w:p>
    <w:p w14:paraId="0A20EE2B">
      <w:pPr>
        <w:pStyle w:val="12"/>
        <w:jc w:val="both"/>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eastAsia="zh-CN"/>
        </w:rPr>
        <w:t>广西国兴项目管理有限公司</w:t>
      </w:r>
      <w:r>
        <w:rPr>
          <w:rFonts w:hint="eastAsia" w:ascii="宋体" w:hAnsi="宋体" w:eastAsia="宋体" w:cs="宋体"/>
          <w:color w:val="auto"/>
          <w:szCs w:val="21"/>
          <w:highlight w:val="none"/>
          <w:u w:val="single"/>
        </w:rPr>
        <w:t xml:space="preserve"> </w:t>
      </w:r>
    </w:p>
    <w:p w14:paraId="053E1F01">
      <w:pPr>
        <w:rPr>
          <w:rFonts w:hint="eastAsia" w:ascii="宋体" w:hAnsi="宋体" w:eastAsia="宋体" w:cs="宋体"/>
          <w:color w:val="auto"/>
          <w:highlight w:val="none"/>
        </w:rPr>
      </w:pPr>
    </w:p>
    <w:p w14:paraId="7F239452">
      <w:pPr>
        <w:pStyle w:val="12"/>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1792A1E6">
      <w:pPr>
        <w:pStyle w:val="12"/>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2D8A8256">
      <w:pPr>
        <w:pStyle w:val="12"/>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日起至</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日止。</w:t>
      </w:r>
    </w:p>
    <w:p w14:paraId="4D7C2EC3">
      <w:pPr>
        <w:pStyle w:val="12"/>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AD4897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22222E49">
      <w:pPr>
        <w:spacing w:line="340" w:lineRule="exact"/>
        <w:ind w:firstLine="420" w:firstLineChars="200"/>
        <w:rPr>
          <w:rFonts w:hint="eastAsia" w:ascii="宋体" w:hAnsi="宋体" w:eastAsia="宋体" w:cs="宋体"/>
          <w:color w:val="auto"/>
          <w:kern w:val="0"/>
          <w:highlight w:val="none"/>
        </w:rPr>
      </w:pPr>
    </w:p>
    <w:p w14:paraId="0BBFA2C7">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3F726AE">
      <w:pPr>
        <w:spacing w:line="340" w:lineRule="exact"/>
        <w:ind w:firstLine="420" w:firstLineChars="200"/>
        <w:rPr>
          <w:rFonts w:hint="eastAsia" w:ascii="宋体" w:hAnsi="宋体" w:eastAsia="宋体" w:cs="宋体"/>
          <w:color w:val="auto"/>
          <w:szCs w:val="21"/>
          <w:highlight w:val="none"/>
        </w:rPr>
      </w:pPr>
    </w:p>
    <w:p w14:paraId="4CBA662B">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4D978A3">
      <w:pPr>
        <w:pStyle w:val="12"/>
        <w:spacing w:line="400" w:lineRule="exact"/>
        <w:ind w:left="420" w:leftChars="200"/>
        <w:rPr>
          <w:rFonts w:hint="eastAsia" w:ascii="宋体" w:hAnsi="宋体" w:eastAsia="宋体" w:cs="宋体"/>
          <w:color w:val="auto"/>
          <w:szCs w:val="21"/>
          <w:highlight w:val="none"/>
        </w:rPr>
      </w:pPr>
    </w:p>
    <w:p w14:paraId="46FCF735">
      <w:pPr>
        <w:pStyle w:val="12"/>
        <w:spacing w:line="40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附：委托代理人身份证正反面</w:t>
      </w:r>
      <w:r>
        <w:rPr>
          <w:rFonts w:hint="eastAsia" w:hAnsi="宋体" w:cs="宋体"/>
          <w:b/>
          <w:color w:val="auto"/>
          <w:szCs w:val="21"/>
          <w:highlight w:val="none"/>
          <w:lang w:eastAsia="zh-CN"/>
        </w:rPr>
        <w:t>扫描件</w:t>
      </w:r>
    </w:p>
    <w:p w14:paraId="6EC7459C">
      <w:pPr>
        <w:pStyle w:val="5"/>
        <w:outlineLvl w:val="9"/>
        <w:rPr>
          <w:rFonts w:hint="eastAsia"/>
          <w:color w:val="auto"/>
          <w:highlight w:val="none"/>
        </w:rPr>
      </w:pPr>
    </w:p>
    <w:p w14:paraId="57DCB680">
      <w:pPr>
        <w:spacing w:line="400" w:lineRule="exact"/>
        <w:rPr>
          <w:rFonts w:hint="eastAsia" w:ascii="宋体"/>
          <w:b/>
          <w:color w:val="auto"/>
          <w:sz w:val="28"/>
          <w:szCs w:val="28"/>
          <w:highlight w:val="none"/>
        </w:rPr>
      </w:pPr>
    </w:p>
    <w:p w14:paraId="72827504">
      <w:pPr>
        <w:spacing w:line="400" w:lineRule="exact"/>
        <w:ind w:firstLine="562" w:firstLineChars="200"/>
        <w:rPr>
          <w:rFonts w:hint="eastAsia" w:ascii="宋体"/>
          <w:b/>
          <w:color w:val="auto"/>
          <w:sz w:val="28"/>
          <w:szCs w:val="28"/>
          <w:highlight w:val="none"/>
        </w:rPr>
      </w:pPr>
    </w:p>
    <w:p w14:paraId="077708ED">
      <w:pPr>
        <w:spacing w:line="400" w:lineRule="exact"/>
        <w:rPr>
          <w:rFonts w:hint="eastAsia" w:ascii="宋体"/>
          <w:b/>
          <w:color w:val="auto"/>
          <w:sz w:val="28"/>
          <w:szCs w:val="28"/>
          <w:highlight w:val="none"/>
        </w:rPr>
      </w:pPr>
    </w:p>
    <w:p w14:paraId="39EFCB2B">
      <w:pPr>
        <w:pStyle w:val="5"/>
        <w:outlineLvl w:val="9"/>
        <w:rPr>
          <w:rFonts w:hint="eastAsia"/>
          <w:color w:val="auto"/>
          <w:highlight w:val="none"/>
        </w:rPr>
      </w:pPr>
    </w:p>
    <w:p w14:paraId="4FE6DD50">
      <w:pPr>
        <w:spacing w:line="400" w:lineRule="exact"/>
        <w:ind w:firstLine="562" w:firstLineChars="200"/>
        <w:rPr>
          <w:rFonts w:hint="eastAsia" w:ascii="宋体"/>
          <w:b/>
          <w:color w:val="auto"/>
          <w:sz w:val="28"/>
          <w:szCs w:val="28"/>
          <w:highlight w:val="none"/>
        </w:rPr>
      </w:pPr>
      <w:r>
        <w:rPr>
          <w:rFonts w:hint="eastAsia" w:ascii="宋体"/>
          <w:b/>
          <w:color w:val="auto"/>
          <w:sz w:val="28"/>
          <w:szCs w:val="28"/>
          <w:highlight w:val="none"/>
        </w:rPr>
        <w:br w:type="page"/>
      </w:r>
      <w:r>
        <w:rPr>
          <w:rFonts w:hint="eastAsia" w:ascii="宋体"/>
          <w:b/>
          <w:color w:val="auto"/>
          <w:sz w:val="28"/>
          <w:szCs w:val="28"/>
          <w:highlight w:val="none"/>
        </w:rPr>
        <w:t>3.供应商有效的营业执照副本扫描件（必须提供）；</w:t>
      </w:r>
    </w:p>
    <w:p w14:paraId="5D9DC57D">
      <w:pPr>
        <w:spacing w:line="400" w:lineRule="exact"/>
        <w:rPr>
          <w:rFonts w:hint="eastAsia" w:ascii="宋体"/>
          <w:b/>
          <w:color w:val="auto"/>
          <w:sz w:val="28"/>
          <w:szCs w:val="28"/>
          <w:highlight w:val="none"/>
        </w:rPr>
      </w:pPr>
    </w:p>
    <w:p w14:paraId="5C5718D5">
      <w:pPr>
        <w:spacing w:line="400" w:lineRule="exact"/>
        <w:ind w:firstLine="562" w:firstLineChars="200"/>
        <w:rPr>
          <w:rFonts w:hint="eastAsia" w:ascii="宋体"/>
          <w:b/>
          <w:color w:val="auto"/>
          <w:sz w:val="28"/>
          <w:szCs w:val="28"/>
          <w:highlight w:val="none"/>
        </w:rPr>
      </w:pPr>
    </w:p>
    <w:p w14:paraId="5B6A5B24">
      <w:pPr>
        <w:spacing w:line="400" w:lineRule="exact"/>
        <w:ind w:firstLine="562" w:firstLineChars="200"/>
        <w:rPr>
          <w:rFonts w:hint="eastAsia" w:ascii="宋体"/>
          <w:b/>
          <w:color w:val="auto"/>
          <w:sz w:val="28"/>
          <w:szCs w:val="28"/>
          <w:highlight w:val="none"/>
        </w:rPr>
      </w:pPr>
    </w:p>
    <w:p w14:paraId="71FA8CB2">
      <w:pPr>
        <w:spacing w:line="400" w:lineRule="exact"/>
        <w:ind w:firstLine="562" w:firstLineChars="200"/>
        <w:rPr>
          <w:rFonts w:hint="eastAsia" w:ascii="宋体"/>
          <w:b/>
          <w:color w:val="auto"/>
          <w:sz w:val="28"/>
          <w:szCs w:val="28"/>
          <w:highlight w:val="none"/>
        </w:rPr>
      </w:pPr>
    </w:p>
    <w:p w14:paraId="5473D81A">
      <w:pPr>
        <w:spacing w:line="400" w:lineRule="exact"/>
        <w:ind w:firstLine="562" w:firstLineChars="200"/>
        <w:rPr>
          <w:rFonts w:hint="eastAsia" w:ascii="宋体"/>
          <w:b/>
          <w:color w:val="auto"/>
          <w:sz w:val="28"/>
          <w:szCs w:val="28"/>
          <w:highlight w:val="none"/>
        </w:rPr>
      </w:pPr>
    </w:p>
    <w:p w14:paraId="1051B4F2">
      <w:pPr>
        <w:spacing w:line="400" w:lineRule="exact"/>
        <w:ind w:firstLine="562" w:firstLineChars="200"/>
        <w:rPr>
          <w:rFonts w:hint="eastAsia" w:ascii="宋体"/>
          <w:b/>
          <w:color w:val="auto"/>
          <w:sz w:val="28"/>
          <w:szCs w:val="28"/>
          <w:highlight w:val="none"/>
        </w:rPr>
      </w:pPr>
      <w:r>
        <w:rPr>
          <w:rFonts w:hint="eastAsia" w:ascii="宋体"/>
          <w:b/>
          <w:color w:val="auto"/>
          <w:sz w:val="28"/>
          <w:szCs w:val="28"/>
          <w:highlight w:val="none"/>
        </w:rPr>
        <w:t>4.供应商相应有效的企业资质证书副本及安全生产许可证证副本扫描件、拟投入项目经理的注册建造师执业资格证书及安全生产考核合格证书（B类）扫描件（必须提供）；</w:t>
      </w:r>
    </w:p>
    <w:p w14:paraId="36CCA6F5">
      <w:pPr>
        <w:spacing w:line="400" w:lineRule="exact"/>
        <w:ind w:firstLine="562" w:firstLineChars="200"/>
        <w:rPr>
          <w:rFonts w:hint="eastAsia" w:ascii="宋体"/>
          <w:b/>
          <w:color w:val="auto"/>
          <w:sz w:val="28"/>
          <w:szCs w:val="28"/>
          <w:highlight w:val="none"/>
        </w:rPr>
      </w:pPr>
    </w:p>
    <w:p w14:paraId="1831A002">
      <w:pPr>
        <w:spacing w:line="400" w:lineRule="exact"/>
        <w:ind w:left="420" w:leftChars="200" w:firstLine="281" w:firstLineChars="100"/>
        <w:rPr>
          <w:rFonts w:hint="eastAsia" w:ascii="宋体"/>
          <w:b/>
          <w:color w:val="auto"/>
          <w:sz w:val="28"/>
          <w:szCs w:val="28"/>
          <w:highlight w:val="none"/>
        </w:rPr>
      </w:pPr>
    </w:p>
    <w:p w14:paraId="0D08C088">
      <w:pPr>
        <w:spacing w:line="400" w:lineRule="exact"/>
        <w:ind w:left="420" w:leftChars="200" w:firstLine="281" w:firstLineChars="100"/>
        <w:rPr>
          <w:rFonts w:hint="eastAsia" w:ascii="宋体"/>
          <w:b/>
          <w:color w:val="auto"/>
          <w:sz w:val="28"/>
          <w:szCs w:val="28"/>
          <w:highlight w:val="none"/>
        </w:rPr>
      </w:pPr>
    </w:p>
    <w:p w14:paraId="51C27D71">
      <w:pPr>
        <w:spacing w:line="400" w:lineRule="exact"/>
        <w:ind w:left="420" w:leftChars="200" w:firstLine="281" w:firstLineChars="100"/>
        <w:rPr>
          <w:rFonts w:hint="eastAsia" w:ascii="宋体"/>
          <w:b/>
          <w:color w:val="auto"/>
          <w:sz w:val="28"/>
          <w:szCs w:val="28"/>
          <w:highlight w:val="none"/>
        </w:rPr>
      </w:pPr>
    </w:p>
    <w:p w14:paraId="72AA16D2">
      <w:pPr>
        <w:spacing w:line="400" w:lineRule="exact"/>
        <w:ind w:left="420" w:leftChars="200" w:firstLine="281" w:firstLineChars="100"/>
        <w:rPr>
          <w:rFonts w:hint="eastAsia" w:ascii="宋体"/>
          <w:b/>
          <w:color w:val="auto"/>
          <w:sz w:val="28"/>
          <w:szCs w:val="28"/>
          <w:highlight w:val="none"/>
        </w:rPr>
      </w:pPr>
    </w:p>
    <w:p w14:paraId="764FBBC9">
      <w:pPr>
        <w:spacing w:line="400" w:lineRule="exact"/>
        <w:ind w:left="420" w:leftChars="200" w:firstLine="281" w:firstLineChars="100"/>
        <w:rPr>
          <w:rFonts w:hint="eastAsia" w:ascii="宋体"/>
          <w:b/>
          <w:color w:val="auto"/>
          <w:sz w:val="28"/>
          <w:szCs w:val="28"/>
          <w:highlight w:val="none"/>
        </w:rPr>
      </w:pPr>
      <w:r>
        <w:rPr>
          <w:rFonts w:hint="eastAsia" w:ascii="宋体"/>
          <w:b/>
          <w:color w:val="auto"/>
          <w:sz w:val="28"/>
          <w:szCs w:val="28"/>
          <w:highlight w:val="none"/>
        </w:rPr>
        <w:t>5.项目经理无在建工程承诺书（格式自拟，必须提供）；</w:t>
      </w:r>
    </w:p>
    <w:p w14:paraId="2671D075">
      <w:pPr>
        <w:pStyle w:val="5"/>
        <w:ind w:left="420" w:leftChars="200"/>
        <w:outlineLvl w:val="9"/>
        <w:rPr>
          <w:rFonts w:hint="eastAsia"/>
          <w:color w:val="auto"/>
          <w:highlight w:val="none"/>
        </w:rPr>
      </w:pPr>
    </w:p>
    <w:p w14:paraId="2F3642E8">
      <w:pPr>
        <w:snapToGrid w:val="0"/>
        <w:spacing w:line="400" w:lineRule="exact"/>
        <w:ind w:left="273" w:leftChars="130" w:firstLine="551" w:firstLineChars="196"/>
        <w:jc w:val="left"/>
        <w:rPr>
          <w:rFonts w:hint="eastAsia" w:ascii="宋体"/>
          <w:b/>
          <w:color w:val="auto"/>
          <w:sz w:val="28"/>
          <w:szCs w:val="28"/>
          <w:highlight w:val="none"/>
        </w:rPr>
      </w:pPr>
    </w:p>
    <w:p w14:paraId="5DA20100">
      <w:pPr>
        <w:snapToGrid w:val="0"/>
        <w:spacing w:line="400" w:lineRule="exact"/>
        <w:ind w:left="273" w:leftChars="130" w:firstLine="551" w:firstLineChars="196"/>
        <w:jc w:val="left"/>
        <w:rPr>
          <w:rFonts w:hint="eastAsia" w:ascii="宋体"/>
          <w:b/>
          <w:color w:val="auto"/>
          <w:sz w:val="28"/>
          <w:szCs w:val="28"/>
          <w:highlight w:val="none"/>
        </w:rPr>
      </w:pPr>
    </w:p>
    <w:p w14:paraId="6B0DA40E">
      <w:pPr>
        <w:snapToGrid w:val="0"/>
        <w:spacing w:line="400" w:lineRule="exact"/>
        <w:ind w:left="273" w:leftChars="130" w:firstLine="551" w:firstLineChars="196"/>
        <w:jc w:val="left"/>
        <w:rPr>
          <w:rFonts w:hint="eastAsia" w:ascii="宋体"/>
          <w:b/>
          <w:color w:val="auto"/>
          <w:sz w:val="28"/>
          <w:szCs w:val="28"/>
          <w:highlight w:val="none"/>
        </w:rPr>
      </w:pPr>
    </w:p>
    <w:p w14:paraId="4398AD35">
      <w:pPr>
        <w:snapToGrid w:val="0"/>
        <w:spacing w:line="400" w:lineRule="exact"/>
        <w:ind w:left="273" w:leftChars="130" w:firstLine="551" w:firstLineChars="196"/>
        <w:jc w:val="left"/>
        <w:rPr>
          <w:rFonts w:hint="eastAsia" w:ascii="宋体"/>
          <w:b/>
          <w:color w:val="auto"/>
          <w:sz w:val="28"/>
          <w:szCs w:val="28"/>
          <w:highlight w:val="none"/>
        </w:rPr>
      </w:pPr>
      <w:r>
        <w:rPr>
          <w:rFonts w:hint="eastAsia" w:ascii="宋体"/>
          <w:b/>
          <w:color w:val="auto"/>
          <w:sz w:val="28"/>
          <w:szCs w:val="28"/>
          <w:highlight w:val="none"/>
        </w:rPr>
        <w:t>6.供应商2024年度以来任意一个年度的财务状况报告【提供第三方出具的财务审计报告，或供应商出具的财务报表（格式自拟，须提供现金流量表、负债表及利润表），或2026年以来其基本开户银行出具的资信证明】扫描件（必须提供）；</w:t>
      </w:r>
    </w:p>
    <w:p w14:paraId="1888B5C2">
      <w:pPr>
        <w:snapToGrid w:val="0"/>
        <w:spacing w:line="400" w:lineRule="exact"/>
        <w:ind w:left="273" w:leftChars="130" w:firstLine="551" w:firstLineChars="196"/>
        <w:jc w:val="left"/>
        <w:rPr>
          <w:rFonts w:hint="eastAsia" w:ascii="宋体"/>
          <w:b/>
          <w:color w:val="auto"/>
          <w:sz w:val="28"/>
          <w:szCs w:val="28"/>
          <w:highlight w:val="none"/>
        </w:rPr>
      </w:pPr>
    </w:p>
    <w:p w14:paraId="4D8452D3">
      <w:pPr>
        <w:snapToGrid w:val="0"/>
        <w:spacing w:line="400" w:lineRule="exact"/>
        <w:ind w:left="273" w:leftChars="130" w:firstLine="551" w:firstLineChars="196"/>
        <w:jc w:val="left"/>
        <w:rPr>
          <w:rFonts w:hint="eastAsia" w:ascii="宋体"/>
          <w:b/>
          <w:color w:val="auto"/>
          <w:sz w:val="28"/>
          <w:szCs w:val="28"/>
          <w:highlight w:val="none"/>
        </w:rPr>
      </w:pPr>
    </w:p>
    <w:p w14:paraId="00932381">
      <w:pPr>
        <w:snapToGrid w:val="0"/>
        <w:spacing w:line="400" w:lineRule="exact"/>
        <w:ind w:left="273" w:leftChars="130" w:firstLine="551" w:firstLineChars="196"/>
        <w:jc w:val="left"/>
        <w:rPr>
          <w:rFonts w:hint="eastAsia" w:ascii="宋体"/>
          <w:b/>
          <w:color w:val="auto"/>
          <w:sz w:val="28"/>
          <w:szCs w:val="28"/>
          <w:highlight w:val="none"/>
          <w:lang w:val="en-US" w:eastAsia="zh-CN"/>
        </w:rPr>
      </w:pPr>
    </w:p>
    <w:p w14:paraId="2C9F02C2">
      <w:pPr>
        <w:snapToGrid w:val="0"/>
        <w:spacing w:line="400" w:lineRule="exact"/>
        <w:ind w:left="273" w:leftChars="130" w:firstLine="551" w:firstLineChars="196"/>
        <w:jc w:val="left"/>
        <w:rPr>
          <w:rFonts w:hint="eastAsia" w:ascii="宋体"/>
          <w:b/>
          <w:color w:val="auto"/>
          <w:sz w:val="28"/>
          <w:szCs w:val="28"/>
          <w:highlight w:val="none"/>
          <w:lang w:val="en-US" w:eastAsia="zh-CN"/>
        </w:rPr>
      </w:pPr>
    </w:p>
    <w:p w14:paraId="709E6E55">
      <w:pPr>
        <w:snapToGrid w:val="0"/>
        <w:spacing w:line="400" w:lineRule="exact"/>
        <w:ind w:left="273" w:leftChars="130" w:firstLine="551" w:firstLineChars="196"/>
        <w:jc w:val="left"/>
        <w:rPr>
          <w:rFonts w:hint="eastAsia" w:ascii="宋体"/>
          <w:b/>
          <w:color w:val="auto"/>
          <w:sz w:val="28"/>
          <w:szCs w:val="28"/>
          <w:highlight w:val="none"/>
          <w:lang w:val="en-US" w:eastAsia="zh-CN"/>
        </w:rPr>
      </w:pPr>
    </w:p>
    <w:p w14:paraId="6E3E2555">
      <w:pPr>
        <w:snapToGrid w:val="0"/>
        <w:spacing w:line="400" w:lineRule="exact"/>
        <w:ind w:left="273" w:leftChars="130" w:firstLine="551" w:firstLineChars="196"/>
        <w:jc w:val="left"/>
        <w:rPr>
          <w:rFonts w:hint="eastAsia" w:ascii="宋体"/>
          <w:b/>
          <w:color w:val="auto"/>
          <w:sz w:val="28"/>
          <w:szCs w:val="28"/>
          <w:highlight w:val="none"/>
          <w:lang w:val="en-US" w:eastAsia="zh-CN"/>
        </w:rPr>
      </w:pPr>
    </w:p>
    <w:p w14:paraId="1FCAE14B">
      <w:pPr>
        <w:snapToGrid w:val="0"/>
        <w:spacing w:line="400" w:lineRule="exact"/>
        <w:ind w:left="273" w:leftChars="130" w:firstLine="551" w:firstLineChars="196"/>
        <w:jc w:val="left"/>
        <w:rPr>
          <w:rFonts w:hint="eastAsia" w:ascii="宋体"/>
          <w:b/>
          <w:color w:val="auto"/>
          <w:sz w:val="28"/>
          <w:szCs w:val="28"/>
          <w:highlight w:val="none"/>
          <w:lang w:val="en-US" w:eastAsia="zh-CN"/>
        </w:rPr>
      </w:pPr>
    </w:p>
    <w:p w14:paraId="00CF1A4E">
      <w:pPr>
        <w:snapToGrid w:val="0"/>
        <w:spacing w:line="400" w:lineRule="exact"/>
        <w:ind w:left="273" w:leftChars="130" w:firstLine="551" w:firstLineChars="196"/>
        <w:jc w:val="left"/>
        <w:rPr>
          <w:rFonts w:hint="eastAsia" w:ascii="宋体"/>
          <w:b/>
          <w:color w:val="auto"/>
          <w:sz w:val="28"/>
          <w:szCs w:val="28"/>
          <w:highlight w:val="none"/>
          <w:lang w:val="en-US" w:eastAsia="zh-CN"/>
        </w:rPr>
      </w:pPr>
    </w:p>
    <w:p w14:paraId="05565478">
      <w:pPr>
        <w:snapToGrid w:val="0"/>
        <w:spacing w:line="400" w:lineRule="exact"/>
        <w:ind w:left="273" w:leftChars="130" w:firstLine="551" w:firstLineChars="196"/>
        <w:jc w:val="left"/>
        <w:rPr>
          <w:rFonts w:hint="eastAsia" w:ascii="宋体"/>
          <w:b/>
          <w:color w:val="auto"/>
          <w:sz w:val="28"/>
          <w:szCs w:val="28"/>
          <w:highlight w:val="none"/>
          <w:lang w:val="en-US" w:eastAsia="zh-CN"/>
        </w:rPr>
      </w:pPr>
      <w:r>
        <w:rPr>
          <w:rFonts w:hint="eastAsia" w:ascii="宋体"/>
          <w:b/>
          <w:color w:val="auto"/>
          <w:sz w:val="28"/>
          <w:szCs w:val="28"/>
          <w:highlight w:val="none"/>
          <w:lang w:val="en-US" w:eastAsia="zh-CN"/>
        </w:rPr>
        <w:br w:type="page"/>
      </w:r>
      <w:r>
        <w:rPr>
          <w:rFonts w:hint="eastAsia" w:ascii="宋体"/>
          <w:b/>
          <w:color w:val="auto"/>
          <w:sz w:val="28"/>
          <w:szCs w:val="28"/>
          <w:highlight w:val="none"/>
          <w:lang w:val="en-US" w:eastAsia="zh-CN"/>
        </w:rPr>
        <w:t>7.供应商近半年内任意一个月或任一季度依法缴纳税收的证明材料[增值税缴纳发票(税收完税证明)或企业所得税完税证明或税务部门出具的免税证明]扫描件（必须提供）</w:t>
      </w:r>
    </w:p>
    <w:p w14:paraId="6D572893">
      <w:pPr>
        <w:snapToGrid w:val="0"/>
        <w:spacing w:line="400" w:lineRule="exact"/>
        <w:ind w:left="273" w:leftChars="130" w:firstLine="551" w:firstLineChars="196"/>
        <w:jc w:val="left"/>
        <w:rPr>
          <w:rFonts w:hint="eastAsia" w:ascii="宋体" w:cs="宋体"/>
          <w:b/>
          <w:color w:val="auto"/>
          <w:kern w:val="0"/>
          <w:sz w:val="28"/>
          <w:szCs w:val="28"/>
          <w:highlight w:val="none"/>
          <w:lang w:val="en-US" w:eastAsia="zh-CN" w:bidi="ar-SA"/>
        </w:rPr>
      </w:pPr>
    </w:p>
    <w:p w14:paraId="3545A58C">
      <w:pPr>
        <w:snapToGrid w:val="0"/>
        <w:spacing w:line="400" w:lineRule="exact"/>
        <w:ind w:left="273" w:leftChars="130" w:firstLine="551" w:firstLineChars="196"/>
        <w:jc w:val="left"/>
        <w:rPr>
          <w:rFonts w:hint="eastAsia" w:ascii="宋体" w:cs="宋体"/>
          <w:b/>
          <w:color w:val="auto"/>
          <w:kern w:val="0"/>
          <w:sz w:val="28"/>
          <w:szCs w:val="28"/>
          <w:highlight w:val="none"/>
          <w:lang w:val="en-US" w:eastAsia="zh-CN" w:bidi="ar-SA"/>
        </w:rPr>
      </w:pPr>
    </w:p>
    <w:p w14:paraId="0727A98A">
      <w:pPr>
        <w:snapToGrid w:val="0"/>
        <w:spacing w:line="400" w:lineRule="exact"/>
        <w:ind w:left="273" w:leftChars="130" w:firstLine="551" w:firstLineChars="196"/>
        <w:jc w:val="left"/>
        <w:rPr>
          <w:rFonts w:hint="eastAsia" w:ascii="宋体" w:cs="宋体"/>
          <w:b/>
          <w:color w:val="auto"/>
          <w:kern w:val="0"/>
          <w:sz w:val="28"/>
          <w:szCs w:val="28"/>
          <w:highlight w:val="none"/>
          <w:lang w:val="en-US" w:eastAsia="zh-CN" w:bidi="ar-SA"/>
        </w:rPr>
      </w:pPr>
    </w:p>
    <w:p w14:paraId="25F342B4">
      <w:pPr>
        <w:snapToGrid w:val="0"/>
        <w:spacing w:line="400" w:lineRule="exact"/>
        <w:ind w:left="273" w:leftChars="130" w:firstLine="551" w:firstLineChars="196"/>
        <w:jc w:val="left"/>
        <w:rPr>
          <w:rFonts w:hint="eastAsia" w:ascii="宋体" w:cs="宋体"/>
          <w:b/>
          <w:color w:val="auto"/>
          <w:kern w:val="0"/>
          <w:sz w:val="28"/>
          <w:szCs w:val="28"/>
          <w:highlight w:val="none"/>
          <w:lang w:val="en-US" w:eastAsia="zh-CN" w:bidi="ar-SA"/>
        </w:rPr>
      </w:pPr>
    </w:p>
    <w:p w14:paraId="6E601C91">
      <w:pPr>
        <w:snapToGrid w:val="0"/>
        <w:spacing w:line="400" w:lineRule="exact"/>
        <w:ind w:left="273" w:leftChars="130" w:firstLine="551" w:firstLineChars="196"/>
        <w:jc w:val="left"/>
        <w:rPr>
          <w:rFonts w:hint="eastAsia" w:ascii="宋体" w:cs="宋体"/>
          <w:b/>
          <w:color w:val="auto"/>
          <w:kern w:val="0"/>
          <w:sz w:val="28"/>
          <w:szCs w:val="28"/>
          <w:highlight w:val="none"/>
          <w:lang w:val="en-US" w:eastAsia="zh-CN" w:bidi="ar-SA"/>
        </w:rPr>
      </w:pPr>
    </w:p>
    <w:p w14:paraId="4328119D">
      <w:pPr>
        <w:snapToGrid w:val="0"/>
        <w:spacing w:line="400" w:lineRule="exact"/>
        <w:ind w:left="273" w:leftChars="130" w:firstLine="551" w:firstLineChars="196"/>
        <w:jc w:val="left"/>
        <w:rPr>
          <w:rFonts w:hint="eastAsia" w:ascii="Arial" w:hAnsi="Arial" w:cs="Arial"/>
          <w:b/>
          <w:color w:val="auto"/>
          <w:kern w:val="0"/>
          <w:sz w:val="28"/>
          <w:szCs w:val="28"/>
          <w:highlight w:val="none"/>
          <w:lang w:bidi="ar-SA"/>
        </w:rPr>
      </w:pPr>
      <w:r>
        <w:rPr>
          <w:rFonts w:hint="eastAsia" w:ascii="宋体" w:cs="宋体"/>
          <w:b/>
          <w:color w:val="auto"/>
          <w:kern w:val="0"/>
          <w:sz w:val="28"/>
          <w:szCs w:val="28"/>
          <w:highlight w:val="none"/>
          <w:lang w:val="en-US" w:eastAsia="zh-CN" w:bidi="ar-SA"/>
        </w:rPr>
        <w:t>8.</w:t>
      </w:r>
      <w:r>
        <w:rPr>
          <w:rFonts w:hint="eastAsia" w:ascii="宋体" w:cs="宋体"/>
          <w:b/>
          <w:color w:val="auto"/>
          <w:kern w:val="0"/>
          <w:sz w:val="28"/>
          <w:szCs w:val="28"/>
          <w:highlight w:val="none"/>
          <w:lang w:bidi="ar-SA"/>
        </w:rPr>
        <w:t>供应商参加政府采购活动前3年内在经营活动中没有重大违法记录及有关信用信息、前期服务情况的书面声明（格式见附件，必须提供）</w:t>
      </w:r>
      <w:r>
        <w:rPr>
          <w:rFonts w:hint="eastAsia" w:ascii="Arial" w:hAnsi="Arial" w:cs="Arial"/>
          <w:b/>
          <w:color w:val="auto"/>
          <w:kern w:val="0"/>
          <w:sz w:val="28"/>
          <w:szCs w:val="28"/>
          <w:highlight w:val="none"/>
          <w:lang w:bidi="ar-SA"/>
        </w:rPr>
        <w:t>；</w:t>
      </w:r>
    </w:p>
    <w:p w14:paraId="4161E09C">
      <w:pPr>
        <w:snapToGrid w:val="0"/>
        <w:spacing w:line="360" w:lineRule="exact"/>
        <w:ind w:left="937" w:leftChars="196" w:hanging="525" w:hangingChars="250"/>
        <w:jc w:val="left"/>
        <w:rPr>
          <w:rFonts w:hint="eastAsia" w:ascii="宋体"/>
          <w:color w:val="auto"/>
          <w:szCs w:val="21"/>
          <w:highlight w:val="none"/>
        </w:rPr>
      </w:pPr>
    </w:p>
    <w:p w14:paraId="43B8238C">
      <w:pPr>
        <w:snapToGrid w:val="0"/>
        <w:spacing w:line="360" w:lineRule="exact"/>
        <w:ind w:left="1012" w:leftChars="196" w:hanging="600" w:hangingChars="250"/>
        <w:jc w:val="left"/>
        <w:rPr>
          <w:rFonts w:hint="eastAsia" w:ascii="宋体"/>
          <w:color w:val="auto"/>
          <w:sz w:val="24"/>
          <w:highlight w:val="none"/>
        </w:rPr>
      </w:pPr>
      <w:r>
        <w:rPr>
          <w:rFonts w:hint="eastAsia" w:ascii="宋体"/>
          <w:color w:val="auto"/>
          <w:sz w:val="24"/>
          <w:highlight w:val="none"/>
        </w:rPr>
        <w:t>附件：</w:t>
      </w:r>
    </w:p>
    <w:p w14:paraId="065987CA">
      <w:pPr>
        <w:pStyle w:val="12"/>
        <w:spacing w:line="400" w:lineRule="exact"/>
        <w:ind w:firstLine="1126"/>
        <w:jc w:val="center"/>
        <w:rPr>
          <w:rFonts w:hint="eastAsia"/>
          <w:b/>
          <w:color w:val="auto"/>
          <w:sz w:val="32"/>
          <w:szCs w:val="32"/>
          <w:highlight w:val="none"/>
        </w:rPr>
      </w:pPr>
      <w:r>
        <w:rPr>
          <w:rFonts w:hint="eastAsia"/>
          <w:b/>
          <w:color w:val="auto"/>
          <w:sz w:val="32"/>
          <w:szCs w:val="32"/>
          <w:highlight w:val="none"/>
        </w:rPr>
        <w:t>声   明（格式）</w:t>
      </w:r>
    </w:p>
    <w:p w14:paraId="51C2E2A6">
      <w:pPr>
        <w:snapToGrid w:val="0"/>
        <w:spacing w:line="400" w:lineRule="exact"/>
        <w:outlineLvl w:val="4"/>
        <w:rPr>
          <w:rFonts w:hint="eastAsia" w:eastAsia="宋体"/>
          <w:color w:val="auto"/>
          <w:highlight w:val="none"/>
          <w:lang w:eastAsia="zh-CN"/>
        </w:rPr>
      </w:pPr>
      <w:r>
        <w:rPr>
          <w:rFonts w:hint="eastAsia" w:ascii="宋体"/>
          <w:b/>
          <w:color w:val="auto"/>
          <w:szCs w:val="21"/>
          <w:highlight w:val="none"/>
        </w:rPr>
        <w:t>致</w:t>
      </w:r>
      <w:r>
        <w:rPr>
          <w:rFonts w:hint="eastAsia" w:ascii="宋体"/>
          <w:color w:val="auto"/>
          <w:szCs w:val="21"/>
          <w:highlight w:val="none"/>
        </w:rPr>
        <w:t>：</w:t>
      </w:r>
      <w:r>
        <w:rPr>
          <w:rFonts w:hint="eastAsia"/>
          <w:color w:val="auto"/>
          <w:highlight w:val="none"/>
          <w:u w:val="single"/>
          <w:lang w:eastAsia="zh-CN"/>
        </w:rPr>
        <w:t>广西国兴项目管理有限公司</w:t>
      </w:r>
    </w:p>
    <w:p w14:paraId="15B75D46">
      <w:pPr>
        <w:snapToGrid w:val="0"/>
        <w:spacing w:line="400" w:lineRule="exact"/>
        <w:outlineLvl w:val="9"/>
        <w:rPr>
          <w:rFonts w:hint="eastAsia" w:ascii="宋体"/>
          <w:color w:val="auto"/>
          <w:szCs w:val="21"/>
          <w:highlight w:val="none"/>
          <w:u w:val="single"/>
        </w:rPr>
      </w:pPr>
    </w:p>
    <w:p w14:paraId="3A9DD6D1">
      <w:pPr>
        <w:pStyle w:val="12"/>
        <w:spacing w:line="400" w:lineRule="exact"/>
        <w:ind w:firstLine="420" w:firstLineChars="200"/>
        <w:rPr>
          <w:rFonts w:hint="eastAsia"/>
          <w:color w:val="auto"/>
          <w:highlight w:val="none"/>
        </w:rPr>
      </w:pPr>
      <w:r>
        <w:rPr>
          <w:rFonts w:hint="eastAsia"/>
          <w:color w:val="auto"/>
          <w:highlight w:val="none"/>
        </w:rPr>
        <w:t>我公司郑重声明：</w:t>
      </w:r>
    </w:p>
    <w:p w14:paraId="6155A2B7">
      <w:pPr>
        <w:spacing w:line="440" w:lineRule="exact"/>
        <w:ind w:firstLine="420" w:firstLineChars="200"/>
        <w:rPr>
          <w:rFonts w:hint="eastAsia" w:ascii="宋体"/>
          <w:color w:val="auto"/>
          <w:highlight w:val="none"/>
        </w:rPr>
      </w:pPr>
      <w:r>
        <w:rPr>
          <w:rFonts w:hint="eastAsia" w:ascii="宋体"/>
          <w:color w:val="auto"/>
          <w:szCs w:val="21"/>
          <w:highlight w:val="none"/>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color w:val="auto"/>
          <w:highlight w:val="none"/>
        </w:rPr>
        <w:t>，未被列入失信被执行人、重大税收违法失信主体、政府采购严重违法失信行为记录名单，我方对此声明负全部法律责任。</w:t>
      </w:r>
    </w:p>
    <w:p w14:paraId="658627E6">
      <w:pPr>
        <w:pStyle w:val="12"/>
        <w:spacing w:line="440" w:lineRule="exact"/>
        <w:ind w:firstLine="420" w:firstLineChars="200"/>
        <w:rPr>
          <w:color w:val="auto"/>
          <w:highlight w:val="none"/>
        </w:rPr>
      </w:pPr>
      <w:r>
        <w:rPr>
          <w:rFonts w:hint="eastAsia"/>
          <w:color w:val="auto"/>
          <w:highlight w:val="none"/>
        </w:rPr>
        <w:t>2.在参加本项目政府采购活动前不属于</w:t>
      </w:r>
      <w:r>
        <w:rPr>
          <w:rFonts w:hint="eastAsia" w:cs="Arial"/>
          <w:color w:val="auto"/>
          <w:highlight w:val="none"/>
          <w:lang w:bidi="ar-SA"/>
        </w:rPr>
        <w:t>为本采购项目提供整体设计、规范编制或者项目管理、监理、检测等服务的供应商。</w:t>
      </w:r>
    </w:p>
    <w:p w14:paraId="18CCA3DE">
      <w:pPr>
        <w:snapToGrid w:val="0"/>
        <w:spacing w:line="400" w:lineRule="exact"/>
        <w:ind w:firstLine="420"/>
        <w:outlineLvl w:val="9"/>
        <w:rPr>
          <w:rFonts w:hint="eastAsia" w:ascii="宋体"/>
          <w:color w:val="auto"/>
          <w:szCs w:val="21"/>
          <w:highlight w:val="none"/>
        </w:rPr>
      </w:pPr>
    </w:p>
    <w:p w14:paraId="1D343214">
      <w:pPr>
        <w:snapToGrid w:val="0"/>
        <w:spacing w:line="400" w:lineRule="exact"/>
        <w:ind w:firstLine="420"/>
        <w:outlineLvl w:val="9"/>
        <w:rPr>
          <w:rFonts w:hint="eastAsia" w:ascii="宋体"/>
          <w:color w:val="auto"/>
          <w:szCs w:val="21"/>
          <w:highlight w:val="none"/>
        </w:rPr>
      </w:pPr>
    </w:p>
    <w:p w14:paraId="56E92C30">
      <w:pPr>
        <w:snapToGrid w:val="0"/>
        <w:spacing w:line="400" w:lineRule="atLeast"/>
        <w:ind w:firstLine="2520" w:firstLineChars="1200"/>
        <w:outlineLvl w:val="4"/>
        <w:rPr>
          <w:rFonts w:hint="eastAsia" w:ascii="宋体"/>
          <w:color w:val="auto"/>
          <w:szCs w:val="21"/>
          <w:highlight w:val="none"/>
          <w:u w:val="single"/>
        </w:rPr>
      </w:pPr>
      <w:r>
        <w:rPr>
          <w:rFonts w:hint="eastAsia" w:ascii="宋体"/>
          <w:color w:val="auto"/>
          <w:szCs w:val="21"/>
          <w:highlight w:val="none"/>
        </w:rPr>
        <w:t>供应商名称（加盖供应商CA证书签章）：</w:t>
      </w:r>
      <w:r>
        <w:rPr>
          <w:rFonts w:hint="eastAsia" w:ascii="宋体"/>
          <w:color w:val="auto"/>
          <w:szCs w:val="21"/>
          <w:highlight w:val="none"/>
          <w:u w:val="single"/>
        </w:rPr>
        <w:t xml:space="preserve">              </w:t>
      </w:r>
    </w:p>
    <w:p w14:paraId="47A38CED">
      <w:pPr>
        <w:snapToGrid w:val="0"/>
        <w:spacing w:line="400" w:lineRule="atLeast"/>
        <w:ind w:left="937" w:leftChars="446" w:firstLine="3255" w:firstLineChars="1550"/>
        <w:jc w:val="left"/>
        <w:rPr>
          <w:rFonts w:hint="eastAsia" w:ascii="宋体"/>
          <w:color w:val="auto"/>
          <w:szCs w:val="21"/>
          <w:highlight w:val="none"/>
        </w:rPr>
      </w:pPr>
      <w:r>
        <w:rPr>
          <w:rFonts w:hint="eastAsia" w:ascii="宋体"/>
          <w:color w:val="auto"/>
          <w:highlight w:val="none"/>
        </w:rPr>
        <w:t>日   期：</w:t>
      </w:r>
      <w:r>
        <w:rPr>
          <w:rFonts w:hint="eastAsia" w:ascii="宋体"/>
          <w:color w:val="auto"/>
          <w:highlight w:val="none"/>
          <w:u w:val="single"/>
        </w:rPr>
        <w:t xml:space="preserve">                         </w:t>
      </w:r>
    </w:p>
    <w:p w14:paraId="66FA0577">
      <w:pPr>
        <w:pStyle w:val="12"/>
        <w:spacing w:line="520" w:lineRule="exact"/>
        <w:rPr>
          <w:rFonts w:hint="eastAsia"/>
          <w:b/>
          <w:color w:val="auto"/>
          <w:sz w:val="30"/>
          <w:szCs w:val="30"/>
          <w:highlight w:val="none"/>
        </w:rPr>
      </w:pPr>
    </w:p>
    <w:p w14:paraId="71CF4A2D">
      <w:pPr>
        <w:pStyle w:val="12"/>
        <w:spacing w:line="520" w:lineRule="exact"/>
        <w:rPr>
          <w:rFonts w:hint="eastAsia"/>
          <w:b/>
          <w:color w:val="auto"/>
          <w:sz w:val="30"/>
          <w:szCs w:val="30"/>
          <w:highlight w:val="none"/>
        </w:rPr>
      </w:pPr>
    </w:p>
    <w:p w14:paraId="7F64ACCF">
      <w:pPr>
        <w:pStyle w:val="12"/>
        <w:spacing w:line="460" w:lineRule="exact"/>
        <w:ind w:firstLine="482" w:firstLineChars="150"/>
        <w:rPr>
          <w:rFonts w:hint="eastAsia"/>
          <w:b/>
          <w:color w:val="auto"/>
          <w:sz w:val="32"/>
          <w:szCs w:val="32"/>
          <w:highlight w:val="none"/>
        </w:rPr>
      </w:pPr>
      <w:r>
        <w:rPr>
          <w:rFonts w:hint="eastAsia"/>
          <w:b/>
          <w:color w:val="auto"/>
          <w:sz w:val="32"/>
          <w:szCs w:val="32"/>
          <w:highlight w:val="none"/>
          <w:lang w:val="en-US" w:eastAsia="zh-CN"/>
        </w:rPr>
        <w:br w:type="page"/>
      </w:r>
      <w:r>
        <w:rPr>
          <w:rFonts w:hint="eastAsia"/>
          <w:b/>
          <w:color w:val="auto"/>
          <w:sz w:val="32"/>
          <w:szCs w:val="32"/>
          <w:highlight w:val="none"/>
          <w:lang w:val="en-US" w:eastAsia="zh-CN"/>
        </w:rPr>
        <w:t>9</w:t>
      </w:r>
      <w:r>
        <w:rPr>
          <w:rFonts w:hint="eastAsia"/>
          <w:b/>
          <w:color w:val="auto"/>
          <w:sz w:val="32"/>
          <w:szCs w:val="32"/>
          <w:highlight w:val="none"/>
        </w:rPr>
        <w:t>.中小企业相应有效的证明文件（必须提供）；</w:t>
      </w:r>
    </w:p>
    <w:p w14:paraId="60849918">
      <w:pPr>
        <w:pStyle w:val="12"/>
        <w:spacing w:line="320" w:lineRule="exact"/>
        <w:ind w:firstLine="422" w:firstLineChars="200"/>
        <w:rPr>
          <w:rFonts w:hint="eastAsia"/>
          <w:color w:val="auto"/>
          <w:highlight w:val="none"/>
        </w:rPr>
      </w:pPr>
      <w:r>
        <w:rPr>
          <w:rFonts w:hint="eastAsia"/>
          <w:b/>
          <w:color w:val="auto"/>
          <w:highlight w:val="none"/>
        </w:rPr>
        <w:t>根据企业所属类型，必须提供以下材料之一</w:t>
      </w:r>
      <w:r>
        <w:rPr>
          <w:rFonts w:hint="eastAsia"/>
          <w:color w:val="auto"/>
          <w:highlight w:val="none"/>
        </w:rPr>
        <w:t>：</w:t>
      </w:r>
    </w:p>
    <w:p w14:paraId="255F1D9A">
      <w:pPr>
        <w:tabs>
          <w:tab w:val="left" w:pos="1305"/>
        </w:tabs>
        <w:spacing w:line="320" w:lineRule="exact"/>
        <w:ind w:firstLine="420" w:firstLineChars="200"/>
        <w:rPr>
          <w:rFonts w:hint="eastAsia" w:ascii="宋体" w:cs="Courier New"/>
          <w:color w:val="auto"/>
          <w:szCs w:val="21"/>
          <w:highlight w:val="none"/>
          <w:lang w:bidi="ar-SA"/>
        </w:rPr>
      </w:pPr>
      <w:r>
        <w:rPr>
          <w:rFonts w:hint="eastAsia" w:ascii="宋体" w:cs="Courier New"/>
          <w:color w:val="auto"/>
          <w:szCs w:val="21"/>
          <w:highlight w:val="none"/>
          <w:lang w:bidi="ar-SA"/>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14:paraId="7FF65D40">
      <w:pPr>
        <w:tabs>
          <w:tab w:val="left" w:pos="1305"/>
        </w:tabs>
        <w:spacing w:line="320" w:lineRule="exact"/>
        <w:ind w:firstLine="420" w:firstLineChars="200"/>
        <w:rPr>
          <w:rFonts w:hint="eastAsia" w:ascii="宋体" w:cs="Courier New"/>
          <w:color w:val="auto"/>
          <w:szCs w:val="21"/>
          <w:highlight w:val="none"/>
          <w:lang w:bidi="ar-SA"/>
        </w:rPr>
      </w:pPr>
      <w:r>
        <w:rPr>
          <w:rFonts w:hint="eastAsia" w:ascii="宋体" w:cs="Courier New"/>
          <w:color w:val="auto"/>
          <w:szCs w:val="21"/>
          <w:highlight w:val="none"/>
          <w:lang w:bidi="ar-SA"/>
        </w:rPr>
        <w:t>②监狱企业的证明文件【如工程由监狱企业承建，供应商应当提供由省级以上监狱管理局、戒毒管理局（含新疆生产建设兵团）出具的属于监狱企业的证明文件，否则不予享受中小企业政策】；</w:t>
      </w:r>
    </w:p>
    <w:p w14:paraId="63D50AD8">
      <w:pPr>
        <w:tabs>
          <w:tab w:val="left" w:pos="1305"/>
        </w:tabs>
        <w:spacing w:line="320" w:lineRule="exact"/>
        <w:ind w:firstLine="420" w:firstLineChars="200"/>
        <w:rPr>
          <w:rFonts w:hint="eastAsia" w:ascii="宋体" w:cs="Courier New"/>
          <w:color w:val="auto"/>
          <w:szCs w:val="21"/>
          <w:highlight w:val="none"/>
          <w:lang w:bidi="ar-SA"/>
        </w:rPr>
      </w:pPr>
      <w:r>
        <w:rPr>
          <w:rFonts w:hint="eastAsia" w:ascii="宋体" w:cs="Courier New"/>
          <w:color w:val="auto"/>
          <w:szCs w:val="21"/>
          <w:highlight w:val="none"/>
          <w:lang w:bidi="ar-SA"/>
        </w:rPr>
        <w:t>③《残疾人福利性单位声明函》【符合条件的残疾人福利性单位在参加政府采购活动时，供应商应如实声明并对出具的声明函（格式见附件）真实性负责，否则不予享受中小企业政策】。</w:t>
      </w:r>
    </w:p>
    <w:p w14:paraId="22D637BB">
      <w:pPr>
        <w:tabs>
          <w:tab w:val="left" w:pos="1305"/>
        </w:tabs>
        <w:spacing w:line="320" w:lineRule="exact"/>
        <w:ind w:firstLine="422" w:firstLineChars="200"/>
        <w:rPr>
          <w:rFonts w:hint="eastAsia"/>
          <w:b/>
          <w:color w:val="auto"/>
          <w:sz w:val="24"/>
          <w:highlight w:val="none"/>
        </w:rPr>
      </w:pPr>
      <w:r>
        <w:rPr>
          <w:rFonts w:hint="eastAsia" w:ascii="宋体"/>
          <w:b/>
          <w:bCs w:val="0"/>
          <w:color w:val="auto"/>
          <w:highlight w:val="none"/>
        </w:rPr>
        <w:t>注：</w:t>
      </w:r>
      <w:r>
        <w:rPr>
          <w:rFonts w:hint="eastAsia" w:ascii="宋体"/>
          <w:b/>
          <w:bCs w:val="0"/>
          <w:color w:val="auto"/>
          <w:highlight w:val="none"/>
          <w:lang w:eastAsia="zh-CN"/>
        </w:rPr>
        <w:t>本项目</w:t>
      </w:r>
      <w:r>
        <w:rPr>
          <w:rFonts w:hint="eastAsia" w:ascii="宋体"/>
          <w:b/>
          <w:bCs w:val="0"/>
          <w:color w:val="auto"/>
          <w:highlight w:val="none"/>
        </w:rPr>
        <w:t>专门面向</w:t>
      </w:r>
      <w:r>
        <w:rPr>
          <w:rFonts w:hint="eastAsia" w:ascii="宋体"/>
          <w:b/>
          <w:bCs w:val="0"/>
          <w:color w:val="auto"/>
          <w:highlight w:val="none"/>
          <w:lang w:eastAsia="zh-CN"/>
        </w:rPr>
        <w:t>中小</w:t>
      </w:r>
      <w:r>
        <w:rPr>
          <w:rFonts w:hint="eastAsia" w:ascii="宋体"/>
          <w:b/>
          <w:bCs w:val="0"/>
          <w:color w:val="auto"/>
          <w:highlight w:val="none"/>
        </w:rPr>
        <w:t>企业采购的项目（供应商应为</w:t>
      </w:r>
      <w:r>
        <w:rPr>
          <w:rFonts w:hint="eastAsia" w:ascii="宋体"/>
          <w:b/>
          <w:bCs w:val="0"/>
          <w:color w:val="auto"/>
          <w:highlight w:val="none"/>
          <w:lang w:eastAsia="zh-CN"/>
        </w:rPr>
        <w:t>中小</w:t>
      </w:r>
      <w:r>
        <w:rPr>
          <w:rFonts w:hint="eastAsia" w:ascii="宋体"/>
          <w:b/>
          <w:bCs w:val="0"/>
          <w:color w:val="auto"/>
          <w:highlight w:val="none"/>
        </w:rPr>
        <w:t xml:space="preserve">企业、监狱企业、残疾人福利性单位) </w:t>
      </w:r>
      <w:r>
        <w:rPr>
          <w:rFonts w:hint="eastAsia"/>
          <w:b/>
          <w:bCs w:val="0"/>
          <w:color w:val="auto"/>
          <w:highlight w:val="none"/>
        </w:rPr>
        <w:t>，</w:t>
      </w:r>
      <w:r>
        <w:rPr>
          <w:b/>
          <w:bCs w:val="0"/>
          <w:color w:val="auto"/>
          <w:highlight w:val="none"/>
        </w:rPr>
        <w:t>不接受非上述企业参与</w:t>
      </w:r>
      <w:r>
        <w:rPr>
          <w:rFonts w:hint="eastAsia"/>
          <w:b/>
          <w:bCs w:val="0"/>
          <w:color w:val="auto"/>
          <w:highlight w:val="none"/>
        </w:rPr>
        <w:t>谈</w:t>
      </w:r>
      <w:r>
        <w:rPr>
          <w:b/>
          <w:bCs w:val="0"/>
          <w:color w:val="auto"/>
          <w:highlight w:val="none"/>
        </w:rPr>
        <w:t>商</w:t>
      </w:r>
      <w:r>
        <w:rPr>
          <w:rFonts w:hint="eastAsia"/>
          <w:b/>
          <w:bCs w:val="0"/>
          <w:color w:val="auto"/>
          <w:highlight w:val="none"/>
        </w:rPr>
        <w:t>。</w:t>
      </w:r>
    </w:p>
    <w:p w14:paraId="28242ACB">
      <w:pPr>
        <w:pStyle w:val="12"/>
        <w:spacing w:line="320" w:lineRule="exact"/>
        <w:ind w:firstLine="482" w:firstLineChars="200"/>
        <w:rPr>
          <w:rFonts w:hint="eastAsia"/>
          <w:b/>
          <w:color w:val="auto"/>
          <w:sz w:val="24"/>
          <w:szCs w:val="24"/>
          <w:highlight w:val="none"/>
        </w:rPr>
      </w:pPr>
    </w:p>
    <w:p w14:paraId="512F2C8E">
      <w:pPr>
        <w:pStyle w:val="12"/>
        <w:spacing w:line="320" w:lineRule="exact"/>
        <w:ind w:firstLine="482" w:firstLineChars="200"/>
        <w:rPr>
          <w:rFonts w:hint="eastAsia"/>
          <w:b/>
          <w:color w:val="auto"/>
          <w:sz w:val="24"/>
          <w:szCs w:val="24"/>
          <w:highlight w:val="none"/>
        </w:rPr>
      </w:pPr>
      <w:r>
        <w:rPr>
          <w:rFonts w:hint="eastAsia"/>
          <w:b/>
          <w:color w:val="auto"/>
          <w:sz w:val="24"/>
          <w:szCs w:val="24"/>
          <w:highlight w:val="none"/>
        </w:rPr>
        <w:t>附件</w:t>
      </w:r>
    </w:p>
    <w:p w14:paraId="3C13B842">
      <w:pPr>
        <w:shd w:val="clear" w:color="auto" w:fill="FFFFFF"/>
        <w:spacing w:after="240" w:line="320" w:lineRule="exact"/>
        <w:ind w:firstLine="480"/>
        <w:jc w:val="center"/>
        <w:rPr>
          <w:rFonts w:hint="eastAsia" w:ascii="宋体"/>
          <w:b/>
          <w:color w:val="auto"/>
          <w:kern w:val="0"/>
          <w:sz w:val="28"/>
          <w:szCs w:val="28"/>
          <w:highlight w:val="none"/>
        </w:rPr>
      </w:pPr>
      <w:r>
        <w:rPr>
          <w:rFonts w:hint="eastAsia" w:ascii="宋体"/>
          <w:b/>
          <w:color w:val="auto"/>
          <w:kern w:val="0"/>
          <w:sz w:val="28"/>
          <w:szCs w:val="28"/>
          <w:highlight w:val="none"/>
        </w:rPr>
        <w:t>中小企业声明函（格式）</w:t>
      </w:r>
    </w:p>
    <w:p w14:paraId="63616FF3">
      <w:pPr>
        <w:pStyle w:val="12"/>
        <w:spacing w:line="320" w:lineRule="exact"/>
        <w:ind w:firstLine="504" w:firstLineChars="200"/>
        <w:rPr>
          <w:rFonts w:hint="eastAsia" w:cs="宋体"/>
          <w:color w:val="auto"/>
          <w:spacing w:val="6"/>
          <w:sz w:val="24"/>
          <w:highlight w:val="none"/>
          <w:lang w:bidi="ar-SA"/>
        </w:rPr>
      </w:pPr>
      <w:r>
        <w:rPr>
          <w:rFonts w:hint="eastAsia" w:cs="宋体"/>
          <w:color w:val="auto"/>
          <w:spacing w:val="6"/>
          <w:sz w:val="24"/>
          <w:highlight w:val="none"/>
          <w:lang w:bidi="ar-SA"/>
        </w:rPr>
        <w:t>本公司（联合体）郑重声明，根据《政府采购促进中小企业发展管理办法》（财库﹝2020﹞46 号）的规定，本公司（联合体）参加（</w:t>
      </w:r>
      <w:r>
        <w:rPr>
          <w:rFonts w:hint="eastAsia" w:cs="宋体"/>
          <w:color w:val="auto"/>
          <w:spacing w:val="6"/>
          <w:sz w:val="24"/>
          <w:highlight w:val="none"/>
          <w:u w:val="single"/>
          <w:lang w:bidi="ar-SA"/>
        </w:rPr>
        <w:t>单位名称</w:t>
      </w:r>
      <w:r>
        <w:rPr>
          <w:rFonts w:hint="eastAsia" w:cs="宋体"/>
          <w:color w:val="auto"/>
          <w:spacing w:val="6"/>
          <w:sz w:val="24"/>
          <w:highlight w:val="none"/>
          <w:lang w:bidi="ar-SA"/>
        </w:rPr>
        <w:t>）的（</w:t>
      </w:r>
      <w:r>
        <w:rPr>
          <w:rFonts w:hint="eastAsia" w:cs="宋体"/>
          <w:color w:val="auto"/>
          <w:spacing w:val="6"/>
          <w:sz w:val="24"/>
          <w:highlight w:val="none"/>
          <w:u w:val="single"/>
          <w:lang w:bidi="ar-SA"/>
        </w:rPr>
        <w:t>项目名称</w:t>
      </w:r>
      <w:r>
        <w:rPr>
          <w:rFonts w:hint="eastAsia" w:cs="宋体"/>
          <w:color w:val="auto"/>
          <w:spacing w:val="6"/>
          <w:sz w:val="24"/>
          <w:highlight w:val="none"/>
          <w:lang w:bidi="ar-SA"/>
        </w:rPr>
        <w:t>）采购活动，工程的施工单位全部为符合政策要求的中小企业。相关企业（含联合体中的中小企业、签订分包意向协议的中小企业）的具体情况如下：</w:t>
      </w:r>
    </w:p>
    <w:p w14:paraId="66D39BA6">
      <w:pPr>
        <w:pStyle w:val="12"/>
        <w:numPr>
          <w:ilvl w:val="0"/>
          <w:numId w:val="5"/>
        </w:numPr>
        <w:spacing w:line="320" w:lineRule="exact"/>
        <w:ind w:left="0" w:firstLine="504" w:firstLineChars="200"/>
        <w:rPr>
          <w:rFonts w:hint="eastAsia" w:cs="宋体"/>
          <w:color w:val="auto"/>
          <w:spacing w:val="6"/>
          <w:sz w:val="24"/>
          <w:highlight w:val="none"/>
          <w:lang w:bidi="ar-SA"/>
        </w:rPr>
      </w:pPr>
      <w:r>
        <w:rPr>
          <w:rFonts w:hint="eastAsia" w:cs="宋体"/>
          <w:color w:val="auto"/>
          <w:spacing w:val="6"/>
          <w:sz w:val="24"/>
          <w:highlight w:val="none"/>
          <w:u w:val="single"/>
          <w:lang w:bidi="ar-SA"/>
        </w:rPr>
        <w:t xml:space="preserve">（标的名称） </w:t>
      </w:r>
      <w:r>
        <w:rPr>
          <w:rFonts w:hint="eastAsia" w:cs="宋体"/>
          <w:color w:val="auto"/>
          <w:spacing w:val="6"/>
          <w:sz w:val="24"/>
          <w:highlight w:val="none"/>
          <w:lang w:bidi="ar-SA"/>
        </w:rPr>
        <w:t>，属于</w:t>
      </w:r>
      <w:r>
        <w:rPr>
          <w:rFonts w:hint="eastAsia"/>
          <w:color w:val="auto"/>
          <w:kern w:val="0"/>
          <w:sz w:val="24"/>
          <w:highlight w:val="none"/>
          <w:u w:val="single"/>
        </w:rPr>
        <w:t>（采购文件中明确的所属于行业）</w:t>
      </w:r>
      <w:r>
        <w:rPr>
          <w:rFonts w:hint="eastAsia" w:cs="宋体"/>
          <w:color w:val="auto"/>
          <w:spacing w:val="6"/>
          <w:sz w:val="24"/>
          <w:highlight w:val="none"/>
          <w:lang w:bidi="ar-SA"/>
        </w:rPr>
        <w:t>； 承建（承接）企业为（</w:t>
      </w:r>
      <w:r>
        <w:rPr>
          <w:rFonts w:hint="eastAsia" w:cs="宋体"/>
          <w:color w:val="auto"/>
          <w:spacing w:val="6"/>
          <w:sz w:val="24"/>
          <w:highlight w:val="none"/>
          <w:u w:val="single"/>
          <w:lang w:bidi="ar-SA"/>
        </w:rPr>
        <w:t>企业名称</w:t>
      </w:r>
      <w:r>
        <w:rPr>
          <w:rFonts w:hint="eastAsia" w:cs="宋体"/>
          <w:color w:val="auto"/>
          <w:spacing w:val="6"/>
          <w:sz w:val="24"/>
          <w:highlight w:val="none"/>
          <w:lang w:bidi="ar-SA"/>
        </w:rPr>
        <w:t>），从业人员</w:t>
      </w:r>
      <w:r>
        <w:rPr>
          <w:rFonts w:hint="eastAsia" w:cs="宋体"/>
          <w:color w:val="auto"/>
          <w:spacing w:val="6"/>
          <w:sz w:val="24"/>
          <w:highlight w:val="none"/>
          <w:u w:val="single"/>
          <w:lang w:bidi="ar-SA"/>
        </w:rPr>
        <w:t xml:space="preserve">   </w:t>
      </w:r>
      <w:r>
        <w:rPr>
          <w:rFonts w:hint="eastAsia" w:cs="宋体"/>
          <w:color w:val="auto"/>
          <w:spacing w:val="6"/>
          <w:sz w:val="24"/>
          <w:highlight w:val="none"/>
          <w:lang w:bidi="ar-SA"/>
        </w:rPr>
        <w:t>人，营业收入为</w:t>
      </w:r>
      <w:r>
        <w:rPr>
          <w:rFonts w:hint="eastAsia" w:cs="宋体"/>
          <w:color w:val="auto"/>
          <w:spacing w:val="6"/>
          <w:sz w:val="24"/>
          <w:highlight w:val="none"/>
          <w:u w:val="single"/>
          <w:lang w:bidi="ar-SA"/>
        </w:rPr>
        <w:t xml:space="preserve">  </w:t>
      </w:r>
      <w:r>
        <w:rPr>
          <w:rFonts w:hint="eastAsia" w:cs="宋体"/>
          <w:color w:val="auto"/>
          <w:spacing w:val="6"/>
          <w:sz w:val="24"/>
          <w:highlight w:val="none"/>
          <w:lang w:bidi="ar-SA"/>
        </w:rPr>
        <w:t>万元，资产总额为</w:t>
      </w:r>
      <w:r>
        <w:rPr>
          <w:rFonts w:hint="eastAsia" w:cs="宋体"/>
          <w:color w:val="auto"/>
          <w:spacing w:val="6"/>
          <w:sz w:val="24"/>
          <w:highlight w:val="none"/>
          <w:u w:val="single"/>
          <w:lang w:bidi="ar-SA"/>
        </w:rPr>
        <w:t xml:space="preserve">   </w:t>
      </w:r>
      <w:r>
        <w:rPr>
          <w:rFonts w:hint="eastAsia" w:cs="宋体"/>
          <w:color w:val="auto"/>
          <w:spacing w:val="6"/>
          <w:sz w:val="24"/>
          <w:highlight w:val="none"/>
          <w:lang w:bidi="ar-SA"/>
        </w:rPr>
        <w:t>万元，属于（</w:t>
      </w:r>
      <w:r>
        <w:rPr>
          <w:rFonts w:hint="eastAsia" w:cs="宋体"/>
          <w:color w:val="auto"/>
          <w:spacing w:val="6"/>
          <w:sz w:val="24"/>
          <w:highlight w:val="none"/>
          <w:u w:val="single"/>
          <w:lang w:bidi="ar-SA"/>
        </w:rPr>
        <w:t>中型企业、 小型企业、微型企业</w:t>
      </w:r>
      <w:r>
        <w:rPr>
          <w:rFonts w:hint="eastAsia" w:cs="宋体"/>
          <w:color w:val="auto"/>
          <w:spacing w:val="6"/>
          <w:sz w:val="24"/>
          <w:highlight w:val="none"/>
          <w:lang w:bidi="ar-SA"/>
        </w:rPr>
        <w:t>）</w:t>
      </w:r>
    </w:p>
    <w:p w14:paraId="332B77FD">
      <w:pPr>
        <w:pStyle w:val="12"/>
        <w:spacing w:line="320" w:lineRule="exact"/>
        <w:ind w:firstLine="504" w:firstLineChars="200"/>
        <w:rPr>
          <w:rFonts w:hint="eastAsia" w:cs="宋体"/>
          <w:color w:val="auto"/>
          <w:spacing w:val="6"/>
          <w:sz w:val="24"/>
          <w:highlight w:val="none"/>
          <w:lang w:bidi="ar-SA"/>
        </w:rPr>
      </w:pPr>
      <w:r>
        <w:rPr>
          <w:rFonts w:hint="eastAsia" w:cs="宋体"/>
          <w:color w:val="auto"/>
          <w:spacing w:val="6"/>
          <w:sz w:val="24"/>
          <w:highlight w:val="none"/>
          <w:lang w:bidi="ar-SA"/>
        </w:rPr>
        <w:t>2.</w:t>
      </w:r>
      <w:r>
        <w:rPr>
          <w:rFonts w:hint="eastAsia" w:cs="宋体"/>
          <w:color w:val="auto"/>
          <w:spacing w:val="6"/>
          <w:sz w:val="24"/>
          <w:highlight w:val="none"/>
          <w:u w:val="single"/>
          <w:lang w:bidi="ar-SA"/>
        </w:rPr>
        <w:t xml:space="preserve">（标的名称） </w:t>
      </w:r>
      <w:r>
        <w:rPr>
          <w:rFonts w:hint="eastAsia" w:cs="宋体"/>
          <w:color w:val="auto"/>
          <w:spacing w:val="6"/>
          <w:sz w:val="24"/>
          <w:highlight w:val="none"/>
          <w:lang w:bidi="ar-SA"/>
        </w:rPr>
        <w:t>，属于</w:t>
      </w:r>
      <w:r>
        <w:rPr>
          <w:rFonts w:hint="eastAsia"/>
          <w:color w:val="auto"/>
          <w:kern w:val="0"/>
          <w:sz w:val="24"/>
          <w:highlight w:val="none"/>
          <w:u w:val="single"/>
        </w:rPr>
        <w:t>（采购文件中明确的所属于行业）</w:t>
      </w:r>
      <w:r>
        <w:rPr>
          <w:rFonts w:hint="eastAsia" w:cs="宋体"/>
          <w:color w:val="auto"/>
          <w:spacing w:val="6"/>
          <w:sz w:val="24"/>
          <w:highlight w:val="none"/>
          <w:lang w:bidi="ar-SA"/>
        </w:rPr>
        <w:t>； 承建（承接）企业为（</w:t>
      </w:r>
      <w:r>
        <w:rPr>
          <w:rFonts w:hint="eastAsia" w:cs="宋体"/>
          <w:color w:val="auto"/>
          <w:spacing w:val="6"/>
          <w:sz w:val="24"/>
          <w:highlight w:val="none"/>
          <w:u w:val="single"/>
          <w:lang w:bidi="ar-SA"/>
        </w:rPr>
        <w:t>企业名称</w:t>
      </w:r>
      <w:r>
        <w:rPr>
          <w:rFonts w:hint="eastAsia" w:cs="宋体"/>
          <w:color w:val="auto"/>
          <w:spacing w:val="6"/>
          <w:sz w:val="24"/>
          <w:highlight w:val="none"/>
          <w:lang w:bidi="ar-SA"/>
        </w:rPr>
        <w:t>），从业人员</w:t>
      </w:r>
      <w:r>
        <w:rPr>
          <w:rFonts w:hint="eastAsia" w:cs="宋体"/>
          <w:color w:val="auto"/>
          <w:spacing w:val="6"/>
          <w:sz w:val="24"/>
          <w:highlight w:val="none"/>
          <w:u w:val="single"/>
          <w:lang w:bidi="ar-SA"/>
        </w:rPr>
        <w:t xml:space="preserve">   </w:t>
      </w:r>
      <w:r>
        <w:rPr>
          <w:rFonts w:hint="eastAsia" w:cs="宋体"/>
          <w:color w:val="auto"/>
          <w:spacing w:val="6"/>
          <w:sz w:val="24"/>
          <w:highlight w:val="none"/>
          <w:lang w:bidi="ar-SA"/>
        </w:rPr>
        <w:t>人，营业收入为</w:t>
      </w:r>
      <w:r>
        <w:rPr>
          <w:rFonts w:hint="eastAsia" w:cs="宋体"/>
          <w:color w:val="auto"/>
          <w:spacing w:val="6"/>
          <w:sz w:val="24"/>
          <w:highlight w:val="none"/>
          <w:u w:val="single"/>
          <w:lang w:bidi="ar-SA"/>
        </w:rPr>
        <w:t xml:space="preserve">  </w:t>
      </w:r>
      <w:r>
        <w:rPr>
          <w:rFonts w:hint="eastAsia" w:cs="宋体"/>
          <w:color w:val="auto"/>
          <w:spacing w:val="6"/>
          <w:sz w:val="24"/>
          <w:highlight w:val="none"/>
          <w:lang w:bidi="ar-SA"/>
        </w:rPr>
        <w:t>万元，资产总额为</w:t>
      </w:r>
      <w:r>
        <w:rPr>
          <w:rFonts w:hint="eastAsia" w:cs="宋体"/>
          <w:color w:val="auto"/>
          <w:spacing w:val="6"/>
          <w:sz w:val="24"/>
          <w:highlight w:val="none"/>
          <w:u w:val="single"/>
          <w:lang w:bidi="ar-SA"/>
        </w:rPr>
        <w:t xml:space="preserve">   </w:t>
      </w:r>
      <w:r>
        <w:rPr>
          <w:rFonts w:hint="eastAsia" w:cs="宋体"/>
          <w:color w:val="auto"/>
          <w:spacing w:val="6"/>
          <w:sz w:val="24"/>
          <w:highlight w:val="none"/>
          <w:lang w:bidi="ar-SA"/>
        </w:rPr>
        <w:t>万元，属于（</w:t>
      </w:r>
      <w:r>
        <w:rPr>
          <w:rFonts w:hint="eastAsia" w:cs="宋体"/>
          <w:color w:val="auto"/>
          <w:spacing w:val="6"/>
          <w:sz w:val="24"/>
          <w:highlight w:val="none"/>
          <w:u w:val="single"/>
          <w:lang w:bidi="ar-SA"/>
        </w:rPr>
        <w:t>中型企业、 小型企业、微型企业</w:t>
      </w:r>
      <w:r>
        <w:rPr>
          <w:rFonts w:hint="eastAsia" w:cs="宋体"/>
          <w:color w:val="auto"/>
          <w:spacing w:val="6"/>
          <w:sz w:val="24"/>
          <w:highlight w:val="none"/>
          <w:lang w:bidi="ar-SA"/>
        </w:rPr>
        <w:t>）</w:t>
      </w:r>
    </w:p>
    <w:p w14:paraId="52C9E6BF">
      <w:pPr>
        <w:widowControl/>
        <w:shd w:val="clear" w:color="auto" w:fill="FFFFFF"/>
        <w:spacing w:after="240" w:line="320" w:lineRule="exact"/>
        <w:ind w:firstLine="480"/>
        <w:jc w:val="left"/>
        <w:rPr>
          <w:rFonts w:hint="eastAsia" w:ascii="宋体"/>
          <w:color w:val="auto"/>
          <w:kern w:val="0"/>
          <w:sz w:val="24"/>
          <w:highlight w:val="none"/>
        </w:rPr>
      </w:pPr>
      <w:r>
        <w:rPr>
          <w:rFonts w:hint="eastAsia" w:ascii="宋体"/>
          <w:color w:val="auto"/>
          <w:kern w:val="0"/>
          <w:sz w:val="24"/>
          <w:highlight w:val="none"/>
        </w:rPr>
        <w:t>……</w:t>
      </w:r>
    </w:p>
    <w:p w14:paraId="2CDBB99C">
      <w:pPr>
        <w:widowControl/>
        <w:shd w:val="clear" w:color="auto" w:fill="FFFFFF"/>
        <w:spacing w:after="240" w:line="320" w:lineRule="exact"/>
        <w:ind w:firstLine="480"/>
        <w:jc w:val="left"/>
        <w:rPr>
          <w:rFonts w:hint="eastAsia" w:ascii="宋体"/>
          <w:color w:val="auto"/>
          <w:kern w:val="0"/>
          <w:sz w:val="24"/>
          <w:highlight w:val="none"/>
        </w:rPr>
      </w:pPr>
      <w:r>
        <w:rPr>
          <w:rFonts w:hint="eastAsia" w:ascii="宋体"/>
          <w:color w:val="auto"/>
          <w:kern w:val="0"/>
          <w:sz w:val="24"/>
          <w:highlight w:val="none"/>
        </w:rPr>
        <w:t>以上企业，不属于大企业的分支机构，不存在控股股东为大企业的情形，也不存在与大企业的负责人为同一人的情况。</w:t>
      </w:r>
    </w:p>
    <w:p w14:paraId="63894BCA">
      <w:pPr>
        <w:widowControl/>
        <w:shd w:val="clear" w:color="auto" w:fill="FFFFFF"/>
        <w:spacing w:after="240" w:line="320" w:lineRule="exact"/>
        <w:ind w:firstLine="480"/>
        <w:jc w:val="left"/>
        <w:rPr>
          <w:rFonts w:hint="eastAsia" w:ascii="宋体"/>
          <w:color w:val="auto"/>
          <w:kern w:val="0"/>
          <w:sz w:val="24"/>
          <w:highlight w:val="none"/>
        </w:rPr>
      </w:pPr>
      <w:r>
        <w:rPr>
          <w:rFonts w:hint="eastAsia" w:ascii="宋体"/>
          <w:color w:val="auto"/>
          <w:kern w:val="0"/>
          <w:sz w:val="24"/>
          <w:highlight w:val="none"/>
        </w:rPr>
        <w:t>本企业对上述声明内容的真实性负责。如有虚假，将依法承担相应责任。 　　　　　　　　　　　</w:t>
      </w:r>
    </w:p>
    <w:p w14:paraId="7C6575FA">
      <w:pPr>
        <w:widowControl/>
        <w:shd w:val="clear" w:color="auto" w:fill="FFFFFF"/>
        <w:spacing w:after="240" w:line="320" w:lineRule="exact"/>
        <w:ind w:firstLine="3960" w:firstLineChars="1650"/>
        <w:jc w:val="left"/>
        <w:rPr>
          <w:rFonts w:hint="eastAsia" w:ascii="宋体"/>
          <w:color w:val="auto"/>
          <w:kern w:val="0"/>
          <w:sz w:val="24"/>
          <w:highlight w:val="none"/>
        </w:rPr>
      </w:pPr>
    </w:p>
    <w:p w14:paraId="5A442E71">
      <w:pPr>
        <w:widowControl/>
        <w:shd w:val="clear" w:color="auto" w:fill="FFFFFF"/>
        <w:spacing w:after="240" w:line="320" w:lineRule="exact"/>
        <w:ind w:firstLine="3960" w:firstLineChars="1650"/>
        <w:jc w:val="left"/>
        <w:rPr>
          <w:rFonts w:hint="eastAsia" w:ascii="宋体"/>
          <w:color w:val="auto"/>
          <w:kern w:val="0"/>
          <w:sz w:val="24"/>
          <w:highlight w:val="none"/>
          <w:u w:val="single"/>
        </w:rPr>
      </w:pPr>
      <w:r>
        <w:rPr>
          <w:rFonts w:hint="eastAsia" w:ascii="宋体"/>
          <w:color w:val="auto"/>
          <w:kern w:val="0"/>
          <w:sz w:val="24"/>
          <w:highlight w:val="none"/>
        </w:rPr>
        <w:t>企业名称（加盖供应商CA证书签章）：</w:t>
      </w:r>
      <w:r>
        <w:rPr>
          <w:rFonts w:hint="eastAsia" w:ascii="宋体"/>
          <w:color w:val="auto"/>
          <w:kern w:val="0"/>
          <w:sz w:val="24"/>
          <w:highlight w:val="none"/>
          <w:u w:val="single"/>
        </w:rPr>
        <w:t xml:space="preserve">             </w:t>
      </w:r>
    </w:p>
    <w:p w14:paraId="7AC8ED21">
      <w:pPr>
        <w:pStyle w:val="12"/>
        <w:spacing w:line="320" w:lineRule="exact"/>
        <w:rPr>
          <w:rFonts w:hint="eastAsia"/>
          <w:b/>
          <w:color w:val="auto"/>
          <w:sz w:val="24"/>
          <w:szCs w:val="24"/>
          <w:highlight w:val="none"/>
        </w:rPr>
      </w:pPr>
      <w:r>
        <w:rPr>
          <w:rFonts w:hint="eastAsia"/>
          <w:color w:val="auto"/>
          <w:kern w:val="0"/>
          <w:sz w:val="24"/>
          <w:szCs w:val="24"/>
          <w:highlight w:val="none"/>
        </w:rPr>
        <w:t>　　　　　　　　　　　　　　　　　　　　　 日期：</w:t>
      </w:r>
      <w:r>
        <w:rPr>
          <w:rFonts w:hint="eastAsia"/>
          <w:color w:val="auto"/>
          <w:kern w:val="0"/>
          <w:sz w:val="24"/>
          <w:szCs w:val="24"/>
          <w:highlight w:val="none"/>
          <w:u w:val="single"/>
        </w:rPr>
        <w:t xml:space="preserve">          </w:t>
      </w:r>
    </w:p>
    <w:p w14:paraId="3BF1F346">
      <w:pPr>
        <w:pStyle w:val="12"/>
        <w:spacing w:line="320" w:lineRule="exact"/>
        <w:rPr>
          <w:rFonts w:hint="eastAsia" w:cs="宋体"/>
          <w:b/>
          <w:color w:val="auto"/>
          <w:kern w:val="0"/>
          <w:highlight w:val="none"/>
          <w:lang w:bidi="ar-SA"/>
        </w:rPr>
      </w:pPr>
    </w:p>
    <w:p w14:paraId="5D4F8E7F">
      <w:pPr>
        <w:pStyle w:val="12"/>
        <w:spacing w:line="320" w:lineRule="exact"/>
        <w:rPr>
          <w:rFonts w:hint="eastAsia" w:cs="宋体"/>
          <w:b/>
          <w:color w:val="auto"/>
          <w:kern w:val="0"/>
          <w:highlight w:val="none"/>
          <w:lang w:bidi="ar-SA"/>
        </w:rPr>
      </w:pPr>
      <w:r>
        <w:rPr>
          <w:rFonts w:hint="eastAsia" w:cs="宋体"/>
          <w:b/>
          <w:color w:val="auto"/>
          <w:kern w:val="0"/>
          <w:highlight w:val="none"/>
          <w:lang w:bidi="ar-SA"/>
        </w:rPr>
        <w:t>注：</w:t>
      </w:r>
      <w:r>
        <w:rPr>
          <w:rFonts w:hint="eastAsia"/>
          <w:b/>
          <w:color w:val="auto"/>
          <w:highlight w:val="none"/>
        </w:rPr>
        <w:t>①</w:t>
      </w:r>
      <w:r>
        <w:rPr>
          <w:rFonts w:hint="eastAsia" w:cs="宋体"/>
          <w:b/>
          <w:color w:val="auto"/>
          <w:kern w:val="0"/>
          <w:highlight w:val="none"/>
          <w:lang w:bidi="ar-SA"/>
        </w:rPr>
        <w:t>从业人员、营业收入、资产总额填报上一年度数据，无上一年度数据的新成立企业可不填报。</w:t>
      </w:r>
    </w:p>
    <w:p w14:paraId="79CB5DF3">
      <w:pPr>
        <w:pStyle w:val="12"/>
        <w:spacing w:line="320" w:lineRule="exact"/>
        <w:rPr>
          <w:rFonts w:hint="eastAsia" w:cs="宋体"/>
          <w:b/>
          <w:color w:val="auto"/>
          <w:kern w:val="0"/>
          <w:highlight w:val="none"/>
          <w:lang w:bidi="ar-SA"/>
        </w:rPr>
      </w:pPr>
      <w:r>
        <w:rPr>
          <w:rFonts w:hint="eastAsia" w:cs="宋体"/>
          <w:b/>
          <w:color w:val="auto"/>
          <w:kern w:val="0"/>
          <w:highlight w:val="none"/>
          <w:lang w:bidi="ar-SA"/>
        </w:rPr>
        <w:t>②所属行业依照《中小企业划型标准规定》（工信部联企业〔2011〕300号）及《国民经济行业分类》（GB/T4754-2017）的有关规定执行，本工程在《统计上大中小微型企业划分标准》中所属行业均为</w:t>
      </w:r>
      <w:r>
        <w:rPr>
          <w:rFonts w:hint="eastAsia" w:cs="宋体"/>
          <w:b/>
          <w:color w:val="auto"/>
          <w:kern w:val="0"/>
          <w:highlight w:val="none"/>
          <w:u w:val="single"/>
          <w:lang w:bidi="ar-SA"/>
        </w:rPr>
        <w:t>建筑业。</w:t>
      </w:r>
    </w:p>
    <w:p w14:paraId="78EE79F6">
      <w:pPr>
        <w:pStyle w:val="12"/>
        <w:spacing w:line="360" w:lineRule="auto"/>
        <w:rPr>
          <w:rFonts w:hint="eastAsia" w:cs="宋体"/>
          <w:b/>
          <w:color w:val="auto"/>
          <w:kern w:val="0"/>
          <w:highlight w:val="none"/>
          <w:lang w:bidi="ar-SA"/>
        </w:rPr>
      </w:pPr>
    </w:p>
    <w:p w14:paraId="60D09328">
      <w:pPr>
        <w:pStyle w:val="12"/>
        <w:spacing w:line="360" w:lineRule="auto"/>
        <w:rPr>
          <w:rFonts w:hint="eastAsia" w:cs="宋体"/>
          <w:b/>
          <w:color w:val="auto"/>
          <w:kern w:val="0"/>
          <w:highlight w:val="none"/>
          <w:lang w:bidi="ar-SA"/>
        </w:rPr>
      </w:pPr>
    </w:p>
    <w:p w14:paraId="3DC69F50">
      <w:pPr>
        <w:pStyle w:val="12"/>
        <w:adjustRightInd w:val="0"/>
        <w:spacing w:line="390" w:lineRule="exact"/>
        <w:contextualSpacing/>
        <w:rPr>
          <w:rFonts w:cs="宋体"/>
          <w:b/>
          <w:bCs/>
          <w:color w:val="auto"/>
          <w:highlight w:val="none"/>
          <w:lang w:bidi="ar-SA"/>
        </w:rPr>
      </w:pPr>
      <w:r>
        <w:rPr>
          <w:rFonts w:hint="eastAsia"/>
          <w:b/>
          <w:bCs/>
          <w:color w:val="auto"/>
          <w:highlight w:val="none"/>
        </w:rPr>
        <w:t>附表</w:t>
      </w:r>
    </w:p>
    <w:p w14:paraId="64B31C8E">
      <w:pPr>
        <w:widowControl/>
        <w:spacing w:before="156" w:after="156" w:line="400" w:lineRule="exact"/>
        <w:jc w:val="center"/>
        <w:rPr>
          <w:rFonts w:hint="eastAsia" w:ascii="宋体" w:cs="宋体"/>
          <w:b/>
          <w:bCs/>
          <w:color w:val="auto"/>
          <w:kern w:val="0"/>
          <w:sz w:val="30"/>
          <w:szCs w:val="30"/>
          <w:highlight w:val="none"/>
          <w:lang w:bidi="ar-SA"/>
        </w:rPr>
      </w:pPr>
      <w:r>
        <w:rPr>
          <w:rFonts w:hint="eastAsia" w:ascii="宋体" w:cs="宋体"/>
          <w:b/>
          <w:bCs/>
          <w:color w:val="auto"/>
          <w:kern w:val="0"/>
          <w:sz w:val="30"/>
          <w:szCs w:val="30"/>
          <w:highlight w:val="none"/>
          <w:lang w:bidi="ar-SA"/>
        </w:rPr>
        <w:t>统计上大中小微型企业划分标准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7326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noWrap w:val="0"/>
            <w:vAlign w:val="center"/>
          </w:tcPr>
          <w:p w14:paraId="3832BBF9">
            <w:pPr>
              <w:widowControl/>
              <w:spacing w:line="240" w:lineRule="exact"/>
              <w:jc w:val="center"/>
              <w:rPr>
                <w:rFonts w:hint="eastAsia" w:ascii="宋体" w:cs="宋体"/>
                <w:b/>
                <w:bCs/>
                <w:color w:val="auto"/>
                <w:kern w:val="0"/>
                <w:sz w:val="18"/>
                <w:szCs w:val="21"/>
                <w:highlight w:val="none"/>
                <w:lang w:bidi="ar-SA"/>
              </w:rPr>
            </w:pPr>
            <w:r>
              <w:rPr>
                <w:rFonts w:hint="eastAsia" w:ascii="宋体" w:cs="宋体"/>
                <w:b/>
                <w:bCs/>
                <w:color w:val="auto"/>
                <w:kern w:val="0"/>
                <w:sz w:val="18"/>
                <w:szCs w:val="21"/>
                <w:highlight w:val="none"/>
                <w:lang w:bidi="ar-SA"/>
              </w:rPr>
              <w:t>行业名称</w:t>
            </w:r>
          </w:p>
        </w:tc>
        <w:tc>
          <w:tcPr>
            <w:tcW w:w="1451" w:type="dxa"/>
            <w:shd w:val="clear" w:color="auto" w:fill="8DB3E2"/>
            <w:noWrap w:val="0"/>
            <w:vAlign w:val="center"/>
          </w:tcPr>
          <w:p w14:paraId="5F5A9FF8">
            <w:pPr>
              <w:widowControl/>
              <w:jc w:val="center"/>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指标名称</w:t>
            </w:r>
          </w:p>
        </w:tc>
        <w:tc>
          <w:tcPr>
            <w:tcW w:w="750" w:type="dxa"/>
            <w:shd w:val="clear" w:color="auto" w:fill="8DB3E2"/>
            <w:noWrap w:val="0"/>
            <w:vAlign w:val="center"/>
          </w:tcPr>
          <w:p w14:paraId="32944A5B">
            <w:pPr>
              <w:widowControl/>
              <w:jc w:val="center"/>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计量</w:t>
            </w:r>
          </w:p>
          <w:p w14:paraId="72FE86CA">
            <w:pPr>
              <w:widowControl/>
              <w:jc w:val="center"/>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单位</w:t>
            </w:r>
          </w:p>
        </w:tc>
        <w:tc>
          <w:tcPr>
            <w:tcW w:w="1191" w:type="dxa"/>
            <w:shd w:val="clear" w:color="auto" w:fill="8DB3E2"/>
            <w:noWrap w:val="0"/>
            <w:vAlign w:val="center"/>
          </w:tcPr>
          <w:p w14:paraId="71C49727">
            <w:pPr>
              <w:widowControl/>
              <w:jc w:val="center"/>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大型</w:t>
            </w:r>
          </w:p>
        </w:tc>
        <w:tc>
          <w:tcPr>
            <w:tcW w:w="1803" w:type="dxa"/>
            <w:shd w:val="clear" w:color="auto" w:fill="8DB3E2"/>
            <w:noWrap w:val="0"/>
            <w:vAlign w:val="center"/>
          </w:tcPr>
          <w:p w14:paraId="0773265E">
            <w:pPr>
              <w:widowControl/>
              <w:jc w:val="center"/>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中型</w:t>
            </w:r>
          </w:p>
        </w:tc>
        <w:tc>
          <w:tcPr>
            <w:tcW w:w="1511" w:type="dxa"/>
            <w:shd w:val="clear" w:color="auto" w:fill="8DB3E2"/>
            <w:noWrap w:val="0"/>
            <w:vAlign w:val="center"/>
          </w:tcPr>
          <w:p w14:paraId="48758677">
            <w:pPr>
              <w:widowControl/>
              <w:jc w:val="center"/>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小型</w:t>
            </w:r>
          </w:p>
        </w:tc>
        <w:tc>
          <w:tcPr>
            <w:tcW w:w="1049" w:type="dxa"/>
            <w:shd w:val="clear" w:color="auto" w:fill="8DB3E2"/>
            <w:noWrap w:val="0"/>
            <w:vAlign w:val="center"/>
          </w:tcPr>
          <w:p w14:paraId="1EC51F4D">
            <w:pPr>
              <w:widowControl/>
              <w:jc w:val="center"/>
              <w:rPr>
                <w:rFonts w:hint="eastAsia" w:ascii="宋体" w:cs="宋体"/>
                <w:b/>
                <w:bCs/>
                <w:color w:val="auto"/>
                <w:kern w:val="0"/>
                <w:sz w:val="18"/>
                <w:szCs w:val="18"/>
                <w:highlight w:val="none"/>
                <w:lang w:bidi="ar-SA"/>
              </w:rPr>
            </w:pPr>
            <w:r>
              <w:rPr>
                <w:rFonts w:hint="eastAsia" w:ascii="宋体" w:cs="宋体"/>
                <w:b/>
                <w:bCs/>
                <w:color w:val="auto"/>
                <w:kern w:val="0"/>
                <w:sz w:val="18"/>
                <w:szCs w:val="18"/>
                <w:highlight w:val="none"/>
                <w:lang w:bidi="ar-SA"/>
              </w:rPr>
              <w:t>微型</w:t>
            </w:r>
          </w:p>
        </w:tc>
      </w:tr>
      <w:tr w14:paraId="4505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46265565">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农、林、牧、渔业</w:t>
            </w:r>
          </w:p>
        </w:tc>
        <w:tc>
          <w:tcPr>
            <w:tcW w:w="1451" w:type="dxa"/>
            <w:noWrap w:val="0"/>
            <w:vAlign w:val="center"/>
          </w:tcPr>
          <w:p w14:paraId="40F808D8">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5943B23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320F4A1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Y≥20000</w:t>
            </w:r>
          </w:p>
        </w:tc>
        <w:tc>
          <w:tcPr>
            <w:tcW w:w="1803" w:type="dxa"/>
            <w:noWrap w:val="0"/>
            <w:vAlign w:val="center"/>
          </w:tcPr>
          <w:p w14:paraId="1F09C16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500≤Y＜20000</w:t>
            </w:r>
          </w:p>
        </w:tc>
        <w:tc>
          <w:tcPr>
            <w:tcW w:w="1511" w:type="dxa"/>
            <w:noWrap w:val="0"/>
            <w:vAlign w:val="center"/>
          </w:tcPr>
          <w:p w14:paraId="75A7B0B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50≤Y＜500</w:t>
            </w:r>
          </w:p>
        </w:tc>
        <w:tc>
          <w:tcPr>
            <w:tcW w:w="1049" w:type="dxa"/>
            <w:noWrap w:val="0"/>
            <w:vAlign w:val="center"/>
          </w:tcPr>
          <w:p w14:paraId="1A49123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Y＜50</w:t>
            </w:r>
          </w:p>
        </w:tc>
      </w:tr>
      <w:tr w14:paraId="4D5C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847" w:type="dxa"/>
            <w:vMerge w:val="restart"/>
            <w:noWrap w:val="0"/>
            <w:vAlign w:val="center"/>
          </w:tcPr>
          <w:p w14:paraId="620A6831">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工业 *</w:t>
            </w:r>
          </w:p>
        </w:tc>
        <w:tc>
          <w:tcPr>
            <w:tcW w:w="1451" w:type="dxa"/>
            <w:noWrap w:val="0"/>
            <w:vAlign w:val="center"/>
          </w:tcPr>
          <w:p w14:paraId="1A07A0E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04126B1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0FA5C0A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X≥1000</w:t>
            </w:r>
          </w:p>
        </w:tc>
        <w:tc>
          <w:tcPr>
            <w:tcW w:w="1803" w:type="dxa"/>
            <w:noWrap w:val="0"/>
            <w:vAlign w:val="center"/>
          </w:tcPr>
          <w:p w14:paraId="7F0A608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300≤X＜1000</w:t>
            </w:r>
          </w:p>
        </w:tc>
        <w:tc>
          <w:tcPr>
            <w:tcW w:w="1511" w:type="dxa"/>
            <w:noWrap w:val="0"/>
            <w:vAlign w:val="center"/>
          </w:tcPr>
          <w:p w14:paraId="02DCA82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20≤X＜300</w:t>
            </w:r>
          </w:p>
        </w:tc>
        <w:tc>
          <w:tcPr>
            <w:tcW w:w="1049" w:type="dxa"/>
            <w:noWrap w:val="0"/>
            <w:vAlign w:val="center"/>
          </w:tcPr>
          <w:p w14:paraId="4AC61F5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X＜20</w:t>
            </w:r>
          </w:p>
        </w:tc>
      </w:tr>
      <w:tr w14:paraId="1889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FE4C114">
            <w:pPr>
              <w:rPr>
                <w:color w:val="auto"/>
                <w:highlight w:val="none"/>
              </w:rPr>
            </w:pPr>
          </w:p>
        </w:tc>
        <w:tc>
          <w:tcPr>
            <w:tcW w:w="1451" w:type="dxa"/>
            <w:noWrap w:val="0"/>
            <w:vAlign w:val="center"/>
          </w:tcPr>
          <w:p w14:paraId="76BF08D2">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1CFFC5DA">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47CFDC65">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Y≥40000</w:t>
            </w:r>
          </w:p>
        </w:tc>
        <w:tc>
          <w:tcPr>
            <w:tcW w:w="1803" w:type="dxa"/>
            <w:noWrap w:val="0"/>
            <w:vAlign w:val="center"/>
          </w:tcPr>
          <w:p w14:paraId="22D1AB8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2000≤Y＜40000</w:t>
            </w:r>
          </w:p>
        </w:tc>
        <w:tc>
          <w:tcPr>
            <w:tcW w:w="1511" w:type="dxa"/>
            <w:noWrap w:val="0"/>
            <w:vAlign w:val="center"/>
          </w:tcPr>
          <w:p w14:paraId="564814A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300≤Y＜2000</w:t>
            </w:r>
          </w:p>
        </w:tc>
        <w:tc>
          <w:tcPr>
            <w:tcW w:w="1049" w:type="dxa"/>
            <w:noWrap w:val="0"/>
            <w:vAlign w:val="center"/>
          </w:tcPr>
          <w:p w14:paraId="285513D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Y＜300</w:t>
            </w:r>
          </w:p>
        </w:tc>
      </w:tr>
      <w:tr w14:paraId="2EA2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472D663">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建筑业</w:t>
            </w:r>
          </w:p>
        </w:tc>
        <w:tc>
          <w:tcPr>
            <w:tcW w:w="1451" w:type="dxa"/>
            <w:noWrap w:val="0"/>
            <w:vAlign w:val="center"/>
          </w:tcPr>
          <w:p w14:paraId="0EBC989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509E57A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7F73500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Y≥80000</w:t>
            </w:r>
          </w:p>
        </w:tc>
        <w:tc>
          <w:tcPr>
            <w:tcW w:w="1803" w:type="dxa"/>
            <w:noWrap w:val="0"/>
            <w:vAlign w:val="center"/>
          </w:tcPr>
          <w:p w14:paraId="7349F59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6000≤Y＜80000</w:t>
            </w:r>
          </w:p>
        </w:tc>
        <w:tc>
          <w:tcPr>
            <w:tcW w:w="1511" w:type="dxa"/>
            <w:noWrap w:val="0"/>
            <w:vAlign w:val="center"/>
          </w:tcPr>
          <w:p w14:paraId="307C428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300≤Y＜6000</w:t>
            </w:r>
          </w:p>
        </w:tc>
        <w:tc>
          <w:tcPr>
            <w:tcW w:w="1049" w:type="dxa"/>
            <w:noWrap w:val="0"/>
            <w:vAlign w:val="center"/>
          </w:tcPr>
          <w:p w14:paraId="4D1A6BE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Y＜300</w:t>
            </w:r>
          </w:p>
        </w:tc>
      </w:tr>
      <w:tr w14:paraId="5D7C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A8B9027">
            <w:pPr>
              <w:rPr>
                <w:color w:val="auto"/>
                <w:highlight w:val="none"/>
              </w:rPr>
            </w:pPr>
          </w:p>
        </w:tc>
        <w:tc>
          <w:tcPr>
            <w:tcW w:w="1451" w:type="dxa"/>
            <w:noWrap w:val="0"/>
            <w:vAlign w:val="center"/>
          </w:tcPr>
          <w:p w14:paraId="2FCF3B5A">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资产总额(Z)</w:t>
            </w:r>
          </w:p>
        </w:tc>
        <w:tc>
          <w:tcPr>
            <w:tcW w:w="750" w:type="dxa"/>
            <w:noWrap w:val="0"/>
            <w:vAlign w:val="center"/>
          </w:tcPr>
          <w:p w14:paraId="62A959B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507CE12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Z≥80000</w:t>
            </w:r>
          </w:p>
        </w:tc>
        <w:tc>
          <w:tcPr>
            <w:tcW w:w="1803" w:type="dxa"/>
            <w:noWrap w:val="0"/>
            <w:vAlign w:val="center"/>
          </w:tcPr>
          <w:p w14:paraId="6D7E780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5000≤Z＜80000</w:t>
            </w:r>
          </w:p>
        </w:tc>
        <w:tc>
          <w:tcPr>
            <w:tcW w:w="1511" w:type="dxa"/>
            <w:noWrap w:val="0"/>
            <w:vAlign w:val="center"/>
          </w:tcPr>
          <w:p w14:paraId="5237561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300≤Z＜5000</w:t>
            </w:r>
          </w:p>
        </w:tc>
        <w:tc>
          <w:tcPr>
            <w:tcW w:w="1049" w:type="dxa"/>
            <w:noWrap w:val="0"/>
            <w:vAlign w:val="center"/>
          </w:tcPr>
          <w:p w14:paraId="6C9CE4C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Z＜300</w:t>
            </w:r>
          </w:p>
        </w:tc>
      </w:tr>
      <w:tr w14:paraId="6483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CD9B330">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批发业</w:t>
            </w:r>
          </w:p>
        </w:tc>
        <w:tc>
          <w:tcPr>
            <w:tcW w:w="1451" w:type="dxa"/>
            <w:noWrap w:val="0"/>
            <w:vAlign w:val="center"/>
          </w:tcPr>
          <w:p w14:paraId="1EC42B7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00F6210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0470104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X≥200</w:t>
            </w:r>
          </w:p>
        </w:tc>
        <w:tc>
          <w:tcPr>
            <w:tcW w:w="1803" w:type="dxa"/>
            <w:noWrap w:val="0"/>
            <w:vAlign w:val="center"/>
          </w:tcPr>
          <w:p w14:paraId="0337F70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20≤X＜200</w:t>
            </w:r>
          </w:p>
        </w:tc>
        <w:tc>
          <w:tcPr>
            <w:tcW w:w="1511" w:type="dxa"/>
            <w:noWrap w:val="0"/>
            <w:vAlign w:val="center"/>
          </w:tcPr>
          <w:p w14:paraId="7B93A861">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5≤X＜20</w:t>
            </w:r>
          </w:p>
        </w:tc>
        <w:tc>
          <w:tcPr>
            <w:tcW w:w="1049" w:type="dxa"/>
            <w:noWrap w:val="0"/>
            <w:vAlign w:val="center"/>
          </w:tcPr>
          <w:p w14:paraId="7137C361">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X＜5</w:t>
            </w:r>
          </w:p>
        </w:tc>
      </w:tr>
      <w:tr w14:paraId="2DC3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AA59E68">
            <w:pPr>
              <w:rPr>
                <w:color w:val="auto"/>
                <w:highlight w:val="none"/>
              </w:rPr>
            </w:pPr>
          </w:p>
        </w:tc>
        <w:tc>
          <w:tcPr>
            <w:tcW w:w="1451" w:type="dxa"/>
            <w:noWrap w:val="0"/>
            <w:vAlign w:val="center"/>
          </w:tcPr>
          <w:p w14:paraId="767CB268">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6272F7EA">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22107235">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Y≥40000</w:t>
            </w:r>
          </w:p>
        </w:tc>
        <w:tc>
          <w:tcPr>
            <w:tcW w:w="1803" w:type="dxa"/>
            <w:noWrap w:val="0"/>
            <w:vAlign w:val="center"/>
          </w:tcPr>
          <w:p w14:paraId="24B2C65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5000≤Y＜40000</w:t>
            </w:r>
          </w:p>
        </w:tc>
        <w:tc>
          <w:tcPr>
            <w:tcW w:w="1511" w:type="dxa"/>
            <w:noWrap w:val="0"/>
            <w:vAlign w:val="center"/>
          </w:tcPr>
          <w:p w14:paraId="12BD385D">
            <w:pPr>
              <w:widowControl/>
              <w:ind w:left="-1" w:leftChars="-1" w:hanging="1"/>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1000≤Y＜5000</w:t>
            </w:r>
          </w:p>
        </w:tc>
        <w:tc>
          <w:tcPr>
            <w:tcW w:w="1049" w:type="dxa"/>
            <w:noWrap w:val="0"/>
            <w:vAlign w:val="center"/>
          </w:tcPr>
          <w:p w14:paraId="5F10A6B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Y＜1000</w:t>
            </w:r>
          </w:p>
        </w:tc>
      </w:tr>
      <w:tr w14:paraId="4D41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0FB984D">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零售业</w:t>
            </w:r>
          </w:p>
        </w:tc>
        <w:tc>
          <w:tcPr>
            <w:tcW w:w="1451" w:type="dxa"/>
            <w:noWrap w:val="0"/>
            <w:vAlign w:val="center"/>
          </w:tcPr>
          <w:p w14:paraId="27122223">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34A7166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0C63D67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X≥300</w:t>
            </w:r>
          </w:p>
        </w:tc>
        <w:tc>
          <w:tcPr>
            <w:tcW w:w="1803" w:type="dxa"/>
            <w:noWrap w:val="0"/>
            <w:vAlign w:val="center"/>
          </w:tcPr>
          <w:p w14:paraId="0BCD8B2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50≤X＜300</w:t>
            </w:r>
          </w:p>
        </w:tc>
        <w:tc>
          <w:tcPr>
            <w:tcW w:w="1511" w:type="dxa"/>
            <w:noWrap w:val="0"/>
            <w:vAlign w:val="center"/>
          </w:tcPr>
          <w:p w14:paraId="62457A6D">
            <w:pPr>
              <w:widowControl/>
              <w:ind w:left="-1" w:leftChars="-1" w:hanging="1"/>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 xml:space="preserve">10≤X＜50 </w:t>
            </w:r>
          </w:p>
        </w:tc>
        <w:tc>
          <w:tcPr>
            <w:tcW w:w="1049" w:type="dxa"/>
            <w:noWrap w:val="0"/>
            <w:vAlign w:val="center"/>
          </w:tcPr>
          <w:p w14:paraId="55AF2F3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w:t>
            </w:r>
          </w:p>
        </w:tc>
      </w:tr>
      <w:tr w14:paraId="2024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078F31FD">
            <w:pPr>
              <w:rPr>
                <w:color w:val="auto"/>
                <w:highlight w:val="none"/>
              </w:rPr>
            </w:pPr>
          </w:p>
        </w:tc>
        <w:tc>
          <w:tcPr>
            <w:tcW w:w="1451" w:type="dxa"/>
            <w:noWrap w:val="0"/>
            <w:vAlign w:val="center"/>
          </w:tcPr>
          <w:p w14:paraId="402DB709">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407DBA0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61BB17CA">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Y≥20000</w:t>
            </w:r>
          </w:p>
        </w:tc>
        <w:tc>
          <w:tcPr>
            <w:tcW w:w="1803" w:type="dxa"/>
            <w:noWrap w:val="0"/>
            <w:vAlign w:val="center"/>
          </w:tcPr>
          <w:p w14:paraId="38EF87C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500≤Y＜20000</w:t>
            </w:r>
          </w:p>
        </w:tc>
        <w:tc>
          <w:tcPr>
            <w:tcW w:w="1511" w:type="dxa"/>
            <w:noWrap w:val="0"/>
            <w:vAlign w:val="center"/>
          </w:tcPr>
          <w:p w14:paraId="0ADD4377">
            <w:pPr>
              <w:widowControl/>
              <w:ind w:left="-1" w:leftChars="-1" w:hanging="1"/>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100≤Y＜500</w:t>
            </w:r>
          </w:p>
        </w:tc>
        <w:tc>
          <w:tcPr>
            <w:tcW w:w="1049" w:type="dxa"/>
            <w:noWrap w:val="0"/>
            <w:vAlign w:val="center"/>
          </w:tcPr>
          <w:p w14:paraId="2C2D840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w:t>
            </w:r>
          </w:p>
        </w:tc>
      </w:tr>
      <w:tr w14:paraId="0A80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D7166E4">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交通运输业 *</w:t>
            </w:r>
          </w:p>
        </w:tc>
        <w:tc>
          <w:tcPr>
            <w:tcW w:w="1451" w:type="dxa"/>
            <w:noWrap w:val="0"/>
            <w:vAlign w:val="center"/>
          </w:tcPr>
          <w:p w14:paraId="0EA5F0C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46950B3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6D751463">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X≥1000</w:t>
            </w:r>
          </w:p>
        </w:tc>
        <w:tc>
          <w:tcPr>
            <w:tcW w:w="1803" w:type="dxa"/>
            <w:noWrap w:val="0"/>
            <w:vAlign w:val="center"/>
          </w:tcPr>
          <w:p w14:paraId="18D7A39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300≤X＜1000</w:t>
            </w:r>
          </w:p>
        </w:tc>
        <w:tc>
          <w:tcPr>
            <w:tcW w:w="1511" w:type="dxa"/>
            <w:noWrap w:val="0"/>
            <w:vAlign w:val="center"/>
          </w:tcPr>
          <w:p w14:paraId="1516173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20≤X＜300</w:t>
            </w:r>
          </w:p>
        </w:tc>
        <w:tc>
          <w:tcPr>
            <w:tcW w:w="1049" w:type="dxa"/>
            <w:noWrap w:val="0"/>
            <w:vAlign w:val="center"/>
          </w:tcPr>
          <w:p w14:paraId="777520C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X＜20</w:t>
            </w:r>
          </w:p>
        </w:tc>
      </w:tr>
      <w:tr w14:paraId="7ADC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347DF603">
            <w:pPr>
              <w:rPr>
                <w:color w:val="auto"/>
                <w:highlight w:val="none"/>
              </w:rPr>
            </w:pPr>
          </w:p>
        </w:tc>
        <w:tc>
          <w:tcPr>
            <w:tcW w:w="1451" w:type="dxa"/>
            <w:noWrap w:val="0"/>
            <w:vAlign w:val="center"/>
          </w:tcPr>
          <w:p w14:paraId="1B74843D">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255DD998">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16CCCC0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Y≥30000</w:t>
            </w:r>
          </w:p>
        </w:tc>
        <w:tc>
          <w:tcPr>
            <w:tcW w:w="1803" w:type="dxa"/>
            <w:noWrap w:val="0"/>
            <w:vAlign w:val="center"/>
          </w:tcPr>
          <w:p w14:paraId="7D815AD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3000≤Y＜30000</w:t>
            </w:r>
          </w:p>
        </w:tc>
        <w:tc>
          <w:tcPr>
            <w:tcW w:w="1511" w:type="dxa"/>
            <w:noWrap w:val="0"/>
            <w:vAlign w:val="center"/>
          </w:tcPr>
          <w:p w14:paraId="6BED8E3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200≤Y＜3000</w:t>
            </w:r>
          </w:p>
        </w:tc>
        <w:tc>
          <w:tcPr>
            <w:tcW w:w="1049" w:type="dxa"/>
            <w:noWrap w:val="0"/>
            <w:vAlign w:val="center"/>
          </w:tcPr>
          <w:p w14:paraId="57F4DF3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Y＜200</w:t>
            </w:r>
          </w:p>
        </w:tc>
      </w:tr>
      <w:tr w14:paraId="5F1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04AEE0E">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仓储业*</w:t>
            </w:r>
          </w:p>
        </w:tc>
        <w:tc>
          <w:tcPr>
            <w:tcW w:w="1451" w:type="dxa"/>
            <w:noWrap w:val="0"/>
            <w:vAlign w:val="center"/>
          </w:tcPr>
          <w:p w14:paraId="14738E2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6B706521">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134D91D5">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X≥200</w:t>
            </w:r>
          </w:p>
        </w:tc>
        <w:tc>
          <w:tcPr>
            <w:tcW w:w="1803" w:type="dxa"/>
            <w:noWrap w:val="0"/>
            <w:vAlign w:val="center"/>
          </w:tcPr>
          <w:p w14:paraId="2137F60A">
            <w:pPr>
              <w:widowControl/>
              <w:ind w:left="1" w:leftChars="-51" w:hanging="108" w:hangingChars="60"/>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100≤X＜200</w:t>
            </w:r>
          </w:p>
        </w:tc>
        <w:tc>
          <w:tcPr>
            <w:tcW w:w="1511" w:type="dxa"/>
            <w:noWrap w:val="0"/>
            <w:vAlign w:val="center"/>
          </w:tcPr>
          <w:p w14:paraId="1AE4E9A5">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20≤X＜100</w:t>
            </w:r>
          </w:p>
        </w:tc>
        <w:tc>
          <w:tcPr>
            <w:tcW w:w="1049" w:type="dxa"/>
            <w:noWrap w:val="0"/>
            <w:vAlign w:val="center"/>
          </w:tcPr>
          <w:p w14:paraId="55F0A52A">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X＜20</w:t>
            </w:r>
          </w:p>
        </w:tc>
      </w:tr>
      <w:tr w14:paraId="0843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89D4C1C">
            <w:pPr>
              <w:rPr>
                <w:color w:val="auto"/>
                <w:highlight w:val="none"/>
              </w:rPr>
            </w:pPr>
          </w:p>
        </w:tc>
        <w:tc>
          <w:tcPr>
            <w:tcW w:w="1451" w:type="dxa"/>
            <w:noWrap w:val="0"/>
            <w:vAlign w:val="center"/>
          </w:tcPr>
          <w:p w14:paraId="2E31ADD8">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0CFAA848">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1827EB0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Y≥30000</w:t>
            </w:r>
          </w:p>
        </w:tc>
        <w:tc>
          <w:tcPr>
            <w:tcW w:w="1803" w:type="dxa"/>
            <w:noWrap w:val="0"/>
            <w:vAlign w:val="center"/>
          </w:tcPr>
          <w:p w14:paraId="2163330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1000≤Y＜30000</w:t>
            </w:r>
          </w:p>
        </w:tc>
        <w:tc>
          <w:tcPr>
            <w:tcW w:w="1511" w:type="dxa"/>
            <w:noWrap w:val="0"/>
            <w:vAlign w:val="center"/>
          </w:tcPr>
          <w:p w14:paraId="57D2E003">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100≤Y＜1000</w:t>
            </w:r>
          </w:p>
        </w:tc>
        <w:tc>
          <w:tcPr>
            <w:tcW w:w="1049" w:type="dxa"/>
            <w:noWrap w:val="0"/>
            <w:vAlign w:val="center"/>
          </w:tcPr>
          <w:p w14:paraId="256042B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w:t>
            </w:r>
          </w:p>
        </w:tc>
      </w:tr>
      <w:tr w14:paraId="3647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3A17E73A">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邮政业</w:t>
            </w:r>
          </w:p>
        </w:tc>
        <w:tc>
          <w:tcPr>
            <w:tcW w:w="1451" w:type="dxa"/>
            <w:noWrap w:val="0"/>
            <w:vAlign w:val="center"/>
          </w:tcPr>
          <w:p w14:paraId="33CEE79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1D78527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51FE4A0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X≥1000</w:t>
            </w:r>
          </w:p>
        </w:tc>
        <w:tc>
          <w:tcPr>
            <w:tcW w:w="1803" w:type="dxa"/>
            <w:noWrap w:val="0"/>
            <w:vAlign w:val="center"/>
          </w:tcPr>
          <w:p w14:paraId="23F6FF01">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300≤X＜1000</w:t>
            </w:r>
          </w:p>
        </w:tc>
        <w:tc>
          <w:tcPr>
            <w:tcW w:w="1511" w:type="dxa"/>
            <w:noWrap w:val="0"/>
            <w:vAlign w:val="center"/>
          </w:tcPr>
          <w:p w14:paraId="54001EE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20≤X＜300</w:t>
            </w:r>
          </w:p>
        </w:tc>
        <w:tc>
          <w:tcPr>
            <w:tcW w:w="1049" w:type="dxa"/>
            <w:noWrap w:val="0"/>
            <w:vAlign w:val="center"/>
          </w:tcPr>
          <w:p w14:paraId="7330053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X＜20</w:t>
            </w:r>
          </w:p>
        </w:tc>
      </w:tr>
      <w:tr w14:paraId="6CE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5326187">
            <w:pPr>
              <w:rPr>
                <w:color w:val="auto"/>
                <w:highlight w:val="none"/>
              </w:rPr>
            </w:pPr>
          </w:p>
        </w:tc>
        <w:tc>
          <w:tcPr>
            <w:tcW w:w="1451" w:type="dxa"/>
            <w:noWrap w:val="0"/>
            <w:vAlign w:val="center"/>
          </w:tcPr>
          <w:p w14:paraId="62037D01">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28E1779A">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6A71D4D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Y≥30000</w:t>
            </w:r>
          </w:p>
        </w:tc>
        <w:tc>
          <w:tcPr>
            <w:tcW w:w="1803" w:type="dxa"/>
            <w:noWrap w:val="0"/>
            <w:vAlign w:val="center"/>
          </w:tcPr>
          <w:p w14:paraId="5AE81DA3">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2000≤Y＜30000</w:t>
            </w:r>
          </w:p>
        </w:tc>
        <w:tc>
          <w:tcPr>
            <w:tcW w:w="1511" w:type="dxa"/>
            <w:noWrap w:val="0"/>
            <w:vAlign w:val="center"/>
          </w:tcPr>
          <w:p w14:paraId="31638B3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100≤Y＜2000</w:t>
            </w:r>
          </w:p>
        </w:tc>
        <w:tc>
          <w:tcPr>
            <w:tcW w:w="1049" w:type="dxa"/>
            <w:noWrap w:val="0"/>
            <w:vAlign w:val="center"/>
          </w:tcPr>
          <w:p w14:paraId="00CE983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w:t>
            </w:r>
          </w:p>
        </w:tc>
      </w:tr>
      <w:tr w14:paraId="0B50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105C8E4">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住宿业</w:t>
            </w:r>
          </w:p>
        </w:tc>
        <w:tc>
          <w:tcPr>
            <w:tcW w:w="1451" w:type="dxa"/>
            <w:noWrap w:val="0"/>
            <w:vAlign w:val="center"/>
          </w:tcPr>
          <w:p w14:paraId="5DCDC28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76A0A3C5">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743B043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X≥300</w:t>
            </w:r>
          </w:p>
        </w:tc>
        <w:tc>
          <w:tcPr>
            <w:tcW w:w="1803" w:type="dxa"/>
            <w:noWrap w:val="0"/>
            <w:vAlign w:val="center"/>
          </w:tcPr>
          <w:p w14:paraId="3D2A59C2">
            <w:pPr>
              <w:widowControl/>
              <w:ind w:left="1" w:leftChars="-51" w:hanging="108" w:hangingChars="60"/>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100≤X＜300</w:t>
            </w:r>
          </w:p>
        </w:tc>
        <w:tc>
          <w:tcPr>
            <w:tcW w:w="1511" w:type="dxa"/>
            <w:noWrap w:val="0"/>
            <w:vAlign w:val="center"/>
          </w:tcPr>
          <w:p w14:paraId="5CD3F34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10≤X＜100</w:t>
            </w:r>
          </w:p>
        </w:tc>
        <w:tc>
          <w:tcPr>
            <w:tcW w:w="1049" w:type="dxa"/>
            <w:noWrap w:val="0"/>
            <w:vAlign w:val="center"/>
          </w:tcPr>
          <w:p w14:paraId="1641AAF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w:t>
            </w:r>
          </w:p>
        </w:tc>
      </w:tr>
      <w:tr w14:paraId="4D94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3D1464F">
            <w:pPr>
              <w:rPr>
                <w:color w:val="auto"/>
                <w:highlight w:val="none"/>
              </w:rPr>
            </w:pPr>
          </w:p>
        </w:tc>
        <w:tc>
          <w:tcPr>
            <w:tcW w:w="1451" w:type="dxa"/>
            <w:noWrap w:val="0"/>
            <w:vAlign w:val="center"/>
          </w:tcPr>
          <w:p w14:paraId="7FC4CED7">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514A436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0570A3E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Y≥10000</w:t>
            </w:r>
          </w:p>
        </w:tc>
        <w:tc>
          <w:tcPr>
            <w:tcW w:w="1803" w:type="dxa"/>
            <w:noWrap w:val="0"/>
            <w:vAlign w:val="center"/>
          </w:tcPr>
          <w:p w14:paraId="4348A4A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2000≤Y＜10000</w:t>
            </w:r>
          </w:p>
        </w:tc>
        <w:tc>
          <w:tcPr>
            <w:tcW w:w="1511" w:type="dxa"/>
            <w:noWrap w:val="0"/>
            <w:vAlign w:val="center"/>
          </w:tcPr>
          <w:p w14:paraId="7920AC63">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100≤Y＜2000</w:t>
            </w:r>
          </w:p>
        </w:tc>
        <w:tc>
          <w:tcPr>
            <w:tcW w:w="1049" w:type="dxa"/>
            <w:noWrap w:val="0"/>
            <w:vAlign w:val="center"/>
          </w:tcPr>
          <w:p w14:paraId="637FD3C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w:t>
            </w:r>
          </w:p>
        </w:tc>
      </w:tr>
      <w:tr w14:paraId="0C73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65A6D631">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餐饮业</w:t>
            </w:r>
          </w:p>
        </w:tc>
        <w:tc>
          <w:tcPr>
            <w:tcW w:w="1451" w:type="dxa"/>
            <w:noWrap w:val="0"/>
            <w:vAlign w:val="center"/>
          </w:tcPr>
          <w:p w14:paraId="51F9CD2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64951665">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159A432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X≥300</w:t>
            </w:r>
          </w:p>
        </w:tc>
        <w:tc>
          <w:tcPr>
            <w:tcW w:w="1803" w:type="dxa"/>
            <w:noWrap w:val="0"/>
            <w:vAlign w:val="center"/>
          </w:tcPr>
          <w:p w14:paraId="72DF2AFD">
            <w:pPr>
              <w:widowControl/>
              <w:ind w:left="1" w:leftChars="-51" w:hanging="108" w:hangingChars="60"/>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 xml:space="preserve">100≤X＜300 </w:t>
            </w:r>
          </w:p>
        </w:tc>
        <w:tc>
          <w:tcPr>
            <w:tcW w:w="1511" w:type="dxa"/>
            <w:noWrap w:val="0"/>
            <w:vAlign w:val="center"/>
          </w:tcPr>
          <w:p w14:paraId="5E624F9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10≤X＜100</w:t>
            </w:r>
          </w:p>
        </w:tc>
        <w:tc>
          <w:tcPr>
            <w:tcW w:w="1049" w:type="dxa"/>
            <w:noWrap w:val="0"/>
            <w:vAlign w:val="center"/>
          </w:tcPr>
          <w:p w14:paraId="3423449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w:t>
            </w:r>
          </w:p>
        </w:tc>
      </w:tr>
      <w:tr w14:paraId="6687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55E00134">
            <w:pPr>
              <w:rPr>
                <w:color w:val="auto"/>
                <w:highlight w:val="none"/>
              </w:rPr>
            </w:pPr>
          </w:p>
        </w:tc>
        <w:tc>
          <w:tcPr>
            <w:tcW w:w="1451" w:type="dxa"/>
            <w:noWrap w:val="0"/>
            <w:vAlign w:val="center"/>
          </w:tcPr>
          <w:p w14:paraId="1E73F8C3">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613A288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687BD37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Y≥10000</w:t>
            </w:r>
          </w:p>
        </w:tc>
        <w:tc>
          <w:tcPr>
            <w:tcW w:w="1803" w:type="dxa"/>
            <w:noWrap w:val="0"/>
            <w:vAlign w:val="center"/>
          </w:tcPr>
          <w:p w14:paraId="4F1341BA">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2000≤Y＜10000</w:t>
            </w:r>
          </w:p>
        </w:tc>
        <w:tc>
          <w:tcPr>
            <w:tcW w:w="1511" w:type="dxa"/>
            <w:noWrap w:val="0"/>
            <w:vAlign w:val="center"/>
          </w:tcPr>
          <w:p w14:paraId="0CE3E6C6">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100≤Y＜2000</w:t>
            </w:r>
          </w:p>
        </w:tc>
        <w:tc>
          <w:tcPr>
            <w:tcW w:w="1049" w:type="dxa"/>
            <w:noWrap w:val="0"/>
            <w:vAlign w:val="center"/>
          </w:tcPr>
          <w:p w14:paraId="0BCE400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w:t>
            </w:r>
          </w:p>
        </w:tc>
      </w:tr>
      <w:tr w14:paraId="2D62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D8246A3">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信息传输业 *</w:t>
            </w:r>
          </w:p>
        </w:tc>
        <w:tc>
          <w:tcPr>
            <w:tcW w:w="1451" w:type="dxa"/>
            <w:noWrap w:val="0"/>
            <w:vAlign w:val="center"/>
          </w:tcPr>
          <w:p w14:paraId="51C9438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61EC3E6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2B5FAAD1">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X≥2000</w:t>
            </w:r>
          </w:p>
        </w:tc>
        <w:tc>
          <w:tcPr>
            <w:tcW w:w="1803" w:type="dxa"/>
            <w:noWrap w:val="0"/>
            <w:vAlign w:val="center"/>
          </w:tcPr>
          <w:p w14:paraId="4909625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100≤X＜2000</w:t>
            </w:r>
          </w:p>
        </w:tc>
        <w:tc>
          <w:tcPr>
            <w:tcW w:w="1511" w:type="dxa"/>
            <w:noWrap w:val="0"/>
            <w:vAlign w:val="center"/>
          </w:tcPr>
          <w:p w14:paraId="5D42D73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10≤X＜100</w:t>
            </w:r>
          </w:p>
        </w:tc>
        <w:tc>
          <w:tcPr>
            <w:tcW w:w="1049" w:type="dxa"/>
            <w:noWrap w:val="0"/>
            <w:vAlign w:val="center"/>
          </w:tcPr>
          <w:p w14:paraId="232B997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w:t>
            </w:r>
          </w:p>
        </w:tc>
      </w:tr>
      <w:tr w14:paraId="3231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12EB2C1F">
            <w:pPr>
              <w:rPr>
                <w:color w:val="auto"/>
                <w:highlight w:val="none"/>
              </w:rPr>
            </w:pPr>
          </w:p>
        </w:tc>
        <w:tc>
          <w:tcPr>
            <w:tcW w:w="1451" w:type="dxa"/>
            <w:noWrap w:val="0"/>
            <w:vAlign w:val="center"/>
          </w:tcPr>
          <w:p w14:paraId="1547922C">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603DED3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5DAB310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Y≥100000</w:t>
            </w:r>
          </w:p>
        </w:tc>
        <w:tc>
          <w:tcPr>
            <w:tcW w:w="1803" w:type="dxa"/>
            <w:noWrap w:val="0"/>
            <w:vAlign w:val="center"/>
          </w:tcPr>
          <w:p w14:paraId="1418CD3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1000≤Y＜100000</w:t>
            </w:r>
          </w:p>
        </w:tc>
        <w:tc>
          <w:tcPr>
            <w:tcW w:w="1511" w:type="dxa"/>
            <w:noWrap w:val="0"/>
            <w:vAlign w:val="center"/>
          </w:tcPr>
          <w:p w14:paraId="387D118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100≤Y＜1000</w:t>
            </w:r>
          </w:p>
        </w:tc>
        <w:tc>
          <w:tcPr>
            <w:tcW w:w="1049" w:type="dxa"/>
            <w:noWrap w:val="0"/>
            <w:vAlign w:val="center"/>
          </w:tcPr>
          <w:p w14:paraId="5C42FB9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w:t>
            </w:r>
          </w:p>
        </w:tc>
      </w:tr>
      <w:tr w14:paraId="5211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586F1C0A">
            <w:pPr>
              <w:widowControl/>
              <w:spacing w:line="240" w:lineRule="exact"/>
              <w:jc w:val="left"/>
              <w:rPr>
                <w:rFonts w:hint="eastAsia" w:ascii="宋体" w:cs="宋体"/>
                <w:color w:val="auto"/>
                <w:spacing w:val="-12"/>
                <w:kern w:val="0"/>
                <w:sz w:val="18"/>
                <w:szCs w:val="18"/>
                <w:highlight w:val="none"/>
                <w:lang w:bidi="ar-SA"/>
              </w:rPr>
            </w:pPr>
            <w:r>
              <w:rPr>
                <w:rFonts w:hint="eastAsia" w:ascii="宋体" w:cs="宋体"/>
                <w:color w:val="auto"/>
                <w:spacing w:val="-12"/>
                <w:kern w:val="0"/>
                <w:sz w:val="18"/>
                <w:szCs w:val="18"/>
                <w:highlight w:val="none"/>
                <w:lang w:bidi="ar-SA"/>
              </w:rPr>
              <w:t>软件和信息技术服</w:t>
            </w:r>
            <w:r>
              <w:rPr>
                <w:rFonts w:hint="eastAsia" w:ascii="宋体" w:cs="宋体"/>
                <w:color w:val="auto"/>
                <w:kern w:val="0"/>
                <w:sz w:val="18"/>
                <w:szCs w:val="18"/>
                <w:highlight w:val="none"/>
                <w:lang w:bidi="ar-SA"/>
              </w:rPr>
              <w:t>务业</w:t>
            </w:r>
          </w:p>
        </w:tc>
        <w:tc>
          <w:tcPr>
            <w:tcW w:w="1451" w:type="dxa"/>
            <w:noWrap w:val="0"/>
            <w:vAlign w:val="center"/>
          </w:tcPr>
          <w:p w14:paraId="6275C7B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13F5ABC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119C5188">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X≥300</w:t>
            </w:r>
          </w:p>
        </w:tc>
        <w:tc>
          <w:tcPr>
            <w:tcW w:w="1803" w:type="dxa"/>
            <w:noWrap w:val="0"/>
            <w:vAlign w:val="center"/>
          </w:tcPr>
          <w:p w14:paraId="537A4119">
            <w:pPr>
              <w:widowControl/>
              <w:ind w:left="1" w:leftChars="-51" w:hanging="108" w:hangingChars="60"/>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 xml:space="preserve">100≤X＜300 </w:t>
            </w:r>
          </w:p>
        </w:tc>
        <w:tc>
          <w:tcPr>
            <w:tcW w:w="1511" w:type="dxa"/>
            <w:noWrap w:val="0"/>
            <w:vAlign w:val="center"/>
          </w:tcPr>
          <w:p w14:paraId="565EF9B1">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10≤X＜100</w:t>
            </w:r>
          </w:p>
        </w:tc>
        <w:tc>
          <w:tcPr>
            <w:tcW w:w="1049" w:type="dxa"/>
            <w:noWrap w:val="0"/>
            <w:vAlign w:val="center"/>
          </w:tcPr>
          <w:p w14:paraId="0D48FCF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w:t>
            </w:r>
          </w:p>
        </w:tc>
      </w:tr>
      <w:tr w14:paraId="7953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054CDC9D">
            <w:pPr>
              <w:rPr>
                <w:color w:val="auto"/>
                <w:highlight w:val="none"/>
              </w:rPr>
            </w:pPr>
          </w:p>
        </w:tc>
        <w:tc>
          <w:tcPr>
            <w:tcW w:w="1451" w:type="dxa"/>
            <w:noWrap w:val="0"/>
            <w:vAlign w:val="center"/>
          </w:tcPr>
          <w:p w14:paraId="7C3E965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392CE591">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52CF7AAF">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Y≥10000</w:t>
            </w:r>
          </w:p>
        </w:tc>
        <w:tc>
          <w:tcPr>
            <w:tcW w:w="1803" w:type="dxa"/>
            <w:noWrap w:val="0"/>
            <w:vAlign w:val="center"/>
          </w:tcPr>
          <w:p w14:paraId="4D84180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1000≤Y＜10000</w:t>
            </w:r>
          </w:p>
        </w:tc>
        <w:tc>
          <w:tcPr>
            <w:tcW w:w="1511" w:type="dxa"/>
            <w:noWrap w:val="0"/>
            <w:vAlign w:val="center"/>
          </w:tcPr>
          <w:p w14:paraId="7E5D004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50≤Y＜1000</w:t>
            </w:r>
          </w:p>
        </w:tc>
        <w:tc>
          <w:tcPr>
            <w:tcW w:w="1049" w:type="dxa"/>
            <w:noWrap w:val="0"/>
            <w:vAlign w:val="center"/>
          </w:tcPr>
          <w:p w14:paraId="2A23E57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Y＜50</w:t>
            </w:r>
          </w:p>
        </w:tc>
      </w:tr>
      <w:tr w14:paraId="2B9C6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FE72691">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房地产开发经营</w:t>
            </w:r>
          </w:p>
        </w:tc>
        <w:tc>
          <w:tcPr>
            <w:tcW w:w="1451" w:type="dxa"/>
            <w:noWrap w:val="0"/>
            <w:vAlign w:val="center"/>
          </w:tcPr>
          <w:p w14:paraId="23FAC88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0342E11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7B3D543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Y≥200000</w:t>
            </w:r>
          </w:p>
        </w:tc>
        <w:tc>
          <w:tcPr>
            <w:tcW w:w="1803" w:type="dxa"/>
            <w:noWrap w:val="0"/>
            <w:vAlign w:val="center"/>
          </w:tcPr>
          <w:p w14:paraId="631F917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1000≤Y＜200000</w:t>
            </w:r>
          </w:p>
        </w:tc>
        <w:tc>
          <w:tcPr>
            <w:tcW w:w="1511" w:type="dxa"/>
            <w:noWrap w:val="0"/>
            <w:vAlign w:val="center"/>
          </w:tcPr>
          <w:p w14:paraId="4E74A7A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100≤Y＜1000</w:t>
            </w:r>
          </w:p>
        </w:tc>
        <w:tc>
          <w:tcPr>
            <w:tcW w:w="1049" w:type="dxa"/>
            <w:noWrap w:val="0"/>
            <w:vAlign w:val="center"/>
          </w:tcPr>
          <w:p w14:paraId="0487282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Y＜100</w:t>
            </w:r>
          </w:p>
        </w:tc>
      </w:tr>
      <w:tr w14:paraId="6B2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1F3D7C3F">
            <w:pPr>
              <w:rPr>
                <w:color w:val="auto"/>
                <w:highlight w:val="none"/>
              </w:rPr>
            </w:pPr>
          </w:p>
        </w:tc>
        <w:tc>
          <w:tcPr>
            <w:tcW w:w="1451" w:type="dxa"/>
            <w:noWrap w:val="0"/>
            <w:vAlign w:val="center"/>
          </w:tcPr>
          <w:p w14:paraId="00D73576">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资产总额(Z)</w:t>
            </w:r>
          </w:p>
        </w:tc>
        <w:tc>
          <w:tcPr>
            <w:tcW w:w="750" w:type="dxa"/>
            <w:noWrap w:val="0"/>
            <w:vAlign w:val="center"/>
          </w:tcPr>
          <w:p w14:paraId="0D1D3D4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512D9261">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Z≥10000</w:t>
            </w:r>
          </w:p>
        </w:tc>
        <w:tc>
          <w:tcPr>
            <w:tcW w:w="1803" w:type="dxa"/>
            <w:noWrap w:val="0"/>
            <w:vAlign w:val="center"/>
          </w:tcPr>
          <w:p w14:paraId="06486E5E">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5000≤Z＜10000</w:t>
            </w:r>
          </w:p>
        </w:tc>
        <w:tc>
          <w:tcPr>
            <w:tcW w:w="1511" w:type="dxa"/>
            <w:noWrap w:val="0"/>
            <w:vAlign w:val="center"/>
          </w:tcPr>
          <w:p w14:paraId="035FE16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2000≤Z＜5000</w:t>
            </w:r>
          </w:p>
        </w:tc>
        <w:tc>
          <w:tcPr>
            <w:tcW w:w="1049" w:type="dxa"/>
            <w:noWrap w:val="0"/>
            <w:vAlign w:val="center"/>
          </w:tcPr>
          <w:p w14:paraId="038717C3">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Z＜2000</w:t>
            </w:r>
          </w:p>
        </w:tc>
      </w:tr>
      <w:tr w14:paraId="1BDB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E109332">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物业管理</w:t>
            </w:r>
          </w:p>
        </w:tc>
        <w:tc>
          <w:tcPr>
            <w:tcW w:w="1451" w:type="dxa"/>
            <w:noWrap w:val="0"/>
            <w:vAlign w:val="center"/>
          </w:tcPr>
          <w:p w14:paraId="31B3109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7628771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4C888072">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X≥1000</w:t>
            </w:r>
          </w:p>
        </w:tc>
        <w:tc>
          <w:tcPr>
            <w:tcW w:w="1803" w:type="dxa"/>
            <w:noWrap w:val="0"/>
            <w:vAlign w:val="center"/>
          </w:tcPr>
          <w:p w14:paraId="082E8A5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300≤X＜1000</w:t>
            </w:r>
          </w:p>
        </w:tc>
        <w:tc>
          <w:tcPr>
            <w:tcW w:w="1511" w:type="dxa"/>
            <w:noWrap w:val="0"/>
            <w:vAlign w:val="center"/>
          </w:tcPr>
          <w:p w14:paraId="5CEC2DFA">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100≤X＜300</w:t>
            </w:r>
          </w:p>
        </w:tc>
        <w:tc>
          <w:tcPr>
            <w:tcW w:w="1049" w:type="dxa"/>
            <w:noWrap w:val="0"/>
            <w:vAlign w:val="center"/>
          </w:tcPr>
          <w:p w14:paraId="54C7E1F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X＜100</w:t>
            </w:r>
          </w:p>
        </w:tc>
      </w:tr>
      <w:tr w14:paraId="3AE8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4083581E">
            <w:pPr>
              <w:rPr>
                <w:color w:val="auto"/>
                <w:highlight w:val="none"/>
              </w:rPr>
            </w:pPr>
          </w:p>
        </w:tc>
        <w:tc>
          <w:tcPr>
            <w:tcW w:w="1451" w:type="dxa"/>
            <w:noWrap w:val="0"/>
            <w:vAlign w:val="center"/>
          </w:tcPr>
          <w:p w14:paraId="2F38A04B">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营业收入(Y)</w:t>
            </w:r>
          </w:p>
        </w:tc>
        <w:tc>
          <w:tcPr>
            <w:tcW w:w="750" w:type="dxa"/>
            <w:noWrap w:val="0"/>
            <w:vAlign w:val="center"/>
          </w:tcPr>
          <w:p w14:paraId="00E7263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3B0C8AB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Y≥5000</w:t>
            </w:r>
          </w:p>
        </w:tc>
        <w:tc>
          <w:tcPr>
            <w:tcW w:w="1803" w:type="dxa"/>
            <w:noWrap w:val="0"/>
            <w:vAlign w:val="center"/>
          </w:tcPr>
          <w:p w14:paraId="24C497F4">
            <w:pPr>
              <w:widowControl/>
              <w:ind w:left="1" w:leftChars="-51" w:hanging="108" w:hangingChars="60"/>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1000≤Y＜5000</w:t>
            </w:r>
          </w:p>
        </w:tc>
        <w:tc>
          <w:tcPr>
            <w:tcW w:w="1511" w:type="dxa"/>
            <w:noWrap w:val="0"/>
            <w:vAlign w:val="center"/>
          </w:tcPr>
          <w:p w14:paraId="4FB0971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500≤Y＜1000</w:t>
            </w:r>
          </w:p>
        </w:tc>
        <w:tc>
          <w:tcPr>
            <w:tcW w:w="1049" w:type="dxa"/>
            <w:noWrap w:val="0"/>
            <w:vAlign w:val="center"/>
          </w:tcPr>
          <w:p w14:paraId="3EC0F6AB">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Y＜500</w:t>
            </w:r>
          </w:p>
        </w:tc>
      </w:tr>
      <w:tr w14:paraId="498B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1645C3EC">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租赁和商务服务业</w:t>
            </w:r>
          </w:p>
        </w:tc>
        <w:tc>
          <w:tcPr>
            <w:tcW w:w="1451" w:type="dxa"/>
            <w:noWrap w:val="0"/>
            <w:vAlign w:val="center"/>
          </w:tcPr>
          <w:p w14:paraId="06A4852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5DC3D4F5">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6B6C2544">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X≥300</w:t>
            </w:r>
          </w:p>
        </w:tc>
        <w:tc>
          <w:tcPr>
            <w:tcW w:w="1803" w:type="dxa"/>
            <w:noWrap w:val="0"/>
            <w:vAlign w:val="center"/>
          </w:tcPr>
          <w:p w14:paraId="02CFFE13">
            <w:pPr>
              <w:widowControl/>
              <w:ind w:left="1" w:leftChars="-51" w:hanging="108" w:hangingChars="60"/>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100≤X＜300</w:t>
            </w:r>
          </w:p>
        </w:tc>
        <w:tc>
          <w:tcPr>
            <w:tcW w:w="1511" w:type="dxa"/>
            <w:noWrap w:val="0"/>
            <w:vAlign w:val="center"/>
          </w:tcPr>
          <w:p w14:paraId="5439F95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10≤X＜100</w:t>
            </w:r>
          </w:p>
        </w:tc>
        <w:tc>
          <w:tcPr>
            <w:tcW w:w="1049" w:type="dxa"/>
            <w:noWrap w:val="0"/>
            <w:vAlign w:val="center"/>
          </w:tcPr>
          <w:p w14:paraId="659BBDC8">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w:t>
            </w:r>
          </w:p>
        </w:tc>
      </w:tr>
      <w:tr w14:paraId="7671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30587D85">
            <w:pPr>
              <w:rPr>
                <w:color w:val="auto"/>
                <w:highlight w:val="none"/>
              </w:rPr>
            </w:pPr>
          </w:p>
        </w:tc>
        <w:tc>
          <w:tcPr>
            <w:tcW w:w="1451" w:type="dxa"/>
            <w:noWrap w:val="0"/>
            <w:vAlign w:val="center"/>
          </w:tcPr>
          <w:p w14:paraId="63C91FC0">
            <w:pPr>
              <w:widowControl/>
              <w:spacing w:line="240" w:lineRule="exact"/>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资产总额(Z)</w:t>
            </w:r>
          </w:p>
        </w:tc>
        <w:tc>
          <w:tcPr>
            <w:tcW w:w="750" w:type="dxa"/>
            <w:noWrap w:val="0"/>
            <w:vAlign w:val="center"/>
          </w:tcPr>
          <w:p w14:paraId="37C7A928">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万元</w:t>
            </w:r>
          </w:p>
        </w:tc>
        <w:tc>
          <w:tcPr>
            <w:tcW w:w="1191" w:type="dxa"/>
            <w:noWrap w:val="0"/>
            <w:vAlign w:val="center"/>
          </w:tcPr>
          <w:p w14:paraId="04E8CB4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Z≥120000</w:t>
            </w:r>
          </w:p>
        </w:tc>
        <w:tc>
          <w:tcPr>
            <w:tcW w:w="1803" w:type="dxa"/>
            <w:noWrap w:val="0"/>
            <w:vAlign w:val="center"/>
          </w:tcPr>
          <w:p w14:paraId="3006245D">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8000≤Z＜120000</w:t>
            </w:r>
          </w:p>
        </w:tc>
        <w:tc>
          <w:tcPr>
            <w:tcW w:w="1511" w:type="dxa"/>
            <w:noWrap w:val="0"/>
            <w:vAlign w:val="center"/>
          </w:tcPr>
          <w:p w14:paraId="51C989F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100≤Z＜8000</w:t>
            </w:r>
          </w:p>
        </w:tc>
        <w:tc>
          <w:tcPr>
            <w:tcW w:w="1049" w:type="dxa"/>
            <w:noWrap w:val="0"/>
            <w:vAlign w:val="center"/>
          </w:tcPr>
          <w:p w14:paraId="5D85FB5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Z＜100</w:t>
            </w:r>
          </w:p>
        </w:tc>
      </w:tr>
      <w:tr w14:paraId="0BEE3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68A1358D">
            <w:pPr>
              <w:widowControl/>
              <w:spacing w:line="240" w:lineRule="exact"/>
              <w:jc w:val="left"/>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其他未列明行业 *</w:t>
            </w:r>
          </w:p>
        </w:tc>
        <w:tc>
          <w:tcPr>
            <w:tcW w:w="1451" w:type="dxa"/>
            <w:noWrap w:val="0"/>
            <w:vAlign w:val="center"/>
          </w:tcPr>
          <w:p w14:paraId="18F1DEE9">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从业人员(X)</w:t>
            </w:r>
          </w:p>
        </w:tc>
        <w:tc>
          <w:tcPr>
            <w:tcW w:w="750" w:type="dxa"/>
            <w:noWrap w:val="0"/>
            <w:vAlign w:val="center"/>
          </w:tcPr>
          <w:p w14:paraId="2B3DED3A">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人</w:t>
            </w:r>
          </w:p>
        </w:tc>
        <w:tc>
          <w:tcPr>
            <w:tcW w:w="1191" w:type="dxa"/>
            <w:noWrap w:val="0"/>
            <w:vAlign w:val="center"/>
          </w:tcPr>
          <w:p w14:paraId="1CCBD547">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X≥300</w:t>
            </w:r>
          </w:p>
        </w:tc>
        <w:tc>
          <w:tcPr>
            <w:tcW w:w="1803" w:type="dxa"/>
            <w:noWrap w:val="0"/>
            <w:vAlign w:val="center"/>
          </w:tcPr>
          <w:p w14:paraId="0180FE05">
            <w:pPr>
              <w:widowControl/>
              <w:ind w:left="1" w:leftChars="-51" w:hanging="108" w:hangingChars="60"/>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100≤X＜300</w:t>
            </w:r>
          </w:p>
        </w:tc>
        <w:tc>
          <w:tcPr>
            <w:tcW w:w="1511" w:type="dxa"/>
            <w:noWrap w:val="0"/>
            <w:vAlign w:val="center"/>
          </w:tcPr>
          <w:p w14:paraId="478BA990">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10≤X＜100</w:t>
            </w:r>
          </w:p>
        </w:tc>
        <w:tc>
          <w:tcPr>
            <w:tcW w:w="1049" w:type="dxa"/>
            <w:noWrap w:val="0"/>
            <w:vAlign w:val="center"/>
          </w:tcPr>
          <w:p w14:paraId="641F8AFC">
            <w:pPr>
              <w:widowControl/>
              <w:jc w:val="center"/>
              <w:rPr>
                <w:rFonts w:hint="eastAsia" w:ascii="宋体" w:cs="宋体"/>
                <w:color w:val="auto"/>
                <w:kern w:val="0"/>
                <w:sz w:val="18"/>
                <w:szCs w:val="18"/>
                <w:highlight w:val="none"/>
                <w:lang w:bidi="ar-SA"/>
              </w:rPr>
            </w:pPr>
            <w:r>
              <w:rPr>
                <w:rFonts w:hint="eastAsia" w:ascii="宋体" w:cs="宋体"/>
                <w:color w:val="auto"/>
                <w:kern w:val="0"/>
                <w:sz w:val="18"/>
                <w:szCs w:val="18"/>
                <w:highlight w:val="none"/>
                <w:lang w:bidi="ar-SA"/>
              </w:rPr>
              <w:t>X＜10</w:t>
            </w:r>
          </w:p>
        </w:tc>
      </w:tr>
    </w:tbl>
    <w:p w14:paraId="204A950E">
      <w:pPr>
        <w:widowControl/>
        <w:spacing w:line="540" w:lineRule="exact"/>
        <w:rPr>
          <w:rFonts w:hint="eastAsia" w:ascii="宋体" w:cs="宋体"/>
          <w:color w:val="auto"/>
          <w:spacing w:val="8"/>
          <w:kern w:val="0"/>
          <w:sz w:val="24"/>
          <w:highlight w:val="none"/>
          <w:lang w:bidi="ar-SA"/>
        </w:rPr>
      </w:pPr>
    </w:p>
    <w:p w14:paraId="6A5FD7F0">
      <w:pPr>
        <w:widowControl/>
        <w:spacing w:line="540" w:lineRule="exact"/>
        <w:rPr>
          <w:rFonts w:hint="eastAsia" w:ascii="宋体" w:cs="宋体"/>
          <w:color w:val="auto"/>
          <w:spacing w:val="8"/>
          <w:kern w:val="0"/>
          <w:sz w:val="24"/>
          <w:highlight w:val="none"/>
          <w:lang w:bidi="ar-SA"/>
        </w:rPr>
      </w:pPr>
      <w:r>
        <w:rPr>
          <w:rFonts w:hint="eastAsia" w:ascii="宋体" w:cs="宋体"/>
          <w:color w:val="auto"/>
          <w:spacing w:val="8"/>
          <w:kern w:val="0"/>
          <w:sz w:val="24"/>
          <w:highlight w:val="none"/>
          <w:lang w:bidi="ar-SA"/>
        </w:rPr>
        <w:t>说明：</w:t>
      </w:r>
    </w:p>
    <w:p w14:paraId="07E76F73">
      <w:pPr>
        <w:pStyle w:val="12"/>
        <w:adjustRightInd w:val="0"/>
        <w:spacing w:line="380" w:lineRule="exact"/>
        <w:ind w:firstLine="512" w:firstLineChars="200"/>
        <w:contextualSpacing/>
        <w:rPr>
          <w:rFonts w:cs="宋体"/>
          <w:color w:val="auto"/>
          <w:spacing w:val="8"/>
          <w:kern w:val="0"/>
          <w:sz w:val="24"/>
          <w:szCs w:val="24"/>
          <w:highlight w:val="none"/>
          <w:lang w:bidi="ar-SA"/>
        </w:rPr>
      </w:pPr>
      <w:r>
        <w:rPr>
          <w:rFonts w:hint="eastAsia" w:cs="宋体"/>
          <w:color w:val="auto"/>
          <w:spacing w:val="8"/>
          <w:kern w:val="0"/>
          <w:sz w:val="24"/>
          <w:szCs w:val="24"/>
          <w:highlight w:val="none"/>
          <w:lang w:bidi="ar-SA"/>
        </w:rPr>
        <w:t>1.大型、中型和小型企业须同时满足所列指标的下限，否则下划一档；微型企业只须满足所列指标中的一项即可。</w:t>
      </w:r>
    </w:p>
    <w:p w14:paraId="04F1C21A">
      <w:pPr>
        <w:pStyle w:val="12"/>
        <w:adjustRightInd w:val="0"/>
        <w:spacing w:line="380" w:lineRule="exact"/>
        <w:ind w:firstLine="512" w:firstLineChars="200"/>
        <w:contextualSpacing/>
        <w:rPr>
          <w:rFonts w:cs="宋体"/>
          <w:color w:val="auto"/>
          <w:spacing w:val="8"/>
          <w:kern w:val="0"/>
          <w:sz w:val="24"/>
          <w:szCs w:val="24"/>
          <w:highlight w:val="none"/>
          <w:lang w:bidi="ar-SA"/>
        </w:rPr>
      </w:pPr>
      <w:r>
        <w:rPr>
          <w:rFonts w:hint="eastAsia" w:cs="宋体"/>
          <w:color w:val="auto"/>
          <w:spacing w:val="8"/>
          <w:kern w:val="0"/>
          <w:sz w:val="24"/>
          <w:szCs w:val="24"/>
          <w:highlight w:val="none"/>
          <w:lang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E76A355">
      <w:pPr>
        <w:pStyle w:val="12"/>
        <w:adjustRightInd w:val="0"/>
        <w:spacing w:line="380" w:lineRule="exact"/>
        <w:ind w:firstLine="512" w:firstLineChars="200"/>
        <w:contextualSpacing/>
        <w:rPr>
          <w:rFonts w:cs="宋体"/>
          <w:bCs/>
          <w:color w:val="auto"/>
          <w:highlight w:val="none"/>
          <w:lang w:bidi="ar-SA"/>
        </w:rPr>
      </w:pPr>
      <w:r>
        <w:rPr>
          <w:rFonts w:hint="eastAsia" w:cs="宋体"/>
          <w:color w:val="auto"/>
          <w:spacing w:val="8"/>
          <w:kern w:val="0"/>
          <w:sz w:val="24"/>
          <w:szCs w:val="24"/>
          <w:highlight w:val="none"/>
          <w:lang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CEA2909">
      <w:pPr>
        <w:pStyle w:val="12"/>
        <w:spacing w:line="500" w:lineRule="exact"/>
        <w:rPr>
          <w:rFonts w:hint="eastAsia"/>
          <w:b/>
          <w:color w:val="auto"/>
          <w:sz w:val="28"/>
          <w:szCs w:val="28"/>
          <w:highlight w:val="none"/>
        </w:rPr>
      </w:pPr>
    </w:p>
    <w:p w14:paraId="3BEE8270">
      <w:pPr>
        <w:spacing w:line="588" w:lineRule="exact"/>
        <w:rPr>
          <w:rFonts w:hint="eastAsia" w:ascii="宋体"/>
          <w:b/>
          <w:color w:val="auto"/>
          <w:spacing w:val="6"/>
          <w:sz w:val="28"/>
          <w:szCs w:val="28"/>
          <w:highlight w:val="none"/>
        </w:rPr>
      </w:pPr>
      <w:r>
        <w:rPr>
          <w:rFonts w:hint="eastAsia" w:ascii="宋体"/>
          <w:b/>
          <w:color w:val="auto"/>
          <w:spacing w:val="6"/>
          <w:sz w:val="28"/>
          <w:szCs w:val="28"/>
          <w:highlight w:val="none"/>
        </w:rPr>
        <w:t>附件：</w:t>
      </w:r>
    </w:p>
    <w:p w14:paraId="1E2AAEA4">
      <w:pPr>
        <w:spacing w:line="588" w:lineRule="exact"/>
        <w:jc w:val="center"/>
        <w:rPr>
          <w:rFonts w:hint="eastAsia" w:ascii="宋体"/>
          <w:b/>
          <w:color w:val="auto"/>
          <w:spacing w:val="6"/>
          <w:sz w:val="28"/>
          <w:szCs w:val="28"/>
          <w:highlight w:val="none"/>
        </w:rPr>
      </w:pPr>
      <w:r>
        <w:rPr>
          <w:rFonts w:hint="eastAsia" w:ascii="宋体"/>
          <w:b/>
          <w:color w:val="auto"/>
          <w:spacing w:val="6"/>
          <w:sz w:val="28"/>
          <w:szCs w:val="28"/>
          <w:highlight w:val="none"/>
        </w:rPr>
        <w:t>残疾人福利性单位声明函（格式）</w:t>
      </w:r>
    </w:p>
    <w:p w14:paraId="737ECB7F">
      <w:pPr>
        <w:spacing w:line="460" w:lineRule="exact"/>
        <w:ind w:firstLine="504" w:firstLineChars="200"/>
        <w:rPr>
          <w:rFonts w:hint="eastAsia" w:ascii="宋体"/>
          <w:color w:val="auto"/>
          <w:spacing w:val="6"/>
          <w:sz w:val="24"/>
          <w:highlight w:val="none"/>
        </w:rPr>
      </w:pPr>
      <w:r>
        <w:rPr>
          <w:rFonts w:hint="eastAsia" w:ascii="宋体"/>
          <w:color w:val="auto"/>
          <w:spacing w:val="6"/>
          <w:sz w:val="24"/>
          <w:highlight w:val="none"/>
        </w:rPr>
        <w:t>本单位郑重声明，根据《财政部 民政部 中国残疾人联合会关于促进残疾人就业政府采购政策的通知》（财库</w:t>
      </w:r>
      <w:r>
        <w:rPr>
          <w:rFonts w:hint="eastAsia" w:ascii="宋体"/>
          <w:color w:val="auto"/>
          <w:sz w:val="24"/>
          <w:highlight w:val="none"/>
        </w:rPr>
        <w:t>〔2017〕 141</w:t>
      </w:r>
      <w:r>
        <w:rPr>
          <w:rFonts w:hint="eastAsia" w:asci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F7BBB8">
      <w:pPr>
        <w:spacing w:line="460" w:lineRule="exact"/>
        <w:ind w:firstLine="504" w:firstLineChars="200"/>
        <w:rPr>
          <w:rFonts w:hint="eastAsia" w:ascii="宋体"/>
          <w:color w:val="auto"/>
          <w:spacing w:val="6"/>
          <w:sz w:val="24"/>
          <w:highlight w:val="none"/>
        </w:rPr>
      </w:pPr>
      <w:r>
        <w:rPr>
          <w:rFonts w:hint="eastAsia" w:ascii="宋体"/>
          <w:color w:val="auto"/>
          <w:spacing w:val="6"/>
          <w:sz w:val="24"/>
          <w:highlight w:val="none"/>
        </w:rPr>
        <w:t>本单位对上述声明的真实性负责。如有虚假，将依法承担相应责任。</w:t>
      </w:r>
    </w:p>
    <w:p w14:paraId="708097B1">
      <w:pPr>
        <w:spacing w:line="460" w:lineRule="exact"/>
        <w:rPr>
          <w:rFonts w:hint="eastAsia" w:ascii="宋体"/>
          <w:color w:val="auto"/>
          <w:spacing w:val="6"/>
          <w:sz w:val="24"/>
          <w:highlight w:val="none"/>
        </w:rPr>
      </w:pPr>
    </w:p>
    <w:p w14:paraId="35F259E6">
      <w:pPr>
        <w:tabs>
          <w:tab w:val="left" w:pos="4860"/>
        </w:tabs>
        <w:spacing w:line="460" w:lineRule="exact"/>
        <w:ind w:right="1560" w:firstLine="504" w:firstLineChars="200"/>
        <w:jc w:val="center"/>
        <w:rPr>
          <w:rFonts w:hint="eastAsia" w:ascii="宋体"/>
          <w:color w:val="auto"/>
          <w:spacing w:val="6"/>
          <w:sz w:val="24"/>
          <w:highlight w:val="none"/>
          <w:u w:val="single"/>
        </w:rPr>
      </w:pPr>
      <w:r>
        <w:rPr>
          <w:rFonts w:hint="eastAsia" w:ascii="宋体"/>
          <w:color w:val="auto"/>
          <w:spacing w:val="6"/>
          <w:sz w:val="24"/>
          <w:highlight w:val="none"/>
        </w:rPr>
        <w:t xml:space="preserve">               单位名称（加盖供应商CA证书签章）：</w:t>
      </w:r>
      <w:r>
        <w:rPr>
          <w:rFonts w:hint="eastAsia" w:ascii="宋体"/>
          <w:color w:val="auto"/>
          <w:spacing w:val="6"/>
          <w:sz w:val="24"/>
          <w:highlight w:val="none"/>
          <w:u w:val="single"/>
        </w:rPr>
        <w:t xml:space="preserve">             </w:t>
      </w:r>
    </w:p>
    <w:p w14:paraId="188783AD">
      <w:pPr>
        <w:tabs>
          <w:tab w:val="left" w:pos="4860"/>
        </w:tabs>
        <w:spacing w:line="460" w:lineRule="exact"/>
        <w:ind w:right="1560" w:firstLine="504" w:firstLineChars="200"/>
        <w:jc w:val="center"/>
        <w:rPr>
          <w:rFonts w:hint="eastAsia" w:ascii="宋体"/>
          <w:color w:val="auto"/>
          <w:spacing w:val="6"/>
          <w:sz w:val="24"/>
          <w:highlight w:val="none"/>
          <w:u w:val="single"/>
        </w:rPr>
      </w:pPr>
      <w:r>
        <w:rPr>
          <w:rFonts w:hint="eastAsia" w:ascii="宋体"/>
          <w:color w:val="auto"/>
          <w:spacing w:val="6"/>
          <w:sz w:val="24"/>
          <w:highlight w:val="none"/>
        </w:rPr>
        <w:t>日  期：</w:t>
      </w:r>
      <w:r>
        <w:rPr>
          <w:rFonts w:hint="eastAsia" w:ascii="宋体"/>
          <w:color w:val="auto"/>
          <w:spacing w:val="6"/>
          <w:sz w:val="24"/>
          <w:highlight w:val="none"/>
          <w:u w:val="single"/>
        </w:rPr>
        <w:t xml:space="preserve">           </w:t>
      </w:r>
    </w:p>
    <w:p w14:paraId="0E50280C">
      <w:pPr>
        <w:pStyle w:val="12"/>
        <w:spacing w:line="520" w:lineRule="exact"/>
        <w:ind w:firstLine="602" w:firstLineChars="200"/>
        <w:rPr>
          <w:rFonts w:hint="eastAsia"/>
          <w:b/>
          <w:color w:val="auto"/>
          <w:sz w:val="30"/>
          <w:szCs w:val="30"/>
          <w:highlight w:val="none"/>
        </w:rPr>
      </w:pPr>
    </w:p>
    <w:p w14:paraId="3067899C">
      <w:pPr>
        <w:spacing w:line="440" w:lineRule="atLeast"/>
        <w:rPr>
          <w:rFonts w:hint="eastAsia" w:ascii="宋体"/>
          <w:b/>
          <w:color w:val="auto"/>
          <w:sz w:val="28"/>
          <w:szCs w:val="28"/>
          <w:highlight w:val="none"/>
        </w:rPr>
      </w:pPr>
    </w:p>
    <w:p w14:paraId="7BC0FC6E">
      <w:pPr>
        <w:spacing w:line="440" w:lineRule="atLeast"/>
        <w:rPr>
          <w:rFonts w:hint="eastAsia" w:ascii="宋体"/>
          <w:b/>
          <w:color w:val="auto"/>
          <w:sz w:val="28"/>
          <w:szCs w:val="28"/>
          <w:highlight w:val="none"/>
        </w:rPr>
      </w:pPr>
      <w:r>
        <w:rPr>
          <w:rFonts w:hint="eastAsia" w:ascii="宋体"/>
          <w:b/>
          <w:color w:val="auto"/>
          <w:sz w:val="28"/>
          <w:szCs w:val="28"/>
          <w:highlight w:val="none"/>
        </w:rPr>
        <w:t>二、商务、技术响应证明材料响应证明材料</w:t>
      </w:r>
    </w:p>
    <w:p w14:paraId="5775019A">
      <w:pPr>
        <w:pStyle w:val="12"/>
        <w:spacing w:line="320" w:lineRule="exact"/>
        <w:ind w:firstLine="562" w:firstLineChars="200"/>
        <w:rPr>
          <w:rFonts w:hint="eastAsia"/>
          <w:b/>
          <w:color w:val="auto"/>
          <w:sz w:val="28"/>
          <w:szCs w:val="28"/>
          <w:highlight w:val="none"/>
        </w:rPr>
      </w:pPr>
    </w:p>
    <w:p w14:paraId="312394E6">
      <w:pPr>
        <w:spacing w:line="440" w:lineRule="atLeast"/>
        <w:rPr>
          <w:rFonts w:hint="eastAsia" w:ascii="宋体"/>
          <w:b/>
          <w:color w:val="auto"/>
          <w:sz w:val="28"/>
          <w:szCs w:val="28"/>
          <w:highlight w:val="none"/>
        </w:rPr>
      </w:pPr>
    </w:p>
    <w:p w14:paraId="1D792D74">
      <w:pPr>
        <w:rPr>
          <w:rFonts w:hint="eastAsia"/>
          <w:bCs/>
          <w:color w:val="auto"/>
          <w:sz w:val="32"/>
          <w:szCs w:val="32"/>
          <w:highlight w:val="none"/>
        </w:rPr>
      </w:pPr>
      <w:r>
        <w:rPr>
          <w:rFonts w:hint="eastAsia"/>
          <w:bCs/>
          <w:color w:val="auto"/>
          <w:sz w:val="32"/>
          <w:szCs w:val="32"/>
          <w:highlight w:val="none"/>
        </w:rPr>
        <w:t>商务、技术响应证明材料封面格式</w:t>
      </w:r>
    </w:p>
    <w:p w14:paraId="2BA884E5">
      <w:pPr>
        <w:snapToGrid w:val="0"/>
        <w:spacing w:before="156" w:after="50"/>
        <w:jc w:val="center"/>
        <w:rPr>
          <w:bCs/>
          <w:color w:val="auto"/>
          <w:sz w:val="32"/>
          <w:szCs w:val="32"/>
          <w:highlight w:val="none"/>
        </w:rPr>
      </w:pPr>
    </w:p>
    <w:p w14:paraId="11223CCC">
      <w:pPr>
        <w:pStyle w:val="5"/>
        <w:outlineLvl w:val="9"/>
        <w:rPr>
          <w:b w:val="0"/>
          <w:color w:val="auto"/>
          <w:highlight w:val="none"/>
        </w:rPr>
      </w:pPr>
    </w:p>
    <w:p w14:paraId="79F205DE">
      <w:pPr>
        <w:snapToGrid w:val="0"/>
        <w:spacing w:before="156" w:after="50"/>
        <w:jc w:val="center"/>
        <w:rPr>
          <w:rFonts w:hint="eastAsia" w:ascii="宋体" w:cs="宋体"/>
          <w:color w:val="auto"/>
          <w:sz w:val="72"/>
          <w:szCs w:val="72"/>
          <w:highlight w:val="none"/>
          <w:lang w:bidi="ar-SA"/>
        </w:rPr>
      </w:pPr>
      <w:r>
        <w:rPr>
          <w:rFonts w:hint="eastAsia" w:ascii="宋体" w:cs="宋体"/>
          <w:color w:val="auto"/>
          <w:sz w:val="72"/>
          <w:szCs w:val="72"/>
          <w:highlight w:val="none"/>
          <w:lang w:bidi="ar-SA"/>
        </w:rPr>
        <w:t>响 应 文 件</w:t>
      </w:r>
    </w:p>
    <w:p w14:paraId="3851F887">
      <w:pPr>
        <w:snapToGrid w:val="0"/>
        <w:spacing w:before="156" w:after="50"/>
        <w:rPr>
          <w:rFonts w:hint="eastAsia" w:ascii="宋体" w:cs="宋体"/>
          <w:color w:val="auto"/>
          <w:sz w:val="28"/>
          <w:szCs w:val="28"/>
          <w:highlight w:val="none"/>
          <w:lang w:bidi="ar-SA"/>
        </w:rPr>
      </w:pPr>
    </w:p>
    <w:p w14:paraId="6DCBEF0E">
      <w:pPr>
        <w:snapToGrid w:val="0"/>
        <w:spacing w:before="156" w:after="50"/>
        <w:ind w:firstLine="480" w:firstLineChars="150"/>
        <w:jc w:val="center"/>
        <w:rPr>
          <w:rFonts w:hint="eastAsia" w:ascii="宋体" w:cs="宋体"/>
          <w:color w:val="auto"/>
          <w:sz w:val="32"/>
          <w:szCs w:val="32"/>
          <w:highlight w:val="none"/>
          <w:lang w:bidi="ar-SA"/>
        </w:rPr>
      </w:pPr>
      <w:r>
        <w:rPr>
          <w:rFonts w:hint="eastAsia" w:ascii="宋体" w:cs="宋体"/>
          <w:color w:val="auto"/>
          <w:sz w:val="32"/>
          <w:szCs w:val="32"/>
          <w:highlight w:val="none"/>
          <w:lang w:bidi="ar-SA"/>
        </w:rPr>
        <w:t>（商务、技术响应证明材料）</w:t>
      </w:r>
    </w:p>
    <w:p w14:paraId="248E47FB">
      <w:pPr>
        <w:snapToGrid w:val="0"/>
        <w:spacing w:before="156" w:after="50"/>
        <w:ind w:firstLine="420" w:firstLineChars="150"/>
        <w:rPr>
          <w:rFonts w:hint="eastAsia" w:ascii="宋体" w:cs="宋体"/>
          <w:color w:val="auto"/>
          <w:sz w:val="28"/>
          <w:szCs w:val="28"/>
          <w:highlight w:val="none"/>
          <w:lang w:bidi="ar-SA"/>
        </w:rPr>
      </w:pPr>
    </w:p>
    <w:p w14:paraId="0787C82B">
      <w:pPr>
        <w:snapToGrid w:val="0"/>
        <w:spacing w:before="156" w:after="50"/>
        <w:ind w:firstLine="420" w:firstLineChars="150"/>
        <w:rPr>
          <w:rFonts w:hint="eastAsia" w:ascii="宋体" w:cs="宋体"/>
          <w:color w:val="auto"/>
          <w:sz w:val="28"/>
          <w:szCs w:val="28"/>
          <w:highlight w:val="none"/>
          <w:lang w:bidi="ar-SA"/>
        </w:rPr>
      </w:pPr>
    </w:p>
    <w:p w14:paraId="64AC9E29">
      <w:pPr>
        <w:snapToGrid w:val="0"/>
        <w:spacing w:before="156" w:after="50"/>
        <w:jc w:val="center"/>
        <w:rPr>
          <w:rFonts w:hint="eastAsia" w:ascii="宋体" w:eastAsia="宋体" w:cs="宋体"/>
          <w:color w:val="auto"/>
          <w:sz w:val="28"/>
          <w:szCs w:val="28"/>
          <w:highlight w:val="none"/>
          <w:lang w:eastAsia="zh-CN" w:bidi="ar-SA"/>
        </w:rPr>
      </w:pPr>
      <w:r>
        <w:rPr>
          <w:rFonts w:hint="eastAsia" w:ascii="宋体" w:cs="宋体"/>
          <w:color w:val="auto"/>
          <w:sz w:val="28"/>
          <w:szCs w:val="28"/>
          <w:highlight w:val="none"/>
          <w:lang w:bidi="ar-SA"/>
        </w:rPr>
        <w:t>项目名称：</w:t>
      </w:r>
      <w:r>
        <w:rPr>
          <w:rFonts w:hint="eastAsia" w:ascii="宋体" w:cs="宋体"/>
          <w:color w:val="auto"/>
          <w:sz w:val="28"/>
          <w:szCs w:val="28"/>
          <w:highlight w:val="none"/>
          <w:u w:val="single"/>
          <w:lang w:eastAsia="zh-CN" w:bidi="ar-SA"/>
        </w:rPr>
        <w:t>龙胜各族自治县平等镇平等小学塑胶操场</w:t>
      </w:r>
    </w:p>
    <w:p w14:paraId="12E4BE3E">
      <w:pPr>
        <w:snapToGrid w:val="0"/>
        <w:spacing w:before="156" w:after="50"/>
        <w:ind w:firstLine="1680" w:firstLineChars="600"/>
        <w:jc w:val="both"/>
        <w:rPr>
          <w:rFonts w:hint="eastAsia" w:ascii="宋体" w:eastAsia="宋体" w:cs="宋体"/>
          <w:color w:val="auto"/>
          <w:sz w:val="28"/>
          <w:szCs w:val="28"/>
          <w:highlight w:val="none"/>
          <w:u w:val="single"/>
          <w:lang w:eastAsia="zh-CN" w:bidi="ar-SA"/>
        </w:rPr>
      </w:pPr>
      <w:r>
        <w:rPr>
          <w:rFonts w:hint="eastAsia" w:ascii="宋体" w:cs="宋体"/>
          <w:color w:val="auto"/>
          <w:sz w:val="28"/>
          <w:szCs w:val="28"/>
          <w:highlight w:val="none"/>
          <w:lang w:bidi="ar-SA"/>
        </w:rPr>
        <w:t>项目编号：</w:t>
      </w:r>
      <w:r>
        <w:rPr>
          <w:rFonts w:hint="eastAsia" w:ascii="宋体" w:cs="宋体"/>
          <w:color w:val="auto"/>
          <w:sz w:val="28"/>
          <w:szCs w:val="28"/>
          <w:highlight w:val="none"/>
          <w:u w:val="single"/>
          <w:lang w:val="en-US" w:eastAsia="zh-CN" w:bidi="ar-SA"/>
        </w:rPr>
        <w:t xml:space="preserve"> GLZC2026-C2-280033-GXGX  </w:t>
      </w:r>
      <w:r>
        <w:rPr>
          <w:rFonts w:hint="eastAsia" w:ascii="宋体" w:cs="宋体"/>
          <w:color w:val="auto"/>
          <w:sz w:val="28"/>
          <w:szCs w:val="28"/>
          <w:highlight w:val="none"/>
          <w:u w:val="single"/>
          <w:lang w:bidi="ar-SA"/>
        </w:rPr>
        <w:t xml:space="preserve"> </w:t>
      </w:r>
      <w:r>
        <w:rPr>
          <w:rFonts w:hint="eastAsia" w:ascii="宋体" w:cs="宋体"/>
          <w:color w:val="auto"/>
          <w:sz w:val="28"/>
          <w:szCs w:val="28"/>
          <w:highlight w:val="none"/>
          <w:lang w:bidi="ar-SA"/>
        </w:rPr>
        <w:t xml:space="preserve">   </w:t>
      </w:r>
    </w:p>
    <w:p w14:paraId="47327A66">
      <w:pPr>
        <w:snapToGrid w:val="0"/>
        <w:spacing w:before="156" w:after="50"/>
        <w:ind w:firstLine="3220" w:firstLineChars="1150"/>
        <w:rPr>
          <w:rFonts w:hint="eastAsia" w:ascii="宋体" w:cs="宋体"/>
          <w:b/>
          <w:bCs/>
          <w:color w:val="auto"/>
          <w:highlight w:val="none"/>
          <w:lang w:bidi="ar-SA"/>
        </w:rPr>
      </w:pPr>
      <w:r>
        <w:rPr>
          <w:rFonts w:hint="eastAsia" w:ascii="宋体" w:cs="宋体"/>
          <w:color w:val="auto"/>
          <w:sz w:val="28"/>
          <w:szCs w:val="28"/>
          <w:highlight w:val="none"/>
          <w:lang w:bidi="ar-SA"/>
        </w:rPr>
        <w:t xml:space="preserve"> </w:t>
      </w:r>
    </w:p>
    <w:p w14:paraId="734D79F3">
      <w:pPr>
        <w:rPr>
          <w:rFonts w:hint="eastAsia" w:ascii="宋体" w:cs="宋体"/>
          <w:color w:val="auto"/>
          <w:highlight w:val="none"/>
          <w:lang w:bidi="ar-SA"/>
        </w:rPr>
      </w:pPr>
    </w:p>
    <w:p w14:paraId="1D7F80FA">
      <w:pPr>
        <w:spacing w:line="400" w:lineRule="exact"/>
        <w:rPr>
          <w:rFonts w:hint="eastAsia" w:ascii="宋体" w:cs="宋体"/>
          <w:color w:val="auto"/>
          <w:sz w:val="28"/>
          <w:szCs w:val="28"/>
          <w:highlight w:val="none"/>
          <w:lang w:bidi="ar-SA"/>
        </w:rPr>
      </w:pPr>
    </w:p>
    <w:p w14:paraId="4AA3BF73">
      <w:pPr>
        <w:spacing w:line="400" w:lineRule="exact"/>
        <w:ind w:firstLine="2693" w:firstLineChars="962"/>
        <w:rPr>
          <w:rFonts w:hint="eastAsia" w:ascii="宋体" w:cs="宋体"/>
          <w:color w:val="auto"/>
          <w:sz w:val="28"/>
          <w:szCs w:val="28"/>
          <w:highlight w:val="none"/>
          <w:lang w:bidi="ar-SA"/>
        </w:rPr>
      </w:pPr>
    </w:p>
    <w:p w14:paraId="36E421EF">
      <w:pPr>
        <w:snapToGrid w:val="0"/>
        <w:spacing w:before="156" w:after="50"/>
        <w:ind w:firstLine="1960" w:firstLineChars="700"/>
        <w:jc w:val="both"/>
        <w:rPr>
          <w:rFonts w:hint="eastAsia" w:ascii="宋体" w:eastAsia="宋体" w:cs="宋体"/>
          <w:color w:val="auto"/>
          <w:sz w:val="28"/>
          <w:szCs w:val="28"/>
          <w:highlight w:val="none"/>
          <w:u w:val="single"/>
          <w:lang w:eastAsia="zh-CN" w:bidi="ar-SA"/>
        </w:rPr>
      </w:pPr>
      <w:r>
        <w:rPr>
          <w:rFonts w:hint="eastAsia" w:ascii="宋体" w:cs="宋体"/>
          <w:color w:val="auto"/>
          <w:sz w:val="28"/>
          <w:szCs w:val="28"/>
          <w:highlight w:val="none"/>
          <w:lang w:bidi="ar-SA"/>
        </w:rPr>
        <w:t>采购代理机构：</w:t>
      </w:r>
      <w:r>
        <w:rPr>
          <w:rFonts w:hint="eastAsia" w:ascii="宋体" w:cs="宋体"/>
          <w:color w:val="auto"/>
          <w:sz w:val="28"/>
          <w:szCs w:val="28"/>
          <w:highlight w:val="none"/>
          <w:u w:val="single"/>
          <w:lang w:eastAsia="zh-CN" w:bidi="ar-SA"/>
        </w:rPr>
        <w:t>广西国兴项目管理有限公司</w:t>
      </w:r>
    </w:p>
    <w:p w14:paraId="2AF7B9F2">
      <w:pPr>
        <w:pStyle w:val="10"/>
        <w:spacing w:line="500" w:lineRule="exact"/>
        <w:ind w:firstLine="1820" w:firstLineChars="650"/>
        <w:rPr>
          <w:rFonts w:hint="eastAsia" w:ascii="宋体" w:eastAsia="宋体" w:cs="宋体"/>
          <w:bCs/>
          <w:color w:val="auto"/>
          <w:sz w:val="28"/>
          <w:szCs w:val="28"/>
          <w:highlight w:val="none"/>
          <w:u w:val="single"/>
          <w:lang w:bidi="ar-SA"/>
        </w:rPr>
      </w:pPr>
      <w:r>
        <w:rPr>
          <w:rFonts w:hint="eastAsia" w:ascii="宋体" w:eastAsia="宋体" w:cs="宋体"/>
          <w:bCs/>
          <w:color w:val="auto"/>
          <w:sz w:val="28"/>
          <w:szCs w:val="28"/>
          <w:highlight w:val="none"/>
          <w:lang w:bidi="ar-SA"/>
        </w:rPr>
        <w:t>供应商名称[公章(CA签章)、自然人除外]：</w:t>
      </w:r>
      <w:r>
        <w:rPr>
          <w:rFonts w:hint="eastAsia" w:ascii="宋体" w:eastAsia="宋体" w:cs="宋体"/>
          <w:bCs/>
          <w:color w:val="auto"/>
          <w:sz w:val="28"/>
          <w:szCs w:val="28"/>
          <w:highlight w:val="none"/>
          <w:u w:val="single"/>
          <w:lang w:bidi="ar-SA"/>
        </w:rPr>
        <w:t xml:space="preserve">  </w:t>
      </w:r>
    </w:p>
    <w:p w14:paraId="3469BC45">
      <w:pPr>
        <w:pStyle w:val="10"/>
        <w:spacing w:line="500" w:lineRule="exact"/>
        <w:ind w:firstLine="1820" w:firstLineChars="650"/>
        <w:rPr>
          <w:rFonts w:hint="eastAsia" w:ascii="宋体" w:eastAsia="宋体" w:cs="宋体"/>
          <w:bCs/>
          <w:color w:val="auto"/>
          <w:sz w:val="28"/>
          <w:szCs w:val="28"/>
          <w:highlight w:val="none"/>
          <w:u w:val="single"/>
          <w:lang w:bidi="ar-SA"/>
        </w:rPr>
      </w:pPr>
      <w:r>
        <w:rPr>
          <w:rFonts w:hint="eastAsia" w:ascii="宋体" w:eastAsia="宋体" w:cs="宋体"/>
          <w:bCs/>
          <w:color w:val="auto"/>
          <w:sz w:val="28"/>
          <w:szCs w:val="28"/>
          <w:highlight w:val="none"/>
          <w:u w:val="single"/>
          <w:lang w:val="en-US" w:eastAsia="zh-CN" w:bidi="ar-SA"/>
        </w:rPr>
        <w:t xml:space="preserve">              </w:t>
      </w:r>
      <w:r>
        <w:rPr>
          <w:rFonts w:hint="eastAsia" w:ascii="宋体" w:eastAsia="宋体" w:cs="宋体"/>
          <w:bCs/>
          <w:color w:val="auto"/>
          <w:sz w:val="28"/>
          <w:szCs w:val="28"/>
          <w:highlight w:val="none"/>
          <w:u w:val="single"/>
          <w:lang w:bidi="ar-SA"/>
        </w:rPr>
        <w:t xml:space="preserve">                          </w:t>
      </w:r>
    </w:p>
    <w:p w14:paraId="4D7BE208">
      <w:pPr>
        <w:pStyle w:val="10"/>
        <w:spacing w:line="500" w:lineRule="exact"/>
        <w:ind w:left="560" w:hanging="560" w:hangingChars="200"/>
        <w:rPr>
          <w:rFonts w:hint="eastAsia" w:ascii="宋体" w:eastAsia="宋体" w:cs="宋体"/>
          <w:bCs/>
          <w:color w:val="auto"/>
          <w:sz w:val="28"/>
          <w:szCs w:val="28"/>
          <w:highlight w:val="none"/>
          <w:u w:val="single"/>
          <w:lang w:bidi="ar-SA"/>
        </w:rPr>
      </w:pPr>
      <w:r>
        <w:rPr>
          <w:rFonts w:hint="eastAsia" w:ascii="宋体" w:eastAsia="宋体" w:cs="宋体"/>
          <w:bCs/>
          <w:color w:val="auto"/>
          <w:sz w:val="28"/>
          <w:szCs w:val="28"/>
          <w:highlight w:val="none"/>
          <w:lang w:bidi="ar-SA"/>
        </w:rPr>
        <w:t xml:space="preserve">             联系电话：</w:t>
      </w:r>
      <w:r>
        <w:rPr>
          <w:rFonts w:hint="eastAsia" w:ascii="宋体" w:eastAsia="宋体" w:cs="宋体"/>
          <w:bCs/>
          <w:color w:val="auto"/>
          <w:sz w:val="28"/>
          <w:szCs w:val="28"/>
          <w:highlight w:val="none"/>
          <w:u w:val="single"/>
          <w:lang w:bidi="ar-SA"/>
        </w:rPr>
        <w:t xml:space="preserve">                              </w:t>
      </w:r>
    </w:p>
    <w:p w14:paraId="32DEF5A4">
      <w:pPr>
        <w:pStyle w:val="10"/>
        <w:spacing w:line="500" w:lineRule="exact"/>
        <w:ind w:left="560" w:hanging="560" w:hangingChars="200"/>
        <w:rPr>
          <w:rFonts w:hint="eastAsia" w:ascii="宋体" w:eastAsia="宋体" w:cs="宋体"/>
          <w:color w:val="auto"/>
          <w:szCs w:val="32"/>
          <w:highlight w:val="none"/>
          <w:lang w:bidi="ar-SA"/>
        </w:rPr>
      </w:pPr>
      <w:r>
        <w:rPr>
          <w:rFonts w:hint="eastAsia" w:ascii="宋体" w:eastAsia="宋体" w:cs="宋体"/>
          <w:bCs/>
          <w:color w:val="auto"/>
          <w:sz w:val="28"/>
          <w:szCs w:val="28"/>
          <w:highlight w:val="none"/>
          <w:lang w:bidi="ar-SA"/>
        </w:rPr>
        <w:t xml:space="preserve">             日期：</w:t>
      </w:r>
      <w:r>
        <w:rPr>
          <w:rFonts w:hint="eastAsia" w:ascii="宋体" w:eastAsia="宋体" w:cs="宋体"/>
          <w:bCs/>
          <w:color w:val="auto"/>
          <w:sz w:val="28"/>
          <w:szCs w:val="28"/>
          <w:highlight w:val="none"/>
          <w:u w:val="single"/>
          <w:lang w:bidi="ar-SA"/>
        </w:rPr>
        <w:t xml:space="preserve">      </w:t>
      </w:r>
      <w:r>
        <w:rPr>
          <w:rFonts w:hint="eastAsia" w:ascii="宋体" w:eastAsia="宋体" w:cs="宋体"/>
          <w:bCs/>
          <w:color w:val="auto"/>
          <w:sz w:val="28"/>
          <w:szCs w:val="28"/>
          <w:highlight w:val="none"/>
          <w:lang w:bidi="ar-SA"/>
        </w:rPr>
        <w:t>年</w:t>
      </w:r>
      <w:r>
        <w:rPr>
          <w:rFonts w:hint="eastAsia" w:ascii="宋体" w:eastAsia="宋体" w:cs="宋体"/>
          <w:bCs/>
          <w:color w:val="auto"/>
          <w:sz w:val="28"/>
          <w:szCs w:val="28"/>
          <w:highlight w:val="none"/>
          <w:u w:val="single"/>
          <w:lang w:bidi="ar-SA"/>
        </w:rPr>
        <w:t xml:space="preserve">       </w:t>
      </w:r>
      <w:r>
        <w:rPr>
          <w:rFonts w:hint="eastAsia" w:ascii="宋体" w:eastAsia="宋体" w:cs="宋体"/>
          <w:bCs/>
          <w:color w:val="auto"/>
          <w:sz w:val="28"/>
          <w:szCs w:val="28"/>
          <w:highlight w:val="none"/>
          <w:lang w:bidi="ar-SA"/>
        </w:rPr>
        <w:t>月</w:t>
      </w:r>
      <w:r>
        <w:rPr>
          <w:rFonts w:hint="eastAsia" w:ascii="宋体" w:eastAsia="宋体" w:cs="宋体"/>
          <w:bCs/>
          <w:color w:val="auto"/>
          <w:sz w:val="28"/>
          <w:szCs w:val="28"/>
          <w:highlight w:val="none"/>
          <w:u w:val="single"/>
          <w:lang w:bidi="ar-SA"/>
        </w:rPr>
        <w:t xml:space="preserve">        </w:t>
      </w:r>
      <w:r>
        <w:rPr>
          <w:rFonts w:hint="eastAsia" w:ascii="宋体" w:eastAsia="宋体" w:cs="宋体"/>
          <w:bCs/>
          <w:color w:val="auto"/>
          <w:sz w:val="28"/>
          <w:szCs w:val="28"/>
          <w:highlight w:val="none"/>
          <w:lang w:bidi="ar-SA"/>
        </w:rPr>
        <w:t>日</w:t>
      </w:r>
    </w:p>
    <w:p w14:paraId="15CE8BEA">
      <w:pPr>
        <w:pStyle w:val="12"/>
        <w:spacing w:line="520" w:lineRule="exact"/>
        <w:rPr>
          <w:rFonts w:hint="eastAsia"/>
          <w:b/>
          <w:color w:val="auto"/>
          <w:sz w:val="30"/>
          <w:szCs w:val="30"/>
          <w:highlight w:val="none"/>
        </w:rPr>
      </w:pPr>
    </w:p>
    <w:p w14:paraId="5DAC1D6E">
      <w:pPr>
        <w:spacing w:line="520" w:lineRule="exact"/>
        <w:rPr>
          <w:rFonts w:hint="eastAsia" w:ascii="宋体"/>
          <w:b/>
          <w:color w:val="auto"/>
          <w:sz w:val="28"/>
          <w:szCs w:val="28"/>
          <w:highlight w:val="none"/>
        </w:rPr>
      </w:pPr>
    </w:p>
    <w:p w14:paraId="65895780">
      <w:pPr>
        <w:spacing w:line="520" w:lineRule="exact"/>
        <w:jc w:val="center"/>
        <w:rPr>
          <w:rFonts w:hint="eastAsia" w:ascii="宋体"/>
          <w:b/>
          <w:color w:val="auto"/>
          <w:sz w:val="28"/>
          <w:szCs w:val="28"/>
          <w:highlight w:val="none"/>
        </w:rPr>
      </w:pPr>
    </w:p>
    <w:p w14:paraId="7D3804C0">
      <w:pPr>
        <w:spacing w:line="520" w:lineRule="exact"/>
        <w:jc w:val="center"/>
        <w:rPr>
          <w:rFonts w:hint="eastAsia" w:ascii="宋体"/>
          <w:b/>
          <w:color w:val="auto"/>
          <w:sz w:val="28"/>
          <w:szCs w:val="28"/>
          <w:highlight w:val="none"/>
        </w:rPr>
      </w:pPr>
    </w:p>
    <w:p w14:paraId="4AD5B8EA">
      <w:pPr>
        <w:spacing w:line="520" w:lineRule="exact"/>
        <w:jc w:val="center"/>
        <w:rPr>
          <w:rFonts w:hint="eastAsia" w:ascii="宋体"/>
          <w:b/>
          <w:color w:val="auto"/>
          <w:sz w:val="36"/>
          <w:szCs w:val="36"/>
          <w:highlight w:val="none"/>
        </w:rPr>
      </w:pPr>
      <w:r>
        <w:rPr>
          <w:rFonts w:hint="eastAsia" w:ascii="宋体"/>
          <w:b/>
          <w:color w:val="auto"/>
          <w:sz w:val="36"/>
          <w:szCs w:val="36"/>
          <w:highlight w:val="none"/>
        </w:rPr>
        <w:t>目录</w:t>
      </w:r>
    </w:p>
    <w:p w14:paraId="60249B6A">
      <w:pPr>
        <w:spacing w:line="400" w:lineRule="exact"/>
        <w:ind w:firstLine="480" w:firstLineChars="200"/>
        <w:rPr>
          <w:rFonts w:hint="eastAsia" w:ascii="宋体"/>
          <w:color w:val="auto"/>
          <w:sz w:val="24"/>
          <w:highlight w:val="none"/>
        </w:rPr>
      </w:pPr>
    </w:p>
    <w:p w14:paraId="4E0275D8">
      <w:pPr>
        <w:spacing w:line="360" w:lineRule="auto"/>
        <w:ind w:right="420"/>
        <w:jc w:val="center"/>
        <w:rPr>
          <w:rFonts w:hint="eastAsia" w:ascii="宋体" w:cs="宋体"/>
          <w:b/>
          <w:color w:val="auto"/>
          <w:kern w:val="0"/>
          <w:sz w:val="36"/>
          <w:szCs w:val="36"/>
          <w:highlight w:val="none"/>
          <w:lang w:bidi="ar-SA"/>
        </w:rPr>
      </w:pPr>
      <w:r>
        <w:rPr>
          <w:rFonts w:hint="eastAsia" w:ascii="宋体" w:cs="宋体"/>
          <w:color w:val="auto"/>
          <w:kern w:val="0"/>
          <w:sz w:val="24"/>
          <w:highlight w:val="none"/>
          <w:lang w:bidi="ar-SA"/>
        </w:rPr>
        <w:t>根据竞争性磋商文件规定及供应商提供的材料自行编写目录（部分格式后附）。</w:t>
      </w:r>
    </w:p>
    <w:p w14:paraId="23DA4B78">
      <w:pPr>
        <w:spacing w:line="440" w:lineRule="atLeast"/>
        <w:rPr>
          <w:rFonts w:hint="eastAsia" w:ascii="宋体"/>
          <w:b/>
          <w:color w:val="auto"/>
          <w:sz w:val="30"/>
          <w:szCs w:val="30"/>
          <w:highlight w:val="none"/>
        </w:rPr>
      </w:pPr>
    </w:p>
    <w:p w14:paraId="0AC381D2">
      <w:pPr>
        <w:spacing w:line="520" w:lineRule="exact"/>
        <w:jc w:val="center"/>
        <w:rPr>
          <w:rFonts w:hint="eastAsia" w:ascii="宋体"/>
          <w:b/>
          <w:color w:val="auto"/>
          <w:sz w:val="32"/>
          <w:szCs w:val="32"/>
          <w:highlight w:val="none"/>
        </w:rPr>
      </w:pPr>
    </w:p>
    <w:p w14:paraId="33C2F221">
      <w:pPr>
        <w:spacing w:line="520" w:lineRule="exact"/>
        <w:jc w:val="center"/>
        <w:rPr>
          <w:rFonts w:hint="eastAsia" w:ascii="宋体"/>
          <w:b/>
          <w:color w:val="auto"/>
          <w:sz w:val="32"/>
          <w:szCs w:val="32"/>
          <w:highlight w:val="none"/>
        </w:rPr>
      </w:pPr>
    </w:p>
    <w:p w14:paraId="59135C73">
      <w:pPr>
        <w:spacing w:line="520" w:lineRule="exact"/>
        <w:jc w:val="center"/>
        <w:rPr>
          <w:rFonts w:hint="eastAsia" w:ascii="宋体"/>
          <w:b/>
          <w:color w:val="auto"/>
          <w:sz w:val="32"/>
          <w:szCs w:val="32"/>
          <w:highlight w:val="none"/>
        </w:rPr>
      </w:pPr>
    </w:p>
    <w:p w14:paraId="4E16CF45">
      <w:pPr>
        <w:spacing w:line="520" w:lineRule="exact"/>
        <w:jc w:val="center"/>
        <w:rPr>
          <w:rFonts w:hint="eastAsia" w:ascii="宋体"/>
          <w:b/>
          <w:color w:val="auto"/>
          <w:sz w:val="32"/>
          <w:szCs w:val="32"/>
          <w:highlight w:val="none"/>
        </w:rPr>
      </w:pPr>
    </w:p>
    <w:p w14:paraId="0608AFF4">
      <w:pPr>
        <w:spacing w:line="520" w:lineRule="exact"/>
        <w:jc w:val="center"/>
        <w:rPr>
          <w:rFonts w:hint="eastAsia" w:ascii="宋体"/>
          <w:b/>
          <w:color w:val="auto"/>
          <w:sz w:val="32"/>
          <w:szCs w:val="32"/>
          <w:highlight w:val="none"/>
        </w:rPr>
      </w:pPr>
    </w:p>
    <w:p w14:paraId="6186D88C">
      <w:pPr>
        <w:spacing w:line="520" w:lineRule="exact"/>
        <w:jc w:val="center"/>
        <w:rPr>
          <w:rFonts w:hint="eastAsia" w:ascii="宋体"/>
          <w:b/>
          <w:color w:val="auto"/>
          <w:sz w:val="32"/>
          <w:szCs w:val="32"/>
          <w:highlight w:val="none"/>
        </w:rPr>
      </w:pPr>
    </w:p>
    <w:p w14:paraId="7D8E4E51">
      <w:pPr>
        <w:spacing w:line="520" w:lineRule="exact"/>
        <w:jc w:val="center"/>
        <w:rPr>
          <w:rFonts w:hint="eastAsia" w:ascii="宋体"/>
          <w:b/>
          <w:color w:val="auto"/>
          <w:sz w:val="32"/>
          <w:szCs w:val="32"/>
          <w:highlight w:val="none"/>
        </w:rPr>
      </w:pPr>
    </w:p>
    <w:p w14:paraId="026D1B9E">
      <w:pPr>
        <w:spacing w:line="520" w:lineRule="exact"/>
        <w:jc w:val="center"/>
        <w:rPr>
          <w:rFonts w:hint="eastAsia" w:ascii="宋体"/>
          <w:b/>
          <w:color w:val="auto"/>
          <w:sz w:val="32"/>
          <w:szCs w:val="32"/>
          <w:highlight w:val="none"/>
        </w:rPr>
      </w:pPr>
    </w:p>
    <w:p w14:paraId="1004B5F7">
      <w:pPr>
        <w:spacing w:line="520" w:lineRule="exact"/>
        <w:jc w:val="center"/>
        <w:rPr>
          <w:rFonts w:hint="eastAsia" w:ascii="宋体"/>
          <w:b/>
          <w:color w:val="auto"/>
          <w:sz w:val="32"/>
          <w:szCs w:val="32"/>
          <w:highlight w:val="none"/>
        </w:rPr>
      </w:pPr>
    </w:p>
    <w:p w14:paraId="3037A488">
      <w:pPr>
        <w:spacing w:line="520" w:lineRule="exact"/>
        <w:jc w:val="center"/>
        <w:rPr>
          <w:rFonts w:hint="eastAsia" w:ascii="宋体"/>
          <w:b/>
          <w:color w:val="auto"/>
          <w:sz w:val="32"/>
          <w:szCs w:val="32"/>
          <w:highlight w:val="none"/>
        </w:rPr>
      </w:pPr>
    </w:p>
    <w:p w14:paraId="346C9664">
      <w:pPr>
        <w:spacing w:line="520" w:lineRule="exact"/>
        <w:jc w:val="center"/>
        <w:rPr>
          <w:rFonts w:hint="eastAsia" w:ascii="宋体"/>
          <w:b/>
          <w:color w:val="auto"/>
          <w:sz w:val="32"/>
          <w:szCs w:val="32"/>
          <w:highlight w:val="none"/>
        </w:rPr>
      </w:pPr>
    </w:p>
    <w:p w14:paraId="77BF8A67">
      <w:pPr>
        <w:spacing w:line="520" w:lineRule="exact"/>
        <w:jc w:val="center"/>
        <w:rPr>
          <w:rFonts w:hint="eastAsia" w:ascii="宋体"/>
          <w:b/>
          <w:color w:val="auto"/>
          <w:sz w:val="32"/>
          <w:szCs w:val="32"/>
          <w:highlight w:val="none"/>
        </w:rPr>
      </w:pPr>
    </w:p>
    <w:p w14:paraId="7F8CEED6">
      <w:pPr>
        <w:spacing w:line="520" w:lineRule="exact"/>
        <w:jc w:val="center"/>
        <w:rPr>
          <w:rFonts w:hint="eastAsia" w:ascii="宋体"/>
          <w:b/>
          <w:color w:val="auto"/>
          <w:sz w:val="32"/>
          <w:szCs w:val="32"/>
          <w:highlight w:val="none"/>
        </w:rPr>
      </w:pPr>
    </w:p>
    <w:p w14:paraId="19013FA6">
      <w:pPr>
        <w:spacing w:line="520" w:lineRule="exact"/>
        <w:jc w:val="center"/>
        <w:rPr>
          <w:rFonts w:hint="eastAsia" w:ascii="宋体"/>
          <w:b/>
          <w:color w:val="auto"/>
          <w:sz w:val="32"/>
          <w:szCs w:val="32"/>
          <w:highlight w:val="none"/>
        </w:rPr>
      </w:pPr>
    </w:p>
    <w:p w14:paraId="0B629088">
      <w:pPr>
        <w:spacing w:line="520" w:lineRule="exact"/>
        <w:jc w:val="center"/>
        <w:rPr>
          <w:rFonts w:hint="eastAsia" w:ascii="宋体"/>
          <w:b/>
          <w:color w:val="auto"/>
          <w:sz w:val="32"/>
          <w:szCs w:val="32"/>
          <w:highlight w:val="none"/>
        </w:rPr>
      </w:pPr>
    </w:p>
    <w:p w14:paraId="5F74BEDF">
      <w:pPr>
        <w:spacing w:line="520" w:lineRule="exact"/>
        <w:jc w:val="center"/>
        <w:rPr>
          <w:rFonts w:hint="eastAsia" w:ascii="宋体"/>
          <w:b/>
          <w:color w:val="auto"/>
          <w:sz w:val="32"/>
          <w:szCs w:val="32"/>
          <w:highlight w:val="none"/>
        </w:rPr>
      </w:pPr>
    </w:p>
    <w:p w14:paraId="5664FC5C">
      <w:pPr>
        <w:spacing w:line="520" w:lineRule="exact"/>
        <w:jc w:val="center"/>
        <w:rPr>
          <w:rFonts w:hint="eastAsia" w:ascii="宋体"/>
          <w:b/>
          <w:color w:val="auto"/>
          <w:sz w:val="32"/>
          <w:szCs w:val="32"/>
          <w:highlight w:val="none"/>
        </w:rPr>
      </w:pPr>
    </w:p>
    <w:p w14:paraId="0937C2C0">
      <w:pPr>
        <w:spacing w:line="520" w:lineRule="exact"/>
        <w:jc w:val="center"/>
        <w:rPr>
          <w:rFonts w:hint="eastAsia" w:ascii="宋体"/>
          <w:b/>
          <w:color w:val="auto"/>
          <w:sz w:val="32"/>
          <w:szCs w:val="32"/>
          <w:highlight w:val="none"/>
        </w:rPr>
      </w:pPr>
    </w:p>
    <w:p w14:paraId="0510D503">
      <w:pPr>
        <w:spacing w:line="520" w:lineRule="exact"/>
        <w:jc w:val="center"/>
        <w:rPr>
          <w:rFonts w:hint="eastAsia" w:ascii="宋体"/>
          <w:b/>
          <w:color w:val="auto"/>
          <w:sz w:val="32"/>
          <w:szCs w:val="32"/>
          <w:highlight w:val="none"/>
        </w:rPr>
      </w:pPr>
    </w:p>
    <w:p w14:paraId="2667A031">
      <w:pPr>
        <w:pStyle w:val="7"/>
        <w:ind w:firstLine="0"/>
        <w:rPr>
          <w:rFonts w:hint="eastAsia" w:ascii="宋体"/>
          <w:b/>
          <w:color w:val="auto"/>
          <w:sz w:val="28"/>
          <w:szCs w:val="28"/>
          <w:highlight w:val="none"/>
        </w:rPr>
      </w:pPr>
      <w:bookmarkStart w:id="734" w:name="_Toc418751897"/>
      <w:bookmarkStart w:id="735" w:name="_Toc418752343"/>
    </w:p>
    <w:p w14:paraId="6985B1F7">
      <w:pPr>
        <w:pStyle w:val="7"/>
        <w:ind w:firstLine="0"/>
        <w:rPr>
          <w:rFonts w:hint="eastAsia" w:ascii="宋体"/>
          <w:b/>
          <w:color w:val="auto"/>
          <w:sz w:val="28"/>
          <w:szCs w:val="28"/>
          <w:highlight w:val="none"/>
        </w:rPr>
      </w:pPr>
    </w:p>
    <w:p w14:paraId="3EC2CE61">
      <w:pPr>
        <w:ind w:firstLine="562" w:firstLineChars="200"/>
        <w:rPr>
          <w:rFonts w:hint="eastAsia" w:ascii="宋体"/>
          <w:b/>
          <w:color w:val="auto"/>
          <w:sz w:val="28"/>
          <w:szCs w:val="28"/>
          <w:highlight w:val="none"/>
        </w:rPr>
      </w:pPr>
      <w:r>
        <w:rPr>
          <w:rFonts w:hint="eastAsia" w:ascii="宋体"/>
          <w:b/>
          <w:color w:val="auto"/>
          <w:sz w:val="28"/>
          <w:szCs w:val="28"/>
          <w:highlight w:val="none"/>
        </w:rPr>
        <w:br w:type="page"/>
      </w:r>
      <w:r>
        <w:rPr>
          <w:rFonts w:hint="eastAsia" w:ascii="宋体"/>
          <w:b/>
          <w:color w:val="auto"/>
          <w:sz w:val="28"/>
          <w:szCs w:val="28"/>
          <w:highlight w:val="none"/>
        </w:rPr>
        <w:t>1.响应函及响应函附录</w:t>
      </w:r>
      <w:bookmarkEnd w:id="734"/>
      <w:bookmarkEnd w:id="735"/>
      <w:r>
        <w:rPr>
          <w:rFonts w:hint="eastAsia" w:ascii="宋体"/>
          <w:b/>
          <w:color w:val="auto"/>
          <w:sz w:val="28"/>
          <w:szCs w:val="28"/>
          <w:highlight w:val="none"/>
        </w:rPr>
        <w:t>（必须提供）；</w:t>
      </w:r>
    </w:p>
    <w:p w14:paraId="4C607D57">
      <w:pPr>
        <w:ind w:firstLine="480" w:firstLineChars="200"/>
        <w:rPr>
          <w:rFonts w:hint="eastAsia" w:ascii="宋体"/>
          <w:color w:val="auto"/>
          <w:sz w:val="24"/>
          <w:highlight w:val="none"/>
        </w:rPr>
      </w:pPr>
      <w:r>
        <w:rPr>
          <w:rFonts w:hint="eastAsia" w:ascii="宋体"/>
          <w:color w:val="auto"/>
          <w:sz w:val="24"/>
          <w:highlight w:val="none"/>
        </w:rPr>
        <w:t>附件</w:t>
      </w:r>
    </w:p>
    <w:p w14:paraId="1C2A431A">
      <w:pPr>
        <w:pStyle w:val="49"/>
        <w:jc w:val="center"/>
        <w:outlineLvl w:val="9"/>
        <w:rPr>
          <w:rFonts w:hint="eastAsia" w:ascii="宋体"/>
          <w:b/>
          <w:color w:val="auto"/>
          <w:sz w:val="28"/>
          <w:szCs w:val="28"/>
          <w:highlight w:val="none"/>
        </w:rPr>
      </w:pPr>
      <w:bookmarkStart w:id="736" w:name="_Toc418751898"/>
      <w:bookmarkStart w:id="737" w:name="_Toc483317220"/>
      <w:bookmarkStart w:id="738" w:name="_Toc418752344"/>
      <w:r>
        <w:rPr>
          <w:rFonts w:hint="eastAsia" w:ascii="宋体"/>
          <w:b/>
          <w:color w:val="auto"/>
          <w:sz w:val="28"/>
          <w:szCs w:val="28"/>
          <w:highlight w:val="none"/>
        </w:rPr>
        <w:t>1.1</w:t>
      </w:r>
      <w:bookmarkEnd w:id="736"/>
      <w:bookmarkEnd w:id="737"/>
      <w:bookmarkEnd w:id="738"/>
      <w:r>
        <w:rPr>
          <w:rFonts w:hint="eastAsia" w:ascii="宋体"/>
          <w:b/>
          <w:color w:val="auto"/>
          <w:sz w:val="28"/>
          <w:szCs w:val="28"/>
          <w:highlight w:val="none"/>
        </w:rPr>
        <w:t>响应函</w:t>
      </w:r>
    </w:p>
    <w:p w14:paraId="6FA3BBF0">
      <w:pPr>
        <w:pStyle w:val="12"/>
        <w:spacing w:line="360" w:lineRule="exact"/>
        <w:rPr>
          <w:rFonts w:hint="eastAsia"/>
          <w:color w:val="auto"/>
          <w:highlight w:val="none"/>
        </w:rPr>
      </w:pPr>
      <w:r>
        <w:rPr>
          <w:rFonts w:hint="eastAsia"/>
          <w:color w:val="auto"/>
          <w:highlight w:val="none"/>
          <w:u w:val="single"/>
          <w:lang w:eastAsia="zh-CN"/>
        </w:rPr>
        <w:t>广西国兴项目管理有限公司</w:t>
      </w:r>
      <w:r>
        <w:rPr>
          <w:rFonts w:hint="eastAsia"/>
          <w:color w:val="auto"/>
          <w:highlight w:val="none"/>
        </w:rPr>
        <w:t>：</w:t>
      </w:r>
    </w:p>
    <w:p w14:paraId="13015B1E">
      <w:pPr>
        <w:pStyle w:val="12"/>
        <w:spacing w:line="360" w:lineRule="exact"/>
        <w:ind w:firstLine="480"/>
        <w:rPr>
          <w:rFonts w:hint="eastAsia"/>
          <w:color w:val="auto"/>
          <w:highlight w:val="none"/>
        </w:rPr>
      </w:pPr>
      <w:r>
        <w:rPr>
          <w:rFonts w:hint="eastAsia"/>
          <w:color w:val="auto"/>
          <w:highlight w:val="none"/>
        </w:rPr>
        <w:t>依据贵方</w:t>
      </w:r>
      <w:r>
        <w:rPr>
          <w:rFonts w:hint="eastAsia"/>
          <w:color w:val="auto"/>
          <w:highlight w:val="none"/>
          <w:u w:val="single"/>
        </w:rPr>
        <w:t>（项目名称/项目编号）</w:t>
      </w:r>
      <w:r>
        <w:rPr>
          <w:rFonts w:hint="eastAsia"/>
          <w:color w:val="auto"/>
          <w:highlight w:val="none"/>
        </w:rPr>
        <w:t>项目政府采购的磋商文件要求，我方</w:t>
      </w:r>
      <w:r>
        <w:rPr>
          <w:rFonts w:hint="eastAsia"/>
          <w:color w:val="auto"/>
          <w:highlight w:val="none"/>
          <w:u w:val="single"/>
        </w:rPr>
        <w:t>（姓名和职务）</w:t>
      </w:r>
      <w:r>
        <w:rPr>
          <w:rFonts w:hint="eastAsia"/>
          <w:color w:val="auto"/>
          <w:highlight w:val="none"/>
        </w:rPr>
        <w:t>经正式授权并代表本单位</w:t>
      </w:r>
      <w:r>
        <w:rPr>
          <w:rFonts w:hint="eastAsia"/>
          <w:color w:val="auto"/>
          <w:highlight w:val="none"/>
          <w:u w:val="single"/>
        </w:rPr>
        <w:t>（磋商供应商名称）</w:t>
      </w:r>
      <w:r>
        <w:rPr>
          <w:rFonts w:hint="eastAsia"/>
          <w:color w:val="auto"/>
          <w:highlight w:val="none"/>
        </w:rPr>
        <w:t>，在“广西政府采购云平台”平台线上提交电子响应文件一份。</w:t>
      </w:r>
    </w:p>
    <w:p w14:paraId="77CDFB9E">
      <w:pPr>
        <w:tabs>
          <w:tab w:val="left" w:pos="7560"/>
        </w:tabs>
        <w:spacing w:line="360" w:lineRule="exact"/>
        <w:ind w:firstLine="442"/>
        <w:rPr>
          <w:rFonts w:hint="eastAsia" w:ascii="宋体"/>
          <w:color w:val="auto"/>
          <w:highlight w:val="none"/>
        </w:rPr>
      </w:pPr>
      <w:r>
        <w:rPr>
          <w:rFonts w:hint="eastAsia" w:ascii="宋体"/>
          <w:color w:val="auto"/>
          <w:highlight w:val="none"/>
        </w:rPr>
        <w:t>据此函，签字代表宣布同意如下：</w:t>
      </w:r>
    </w:p>
    <w:p w14:paraId="2166D013">
      <w:pPr>
        <w:tabs>
          <w:tab w:val="left" w:pos="7560"/>
        </w:tabs>
        <w:spacing w:line="360" w:lineRule="exact"/>
        <w:ind w:firstLine="442"/>
        <w:rPr>
          <w:rFonts w:hint="eastAsia" w:ascii="宋体"/>
          <w:color w:val="auto"/>
          <w:highlight w:val="none"/>
        </w:rPr>
      </w:pPr>
      <w:r>
        <w:rPr>
          <w:rFonts w:hint="eastAsia" w:ascii="宋体"/>
          <w:color w:val="auto"/>
          <w:highlight w:val="none"/>
        </w:rPr>
        <w:t>1.经我方仔细研究磋商文件全部内容，</w:t>
      </w:r>
      <w:r>
        <w:rPr>
          <w:rFonts w:hint="eastAsia" w:ascii="宋体"/>
          <w:color w:val="auto"/>
          <w:szCs w:val="21"/>
          <w:highlight w:val="none"/>
        </w:rPr>
        <w:t>愿意以磋商总报价（人民币）（大写）</w:t>
      </w:r>
      <w:r>
        <w:rPr>
          <w:rFonts w:hint="eastAsia" w:ascii="宋体"/>
          <w:color w:val="auto"/>
          <w:szCs w:val="21"/>
          <w:highlight w:val="none"/>
          <w:u w:val="single"/>
        </w:rPr>
        <w:t xml:space="preserve">            </w:t>
      </w:r>
      <w:r>
        <w:rPr>
          <w:rFonts w:hint="eastAsia" w:ascii="宋体"/>
          <w:color w:val="auto"/>
          <w:szCs w:val="21"/>
          <w:highlight w:val="none"/>
        </w:rPr>
        <w:t>元(￥</w:t>
      </w:r>
      <w:r>
        <w:rPr>
          <w:rFonts w:hint="eastAsia" w:ascii="宋体"/>
          <w:color w:val="auto"/>
          <w:szCs w:val="21"/>
          <w:highlight w:val="none"/>
          <w:u w:val="single"/>
        </w:rPr>
        <w:t xml:space="preserve">      </w:t>
      </w:r>
      <w:r>
        <w:rPr>
          <w:rFonts w:hint="eastAsia" w:ascii="宋体"/>
          <w:color w:val="auto"/>
          <w:szCs w:val="21"/>
          <w:highlight w:val="none"/>
        </w:rPr>
        <w:t>元</w:t>
      </w:r>
      <w:r>
        <w:rPr>
          <w:rFonts w:hint="eastAsia" w:ascii="宋体"/>
          <w:b/>
          <w:bCs/>
          <w:color w:val="auto"/>
          <w:szCs w:val="21"/>
          <w:highlight w:val="none"/>
        </w:rPr>
        <w:t>，</w:t>
      </w:r>
      <w:r>
        <w:rPr>
          <w:rFonts w:hint="eastAsia" w:ascii="宋体"/>
          <w:color w:val="auto"/>
          <w:szCs w:val="21"/>
          <w:highlight w:val="none"/>
        </w:rPr>
        <w:t>并按本项目图纸、合同条款、工程建设标准和工程量清单（如有时）的条件要求承包上述工程的施工、竣工，并承担任何质量缺陷保修责任。我方保证工程质量达到</w:t>
      </w:r>
      <w:r>
        <w:rPr>
          <w:rFonts w:hint="eastAsia" w:ascii="宋体"/>
          <w:color w:val="auto"/>
          <w:szCs w:val="21"/>
          <w:highlight w:val="none"/>
          <w:u w:val="single"/>
        </w:rPr>
        <w:t xml:space="preserve">          </w:t>
      </w:r>
      <w:r>
        <w:rPr>
          <w:rFonts w:hint="eastAsia" w:ascii="宋体"/>
          <w:color w:val="auto"/>
          <w:szCs w:val="21"/>
          <w:highlight w:val="none"/>
        </w:rPr>
        <w:t>标准，</w:t>
      </w:r>
      <w:r>
        <w:rPr>
          <w:rFonts w:hint="eastAsia" w:ascii="宋体"/>
          <w:color w:val="auto"/>
          <w:highlight w:val="none"/>
        </w:rPr>
        <w:t>按合同书中规定的工期</w:t>
      </w:r>
      <w:r>
        <w:rPr>
          <w:rFonts w:hint="eastAsia" w:ascii="宋体"/>
          <w:color w:val="auto"/>
          <w:highlight w:val="none"/>
          <w:u w:val="single"/>
        </w:rPr>
        <w:t xml:space="preserve"> （工期）  </w:t>
      </w:r>
      <w:r>
        <w:rPr>
          <w:rFonts w:hint="eastAsia" w:ascii="宋体"/>
          <w:color w:val="auto"/>
          <w:highlight w:val="none"/>
        </w:rPr>
        <w:t>完成并移交全部工程。</w:t>
      </w:r>
    </w:p>
    <w:p w14:paraId="6D5F67E2">
      <w:pPr>
        <w:spacing w:line="360" w:lineRule="exact"/>
        <w:ind w:firstLine="442"/>
        <w:rPr>
          <w:rFonts w:hint="eastAsia" w:ascii="宋体"/>
          <w:color w:val="auto"/>
          <w:highlight w:val="none"/>
        </w:rPr>
      </w:pPr>
      <w:r>
        <w:rPr>
          <w:rFonts w:hint="eastAsia" w:ascii="宋体"/>
          <w:color w:val="auto"/>
          <w:highlight w:val="none"/>
        </w:rPr>
        <w:t>2.我方已详细审核全部磋商文件，包括修改文件（如有时）及有关附件，将自行承担因对全部磋商文件理解不正确或误解而产生的相应后果。</w:t>
      </w:r>
    </w:p>
    <w:p w14:paraId="16DEE585">
      <w:pPr>
        <w:spacing w:line="360" w:lineRule="exact"/>
        <w:ind w:firstLine="442"/>
        <w:rPr>
          <w:rFonts w:hint="eastAsia" w:ascii="宋体"/>
          <w:color w:val="auto"/>
          <w:highlight w:val="none"/>
        </w:rPr>
      </w:pPr>
      <w:r>
        <w:rPr>
          <w:rFonts w:hint="eastAsia" w:ascii="宋体"/>
          <w:color w:val="auto"/>
          <w:highlight w:val="none"/>
        </w:rPr>
        <w:t>3.我方承认响应函附录是我方响应函的组成部分。</w:t>
      </w:r>
    </w:p>
    <w:p w14:paraId="6FDCAD2D">
      <w:pPr>
        <w:spacing w:line="360" w:lineRule="exact"/>
        <w:ind w:firstLine="442"/>
        <w:rPr>
          <w:rFonts w:hint="eastAsia" w:ascii="宋体"/>
          <w:color w:val="auto"/>
          <w:highlight w:val="none"/>
        </w:rPr>
      </w:pPr>
      <w:r>
        <w:rPr>
          <w:rFonts w:hint="eastAsia" w:ascii="宋体"/>
          <w:color w:val="auto"/>
          <w:highlight w:val="none"/>
        </w:rPr>
        <w:t>4.响应文件有效期：</w:t>
      </w:r>
      <w:r>
        <w:rPr>
          <w:rFonts w:hint="eastAsia" w:ascii="宋体"/>
          <w:color w:val="auto"/>
          <w:szCs w:val="21"/>
          <w:highlight w:val="none"/>
        </w:rPr>
        <w:t>响应文件递交截止日期后</w:t>
      </w:r>
      <w:r>
        <w:rPr>
          <w:rFonts w:hint="eastAsia" w:ascii="宋体"/>
          <w:color w:val="auto"/>
          <w:szCs w:val="21"/>
          <w:highlight w:val="none"/>
          <w:u w:val="single"/>
        </w:rPr>
        <w:t>90</w:t>
      </w:r>
      <w:r>
        <w:rPr>
          <w:rFonts w:hint="eastAsia" w:ascii="宋体"/>
          <w:color w:val="auto"/>
          <w:szCs w:val="21"/>
          <w:highlight w:val="none"/>
        </w:rPr>
        <w:t>日</w:t>
      </w:r>
      <w:r>
        <w:rPr>
          <w:rFonts w:hint="eastAsia" w:ascii="宋体"/>
          <w:color w:val="auto"/>
          <w:highlight w:val="none"/>
        </w:rPr>
        <w:t>，在此期间内如果成交，我方将受此约束。</w:t>
      </w:r>
    </w:p>
    <w:p w14:paraId="498297F5">
      <w:pPr>
        <w:spacing w:line="360" w:lineRule="exact"/>
        <w:ind w:firstLine="420" w:firstLineChars="200"/>
        <w:rPr>
          <w:rFonts w:hint="eastAsia" w:ascii="宋体"/>
          <w:color w:val="auto"/>
          <w:highlight w:val="none"/>
        </w:rPr>
      </w:pPr>
      <w:r>
        <w:rPr>
          <w:rFonts w:hint="eastAsia" w:ascii="宋体"/>
          <w:color w:val="auto"/>
          <w:highlight w:val="none"/>
        </w:rPr>
        <w:t>5.如我方成交:</w:t>
      </w:r>
    </w:p>
    <w:p w14:paraId="299E00DB">
      <w:pPr>
        <w:spacing w:line="360" w:lineRule="exact"/>
        <w:ind w:firstLine="630" w:firstLineChars="300"/>
        <w:rPr>
          <w:rFonts w:hint="eastAsia" w:ascii="宋体"/>
          <w:color w:val="auto"/>
          <w:highlight w:val="none"/>
        </w:rPr>
      </w:pPr>
      <w:r>
        <w:rPr>
          <w:rFonts w:hint="eastAsia" w:ascii="宋体"/>
          <w:color w:val="auto"/>
          <w:highlight w:val="none"/>
        </w:rPr>
        <w:t>(1)我方承诺在收到成交通知书后，在成交通知书规定的期限内与采购人签订合同。</w:t>
      </w:r>
    </w:p>
    <w:p w14:paraId="38141FA1">
      <w:pPr>
        <w:spacing w:line="360" w:lineRule="exact"/>
        <w:ind w:firstLine="630" w:firstLineChars="300"/>
        <w:rPr>
          <w:rFonts w:hint="eastAsia" w:ascii="宋体"/>
          <w:color w:val="auto"/>
          <w:highlight w:val="none"/>
        </w:rPr>
      </w:pPr>
      <w:r>
        <w:rPr>
          <w:rFonts w:hint="eastAsia" w:ascii="宋体"/>
          <w:color w:val="auto"/>
          <w:highlight w:val="none"/>
        </w:rPr>
        <w:t>(2)我方承诺按照磋商文件规定的合同履约期限执行。</w:t>
      </w:r>
    </w:p>
    <w:p w14:paraId="65D52607">
      <w:pPr>
        <w:spacing w:line="360" w:lineRule="exact"/>
        <w:ind w:firstLine="630" w:firstLineChars="300"/>
        <w:rPr>
          <w:rFonts w:hint="eastAsia" w:ascii="宋体"/>
          <w:color w:val="auto"/>
          <w:highlight w:val="none"/>
        </w:rPr>
      </w:pPr>
      <w:r>
        <w:rPr>
          <w:rFonts w:hint="eastAsia" w:ascii="宋体"/>
          <w:color w:val="auto"/>
          <w:highlight w:val="none"/>
        </w:rPr>
        <w:t>(3)我方承诺本响应文件至本项目合同履行完毕止均保持有效，按磋商文件及政府采购法律、法规的规定履行合同责任和义务。</w:t>
      </w:r>
    </w:p>
    <w:p w14:paraId="647B671A">
      <w:pPr>
        <w:spacing w:line="360" w:lineRule="exact"/>
        <w:ind w:firstLine="630" w:firstLineChars="300"/>
        <w:rPr>
          <w:rFonts w:hint="eastAsia" w:ascii="宋体"/>
          <w:color w:val="auto"/>
          <w:highlight w:val="none"/>
        </w:rPr>
      </w:pPr>
    </w:p>
    <w:p w14:paraId="7F9F6048">
      <w:pPr>
        <w:spacing w:line="360" w:lineRule="exact"/>
        <w:ind w:firstLine="630" w:firstLineChars="300"/>
        <w:rPr>
          <w:rFonts w:hint="eastAsia" w:ascii="宋体"/>
          <w:color w:val="auto"/>
          <w:highlight w:val="none"/>
        </w:rPr>
      </w:pPr>
    </w:p>
    <w:p w14:paraId="160AA753">
      <w:pPr>
        <w:spacing w:line="360" w:lineRule="exact"/>
        <w:ind w:firstLine="630" w:firstLineChars="300"/>
        <w:rPr>
          <w:rFonts w:hint="eastAsia" w:ascii="宋体"/>
          <w:color w:val="auto"/>
          <w:highlight w:val="none"/>
        </w:rPr>
      </w:pPr>
      <w:r>
        <w:rPr>
          <w:rFonts w:hint="eastAsia" w:ascii="宋体"/>
          <w:color w:val="auto"/>
          <w:highlight w:val="none"/>
        </w:rPr>
        <w:t>与本项目有关的正式通讯地址为:</w:t>
      </w:r>
    </w:p>
    <w:p w14:paraId="35B4C3DB">
      <w:pPr>
        <w:spacing w:line="360" w:lineRule="exact"/>
        <w:ind w:firstLine="630" w:firstLineChars="300"/>
        <w:rPr>
          <w:rFonts w:hint="eastAsia" w:ascii="宋体"/>
          <w:color w:val="auto"/>
          <w:highlight w:val="none"/>
        </w:rPr>
      </w:pPr>
      <w:r>
        <w:rPr>
          <w:rFonts w:hint="eastAsia" w:ascii="宋体"/>
          <w:color w:val="auto"/>
          <w:highlight w:val="none"/>
        </w:rPr>
        <w:t>单位地址：</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 xml:space="preserve">   </w:t>
      </w:r>
      <w:r>
        <w:rPr>
          <w:rFonts w:hint="eastAsia" w:ascii="宋体"/>
          <w:color w:val="auto"/>
          <w:highlight w:val="none"/>
        </w:rPr>
        <w:t xml:space="preserve">  邮政编码：</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 xml:space="preserve">       </w:t>
      </w:r>
      <w:r>
        <w:rPr>
          <w:rFonts w:hint="eastAsia" w:ascii="宋体"/>
          <w:color w:val="auto"/>
          <w:highlight w:val="none"/>
        </w:rPr>
        <w:t xml:space="preserve">  电子邮箱：</w:t>
      </w:r>
      <w:r>
        <w:rPr>
          <w:rFonts w:hint="eastAsia" w:ascii="宋体"/>
          <w:color w:val="auto"/>
          <w:highlight w:val="none"/>
          <w:u w:val="single"/>
        </w:rPr>
        <w:t xml:space="preserve">          </w:t>
      </w:r>
    </w:p>
    <w:p w14:paraId="4D620D40">
      <w:pPr>
        <w:spacing w:line="360" w:lineRule="exact"/>
        <w:ind w:firstLine="630" w:firstLineChars="300"/>
        <w:rPr>
          <w:rFonts w:hint="eastAsia" w:ascii="宋体"/>
          <w:color w:val="auto"/>
          <w:highlight w:val="none"/>
        </w:rPr>
      </w:pPr>
      <w:r>
        <w:rPr>
          <w:rFonts w:hint="eastAsia" w:ascii="宋体"/>
          <w:color w:val="auto"/>
          <w:highlight w:val="none"/>
        </w:rPr>
        <w:t>办公电话：</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 xml:space="preserve">       </w:t>
      </w:r>
      <w:r>
        <w:rPr>
          <w:rFonts w:hint="eastAsia" w:ascii="宋体"/>
          <w:color w:val="auto"/>
          <w:highlight w:val="none"/>
        </w:rPr>
        <w:t xml:space="preserve">    传真：</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 xml:space="preserve">   </w:t>
      </w:r>
      <w:r>
        <w:rPr>
          <w:rFonts w:hint="eastAsia" w:ascii="宋体"/>
          <w:color w:val="auto"/>
          <w:highlight w:val="none"/>
        </w:rPr>
        <w:t xml:space="preserve">     委托代理人联系电话：</w:t>
      </w:r>
      <w:r>
        <w:rPr>
          <w:rFonts w:hint="eastAsia" w:ascii="宋体"/>
          <w:color w:val="auto"/>
          <w:highlight w:val="none"/>
          <w:u w:val="single"/>
        </w:rPr>
        <w:t xml:space="preserve">           </w:t>
      </w:r>
    </w:p>
    <w:p w14:paraId="23E318D7">
      <w:pPr>
        <w:spacing w:line="360" w:lineRule="exact"/>
        <w:ind w:firstLine="630" w:firstLineChars="300"/>
        <w:rPr>
          <w:rFonts w:hint="eastAsia" w:ascii="宋体"/>
          <w:color w:val="auto"/>
          <w:highlight w:val="none"/>
          <w:u w:val="single"/>
        </w:rPr>
      </w:pPr>
      <w:r>
        <w:rPr>
          <w:rFonts w:hint="eastAsia" w:ascii="宋体"/>
          <w:color w:val="auto"/>
          <w:highlight w:val="none"/>
        </w:rPr>
        <w:t>开户名称：</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p>
    <w:p w14:paraId="40581BF3">
      <w:pPr>
        <w:spacing w:line="360" w:lineRule="exact"/>
        <w:ind w:firstLine="630" w:firstLineChars="300"/>
        <w:rPr>
          <w:rFonts w:hint="eastAsia" w:ascii="宋体"/>
          <w:color w:val="auto"/>
          <w:highlight w:val="none"/>
        </w:rPr>
      </w:pPr>
      <w:r>
        <w:rPr>
          <w:rFonts w:hint="eastAsia" w:ascii="宋体"/>
          <w:color w:val="auto"/>
          <w:highlight w:val="none"/>
        </w:rPr>
        <w:t>开户银行：</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 xml:space="preserve">    </w:t>
      </w:r>
      <w:r>
        <w:rPr>
          <w:rFonts w:hint="eastAsia" w:ascii="宋体"/>
          <w:color w:val="auto"/>
          <w:highlight w:val="none"/>
        </w:rPr>
        <w:t xml:space="preserve">            </w:t>
      </w:r>
    </w:p>
    <w:p w14:paraId="465AFE2E">
      <w:pPr>
        <w:spacing w:line="360" w:lineRule="exact"/>
        <w:ind w:firstLine="630" w:firstLineChars="300"/>
        <w:rPr>
          <w:rFonts w:hint="eastAsia" w:ascii="宋体"/>
          <w:color w:val="auto"/>
          <w:highlight w:val="none"/>
          <w:u w:val="single"/>
        </w:rPr>
      </w:pPr>
      <w:r>
        <w:rPr>
          <w:rFonts w:hint="eastAsia" w:ascii="宋体"/>
          <w:color w:val="auto"/>
          <w:highlight w:val="none"/>
        </w:rPr>
        <w:t>银行账号：</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u w:val="single"/>
        </w:rPr>
        <w:t xml:space="preserve">  </w:t>
      </w:r>
      <w:r>
        <w:rPr>
          <w:rFonts w:hint="eastAsia" w:ascii="宋体"/>
          <w:color w:val="auto"/>
          <w:highlight w:val="none"/>
          <w:u w:val="single"/>
        </w:rPr>
        <w:tab/>
      </w:r>
      <w:r>
        <w:rPr>
          <w:rFonts w:hint="eastAsia" w:ascii="宋体"/>
          <w:color w:val="auto"/>
          <w:highlight w:val="none"/>
          <w:u w:val="single"/>
        </w:rPr>
        <w:tab/>
      </w:r>
      <w:r>
        <w:rPr>
          <w:rFonts w:hint="eastAsia" w:ascii="宋体"/>
          <w:color w:val="auto"/>
          <w:highlight w:val="none"/>
        </w:rPr>
        <w:t xml:space="preserve">      </w:t>
      </w:r>
    </w:p>
    <w:p w14:paraId="6132B4B5">
      <w:pPr>
        <w:pStyle w:val="12"/>
        <w:spacing w:line="400" w:lineRule="atLeast"/>
        <w:ind w:left="0" w:leftChars="0" w:firstLine="638" w:firstLineChars="304"/>
        <w:rPr>
          <w:rFonts w:hint="eastAsia" w:ascii="宋体"/>
          <w:color w:val="auto"/>
          <w:szCs w:val="21"/>
          <w:highlight w:val="none"/>
        </w:rPr>
      </w:pPr>
      <w:r>
        <w:rPr>
          <w:rFonts w:hint="eastAsia" w:ascii="宋体"/>
          <w:color w:val="auto"/>
          <w:szCs w:val="21"/>
          <w:highlight w:val="none"/>
        </w:rPr>
        <w:t>供应商名称[公章(CA签章)、自然人除外]：</w:t>
      </w:r>
      <w:r>
        <w:rPr>
          <w:rFonts w:hint="eastAsia" w:ascii="宋体"/>
          <w:color w:val="auto"/>
          <w:szCs w:val="21"/>
          <w:highlight w:val="none"/>
          <w:u w:val="single"/>
        </w:rPr>
        <w:t xml:space="preserve">                   </w:t>
      </w:r>
      <w:r>
        <w:rPr>
          <w:rFonts w:hint="eastAsia" w:ascii="宋体"/>
          <w:color w:val="auto"/>
          <w:szCs w:val="21"/>
          <w:highlight w:val="none"/>
        </w:rPr>
        <w:t xml:space="preserve">           </w:t>
      </w:r>
    </w:p>
    <w:p w14:paraId="0BE1500F">
      <w:pPr>
        <w:pStyle w:val="12"/>
        <w:spacing w:line="400" w:lineRule="atLeast"/>
        <w:ind w:left="630" w:leftChars="300" w:firstLine="2" w:firstLineChars="1"/>
        <w:rPr>
          <w:color w:val="auto"/>
          <w:highlight w:val="none"/>
        </w:rPr>
      </w:pPr>
      <w:r>
        <w:rPr>
          <w:rFonts w:hint="eastAsia" w:ascii="宋体"/>
          <w:color w:val="auto"/>
          <w:szCs w:val="21"/>
          <w:highlight w:val="none"/>
        </w:rPr>
        <w:t>法定代表人、负责人、自然人或相应的委托代理人签字[或盖章(CA签章)]（属自然人的应在签名处加盖大拇指指印或个人CA签章）：</w:t>
      </w:r>
      <w:r>
        <w:rPr>
          <w:rFonts w:hint="eastAsia"/>
          <w:color w:val="auto"/>
          <w:highlight w:val="none"/>
          <w:u w:val="single"/>
        </w:rPr>
        <w:t xml:space="preserve">                       </w:t>
      </w:r>
    </w:p>
    <w:p w14:paraId="775EB447">
      <w:pPr>
        <w:snapToGrid w:val="0"/>
        <w:spacing w:line="400" w:lineRule="atLeast"/>
        <w:ind w:left="0" w:leftChars="0" w:firstLine="638" w:firstLineChars="304"/>
        <w:jc w:val="left"/>
        <w:rPr>
          <w:rFonts w:hint="eastAsia" w:ascii="宋体"/>
          <w:color w:val="auto"/>
          <w:szCs w:val="21"/>
          <w:highlight w:val="none"/>
        </w:rPr>
      </w:pPr>
      <w:r>
        <w:rPr>
          <w:rFonts w:hint="eastAsia" w:ascii="宋体"/>
          <w:color w:val="auto"/>
          <w:highlight w:val="none"/>
        </w:rPr>
        <w:t>日   期：</w:t>
      </w:r>
      <w:r>
        <w:rPr>
          <w:rFonts w:hint="eastAsia" w:ascii="宋体"/>
          <w:color w:val="auto"/>
          <w:highlight w:val="none"/>
          <w:u w:val="single"/>
        </w:rPr>
        <w:t xml:space="preserve">                         </w:t>
      </w:r>
    </w:p>
    <w:p w14:paraId="6D6503BD">
      <w:pPr>
        <w:pStyle w:val="49"/>
        <w:jc w:val="center"/>
        <w:outlineLvl w:val="9"/>
        <w:rPr>
          <w:rFonts w:hint="eastAsia" w:ascii="宋体"/>
          <w:b/>
          <w:color w:val="auto"/>
          <w:highlight w:val="none"/>
        </w:rPr>
        <w:sectPr>
          <w:headerReference r:id="rId7" w:type="default"/>
          <w:footerReference r:id="rId8" w:type="default"/>
          <w:pgSz w:w="11906" w:h="16838"/>
          <w:pgMar w:top="1418" w:right="1134" w:bottom="1418" w:left="1134" w:header="851" w:footer="992" w:gutter="0"/>
          <w:pgNumType w:fmt="decimal"/>
          <w:cols w:space="720" w:num="1"/>
          <w:docGrid w:type="lines" w:linePitch="312" w:charSpace="0"/>
        </w:sectPr>
      </w:pPr>
      <w:bookmarkStart w:id="739" w:name="_Toc418752345"/>
      <w:bookmarkStart w:id="740" w:name="_Toc418751899"/>
    </w:p>
    <w:p w14:paraId="711BF331">
      <w:pPr>
        <w:pStyle w:val="49"/>
        <w:jc w:val="both"/>
        <w:outlineLvl w:val="9"/>
        <w:rPr>
          <w:rFonts w:hint="eastAsia" w:ascii="宋体"/>
          <w:b/>
          <w:color w:val="auto"/>
          <w:sz w:val="28"/>
          <w:szCs w:val="28"/>
          <w:highlight w:val="none"/>
        </w:rPr>
      </w:pPr>
      <w:bookmarkStart w:id="741" w:name="_Toc483317221"/>
      <w:r>
        <w:rPr>
          <w:rFonts w:hint="eastAsia" w:ascii="宋体"/>
          <w:b/>
          <w:color w:val="auto"/>
          <w:sz w:val="28"/>
          <w:szCs w:val="28"/>
          <w:highlight w:val="none"/>
        </w:rPr>
        <w:t>1.2响应函附录</w:t>
      </w:r>
      <w:bookmarkEnd w:id="739"/>
      <w:bookmarkEnd w:id="740"/>
      <w:bookmarkEnd w:id="741"/>
    </w:p>
    <w:p w14:paraId="6D9DCC94">
      <w:pPr>
        <w:ind w:firstLine="517" w:firstLineChars="245"/>
        <w:rPr>
          <w:rFonts w:hint="eastAsia" w:ascii="宋体"/>
          <w:color w:val="auto"/>
          <w:szCs w:val="21"/>
          <w:highlight w:val="none"/>
        </w:rPr>
      </w:pPr>
      <w:r>
        <w:rPr>
          <w:rFonts w:hint="eastAsia" w:ascii="宋体"/>
          <w:b/>
          <w:color w:val="auto"/>
          <w:szCs w:val="21"/>
          <w:highlight w:val="none"/>
        </w:rPr>
        <w:t>项目名称：</w:t>
      </w:r>
      <w:r>
        <w:rPr>
          <w:rFonts w:hint="eastAsia" w:ascii="宋体"/>
          <w:color w:val="auto"/>
          <w:szCs w:val="21"/>
          <w:highlight w:val="none"/>
          <w:u w:val="single"/>
        </w:rPr>
        <w:t xml:space="preserve">                 </w:t>
      </w:r>
      <w:r>
        <w:rPr>
          <w:rFonts w:hint="eastAsia" w:ascii="宋体"/>
          <w:color w:val="auto"/>
          <w:szCs w:val="21"/>
          <w:highlight w:val="none"/>
        </w:rPr>
        <w:t xml:space="preserve">                          项目编号：</w:t>
      </w:r>
      <w:r>
        <w:rPr>
          <w:rFonts w:hint="eastAsia" w:ascii="宋体"/>
          <w:color w:val="auto"/>
          <w:szCs w:val="21"/>
          <w:highlight w:val="none"/>
          <w:u w:val="single"/>
        </w:rPr>
        <w:t xml:space="preserve">                 </w:t>
      </w:r>
      <w:r>
        <w:rPr>
          <w:rFonts w:hint="eastAsia" w:ascii="宋体"/>
          <w:color w:val="auto"/>
          <w:szCs w:val="21"/>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2190"/>
        <w:gridCol w:w="2345"/>
        <w:gridCol w:w="2190"/>
        <w:gridCol w:w="2036"/>
      </w:tblGrid>
      <w:tr w14:paraId="1C38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E866F28">
            <w:pPr>
              <w:jc w:val="center"/>
              <w:rPr>
                <w:rFonts w:hint="eastAsia" w:ascii="宋体"/>
                <w:color w:val="auto"/>
                <w:szCs w:val="21"/>
                <w:highlight w:val="none"/>
              </w:rPr>
            </w:pPr>
            <w:r>
              <w:rPr>
                <w:rFonts w:hint="eastAsia" w:ascii="宋体"/>
                <w:color w:val="auto"/>
                <w:szCs w:val="21"/>
                <w:highlight w:val="none"/>
              </w:rPr>
              <w:t>序 号</w:t>
            </w:r>
          </w:p>
        </w:tc>
        <w:tc>
          <w:tcPr>
            <w:tcW w:w="2190" w:type="dxa"/>
            <w:noWrap w:val="0"/>
            <w:vAlign w:val="center"/>
          </w:tcPr>
          <w:p w14:paraId="0E10FE18">
            <w:pPr>
              <w:jc w:val="center"/>
              <w:rPr>
                <w:rFonts w:hint="eastAsia" w:ascii="宋体"/>
                <w:color w:val="auto"/>
                <w:szCs w:val="21"/>
                <w:highlight w:val="none"/>
              </w:rPr>
            </w:pPr>
            <w:r>
              <w:rPr>
                <w:rFonts w:hint="eastAsia" w:ascii="宋体"/>
                <w:color w:val="auto"/>
                <w:szCs w:val="21"/>
                <w:highlight w:val="none"/>
              </w:rPr>
              <w:t>条款内容</w:t>
            </w:r>
          </w:p>
        </w:tc>
        <w:tc>
          <w:tcPr>
            <w:tcW w:w="2345" w:type="dxa"/>
            <w:noWrap w:val="0"/>
            <w:vAlign w:val="center"/>
          </w:tcPr>
          <w:p w14:paraId="2853CEB9">
            <w:pPr>
              <w:jc w:val="center"/>
              <w:rPr>
                <w:rFonts w:hint="eastAsia" w:ascii="宋体"/>
                <w:color w:val="auto"/>
                <w:szCs w:val="21"/>
                <w:highlight w:val="none"/>
              </w:rPr>
            </w:pPr>
            <w:r>
              <w:rPr>
                <w:rFonts w:hint="eastAsia" w:ascii="宋体"/>
                <w:color w:val="auto"/>
                <w:szCs w:val="21"/>
                <w:highlight w:val="none"/>
              </w:rPr>
              <w:t>合同条款号</w:t>
            </w:r>
          </w:p>
        </w:tc>
        <w:tc>
          <w:tcPr>
            <w:tcW w:w="2190" w:type="dxa"/>
            <w:noWrap w:val="0"/>
            <w:vAlign w:val="center"/>
          </w:tcPr>
          <w:p w14:paraId="3234543D">
            <w:pPr>
              <w:jc w:val="center"/>
              <w:rPr>
                <w:rFonts w:hint="eastAsia" w:ascii="宋体"/>
                <w:color w:val="auto"/>
                <w:szCs w:val="21"/>
                <w:highlight w:val="none"/>
              </w:rPr>
            </w:pPr>
            <w:r>
              <w:rPr>
                <w:rFonts w:hint="eastAsia" w:ascii="宋体"/>
                <w:color w:val="auto"/>
                <w:szCs w:val="21"/>
                <w:highlight w:val="none"/>
              </w:rPr>
              <w:t>约定内容</w:t>
            </w:r>
          </w:p>
        </w:tc>
        <w:tc>
          <w:tcPr>
            <w:tcW w:w="2036" w:type="dxa"/>
            <w:noWrap w:val="0"/>
            <w:vAlign w:val="center"/>
          </w:tcPr>
          <w:p w14:paraId="623E7FA3">
            <w:pPr>
              <w:jc w:val="center"/>
              <w:rPr>
                <w:rFonts w:hint="eastAsia" w:ascii="宋体"/>
                <w:color w:val="auto"/>
                <w:szCs w:val="21"/>
                <w:highlight w:val="none"/>
              </w:rPr>
            </w:pPr>
            <w:r>
              <w:rPr>
                <w:rFonts w:hint="eastAsia" w:ascii="宋体"/>
                <w:color w:val="auto"/>
                <w:szCs w:val="21"/>
                <w:highlight w:val="none"/>
              </w:rPr>
              <w:t>备注</w:t>
            </w:r>
          </w:p>
        </w:tc>
      </w:tr>
      <w:tr w14:paraId="5ACC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75EC777">
            <w:pPr>
              <w:jc w:val="center"/>
              <w:rPr>
                <w:rFonts w:hint="eastAsia" w:ascii="宋体"/>
                <w:color w:val="auto"/>
                <w:szCs w:val="21"/>
                <w:highlight w:val="none"/>
              </w:rPr>
            </w:pPr>
            <w:r>
              <w:rPr>
                <w:rFonts w:hint="eastAsia" w:ascii="宋体"/>
                <w:color w:val="auto"/>
                <w:szCs w:val="21"/>
                <w:highlight w:val="none"/>
              </w:rPr>
              <w:t>1</w:t>
            </w:r>
          </w:p>
        </w:tc>
        <w:tc>
          <w:tcPr>
            <w:tcW w:w="2190" w:type="dxa"/>
            <w:noWrap w:val="0"/>
            <w:vAlign w:val="center"/>
          </w:tcPr>
          <w:p w14:paraId="64C5DB82">
            <w:pPr>
              <w:rPr>
                <w:rFonts w:hint="eastAsia" w:ascii="宋体"/>
                <w:color w:val="auto"/>
                <w:szCs w:val="21"/>
                <w:highlight w:val="none"/>
              </w:rPr>
            </w:pPr>
            <w:r>
              <w:rPr>
                <w:rFonts w:hint="eastAsia" w:ascii="宋体"/>
                <w:color w:val="auto"/>
                <w:szCs w:val="21"/>
                <w:highlight w:val="none"/>
              </w:rPr>
              <w:t>项目经理</w:t>
            </w:r>
          </w:p>
        </w:tc>
        <w:tc>
          <w:tcPr>
            <w:tcW w:w="2345" w:type="dxa"/>
            <w:noWrap w:val="0"/>
            <w:tcMar>
              <w:left w:w="170" w:type="dxa"/>
            </w:tcMar>
            <w:vAlign w:val="center"/>
          </w:tcPr>
          <w:p w14:paraId="2BA60B2C">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4DF53359">
            <w:pPr>
              <w:rPr>
                <w:rFonts w:hint="eastAsia" w:ascii="宋体"/>
                <w:color w:val="auto"/>
                <w:szCs w:val="21"/>
                <w:highlight w:val="none"/>
              </w:rPr>
            </w:pPr>
            <w:r>
              <w:rPr>
                <w:rFonts w:hint="eastAsia" w:ascii="宋体"/>
                <w:color w:val="auto"/>
                <w:szCs w:val="21"/>
                <w:highlight w:val="none"/>
              </w:rPr>
              <w:t>姓名：</w:t>
            </w:r>
            <w:r>
              <w:rPr>
                <w:rFonts w:hint="eastAsia" w:ascii="宋体"/>
                <w:color w:val="auto"/>
                <w:szCs w:val="21"/>
                <w:highlight w:val="none"/>
                <w:u w:val="single"/>
              </w:rPr>
              <w:t xml:space="preserve">          </w:t>
            </w:r>
          </w:p>
        </w:tc>
        <w:tc>
          <w:tcPr>
            <w:tcW w:w="2036" w:type="dxa"/>
            <w:noWrap w:val="0"/>
            <w:vAlign w:val="center"/>
          </w:tcPr>
          <w:p w14:paraId="4DFFEDDF">
            <w:pPr>
              <w:jc w:val="center"/>
              <w:rPr>
                <w:rFonts w:hint="eastAsia" w:ascii="宋体"/>
                <w:color w:val="auto"/>
                <w:szCs w:val="21"/>
                <w:highlight w:val="none"/>
              </w:rPr>
            </w:pPr>
          </w:p>
        </w:tc>
      </w:tr>
      <w:tr w14:paraId="6D41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7E1F90B">
            <w:pPr>
              <w:jc w:val="center"/>
              <w:rPr>
                <w:rFonts w:hint="eastAsia" w:ascii="宋体"/>
                <w:color w:val="auto"/>
                <w:szCs w:val="21"/>
                <w:highlight w:val="none"/>
              </w:rPr>
            </w:pPr>
            <w:r>
              <w:rPr>
                <w:rFonts w:hint="eastAsia" w:ascii="宋体"/>
                <w:color w:val="auto"/>
                <w:szCs w:val="21"/>
                <w:highlight w:val="none"/>
              </w:rPr>
              <w:t>2</w:t>
            </w:r>
          </w:p>
        </w:tc>
        <w:tc>
          <w:tcPr>
            <w:tcW w:w="2190" w:type="dxa"/>
            <w:noWrap w:val="0"/>
            <w:vAlign w:val="center"/>
          </w:tcPr>
          <w:p w14:paraId="2F89EF92">
            <w:pPr>
              <w:rPr>
                <w:rFonts w:hint="eastAsia" w:ascii="宋体"/>
                <w:color w:val="auto"/>
                <w:szCs w:val="21"/>
                <w:highlight w:val="none"/>
              </w:rPr>
            </w:pPr>
            <w:r>
              <w:rPr>
                <w:rFonts w:hint="eastAsia" w:ascii="宋体"/>
                <w:color w:val="auto"/>
                <w:szCs w:val="21"/>
                <w:highlight w:val="none"/>
              </w:rPr>
              <w:t>工期</w:t>
            </w:r>
          </w:p>
        </w:tc>
        <w:tc>
          <w:tcPr>
            <w:tcW w:w="2345" w:type="dxa"/>
            <w:noWrap w:val="0"/>
            <w:tcMar>
              <w:left w:w="170" w:type="dxa"/>
            </w:tcMar>
            <w:vAlign w:val="center"/>
          </w:tcPr>
          <w:p w14:paraId="67FB5620">
            <w:pPr>
              <w:jc w:val="center"/>
              <w:rPr>
                <w:rFonts w:hint="eastAsia" w:ascii="宋体"/>
                <w:color w:val="auto"/>
                <w:szCs w:val="21"/>
                <w:highlight w:val="none"/>
              </w:rPr>
            </w:pPr>
            <w:r>
              <w:rPr>
                <w:rFonts w:hint="eastAsia" w:ascii="宋体"/>
                <w:color w:val="auto"/>
                <w:szCs w:val="21"/>
                <w:highlight w:val="none"/>
              </w:rPr>
              <w:t>合同协议书</w:t>
            </w:r>
          </w:p>
        </w:tc>
        <w:tc>
          <w:tcPr>
            <w:tcW w:w="2190" w:type="dxa"/>
            <w:noWrap w:val="0"/>
            <w:vAlign w:val="center"/>
          </w:tcPr>
          <w:p w14:paraId="1B22A66F">
            <w:pPr>
              <w:jc w:val="center"/>
              <w:rPr>
                <w:rFonts w:hint="eastAsia" w:ascii="宋体"/>
                <w:color w:val="auto"/>
                <w:szCs w:val="21"/>
                <w:highlight w:val="none"/>
              </w:rPr>
            </w:pPr>
            <w:r>
              <w:rPr>
                <w:rFonts w:hint="eastAsia" w:ascii="宋体"/>
                <w:color w:val="auto"/>
                <w:szCs w:val="21"/>
                <w:highlight w:val="none"/>
                <w:u w:val="single"/>
              </w:rPr>
              <w:t xml:space="preserve">          </w:t>
            </w:r>
            <w:r>
              <w:rPr>
                <w:rFonts w:hint="eastAsia" w:ascii="宋体"/>
                <w:color w:val="auto"/>
                <w:szCs w:val="21"/>
                <w:highlight w:val="none"/>
              </w:rPr>
              <w:t>日历天</w:t>
            </w:r>
          </w:p>
        </w:tc>
        <w:tc>
          <w:tcPr>
            <w:tcW w:w="2036" w:type="dxa"/>
            <w:noWrap w:val="0"/>
            <w:vAlign w:val="center"/>
          </w:tcPr>
          <w:p w14:paraId="0AA6195E">
            <w:pPr>
              <w:jc w:val="center"/>
              <w:rPr>
                <w:rFonts w:hint="eastAsia" w:ascii="宋体"/>
                <w:color w:val="auto"/>
                <w:szCs w:val="21"/>
                <w:highlight w:val="none"/>
              </w:rPr>
            </w:pPr>
          </w:p>
        </w:tc>
      </w:tr>
      <w:tr w14:paraId="6220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BFC1772">
            <w:pPr>
              <w:jc w:val="center"/>
              <w:rPr>
                <w:rFonts w:hint="eastAsia" w:ascii="宋体"/>
                <w:color w:val="auto"/>
                <w:szCs w:val="21"/>
                <w:highlight w:val="none"/>
              </w:rPr>
            </w:pPr>
            <w:r>
              <w:rPr>
                <w:rFonts w:hint="eastAsia" w:ascii="宋体"/>
                <w:color w:val="auto"/>
                <w:szCs w:val="21"/>
                <w:highlight w:val="none"/>
              </w:rPr>
              <w:t>3</w:t>
            </w:r>
          </w:p>
        </w:tc>
        <w:tc>
          <w:tcPr>
            <w:tcW w:w="2190" w:type="dxa"/>
            <w:noWrap w:val="0"/>
            <w:vAlign w:val="center"/>
          </w:tcPr>
          <w:p w14:paraId="22E44325">
            <w:pPr>
              <w:rPr>
                <w:rFonts w:hint="eastAsia" w:ascii="宋体"/>
                <w:color w:val="auto"/>
                <w:szCs w:val="21"/>
                <w:highlight w:val="none"/>
              </w:rPr>
            </w:pPr>
            <w:r>
              <w:rPr>
                <w:rFonts w:hint="eastAsia" w:ascii="宋体"/>
                <w:color w:val="auto"/>
                <w:szCs w:val="21"/>
                <w:highlight w:val="none"/>
              </w:rPr>
              <w:t>缺陷责任期</w:t>
            </w:r>
          </w:p>
        </w:tc>
        <w:tc>
          <w:tcPr>
            <w:tcW w:w="2345" w:type="dxa"/>
            <w:noWrap w:val="0"/>
            <w:tcMar>
              <w:left w:w="170" w:type="dxa"/>
            </w:tcMar>
            <w:vAlign w:val="center"/>
          </w:tcPr>
          <w:p w14:paraId="39CC06E2">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5464059F">
            <w:pPr>
              <w:jc w:val="center"/>
              <w:rPr>
                <w:rFonts w:hint="eastAsia" w:ascii="宋体"/>
                <w:color w:val="auto"/>
                <w:szCs w:val="21"/>
                <w:highlight w:val="none"/>
              </w:rPr>
            </w:pPr>
          </w:p>
        </w:tc>
        <w:tc>
          <w:tcPr>
            <w:tcW w:w="2036" w:type="dxa"/>
            <w:noWrap w:val="0"/>
            <w:vAlign w:val="center"/>
          </w:tcPr>
          <w:p w14:paraId="6CE0D30B">
            <w:pPr>
              <w:jc w:val="center"/>
              <w:rPr>
                <w:rFonts w:hint="eastAsia" w:ascii="宋体"/>
                <w:color w:val="auto"/>
                <w:szCs w:val="21"/>
                <w:highlight w:val="none"/>
              </w:rPr>
            </w:pPr>
          </w:p>
        </w:tc>
      </w:tr>
      <w:tr w14:paraId="5A0A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4F6EB76">
            <w:pPr>
              <w:jc w:val="center"/>
              <w:rPr>
                <w:rFonts w:hint="eastAsia" w:ascii="宋体"/>
                <w:color w:val="auto"/>
                <w:szCs w:val="21"/>
                <w:highlight w:val="none"/>
              </w:rPr>
            </w:pPr>
            <w:r>
              <w:rPr>
                <w:rFonts w:hint="eastAsia" w:ascii="宋体"/>
                <w:color w:val="auto"/>
                <w:szCs w:val="21"/>
                <w:highlight w:val="none"/>
              </w:rPr>
              <w:t>4</w:t>
            </w:r>
          </w:p>
        </w:tc>
        <w:tc>
          <w:tcPr>
            <w:tcW w:w="2190" w:type="dxa"/>
            <w:noWrap w:val="0"/>
            <w:vAlign w:val="center"/>
          </w:tcPr>
          <w:p w14:paraId="67200D81">
            <w:pPr>
              <w:rPr>
                <w:rFonts w:hint="eastAsia" w:ascii="宋体"/>
                <w:color w:val="auto"/>
                <w:szCs w:val="21"/>
                <w:highlight w:val="none"/>
              </w:rPr>
            </w:pPr>
            <w:r>
              <w:rPr>
                <w:rFonts w:hint="eastAsia" w:ascii="宋体"/>
                <w:color w:val="auto"/>
                <w:szCs w:val="21"/>
                <w:highlight w:val="none"/>
              </w:rPr>
              <w:t>发包人支付担保</w:t>
            </w:r>
          </w:p>
        </w:tc>
        <w:tc>
          <w:tcPr>
            <w:tcW w:w="2345" w:type="dxa"/>
            <w:noWrap w:val="0"/>
            <w:tcMar>
              <w:left w:w="170" w:type="dxa"/>
            </w:tcMar>
            <w:vAlign w:val="center"/>
          </w:tcPr>
          <w:p w14:paraId="24EF90B3">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0CBE74BE">
            <w:pPr>
              <w:jc w:val="center"/>
              <w:rPr>
                <w:rFonts w:hint="eastAsia" w:ascii="宋体"/>
                <w:color w:val="auto"/>
                <w:szCs w:val="21"/>
                <w:highlight w:val="none"/>
              </w:rPr>
            </w:pPr>
          </w:p>
        </w:tc>
        <w:tc>
          <w:tcPr>
            <w:tcW w:w="2036" w:type="dxa"/>
            <w:noWrap w:val="0"/>
            <w:vAlign w:val="center"/>
          </w:tcPr>
          <w:p w14:paraId="0399322E">
            <w:pPr>
              <w:jc w:val="center"/>
              <w:rPr>
                <w:rFonts w:hint="eastAsia" w:ascii="宋体"/>
                <w:color w:val="auto"/>
                <w:szCs w:val="21"/>
                <w:highlight w:val="none"/>
              </w:rPr>
            </w:pPr>
          </w:p>
        </w:tc>
      </w:tr>
      <w:tr w14:paraId="6321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297DDBC">
            <w:pPr>
              <w:jc w:val="center"/>
              <w:rPr>
                <w:rFonts w:hint="eastAsia" w:ascii="宋体"/>
                <w:color w:val="auto"/>
                <w:szCs w:val="21"/>
                <w:highlight w:val="none"/>
              </w:rPr>
            </w:pPr>
            <w:r>
              <w:rPr>
                <w:rFonts w:hint="eastAsia" w:ascii="宋体"/>
                <w:color w:val="auto"/>
                <w:szCs w:val="21"/>
                <w:highlight w:val="none"/>
              </w:rPr>
              <w:t>5</w:t>
            </w:r>
          </w:p>
        </w:tc>
        <w:tc>
          <w:tcPr>
            <w:tcW w:w="2190" w:type="dxa"/>
            <w:noWrap w:val="0"/>
            <w:vAlign w:val="center"/>
          </w:tcPr>
          <w:p w14:paraId="13513170">
            <w:pPr>
              <w:rPr>
                <w:rFonts w:hint="eastAsia" w:ascii="宋体"/>
                <w:color w:val="auto"/>
                <w:szCs w:val="21"/>
                <w:highlight w:val="none"/>
              </w:rPr>
            </w:pPr>
            <w:r>
              <w:rPr>
                <w:rFonts w:hint="eastAsia" w:ascii="宋体"/>
                <w:color w:val="auto"/>
                <w:szCs w:val="21"/>
                <w:highlight w:val="none"/>
              </w:rPr>
              <w:t>承包人履约担保金额</w:t>
            </w:r>
          </w:p>
        </w:tc>
        <w:tc>
          <w:tcPr>
            <w:tcW w:w="2345" w:type="dxa"/>
            <w:noWrap w:val="0"/>
            <w:tcMar>
              <w:left w:w="170" w:type="dxa"/>
            </w:tcMar>
            <w:vAlign w:val="center"/>
          </w:tcPr>
          <w:p w14:paraId="54C17A0B">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414CC224">
            <w:pPr>
              <w:jc w:val="center"/>
              <w:rPr>
                <w:rFonts w:hint="eastAsia" w:ascii="宋体"/>
                <w:color w:val="auto"/>
                <w:szCs w:val="21"/>
                <w:highlight w:val="none"/>
              </w:rPr>
            </w:pPr>
          </w:p>
        </w:tc>
        <w:tc>
          <w:tcPr>
            <w:tcW w:w="2036" w:type="dxa"/>
            <w:noWrap w:val="0"/>
            <w:vAlign w:val="center"/>
          </w:tcPr>
          <w:p w14:paraId="7990E081">
            <w:pPr>
              <w:jc w:val="center"/>
              <w:rPr>
                <w:rFonts w:hint="eastAsia" w:ascii="宋体"/>
                <w:color w:val="auto"/>
                <w:szCs w:val="21"/>
                <w:highlight w:val="none"/>
              </w:rPr>
            </w:pPr>
          </w:p>
        </w:tc>
      </w:tr>
      <w:tr w14:paraId="2BB6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736391C">
            <w:pPr>
              <w:jc w:val="center"/>
              <w:rPr>
                <w:rFonts w:hint="eastAsia" w:ascii="宋体"/>
                <w:color w:val="auto"/>
                <w:szCs w:val="21"/>
                <w:highlight w:val="none"/>
              </w:rPr>
            </w:pPr>
            <w:r>
              <w:rPr>
                <w:rFonts w:hint="eastAsia" w:ascii="宋体"/>
                <w:color w:val="auto"/>
                <w:szCs w:val="21"/>
                <w:highlight w:val="none"/>
              </w:rPr>
              <w:t>6</w:t>
            </w:r>
          </w:p>
        </w:tc>
        <w:tc>
          <w:tcPr>
            <w:tcW w:w="2190" w:type="dxa"/>
            <w:noWrap w:val="0"/>
            <w:vAlign w:val="center"/>
          </w:tcPr>
          <w:p w14:paraId="25C7B475">
            <w:pPr>
              <w:rPr>
                <w:rFonts w:hint="eastAsia" w:ascii="宋体"/>
                <w:color w:val="auto"/>
                <w:szCs w:val="21"/>
                <w:highlight w:val="none"/>
              </w:rPr>
            </w:pPr>
            <w:r>
              <w:rPr>
                <w:rFonts w:hint="eastAsia" w:ascii="宋体"/>
                <w:color w:val="auto"/>
                <w:szCs w:val="21"/>
                <w:highlight w:val="none"/>
              </w:rPr>
              <w:t>分包</w:t>
            </w:r>
          </w:p>
        </w:tc>
        <w:tc>
          <w:tcPr>
            <w:tcW w:w="2345" w:type="dxa"/>
            <w:noWrap w:val="0"/>
            <w:tcMar>
              <w:left w:w="170" w:type="dxa"/>
            </w:tcMar>
            <w:vAlign w:val="center"/>
          </w:tcPr>
          <w:p w14:paraId="23341940">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5E963481">
            <w:pPr>
              <w:jc w:val="center"/>
              <w:rPr>
                <w:rFonts w:hint="eastAsia" w:ascii="宋体"/>
                <w:color w:val="auto"/>
                <w:szCs w:val="21"/>
                <w:highlight w:val="none"/>
              </w:rPr>
            </w:pPr>
            <w:r>
              <w:rPr>
                <w:rFonts w:hint="eastAsia" w:ascii="宋体"/>
                <w:color w:val="auto"/>
                <w:szCs w:val="21"/>
                <w:highlight w:val="none"/>
              </w:rPr>
              <w:t>见分包项目情况表</w:t>
            </w:r>
          </w:p>
        </w:tc>
        <w:tc>
          <w:tcPr>
            <w:tcW w:w="2036" w:type="dxa"/>
            <w:noWrap w:val="0"/>
            <w:vAlign w:val="center"/>
          </w:tcPr>
          <w:p w14:paraId="5210DAEB">
            <w:pPr>
              <w:jc w:val="center"/>
              <w:rPr>
                <w:rFonts w:hint="eastAsia" w:ascii="宋体"/>
                <w:color w:val="auto"/>
                <w:szCs w:val="21"/>
                <w:highlight w:val="none"/>
              </w:rPr>
            </w:pPr>
          </w:p>
        </w:tc>
      </w:tr>
      <w:tr w14:paraId="3B9C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71F9A16D">
            <w:pPr>
              <w:jc w:val="center"/>
              <w:rPr>
                <w:rFonts w:hint="eastAsia" w:ascii="宋体"/>
                <w:color w:val="auto"/>
                <w:szCs w:val="21"/>
                <w:highlight w:val="none"/>
              </w:rPr>
            </w:pPr>
            <w:r>
              <w:rPr>
                <w:rFonts w:hint="eastAsia" w:ascii="宋体"/>
                <w:color w:val="auto"/>
                <w:szCs w:val="21"/>
                <w:highlight w:val="none"/>
              </w:rPr>
              <w:t>7</w:t>
            </w:r>
          </w:p>
        </w:tc>
        <w:tc>
          <w:tcPr>
            <w:tcW w:w="2190" w:type="dxa"/>
            <w:noWrap w:val="0"/>
            <w:vAlign w:val="center"/>
          </w:tcPr>
          <w:p w14:paraId="03A3AE91">
            <w:pPr>
              <w:rPr>
                <w:rFonts w:hint="eastAsia" w:ascii="宋体"/>
                <w:color w:val="auto"/>
                <w:szCs w:val="21"/>
                <w:highlight w:val="none"/>
              </w:rPr>
            </w:pPr>
            <w:r>
              <w:rPr>
                <w:rFonts w:hint="eastAsia" w:ascii="宋体"/>
                <w:color w:val="auto"/>
                <w:szCs w:val="21"/>
                <w:highlight w:val="none"/>
              </w:rPr>
              <w:t>逾期竣工违约金</w:t>
            </w:r>
          </w:p>
        </w:tc>
        <w:tc>
          <w:tcPr>
            <w:tcW w:w="2345" w:type="dxa"/>
            <w:noWrap w:val="0"/>
            <w:tcMar>
              <w:left w:w="170" w:type="dxa"/>
            </w:tcMar>
            <w:vAlign w:val="center"/>
          </w:tcPr>
          <w:p w14:paraId="351EA6BC">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0C2CE976">
            <w:pPr>
              <w:jc w:val="center"/>
              <w:rPr>
                <w:rFonts w:hint="eastAsia" w:ascii="宋体"/>
                <w:color w:val="auto"/>
                <w:szCs w:val="21"/>
                <w:highlight w:val="none"/>
              </w:rPr>
            </w:pPr>
          </w:p>
        </w:tc>
        <w:tc>
          <w:tcPr>
            <w:tcW w:w="2036" w:type="dxa"/>
            <w:noWrap w:val="0"/>
            <w:vAlign w:val="center"/>
          </w:tcPr>
          <w:p w14:paraId="3FE75F0E">
            <w:pPr>
              <w:jc w:val="center"/>
              <w:rPr>
                <w:rFonts w:hint="eastAsia" w:ascii="宋体"/>
                <w:color w:val="auto"/>
                <w:szCs w:val="21"/>
                <w:highlight w:val="none"/>
              </w:rPr>
            </w:pPr>
          </w:p>
        </w:tc>
      </w:tr>
      <w:tr w14:paraId="769C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1BC710E5">
            <w:pPr>
              <w:jc w:val="center"/>
              <w:rPr>
                <w:rFonts w:hint="eastAsia" w:ascii="宋体"/>
                <w:color w:val="auto"/>
                <w:szCs w:val="21"/>
                <w:highlight w:val="none"/>
              </w:rPr>
            </w:pPr>
            <w:r>
              <w:rPr>
                <w:rFonts w:hint="eastAsia" w:ascii="宋体"/>
                <w:color w:val="auto"/>
                <w:szCs w:val="21"/>
                <w:highlight w:val="none"/>
              </w:rPr>
              <w:t>8</w:t>
            </w:r>
          </w:p>
        </w:tc>
        <w:tc>
          <w:tcPr>
            <w:tcW w:w="2190" w:type="dxa"/>
            <w:noWrap w:val="0"/>
            <w:vAlign w:val="center"/>
          </w:tcPr>
          <w:p w14:paraId="7BF00350">
            <w:pPr>
              <w:rPr>
                <w:rFonts w:hint="eastAsia" w:ascii="宋体"/>
                <w:color w:val="auto"/>
                <w:szCs w:val="21"/>
                <w:highlight w:val="none"/>
              </w:rPr>
            </w:pPr>
            <w:r>
              <w:rPr>
                <w:rFonts w:hint="eastAsia" w:ascii="宋体"/>
                <w:color w:val="auto"/>
                <w:szCs w:val="21"/>
                <w:highlight w:val="none"/>
              </w:rPr>
              <w:t>逾期竣工违约金最高限额</w:t>
            </w:r>
          </w:p>
        </w:tc>
        <w:tc>
          <w:tcPr>
            <w:tcW w:w="2345" w:type="dxa"/>
            <w:noWrap w:val="0"/>
            <w:tcMar>
              <w:left w:w="170" w:type="dxa"/>
            </w:tcMar>
            <w:vAlign w:val="center"/>
          </w:tcPr>
          <w:p w14:paraId="10BCF178">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08713BA5">
            <w:pPr>
              <w:rPr>
                <w:rFonts w:hint="eastAsia" w:ascii="宋体"/>
                <w:color w:val="auto"/>
                <w:szCs w:val="21"/>
                <w:highlight w:val="none"/>
              </w:rPr>
            </w:pPr>
            <w:r>
              <w:rPr>
                <w:rFonts w:hint="eastAsia" w:ascii="宋体"/>
                <w:color w:val="auto"/>
                <w:szCs w:val="21"/>
                <w:highlight w:val="none"/>
                <w:u w:val="single"/>
              </w:rPr>
              <w:t xml:space="preserve">             </w:t>
            </w:r>
          </w:p>
        </w:tc>
        <w:tc>
          <w:tcPr>
            <w:tcW w:w="2036" w:type="dxa"/>
            <w:noWrap w:val="0"/>
            <w:vAlign w:val="center"/>
          </w:tcPr>
          <w:p w14:paraId="40842A43">
            <w:pPr>
              <w:jc w:val="center"/>
              <w:rPr>
                <w:rFonts w:hint="eastAsia" w:ascii="宋体"/>
                <w:color w:val="auto"/>
                <w:szCs w:val="21"/>
                <w:highlight w:val="none"/>
              </w:rPr>
            </w:pPr>
          </w:p>
        </w:tc>
      </w:tr>
      <w:tr w14:paraId="2B12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45ED983E">
            <w:pPr>
              <w:jc w:val="center"/>
              <w:rPr>
                <w:rFonts w:hint="eastAsia" w:ascii="宋体"/>
                <w:color w:val="auto"/>
                <w:szCs w:val="21"/>
                <w:highlight w:val="none"/>
              </w:rPr>
            </w:pPr>
            <w:r>
              <w:rPr>
                <w:rFonts w:hint="eastAsia" w:ascii="宋体"/>
                <w:color w:val="auto"/>
                <w:szCs w:val="21"/>
                <w:highlight w:val="none"/>
              </w:rPr>
              <w:t>9</w:t>
            </w:r>
          </w:p>
        </w:tc>
        <w:tc>
          <w:tcPr>
            <w:tcW w:w="2190" w:type="dxa"/>
            <w:noWrap w:val="0"/>
            <w:vAlign w:val="center"/>
          </w:tcPr>
          <w:p w14:paraId="4DB62364">
            <w:pPr>
              <w:rPr>
                <w:rFonts w:hint="eastAsia" w:ascii="宋体"/>
                <w:color w:val="auto"/>
                <w:szCs w:val="21"/>
                <w:highlight w:val="none"/>
              </w:rPr>
            </w:pPr>
            <w:r>
              <w:rPr>
                <w:rFonts w:hint="eastAsia" w:ascii="宋体"/>
                <w:color w:val="auto"/>
                <w:szCs w:val="21"/>
                <w:highlight w:val="none"/>
              </w:rPr>
              <w:t>质量标准</w:t>
            </w:r>
          </w:p>
        </w:tc>
        <w:tc>
          <w:tcPr>
            <w:tcW w:w="2345" w:type="dxa"/>
            <w:noWrap w:val="0"/>
            <w:tcMar>
              <w:left w:w="170" w:type="dxa"/>
            </w:tcMar>
            <w:vAlign w:val="center"/>
          </w:tcPr>
          <w:p w14:paraId="6EE4C339">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0F7958A4">
            <w:pPr>
              <w:jc w:val="center"/>
              <w:rPr>
                <w:rFonts w:hint="eastAsia" w:ascii="宋体"/>
                <w:color w:val="auto"/>
                <w:szCs w:val="21"/>
                <w:highlight w:val="none"/>
              </w:rPr>
            </w:pPr>
          </w:p>
        </w:tc>
        <w:tc>
          <w:tcPr>
            <w:tcW w:w="2036" w:type="dxa"/>
            <w:noWrap w:val="0"/>
            <w:vAlign w:val="center"/>
          </w:tcPr>
          <w:p w14:paraId="688AC5B4">
            <w:pPr>
              <w:jc w:val="center"/>
              <w:rPr>
                <w:rFonts w:hint="eastAsia" w:ascii="宋体"/>
                <w:color w:val="auto"/>
                <w:szCs w:val="21"/>
                <w:highlight w:val="none"/>
              </w:rPr>
            </w:pPr>
          </w:p>
        </w:tc>
      </w:tr>
      <w:tr w14:paraId="418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6E6589E1">
            <w:pPr>
              <w:jc w:val="center"/>
              <w:rPr>
                <w:rFonts w:hint="eastAsia" w:ascii="宋体"/>
                <w:color w:val="auto"/>
                <w:szCs w:val="21"/>
                <w:highlight w:val="none"/>
              </w:rPr>
            </w:pPr>
            <w:r>
              <w:rPr>
                <w:rFonts w:hint="eastAsia" w:ascii="宋体"/>
                <w:color w:val="auto"/>
                <w:szCs w:val="21"/>
                <w:highlight w:val="none"/>
              </w:rPr>
              <w:t>10</w:t>
            </w:r>
          </w:p>
        </w:tc>
        <w:tc>
          <w:tcPr>
            <w:tcW w:w="2190" w:type="dxa"/>
            <w:noWrap w:val="0"/>
            <w:vAlign w:val="center"/>
          </w:tcPr>
          <w:p w14:paraId="6FBDB339">
            <w:pPr>
              <w:rPr>
                <w:rFonts w:hint="eastAsia" w:ascii="宋体"/>
                <w:color w:val="auto"/>
                <w:szCs w:val="21"/>
                <w:highlight w:val="none"/>
              </w:rPr>
            </w:pPr>
            <w:r>
              <w:rPr>
                <w:rFonts w:hint="eastAsia" w:ascii="宋体"/>
                <w:color w:val="auto"/>
                <w:szCs w:val="21"/>
                <w:highlight w:val="none"/>
              </w:rPr>
              <w:t>预付款额度</w:t>
            </w:r>
          </w:p>
        </w:tc>
        <w:tc>
          <w:tcPr>
            <w:tcW w:w="2345" w:type="dxa"/>
            <w:noWrap w:val="0"/>
            <w:tcMar>
              <w:left w:w="170" w:type="dxa"/>
            </w:tcMar>
            <w:vAlign w:val="center"/>
          </w:tcPr>
          <w:p w14:paraId="60637FBF">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0FBB1F9F">
            <w:pPr>
              <w:jc w:val="center"/>
              <w:rPr>
                <w:rFonts w:hint="eastAsia" w:ascii="宋体"/>
                <w:color w:val="auto"/>
                <w:szCs w:val="21"/>
                <w:highlight w:val="none"/>
              </w:rPr>
            </w:pPr>
          </w:p>
        </w:tc>
        <w:tc>
          <w:tcPr>
            <w:tcW w:w="2036" w:type="dxa"/>
            <w:noWrap w:val="0"/>
            <w:vAlign w:val="center"/>
          </w:tcPr>
          <w:p w14:paraId="7D9E665A">
            <w:pPr>
              <w:jc w:val="center"/>
              <w:rPr>
                <w:rFonts w:hint="eastAsia" w:ascii="宋体"/>
                <w:color w:val="auto"/>
                <w:szCs w:val="21"/>
                <w:highlight w:val="none"/>
              </w:rPr>
            </w:pPr>
          </w:p>
        </w:tc>
      </w:tr>
      <w:tr w14:paraId="43D5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46208A2">
            <w:pPr>
              <w:jc w:val="center"/>
              <w:rPr>
                <w:rFonts w:hint="eastAsia" w:ascii="宋体"/>
                <w:color w:val="auto"/>
                <w:szCs w:val="21"/>
                <w:highlight w:val="none"/>
              </w:rPr>
            </w:pPr>
            <w:r>
              <w:rPr>
                <w:rFonts w:hint="eastAsia" w:ascii="宋体"/>
                <w:color w:val="auto"/>
                <w:szCs w:val="21"/>
                <w:highlight w:val="none"/>
              </w:rPr>
              <w:t>11</w:t>
            </w:r>
          </w:p>
        </w:tc>
        <w:tc>
          <w:tcPr>
            <w:tcW w:w="2190" w:type="dxa"/>
            <w:noWrap w:val="0"/>
            <w:vAlign w:val="center"/>
          </w:tcPr>
          <w:p w14:paraId="090B77F9">
            <w:pPr>
              <w:rPr>
                <w:rFonts w:hint="eastAsia" w:ascii="宋体"/>
                <w:color w:val="auto"/>
                <w:szCs w:val="21"/>
                <w:highlight w:val="none"/>
              </w:rPr>
            </w:pPr>
            <w:r>
              <w:rPr>
                <w:rFonts w:hint="eastAsia" w:ascii="宋体"/>
                <w:color w:val="auto"/>
                <w:szCs w:val="21"/>
                <w:highlight w:val="none"/>
              </w:rPr>
              <w:t>预付款保函金额</w:t>
            </w:r>
          </w:p>
        </w:tc>
        <w:tc>
          <w:tcPr>
            <w:tcW w:w="2345" w:type="dxa"/>
            <w:noWrap w:val="0"/>
            <w:tcMar>
              <w:left w:w="170" w:type="dxa"/>
            </w:tcMar>
            <w:vAlign w:val="center"/>
          </w:tcPr>
          <w:p w14:paraId="4DA5E229">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7F64E2A0">
            <w:pPr>
              <w:jc w:val="center"/>
              <w:rPr>
                <w:rFonts w:hint="eastAsia" w:ascii="宋体"/>
                <w:color w:val="auto"/>
                <w:szCs w:val="21"/>
                <w:highlight w:val="none"/>
              </w:rPr>
            </w:pPr>
          </w:p>
        </w:tc>
        <w:tc>
          <w:tcPr>
            <w:tcW w:w="2036" w:type="dxa"/>
            <w:noWrap w:val="0"/>
            <w:vAlign w:val="center"/>
          </w:tcPr>
          <w:p w14:paraId="408EB61A">
            <w:pPr>
              <w:jc w:val="center"/>
              <w:rPr>
                <w:rFonts w:hint="eastAsia" w:ascii="宋体"/>
                <w:color w:val="auto"/>
                <w:szCs w:val="21"/>
                <w:highlight w:val="none"/>
              </w:rPr>
            </w:pPr>
          </w:p>
        </w:tc>
      </w:tr>
      <w:tr w14:paraId="7153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2DB31F7">
            <w:pPr>
              <w:jc w:val="center"/>
              <w:rPr>
                <w:rFonts w:hint="eastAsia" w:ascii="宋体"/>
                <w:color w:val="auto"/>
                <w:szCs w:val="21"/>
                <w:highlight w:val="none"/>
              </w:rPr>
            </w:pPr>
            <w:r>
              <w:rPr>
                <w:rFonts w:hint="eastAsia" w:ascii="宋体"/>
                <w:color w:val="auto"/>
                <w:szCs w:val="21"/>
                <w:highlight w:val="none"/>
              </w:rPr>
              <w:t>12</w:t>
            </w:r>
          </w:p>
        </w:tc>
        <w:tc>
          <w:tcPr>
            <w:tcW w:w="2190" w:type="dxa"/>
            <w:noWrap w:val="0"/>
            <w:vAlign w:val="center"/>
          </w:tcPr>
          <w:p w14:paraId="5029237D">
            <w:pPr>
              <w:rPr>
                <w:rFonts w:hint="eastAsia" w:ascii="宋体"/>
                <w:color w:val="auto"/>
                <w:szCs w:val="21"/>
                <w:highlight w:val="none"/>
              </w:rPr>
            </w:pPr>
            <w:r>
              <w:rPr>
                <w:rFonts w:hint="eastAsia" w:ascii="宋体"/>
                <w:color w:val="auto"/>
                <w:szCs w:val="21"/>
                <w:highlight w:val="none"/>
              </w:rPr>
              <w:t>质量保证金额度</w:t>
            </w:r>
          </w:p>
        </w:tc>
        <w:tc>
          <w:tcPr>
            <w:tcW w:w="2345" w:type="dxa"/>
            <w:noWrap w:val="0"/>
            <w:tcMar>
              <w:left w:w="170" w:type="dxa"/>
            </w:tcMar>
            <w:vAlign w:val="center"/>
          </w:tcPr>
          <w:p w14:paraId="3661934E">
            <w:pPr>
              <w:jc w:val="center"/>
              <w:rPr>
                <w:rFonts w:hint="eastAsia" w:ascii="宋体"/>
                <w:color w:val="auto"/>
                <w:szCs w:val="21"/>
                <w:highlight w:val="none"/>
              </w:rPr>
            </w:pPr>
            <w:r>
              <w:rPr>
                <w:rFonts w:hint="eastAsia" w:ascii="宋体"/>
                <w:color w:val="auto"/>
                <w:szCs w:val="21"/>
                <w:highlight w:val="none"/>
              </w:rPr>
              <w:t>专用合同条款</w:t>
            </w:r>
          </w:p>
        </w:tc>
        <w:tc>
          <w:tcPr>
            <w:tcW w:w="2190" w:type="dxa"/>
            <w:noWrap w:val="0"/>
            <w:vAlign w:val="center"/>
          </w:tcPr>
          <w:p w14:paraId="5C0FF853">
            <w:pPr>
              <w:jc w:val="center"/>
              <w:rPr>
                <w:rFonts w:hint="eastAsia" w:ascii="宋体"/>
                <w:color w:val="auto"/>
                <w:szCs w:val="21"/>
                <w:highlight w:val="none"/>
              </w:rPr>
            </w:pPr>
          </w:p>
        </w:tc>
        <w:tc>
          <w:tcPr>
            <w:tcW w:w="2036" w:type="dxa"/>
            <w:noWrap w:val="0"/>
            <w:vAlign w:val="center"/>
          </w:tcPr>
          <w:p w14:paraId="58CB7269">
            <w:pPr>
              <w:jc w:val="center"/>
              <w:rPr>
                <w:rFonts w:hint="eastAsia" w:ascii="宋体"/>
                <w:color w:val="auto"/>
                <w:szCs w:val="21"/>
                <w:highlight w:val="none"/>
              </w:rPr>
            </w:pPr>
          </w:p>
        </w:tc>
      </w:tr>
      <w:tr w14:paraId="158C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3" w:type="dxa"/>
            <w:noWrap w:val="0"/>
            <w:vAlign w:val="center"/>
          </w:tcPr>
          <w:p w14:paraId="0BA67DC2">
            <w:pPr>
              <w:jc w:val="center"/>
              <w:rPr>
                <w:rFonts w:hint="eastAsia" w:ascii="宋体"/>
                <w:color w:val="auto"/>
                <w:szCs w:val="21"/>
                <w:highlight w:val="none"/>
              </w:rPr>
            </w:pPr>
            <w:r>
              <w:rPr>
                <w:rFonts w:hint="eastAsia" w:ascii="宋体"/>
                <w:color w:val="auto"/>
                <w:szCs w:val="21"/>
                <w:highlight w:val="none"/>
              </w:rPr>
              <w:t>……</w:t>
            </w:r>
          </w:p>
        </w:tc>
        <w:tc>
          <w:tcPr>
            <w:tcW w:w="2190" w:type="dxa"/>
            <w:noWrap w:val="0"/>
            <w:vAlign w:val="center"/>
          </w:tcPr>
          <w:p w14:paraId="2075ED40">
            <w:pPr>
              <w:jc w:val="center"/>
              <w:rPr>
                <w:rFonts w:hint="eastAsia" w:ascii="宋体"/>
                <w:color w:val="auto"/>
                <w:szCs w:val="21"/>
                <w:highlight w:val="none"/>
              </w:rPr>
            </w:pPr>
            <w:r>
              <w:rPr>
                <w:rFonts w:hint="eastAsia" w:ascii="宋体"/>
                <w:color w:val="auto"/>
                <w:szCs w:val="21"/>
                <w:highlight w:val="none"/>
              </w:rPr>
              <w:t>……</w:t>
            </w:r>
          </w:p>
        </w:tc>
        <w:tc>
          <w:tcPr>
            <w:tcW w:w="2345" w:type="dxa"/>
            <w:noWrap w:val="0"/>
            <w:tcMar>
              <w:left w:w="170" w:type="dxa"/>
            </w:tcMar>
            <w:vAlign w:val="center"/>
          </w:tcPr>
          <w:p w14:paraId="60E7FA91">
            <w:pPr>
              <w:rPr>
                <w:rFonts w:hint="eastAsia" w:ascii="宋体"/>
                <w:color w:val="auto"/>
                <w:szCs w:val="21"/>
                <w:highlight w:val="none"/>
              </w:rPr>
            </w:pPr>
          </w:p>
        </w:tc>
        <w:tc>
          <w:tcPr>
            <w:tcW w:w="2190" w:type="dxa"/>
            <w:noWrap w:val="0"/>
            <w:vAlign w:val="center"/>
          </w:tcPr>
          <w:p w14:paraId="06E3D26A">
            <w:pPr>
              <w:jc w:val="center"/>
              <w:rPr>
                <w:rFonts w:hint="eastAsia" w:ascii="宋体"/>
                <w:color w:val="auto"/>
                <w:szCs w:val="21"/>
                <w:highlight w:val="none"/>
              </w:rPr>
            </w:pPr>
          </w:p>
        </w:tc>
        <w:tc>
          <w:tcPr>
            <w:tcW w:w="2036" w:type="dxa"/>
            <w:noWrap w:val="0"/>
            <w:vAlign w:val="center"/>
          </w:tcPr>
          <w:p w14:paraId="6CA9578B">
            <w:pPr>
              <w:jc w:val="center"/>
              <w:rPr>
                <w:rFonts w:hint="eastAsia" w:ascii="宋体"/>
                <w:color w:val="auto"/>
                <w:szCs w:val="21"/>
                <w:highlight w:val="none"/>
              </w:rPr>
            </w:pPr>
          </w:p>
        </w:tc>
      </w:tr>
      <w:tr w14:paraId="4076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854" w:type="dxa"/>
            <w:gridSpan w:val="5"/>
            <w:noWrap w:val="0"/>
            <w:vAlign w:val="center"/>
          </w:tcPr>
          <w:p w14:paraId="57084406">
            <w:pPr>
              <w:rPr>
                <w:rFonts w:hint="eastAsia" w:ascii="宋体"/>
                <w:color w:val="auto"/>
                <w:szCs w:val="21"/>
                <w:highlight w:val="none"/>
              </w:rPr>
            </w:pPr>
            <w:r>
              <w:rPr>
                <w:rFonts w:hint="eastAsia" w:ascii="宋体"/>
                <w:color w:val="auto"/>
                <w:szCs w:val="21"/>
                <w:highlight w:val="none"/>
              </w:rPr>
              <w:t>备注：</w:t>
            </w:r>
            <w:r>
              <w:rPr>
                <w:rFonts w:hint="eastAsia" w:ascii="宋体"/>
                <w:color w:val="auto"/>
                <w:szCs w:val="21"/>
                <w:highlight w:val="none"/>
                <w:lang w:eastAsia="zh-CN"/>
              </w:rPr>
              <w:t>供应商</w:t>
            </w:r>
            <w:r>
              <w:rPr>
                <w:rFonts w:hint="eastAsia" w:ascii="宋体"/>
                <w:color w:val="auto"/>
                <w:szCs w:val="21"/>
                <w:highlight w:val="none"/>
              </w:rPr>
              <w:t>在响应招标文件中规定的实质性要求和条件的基础上，可做出其他有利于</w:t>
            </w:r>
            <w:r>
              <w:rPr>
                <w:rFonts w:hint="eastAsia" w:ascii="宋体"/>
                <w:color w:val="auto"/>
                <w:szCs w:val="21"/>
                <w:highlight w:val="none"/>
                <w:lang w:eastAsia="zh-CN"/>
              </w:rPr>
              <w:t>采购人</w:t>
            </w:r>
            <w:r>
              <w:rPr>
                <w:rFonts w:hint="eastAsia" w:ascii="宋体"/>
                <w:color w:val="auto"/>
                <w:szCs w:val="21"/>
                <w:highlight w:val="none"/>
              </w:rPr>
              <w:t>的承诺。此类承诺可在本表中予以补充填写。</w:t>
            </w:r>
          </w:p>
        </w:tc>
      </w:tr>
    </w:tbl>
    <w:p w14:paraId="6C10C587">
      <w:pPr>
        <w:snapToGrid w:val="0"/>
        <w:spacing w:line="400" w:lineRule="atLeast"/>
        <w:ind w:firstLine="2520" w:firstLineChars="1200"/>
        <w:outlineLvl w:val="9"/>
        <w:rPr>
          <w:rFonts w:hint="eastAsia" w:ascii="宋体"/>
          <w:color w:val="auto"/>
          <w:szCs w:val="21"/>
          <w:highlight w:val="none"/>
        </w:rPr>
      </w:pPr>
    </w:p>
    <w:p w14:paraId="7BB22310">
      <w:pPr>
        <w:snapToGrid w:val="0"/>
        <w:spacing w:line="400" w:lineRule="atLeast"/>
        <w:ind w:firstLine="2520" w:firstLineChars="1200"/>
        <w:outlineLvl w:val="9"/>
        <w:rPr>
          <w:rFonts w:hint="eastAsia" w:ascii="宋体"/>
          <w:color w:val="auto"/>
          <w:szCs w:val="21"/>
          <w:highlight w:val="none"/>
        </w:rPr>
      </w:pPr>
    </w:p>
    <w:p w14:paraId="7A8CB8A5">
      <w:pPr>
        <w:snapToGrid w:val="0"/>
        <w:spacing w:line="400" w:lineRule="atLeast"/>
        <w:ind w:firstLine="2520" w:firstLineChars="1200"/>
        <w:outlineLvl w:val="4"/>
        <w:rPr>
          <w:rFonts w:hint="eastAsia" w:ascii="宋体"/>
          <w:color w:val="auto"/>
          <w:szCs w:val="21"/>
          <w:highlight w:val="none"/>
          <w:u w:val="single"/>
        </w:rPr>
      </w:pPr>
      <w:r>
        <w:rPr>
          <w:rFonts w:hint="eastAsia" w:ascii="宋体"/>
          <w:color w:val="auto"/>
          <w:szCs w:val="21"/>
          <w:highlight w:val="none"/>
        </w:rPr>
        <w:t>供应商名称[公章(CA签章)、自然人除外]：</w:t>
      </w:r>
      <w:r>
        <w:rPr>
          <w:rFonts w:hint="eastAsia" w:ascii="宋体"/>
          <w:color w:val="auto"/>
          <w:szCs w:val="21"/>
          <w:highlight w:val="none"/>
          <w:u w:val="single"/>
        </w:rPr>
        <w:t xml:space="preserve">              </w:t>
      </w:r>
    </w:p>
    <w:p w14:paraId="6FE8CE42">
      <w:pPr>
        <w:pStyle w:val="12"/>
        <w:spacing w:line="400" w:lineRule="atLeast"/>
        <w:rPr>
          <w:color w:val="auto"/>
          <w:highlight w:val="none"/>
        </w:rPr>
      </w:pPr>
    </w:p>
    <w:p w14:paraId="64FE81BA">
      <w:pPr>
        <w:snapToGrid w:val="0"/>
        <w:spacing w:line="400" w:lineRule="atLeast"/>
        <w:ind w:left="937" w:leftChars="446" w:firstLine="3255" w:firstLineChars="1550"/>
        <w:jc w:val="left"/>
        <w:rPr>
          <w:rFonts w:hint="eastAsia" w:ascii="宋体"/>
          <w:color w:val="auto"/>
          <w:szCs w:val="21"/>
          <w:highlight w:val="none"/>
        </w:rPr>
      </w:pPr>
      <w:r>
        <w:rPr>
          <w:rFonts w:hint="eastAsia" w:ascii="宋体"/>
          <w:color w:val="auto"/>
          <w:highlight w:val="none"/>
        </w:rPr>
        <w:t>日   期：</w:t>
      </w:r>
      <w:r>
        <w:rPr>
          <w:rFonts w:hint="eastAsia" w:ascii="宋体"/>
          <w:color w:val="auto"/>
          <w:highlight w:val="none"/>
          <w:u w:val="single"/>
        </w:rPr>
        <w:t xml:space="preserve">                         </w:t>
      </w:r>
    </w:p>
    <w:p w14:paraId="37C3A9DE">
      <w:pPr>
        <w:spacing w:line="520" w:lineRule="exact"/>
        <w:jc w:val="center"/>
        <w:rPr>
          <w:rFonts w:hint="eastAsia" w:ascii="宋体"/>
          <w:b/>
          <w:color w:val="auto"/>
          <w:sz w:val="32"/>
          <w:szCs w:val="32"/>
          <w:highlight w:val="none"/>
        </w:rPr>
      </w:pPr>
    </w:p>
    <w:p w14:paraId="10D322DE">
      <w:pPr>
        <w:spacing w:line="520" w:lineRule="exact"/>
        <w:jc w:val="center"/>
        <w:rPr>
          <w:rFonts w:hint="eastAsia" w:ascii="宋体"/>
          <w:b/>
          <w:color w:val="auto"/>
          <w:sz w:val="32"/>
          <w:szCs w:val="32"/>
          <w:highlight w:val="none"/>
        </w:rPr>
      </w:pPr>
    </w:p>
    <w:p w14:paraId="6FCF3670">
      <w:pPr>
        <w:spacing w:line="500" w:lineRule="exact"/>
        <w:rPr>
          <w:rFonts w:hint="eastAsia" w:ascii="宋体"/>
          <w:b/>
          <w:color w:val="auto"/>
          <w:sz w:val="32"/>
          <w:szCs w:val="32"/>
          <w:highlight w:val="none"/>
        </w:rPr>
      </w:pPr>
    </w:p>
    <w:p w14:paraId="05176546">
      <w:pPr>
        <w:pStyle w:val="7"/>
        <w:rPr>
          <w:rFonts w:hint="eastAsia" w:ascii="宋体" w:cs="Courier New"/>
          <w:b/>
          <w:bCs/>
          <w:color w:val="auto"/>
          <w:spacing w:val="6"/>
          <w:sz w:val="28"/>
          <w:szCs w:val="28"/>
          <w:highlight w:val="none"/>
          <w:lang w:bidi="ar-SA"/>
        </w:rPr>
      </w:pPr>
      <w:r>
        <w:rPr>
          <w:rFonts w:hint="eastAsia" w:ascii="宋体"/>
          <w:color w:val="auto"/>
          <w:szCs w:val="21"/>
          <w:highlight w:val="none"/>
        </w:rPr>
        <w:t xml:space="preserve"> </w:t>
      </w:r>
    </w:p>
    <w:p w14:paraId="77C7CF08">
      <w:pPr>
        <w:spacing w:line="480" w:lineRule="exact"/>
        <w:ind w:firstLine="586" w:firstLineChars="200"/>
        <w:jc w:val="both"/>
        <w:rPr>
          <w:rFonts w:hint="eastAsia" w:ascii="宋体" w:cs="Courier New"/>
          <w:b/>
          <w:bCs/>
          <w:color w:val="auto"/>
          <w:spacing w:val="6"/>
          <w:sz w:val="28"/>
          <w:szCs w:val="28"/>
          <w:highlight w:val="none"/>
          <w:lang w:bidi="ar-SA"/>
        </w:rPr>
      </w:pPr>
      <w:r>
        <w:rPr>
          <w:rFonts w:hint="eastAsia" w:ascii="宋体" w:cs="Courier New"/>
          <w:b/>
          <w:bCs/>
          <w:color w:val="auto"/>
          <w:spacing w:val="6"/>
          <w:sz w:val="28"/>
          <w:szCs w:val="28"/>
          <w:highlight w:val="none"/>
          <w:lang w:bidi="ar-SA"/>
        </w:rPr>
        <w:t>2.已标价工程量清单（必须提供）；</w:t>
      </w:r>
    </w:p>
    <w:p w14:paraId="50580540">
      <w:pPr>
        <w:spacing w:line="480" w:lineRule="exact"/>
        <w:jc w:val="center"/>
        <w:rPr>
          <w:rFonts w:hint="eastAsia" w:ascii="宋体" w:cs="Courier New"/>
          <w:b/>
          <w:bCs/>
          <w:color w:val="auto"/>
          <w:spacing w:val="6"/>
          <w:sz w:val="32"/>
          <w:highlight w:val="none"/>
          <w:lang w:bidi="ar-SA"/>
        </w:rPr>
      </w:pPr>
    </w:p>
    <w:p w14:paraId="5CF99246">
      <w:pPr>
        <w:spacing w:line="460" w:lineRule="exact"/>
        <w:ind w:firstLine="420" w:firstLineChars="200"/>
        <w:rPr>
          <w:rFonts w:hint="eastAsia" w:ascii="宋体"/>
          <w:color w:val="auto"/>
          <w:szCs w:val="21"/>
          <w:highlight w:val="none"/>
        </w:rPr>
      </w:pPr>
      <w:r>
        <w:rPr>
          <w:rFonts w:hint="eastAsia" w:ascii="宋体"/>
          <w:color w:val="auto"/>
          <w:szCs w:val="21"/>
          <w:highlight w:val="none"/>
        </w:rPr>
        <w:t>说明：</w:t>
      </w:r>
    </w:p>
    <w:p w14:paraId="65ABFB62">
      <w:pPr>
        <w:spacing w:line="460" w:lineRule="exact"/>
        <w:ind w:firstLine="420" w:firstLineChars="200"/>
        <w:rPr>
          <w:rFonts w:hint="eastAsia" w:ascii="宋体"/>
          <w:color w:val="auto"/>
          <w:szCs w:val="21"/>
          <w:highlight w:val="none"/>
        </w:rPr>
      </w:pPr>
      <w:r>
        <w:rPr>
          <w:rFonts w:hint="eastAsia" w:ascii="宋体"/>
          <w:color w:val="auto"/>
          <w:szCs w:val="21"/>
          <w:highlight w:val="none"/>
        </w:rPr>
        <w:t>1.已标价工程量清单按第</w:t>
      </w:r>
      <w:r>
        <w:rPr>
          <w:rFonts w:hint="eastAsia" w:ascii="宋体"/>
          <w:color w:val="auto"/>
          <w:szCs w:val="21"/>
          <w:highlight w:val="none"/>
          <w:lang w:eastAsia="zh-CN"/>
        </w:rPr>
        <w:t>五</w:t>
      </w:r>
      <w:r>
        <w:rPr>
          <w:rFonts w:hint="eastAsia" w:ascii="宋体"/>
          <w:color w:val="auto"/>
          <w:szCs w:val="21"/>
          <w:highlight w:val="none"/>
        </w:rPr>
        <w:t>章“工程量清单”中的相关清单表格式填写。构成合同文件的已标价工程量清单包括第</w:t>
      </w:r>
      <w:r>
        <w:rPr>
          <w:rFonts w:hint="eastAsia" w:ascii="宋体"/>
          <w:color w:val="auto"/>
          <w:szCs w:val="21"/>
          <w:highlight w:val="none"/>
          <w:lang w:eastAsia="zh-CN"/>
        </w:rPr>
        <w:t>五</w:t>
      </w:r>
      <w:r>
        <w:rPr>
          <w:rFonts w:hint="eastAsia" w:ascii="宋体"/>
          <w:color w:val="auto"/>
          <w:szCs w:val="21"/>
          <w:highlight w:val="none"/>
        </w:rPr>
        <w:t>章“工程量清单”有关工程量清单、磋商报价以及其他说明的内容。</w:t>
      </w:r>
    </w:p>
    <w:p w14:paraId="1D0A28E7">
      <w:pPr>
        <w:snapToGrid w:val="0"/>
        <w:spacing w:line="360" w:lineRule="auto"/>
        <w:ind w:firstLine="420" w:firstLineChars="200"/>
        <w:outlineLvl w:val="9"/>
        <w:rPr>
          <w:rFonts w:hint="eastAsia" w:ascii="宋体"/>
          <w:color w:val="auto"/>
          <w:szCs w:val="21"/>
          <w:highlight w:val="none"/>
        </w:rPr>
      </w:pPr>
    </w:p>
    <w:p w14:paraId="26CCEDB5">
      <w:pPr>
        <w:pStyle w:val="12"/>
        <w:spacing w:line="360" w:lineRule="exact"/>
        <w:rPr>
          <w:rFonts w:hint="eastAsia" w:cs="Times New Roman"/>
          <w:b/>
          <w:color w:val="auto"/>
          <w:sz w:val="28"/>
          <w:szCs w:val="28"/>
          <w:highlight w:val="none"/>
          <w:lang w:bidi="ar-SA"/>
        </w:rPr>
      </w:pPr>
    </w:p>
    <w:p w14:paraId="3A0F35C6">
      <w:pPr>
        <w:pStyle w:val="12"/>
        <w:spacing w:line="360" w:lineRule="exact"/>
        <w:ind w:firstLine="562" w:firstLineChars="200"/>
        <w:rPr>
          <w:rFonts w:hint="eastAsia" w:cs="Times New Roman"/>
          <w:b/>
          <w:color w:val="auto"/>
          <w:sz w:val="28"/>
          <w:szCs w:val="28"/>
          <w:highlight w:val="none"/>
          <w:lang w:bidi="ar-SA"/>
        </w:rPr>
      </w:pPr>
    </w:p>
    <w:p w14:paraId="4594C3E7">
      <w:pPr>
        <w:spacing w:line="400" w:lineRule="exact"/>
        <w:rPr>
          <w:rFonts w:hint="eastAsia" w:ascii="宋体"/>
          <w:b/>
          <w:color w:val="auto"/>
          <w:sz w:val="28"/>
          <w:szCs w:val="28"/>
          <w:highlight w:val="none"/>
        </w:rPr>
      </w:pPr>
    </w:p>
    <w:p w14:paraId="556D99A9">
      <w:pPr>
        <w:spacing w:line="400" w:lineRule="exact"/>
        <w:rPr>
          <w:rFonts w:hint="eastAsia" w:ascii="宋体"/>
          <w:b/>
          <w:color w:val="auto"/>
          <w:sz w:val="28"/>
          <w:szCs w:val="28"/>
          <w:highlight w:val="none"/>
        </w:rPr>
      </w:pPr>
    </w:p>
    <w:p w14:paraId="0FEAA1BD">
      <w:pPr>
        <w:spacing w:line="400" w:lineRule="exact"/>
        <w:rPr>
          <w:rFonts w:hint="eastAsia" w:ascii="宋体"/>
          <w:b/>
          <w:color w:val="auto"/>
          <w:sz w:val="28"/>
          <w:szCs w:val="28"/>
          <w:highlight w:val="none"/>
        </w:rPr>
      </w:pPr>
    </w:p>
    <w:p w14:paraId="7376278B">
      <w:pPr>
        <w:spacing w:line="400" w:lineRule="exact"/>
        <w:rPr>
          <w:rFonts w:hint="eastAsia" w:ascii="宋体"/>
          <w:b/>
          <w:color w:val="auto"/>
          <w:sz w:val="28"/>
          <w:szCs w:val="28"/>
          <w:highlight w:val="none"/>
        </w:rPr>
      </w:pPr>
    </w:p>
    <w:p w14:paraId="7F43A134">
      <w:pPr>
        <w:spacing w:line="400" w:lineRule="exact"/>
        <w:rPr>
          <w:rFonts w:hint="eastAsia" w:ascii="宋体"/>
          <w:b/>
          <w:color w:val="auto"/>
          <w:sz w:val="28"/>
          <w:szCs w:val="28"/>
          <w:highlight w:val="none"/>
        </w:rPr>
      </w:pPr>
    </w:p>
    <w:p w14:paraId="03AFCFF3">
      <w:pPr>
        <w:spacing w:line="400" w:lineRule="exact"/>
        <w:rPr>
          <w:rFonts w:hint="eastAsia" w:ascii="宋体"/>
          <w:b/>
          <w:color w:val="auto"/>
          <w:sz w:val="28"/>
          <w:szCs w:val="28"/>
          <w:highlight w:val="none"/>
        </w:rPr>
      </w:pPr>
    </w:p>
    <w:p w14:paraId="254DF029">
      <w:pPr>
        <w:spacing w:line="400" w:lineRule="exact"/>
        <w:rPr>
          <w:rFonts w:hint="eastAsia" w:ascii="宋体"/>
          <w:b/>
          <w:color w:val="auto"/>
          <w:sz w:val="28"/>
          <w:szCs w:val="28"/>
          <w:highlight w:val="none"/>
        </w:rPr>
      </w:pPr>
    </w:p>
    <w:p w14:paraId="7DE18404">
      <w:pPr>
        <w:spacing w:line="400" w:lineRule="exact"/>
        <w:rPr>
          <w:rFonts w:hint="eastAsia" w:ascii="宋体"/>
          <w:b/>
          <w:color w:val="auto"/>
          <w:sz w:val="28"/>
          <w:szCs w:val="28"/>
          <w:highlight w:val="none"/>
        </w:rPr>
      </w:pPr>
    </w:p>
    <w:p w14:paraId="3DCBACA7">
      <w:pPr>
        <w:spacing w:line="400" w:lineRule="exact"/>
        <w:rPr>
          <w:rFonts w:hint="eastAsia" w:ascii="宋体"/>
          <w:b/>
          <w:color w:val="auto"/>
          <w:sz w:val="28"/>
          <w:szCs w:val="28"/>
          <w:highlight w:val="none"/>
        </w:rPr>
      </w:pPr>
    </w:p>
    <w:p w14:paraId="107E0978">
      <w:pPr>
        <w:pStyle w:val="7"/>
        <w:rPr>
          <w:rFonts w:hint="eastAsia" w:ascii="宋体"/>
          <w:b/>
          <w:color w:val="auto"/>
          <w:sz w:val="28"/>
          <w:szCs w:val="28"/>
          <w:highlight w:val="none"/>
        </w:rPr>
      </w:pPr>
    </w:p>
    <w:p w14:paraId="49DD859F">
      <w:pPr>
        <w:pStyle w:val="7"/>
        <w:rPr>
          <w:rFonts w:hint="eastAsia" w:ascii="宋体"/>
          <w:b/>
          <w:color w:val="auto"/>
          <w:sz w:val="28"/>
          <w:szCs w:val="28"/>
          <w:highlight w:val="none"/>
        </w:rPr>
      </w:pPr>
    </w:p>
    <w:p w14:paraId="1997627F">
      <w:pPr>
        <w:spacing w:line="400" w:lineRule="exact"/>
        <w:rPr>
          <w:rFonts w:hint="eastAsia" w:ascii="宋体"/>
          <w:b/>
          <w:color w:val="auto"/>
          <w:sz w:val="28"/>
          <w:szCs w:val="28"/>
          <w:highlight w:val="none"/>
        </w:rPr>
      </w:pPr>
    </w:p>
    <w:p w14:paraId="69C8D31F">
      <w:pPr>
        <w:spacing w:line="400" w:lineRule="exact"/>
        <w:ind w:firstLine="562" w:firstLineChars="200"/>
        <w:rPr>
          <w:rFonts w:hint="eastAsia" w:ascii="宋体"/>
          <w:color w:val="auto"/>
          <w:sz w:val="24"/>
          <w:highlight w:val="none"/>
        </w:rPr>
      </w:pPr>
      <w:r>
        <w:rPr>
          <w:rFonts w:hint="eastAsia" w:ascii="宋体"/>
          <w:b/>
          <w:color w:val="auto"/>
          <w:sz w:val="28"/>
          <w:szCs w:val="28"/>
          <w:highlight w:val="none"/>
        </w:rPr>
        <w:br w:type="page"/>
      </w:r>
      <w:r>
        <w:rPr>
          <w:rFonts w:hint="eastAsia" w:ascii="宋体"/>
          <w:b/>
          <w:color w:val="auto"/>
          <w:sz w:val="28"/>
          <w:szCs w:val="28"/>
          <w:highlight w:val="none"/>
          <w:lang w:val="en-US" w:eastAsia="zh-CN"/>
        </w:rPr>
        <w:t>3</w:t>
      </w:r>
      <w:r>
        <w:rPr>
          <w:rFonts w:hint="eastAsia" w:ascii="宋体"/>
          <w:b/>
          <w:color w:val="auto"/>
          <w:sz w:val="28"/>
          <w:szCs w:val="28"/>
          <w:highlight w:val="none"/>
        </w:rPr>
        <w:t>.项目管理机构组成表（必须提供）；</w:t>
      </w:r>
    </w:p>
    <w:p w14:paraId="21BC42B5">
      <w:pPr>
        <w:spacing w:line="400" w:lineRule="exact"/>
        <w:ind w:firstLine="360" w:firstLineChars="150"/>
        <w:jc w:val="left"/>
        <w:rPr>
          <w:rFonts w:hint="eastAsia" w:ascii="宋体"/>
          <w:color w:val="auto"/>
          <w:sz w:val="24"/>
          <w:highlight w:val="none"/>
        </w:rPr>
      </w:pPr>
      <w:r>
        <w:rPr>
          <w:rFonts w:hint="eastAsia" w:ascii="宋体"/>
          <w:color w:val="auto"/>
          <w:sz w:val="24"/>
          <w:highlight w:val="none"/>
        </w:rPr>
        <w:t>附件</w:t>
      </w:r>
    </w:p>
    <w:p w14:paraId="18BC0755">
      <w:pPr>
        <w:spacing w:line="400" w:lineRule="exact"/>
        <w:ind w:firstLine="422" w:firstLineChars="150"/>
        <w:jc w:val="center"/>
        <w:rPr>
          <w:rFonts w:hint="eastAsia" w:ascii="宋体"/>
          <w:b/>
          <w:color w:val="auto"/>
          <w:sz w:val="28"/>
          <w:szCs w:val="28"/>
          <w:highlight w:val="none"/>
        </w:rPr>
      </w:pPr>
      <w:r>
        <w:rPr>
          <w:rFonts w:hint="eastAsia" w:ascii="宋体"/>
          <w:b/>
          <w:color w:val="auto"/>
          <w:sz w:val="28"/>
          <w:szCs w:val="28"/>
          <w:highlight w:val="none"/>
        </w:rPr>
        <w:t>项目管理机构组成表</w:t>
      </w:r>
    </w:p>
    <w:tbl>
      <w:tblPr>
        <w:tblStyle w:val="20"/>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788"/>
        <w:gridCol w:w="787"/>
        <w:gridCol w:w="1439"/>
        <w:gridCol w:w="2950"/>
      </w:tblGrid>
      <w:tr w14:paraId="250F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02817B9">
            <w:pPr>
              <w:spacing w:line="300" w:lineRule="auto"/>
              <w:jc w:val="center"/>
              <w:rPr>
                <w:rFonts w:hint="eastAsia" w:ascii="宋体"/>
                <w:color w:val="auto"/>
                <w:szCs w:val="21"/>
                <w:highlight w:val="none"/>
              </w:rPr>
            </w:pPr>
            <w:r>
              <w:rPr>
                <w:rFonts w:hint="eastAsia" w:ascii="宋体"/>
                <w:color w:val="auto"/>
                <w:szCs w:val="21"/>
                <w:highlight w:val="none"/>
              </w:rPr>
              <w:t>名   称</w:t>
            </w:r>
          </w:p>
        </w:tc>
        <w:tc>
          <w:tcPr>
            <w:tcW w:w="788" w:type="dxa"/>
            <w:noWrap w:val="0"/>
            <w:vAlign w:val="center"/>
          </w:tcPr>
          <w:p w14:paraId="2BB45237">
            <w:pPr>
              <w:spacing w:line="300" w:lineRule="auto"/>
              <w:jc w:val="center"/>
              <w:rPr>
                <w:rFonts w:hint="eastAsia" w:ascii="宋体"/>
                <w:color w:val="auto"/>
                <w:szCs w:val="21"/>
                <w:highlight w:val="none"/>
              </w:rPr>
            </w:pPr>
            <w:r>
              <w:rPr>
                <w:rFonts w:hint="eastAsia" w:ascii="宋体"/>
                <w:color w:val="auto"/>
                <w:szCs w:val="21"/>
                <w:highlight w:val="none"/>
              </w:rPr>
              <w:t>姓名</w:t>
            </w:r>
          </w:p>
        </w:tc>
        <w:tc>
          <w:tcPr>
            <w:tcW w:w="787" w:type="dxa"/>
            <w:noWrap w:val="0"/>
            <w:vAlign w:val="center"/>
          </w:tcPr>
          <w:p w14:paraId="2703F26C">
            <w:pPr>
              <w:spacing w:line="300" w:lineRule="auto"/>
              <w:jc w:val="center"/>
              <w:rPr>
                <w:rFonts w:hint="eastAsia" w:ascii="宋体"/>
                <w:color w:val="auto"/>
                <w:szCs w:val="21"/>
                <w:highlight w:val="none"/>
              </w:rPr>
            </w:pPr>
            <w:r>
              <w:rPr>
                <w:rFonts w:hint="eastAsia" w:ascii="宋体"/>
                <w:color w:val="auto"/>
                <w:szCs w:val="21"/>
                <w:highlight w:val="none"/>
              </w:rPr>
              <w:t>职务</w:t>
            </w:r>
          </w:p>
        </w:tc>
        <w:tc>
          <w:tcPr>
            <w:tcW w:w="1439" w:type="dxa"/>
            <w:noWrap w:val="0"/>
            <w:vAlign w:val="center"/>
          </w:tcPr>
          <w:p w14:paraId="0750BACB">
            <w:pPr>
              <w:spacing w:line="300" w:lineRule="auto"/>
              <w:jc w:val="center"/>
              <w:rPr>
                <w:rFonts w:hint="eastAsia" w:ascii="宋体"/>
                <w:color w:val="auto"/>
                <w:szCs w:val="21"/>
                <w:highlight w:val="none"/>
              </w:rPr>
            </w:pPr>
            <w:r>
              <w:rPr>
                <w:rFonts w:hint="eastAsia" w:ascii="宋体"/>
                <w:color w:val="auto"/>
                <w:szCs w:val="21"/>
                <w:highlight w:val="none"/>
              </w:rPr>
              <w:t>资质/职称</w:t>
            </w:r>
          </w:p>
        </w:tc>
        <w:tc>
          <w:tcPr>
            <w:tcW w:w="2950" w:type="dxa"/>
            <w:noWrap w:val="0"/>
            <w:vAlign w:val="center"/>
          </w:tcPr>
          <w:p w14:paraId="4941ACEE">
            <w:pPr>
              <w:spacing w:line="300" w:lineRule="auto"/>
              <w:jc w:val="center"/>
              <w:rPr>
                <w:rFonts w:hint="eastAsia" w:ascii="宋体"/>
                <w:color w:val="auto"/>
                <w:szCs w:val="21"/>
                <w:highlight w:val="none"/>
              </w:rPr>
            </w:pPr>
            <w:r>
              <w:rPr>
                <w:rFonts w:hint="eastAsia" w:ascii="宋体"/>
                <w:color w:val="auto"/>
                <w:szCs w:val="21"/>
                <w:highlight w:val="none"/>
              </w:rPr>
              <w:t>主要资历、经验及承担的项目</w:t>
            </w:r>
          </w:p>
        </w:tc>
      </w:tr>
      <w:tr w14:paraId="1DCB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F4E7D31">
            <w:pPr>
              <w:spacing w:line="300" w:lineRule="auto"/>
              <w:rPr>
                <w:rFonts w:hint="eastAsia" w:ascii="宋体"/>
                <w:color w:val="auto"/>
                <w:szCs w:val="21"/>
                <w:highlight w:val="none"/>
              </w:rPr>
            </w:pPr>
            <w:r>
              <w:rPr>
                <w:rFonts w:hint="eastAsia" w:ascii="宋体"/>
                <w:color w:val="auto"/>
                <w:szCs w:val="21"/>
                <w:highlight w:val="none"/>
              </w:rPr>
              <w:t>一、总部</w:t>
            </w:r>
          </w:p>
        </w:tc>
        <w:tc>
          <w:tcPr>
            <w:tcW w:w="788" w:type="dxa"/>
            <w:noWrap w:val="0"/>
            <w:vAlign w:val="center"/>
          </w:tcPr>
          <w:p w14:paraId="013ED352">
            <w:pPr>
              <w:spacing w:line="300" w:lineRule="auto"/>
              <w:rPr>
                <w:rFonts w:hint="eastAsia" w:ascii="宋体"/>
                <w:color w:val="auto"/>
                <w:szCs w:val="21"/>
                <w:highlight w:val="none"/>
              </w:rPr>
            </w:pPr>
          </w:p>
        </w:tc>
        <w:tc>
          <w:tcPr>
            <w:tcW w:w="787" w:type="dxa"/>
            <w:noWrap w:val="0"/>
            <w:vAlign w:val="center"/>
          </w:tcPr>
          <w:p w14:paraId="114B7133">
            <w:pPr>
              <w:spacing w:line="300" w:lineRule="auto"/>
              <w:rPr>
                <w:rFonts w:hint="eastAsia" w:ascii="宋体"/>
                <w:color w:val="auto"/>
                <w:szCs w:val="21"/>
                <w:highlight w:val="none"/>
              </w:rPr>
            </w:pPr>
          </w:p>
        </w:tc>
        <w:tc>
          <w:tcPr>
            <w:tcW w:w="1439" w:type="dxa"/>
            <w:noWrap w:val="0"/>
            <w:vAlign w:val="center"/>
          </w:tcPr>
          <w:p w14:paraId="320B8A66">
            <w:pPr>
              <w:spacing w:line="300" w:lineRule="auto"/>
              <w:rPr>
                <w:rFonts w:hint="eastAsia" w:ascii="宋体"/>
                <w:color w:val="auto"/>
                <w:szCs w:val="21"/>
                <w:highlight w:val="none"/>
              </w:rPr>
            </w:pPr>
          </w:p>
        </w:tc>
        <w:tc>
          <w:tcPr>
            <w:tcW w:w="2950" w:type="dxa"/>
            <w:noWrap w:val="0"/>
            <w:vAlign w:val="center"/>
          </w:tcPr>
          <w:p w14:paraId="1C7CF6EB">
            <w:pPr>
              <w:spacing w:line="300" w:lineRule="auto"/>
              <w:rPr>
                <w:rFonts w:hint="eastAsia" w:ascii="宋体"/>
                <w:color w:val="auto"/>
                <w:szCs w:val="21"/>
                <w:highlight w:val="none"/>
              </w:rPr>
            </w:pPr>
          </w:p>
        </w:tc>
      </w:tr>
      <w:tr w14:paraId="1560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A3AE379">
            <w:pPr>
              <w:spacing w:line="300" w:lineRule="auto"/>
              <w:rPr>
                <w:rFonts w:hint="eastAsia" w:ascii="宋体"/>
                <w:color w:val="auto"/>
                <w:szCs w:val="21"/>
                <w:highlight w:val="none"/>
              </w:rPr>
            </w:pPr>
            <w:r>
              <w:rPr>
                <w:rFonts w:hint="eastAsia" w:ascii="宋体"/>
                <w:color w:val="auto"/>
                <w:szCs w:val="21"/>
                <w:highlight w:val="none"/>
              </w:rPr>
              <w:t>1.项目主管</w:t>
            </w:r>
          </w:p>
        </w:tc>
        <w:tc>
          <w:tcPr>
            <w:tcW w:w="788" w:type="dxa"/>
            <w:noWrap w:val="0"/>
            <w:vAlign w:val="center"/>
          </w:tcPr>
          <w:p w14:paraId="153A8D76">
            <w:pPr>
              <w:spacing w:line="300" w:lineRule="auto"/>
              <w:rPr>
                <w:rFonts w:hint="eastAsia" w:ascii="宋体"/>
                <w:color w:val="auto"/>
                <w:szCs w:val="21"/>
                <w:highlight w:val="none"/>
              </w:rPr>
            </w:pPr>
          </w:p>
        </w:tc>
        <w:tc>
          <w:tcPr>
            <w:tcW w:w="787" w:type="dxa"/>
            <w:noWrap w:val="0"/>
            <w:vAlign w:val="center"/>
          </w:tcPr>
          <w:p w14:paraId="4643E410">
            <w:pPr>
              <w:spacing w:line="300" w:lineRule="auto"/>
              <w:rPr>
                <w:rFonts w:hint="eastAsia" w:ascii="宋体"/>
                <w:color w:val="auto"/>
                <w:szCs w:val="21"/>
                <w:highlight w:val="none"/>
              </w:rPr>
            </w:pPr>
          </w:p>
        </w:tc>
        <w:tc>
          <w:tcPr>
            <w:tcW w:w="1439" w:type="dxa"/>
            <w:noWrap w:val="0"/>
            <w:vAlign w:val="center"/>
          </w:tcPr>
          <w:p w14:paraId="68F7A63E">
            <w:pPr>
              <w:spacing w:line="300" w:lineRule="auto"/>
              <w:rPr>
                <w:rFonts w:hint="eastAsia" w:ascii="宋体"/>
                <w:color w:val="auto"/>
                <w:szCs w:val="21"/>
                <w:highlight w:val="none"/>
              </w:rPr>
            </w:pPr>
          </w:p>
        </w:tc>
        <w:tc>
          <w:tcPr>
            <w:tcW w:w="2950" w:type="dxa"/>
            <w:noWrap w:val="0"/>
            <w:vAlign w:val="center"/>
          </w:tcPr>
          <w:p w14:paraId="0B656CEC">
            <w:pPr>
              <w:spacing w:line="300" w:lineRule="auto"/>
              <w:rPr>
                <w:rFonts w:hint="eastAsia" w:ascii="宋体"/>
                <w:color w:val="auto"/>
                <w:szCs w:val="21"/>
                <w:highlight w:val="none"/>
              </w:rPr>
            </w:pPr>
          </w:p>
        </w:tc>
      </w:tr>
      <w:tr w14:paraId="5553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5079DF6F">
            <w:pPr>
              <w:spacing w:line="300" w:lineRule="auto"/>
              <w:rPr>
                <w:rFonts w:hint="eastAsia" w:ascii="宋体"/>
                <w:color w:val="auto"/>
                <w:szCs w:val="21"/>
                <w:highlight w:val="none"/>
              </w:rPr>
            </w:pPr>
            <w:r>
              <w:rPr>
                <w:rFonts w:hint="eastAsia" w:ascii="宋体"/>
                <w:color w:val="auto"/>
                <w:szCs w:val="21"/>
                <w:highlight w:val="none"/>
              </w:rPr>
              <w:t>2.其他人员</w:t>
            </w:r>
          </w:p>
        </w:tc>
        <w:tc>
          <w:tcPr>
            <w:tcW w:w="788" w:type="dxa"/>
            <w:noWrap w:val="0"/>
            <w:vAlign w:val="center"/>
          </w:tcPr>
          <w:p w14:paraId="05C4EC28">
            <w:pPr>
              <w:spacing w:line="300" w:lineRule="auto"/>
              <w:rPr>
                <w:rFonts w:hint="eastAsia" w:ascii="宋体"/>
                <w:color w:val="auto"/>
                <w:szCs w:val="21"/>
                <w:highlight w:val="none"/>
              </w:rPr>
            </w:pPr>
          </w:p>
        </w:tc>
        <w:tc>
          <w:tcPr>
            <w:tcW w:w="787" w:type="dxa"/>
            <w:noWrap w:val="0"/>
            <w:vAlign w:val="center"/>
          </w:tcPr>
          <w:p w14:paraId="34A0B12B">
            <w:pPr>
              <w:spacing w:line="300" w:lineRule="auto"/>
              <w:rPr>
                <w:rFonts w:hint="eastAsia" w:ascii="宋体"/>
                <w:color w:val="auto"/>
                <w:szCs w:val="21"/>
                <w:highlight w:val="none"/>
              </w:rPr>
            </w:pPr>
          </w:p>
        </w:tc>
        <w:tc>
          <w:tcPr>
            <w:tcW w:w="1439" w:type="dxa"/>
            <w:noWrap w:val="0"/>
            <w:vAlign w:val="center"/>
          </w:tcPr>
          <w:p w14:paraId="0E506993">
            <w:pPr>
              <w:spacing w:line="300" w:lineRule="auto"/>
              <w:rPr>
                <w:rFonts w:hint="eastAsia" w:ascii="宋体"/>
                <w:color w:val="auto"/>
                <w:szCs w:val="21"/>
                <w:highlight w:val="none"/>
              </w:rPr>
            </w:pPr>
          </w:p>
        </w:tc>
        <w:tc>
          <w:tcPr>
            <w:tcW w:w="2950" w:type="dxa"/>
            <w:noWrap w:val="0"/>
            <w:vAlign w:val="center"/>
          </w:tcPr>
          <w:p w14:paraId="036DCF99">
            <w:pPr>
              <w:spacing w:line="300" w:lineRule="auto"/>
              <w:rPr>
                <w:rFonts w:hint="eastAsia" w:ascii="宋体"/>
                <w:color w:val="auto"/>
                <w:szCs w:val="21"/>
                <w:highlight w:val="none"/>
              </w:rPr>
            </w:pPr>
          </w:p>
        </w:tc>
      </w:tr>
      <w:tr w14:paraId="36CC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1DFBE9E">
            <w:pPr>
              <w:spacing w:line="300" w:lineRule="auto"/>
              <w:rPr>
                <w:rFonts w:hint="eastAsia" w:ascii="宋体"/>
                <w:color w:val="auto"/>
                <w:szCs w:val="21"/>
                <w:highlight w:val="none"/>
              </w:rPr>
            </w:pPr>
          </w:p>
        </w:tc>
        <w:tc>
          <w:tcPr>
            <w:tcW w:w="788" w:type="dxa"/>
            <w:noWrap w:val="0"/>
            <w:vAlign w:val="center"/>
          </w:tcPr>
          <w:p w14:paraId="326B6017">
            <w:pPr>
              <w:spacing w:line="300" w:lineRule="auto"/>
              <w:rPr>
                <w:rFonts w:hint="eastAsia" w:ascii="宋体"/>
                <w:color w:val="auto"/>
                <w:szCs w:val="21"/>
                <w:highlight w:val="none"/>
              </w:rPr>
            </w:pPr>
          </w:p>
        </w:tc>
        <w:tc>
          <w:tcPr>
            <w:tcW w:w="787" w:type="dxa"/>
            <w:noWrap w:val="0"/>
            <w:vAlign w:val="center"/>
          </w:tcPr>
          <w:p w14:paraId="32A68935">
            <w:pPr>
              <w:spacing w:line="300" w:lineRule="auto"/>
              <w:rPr>
                <w:rFonts w:hint="eastAsia" w:ascii="宋体"/>
                <w:color w:val="auto"/>
                <w:szCs w:val="21"/>
                <w:highlight w:val="none"/>
              </w:rPr>
            </w:pPr>
          </w:p>
        </w:tc>
        <w:tc>
          <w:tcPr>
            <w:tcW w:w="1439" w:type="dxa"/>
            <w:noWrap w:val="0"/>
            <w:vAlign w:val="center"/>
          </w:tcPr>
          <w:p w14:paraId="22A33D56">
            <w:pPr>
              <w:spacing w:line="300" w:lineRule="auto"/>
              <w:rPr>
                <w:rFonts w:hint="eastAsia" w:ascii="宋体"/>
                <w:color w:val="auto"/>
                <w:szCs w:val="21"/>
                <w:highlight w:val="none"/>
              </w:rPr>
            </w:pPr>
          </w:p>
        </w:tc>
        <w:tc>
          <w:tcPr>
            <w:tcW w:w="2950" w:type="dxa"/>
            <w:noWrap w:val="0"/>
            <w:vAlign w:val="center"/>
          </w:tcPr>
          <w:p w14:paraId="25BF4A7C">
            <w:pPr>
              <w:spacing w:line="300" w:lineRule="auto"/>
              <w:rPr>
                <w:rFonts w:hint="eastAsia" w:ascii="宋体"/>
                <w:color w:val="auto"/>
                <w:szCs w:val="21"/>
                <w:highlight w:val="none"/>
              </w:rPr>
            </w:pPr>
          </w:p>
        </w:tc>
      </w:tr>
      <w:tr w14:paraId="76F1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1237175D">
            <w:pPr>
              <w:spacing w:line="300" w:lineRule="auto"/>
              <w:rPr>
                <w:rFonts w:hint="eastAsia" w:ascii="宋体"/>
                <w:color w:val="auto"/>
                <w:szCs w:val="21"/>
                <w:highlight w:val="none"/>
              </w:rPr>
            </w:pPr>
            <w:r>
              <w:rPr>
                <w:rFonts w:hint="eastAsia" w:ascii="宋体"/>
                <w:color w:val="auto"/>
                <w:szCs w:val="21"/>
                <w:highlight w:val="none"/>
              </w:rPr>
              <w:t>二、现场</w:t>
            </w:r>
          </w:p>
        </w:tc>
        <w:tc>
          <w:tcPr>
            <w:tcW w:w="788" w:type="dxa"/>
            <w:noWrap w:val="0"/>
            <w:vAlign w:val="center"/>
          </w:tcPr>
          <w:p w14:paraId="2F6BC80B">
            <w:pPr>
              <w:spacing w:line="300" w:lineRule="auto"/>
              <w:rPr>
                <w:rFonts w:hint="eastAsia" w:ascii="宋体"/>
                <w:color w:val="auto"/>
                <w:szCs w:val="21"/>
                <w:highlight w:val="none"/>
              </w:rPr>
            </w:pPr>
          </w:p>
        </w:tc>
        <w:tc>
          <w:tcPr>
            <w:tcW w:w="787" w:type="dxa"/>
            <w:noWrap w:val="0"/>
            <w:vAlign w:val="center"/>
          </w:tcPr>
          <w:p w14:paraId="133D97F1">
            <w:pPr>
              <w:spacing w:line="300" w:lineRule="auto"/>
              <w:rPr>
                <w:rFonts w:hint="eastAsia" w:ascii="宋体"/>
                <w:color w:val="auto"/>
                <w:szCs w:val="21"/>
                <w:highlight w:val="none"/>
              </w:rPr>
            </w:pPr>
          </w:p>
        </w:tc>
        <w:tc>
          <w:tcPr>
            <w:tcW w:w="1439" w:type="dxa"/>
            <w:noWrap w:val="0"/>
            <w:vAlign w:val="center"/>
          </w:tcPr>
          <w:p w14:paraId="55F21C9E">
            <w:pPr>
              <w:spacing w:line="300" w:lineRule="auto"/>
              <w:rPr>
                <w:rFonts w:hint="eastAsia" w:ascii="宋体"/>
                <w:color w:val="auto"/>
                <w:szCs w:val="21"/>
                <w:highlight w:val="none"/>
              </w:rPr>
            </w:pPr>
          </w:p>
        </w:tc>
        <w:tc>
          <w:tcPr>
            <w:tcW w:w="2950" w:type="dxa"/>
            <w:noWrap w:val="0"/>
            <w:vAlign w:val="center"/>
          </w:tcPr>
          <w:p w14:paraId="3E8830D1">
            <w:pPr>
              <w:spacing w:line="300" w:lineRule="auto"/>
              <w:rPr>
                <w:rFonts w:hint="eastAsia" w:ascii="宋体"/>
                <w:color w:val="auto"/>
                <w:szCs w:val="21"/>
                <w:highlight w:val="none"/>
              </w:rPr>
            </w:pPr>
          </w:p>
        </w:tc>
      </w:tr>
      <w:tr w14:paraId="5C2F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B2DB609">
            <w:pPr>
              <w:spacing w:line="300" w:lineRule="auto"/>
              <w:rPr>
                <w:rFonts w:hint="eastAsia" w:ascii="宋体"/>
                <w:color w:val="auto"/>
                <w:szCs w:val="21"/>
                <w:highlight w:val="none"/>
              </w:rPr>
            </w:pPr>
            <w:r>
              <w:rPr>
                <w:rFonts w:hint="eastAsia" w:ascii="宋体"/>
                <w:color w:val="auto"/>
                <w:szCs w:val="21"/>
                <w:highlight w:val="none"/>
              </w:rPr>
              <w:t>1.项目经理</w:t>
            </w:r>
          </w:p>
        </w:tc>
        <w:tc>
          <w:tcPr>
            <w:tcW w:w="788" w:type="dxa"/>
            <w:noWrap w:val="0"/>
            <w:vAlign w:val="center"/>
          </w:tcPr>
          <w:p w14:paraId="61E4B1BB">
            <w:pPr>
              <w:spacing w:line="300" w:lineRule="auto"/>
              <w:rPr>
                <w:rFonts w:hint="eastAsia" w:ascii="宋体"/>
                <w:color w:val="auto"/>
                <w:szCs w:val="21"/>
                <w:highlight w:val="none"/>
              </w:rPr>
            </w:pPr>
          </w:p>
        </w:tc>
        <w:tc>
          <w:tcPr>
            <w:tcW w:w="787" w:type="dxa"/>
            <w:noWrap w:val="0"/>
            <w:vAlign w:val="center"/>
          </w:tcPr>
          <w:p w14:paraId="06D1C46C">
            <w:pPr>
              <w:spacing w:line="300" w:lineRule="auto"/>
              <w:rPr>
                <w:rFonts w:hint="eastAsia" w:ascii="宋体"/>
                <w:color w:val="auto"/>
                <w:szCs w:val="21"/>
                <w:highlight w:val="none"/>
              </w:rPr>
            </w:pPr>
          </w:p>
        </w:tc>
        <w:tc>
          <w:tcPr>
            <w:tcW w:w="1439" w:type="dxa"/>
            <w:noWrap w:val="0"/>
            <w:vAlign w:val="center"/>
          </w:tcPr>
          <w:p w14:paraId="579D775A">
            <w:pPr>
              <w:spacing w:line="300" w:lineRule="auto"/>
              <w:rPr>
                <w:rFonts w:hint="eastAsia" w:ascii="宋体"/>
                <w:color w:val="auto"/>
                <w:szCs w:val="21"/>
                <w:highlight w:val="none"/>
              </w:rPr>
            </w:pPr>
          </w:p>
        </w:tc>
        <w:tc>
          <w:tcPr>
            <w:tcW w:w="2950" w:type="dxa"/>
            <w:noWrap w:val="0"/>
            <w:vAlign w:val="center"/>
          </w:tcPr>
          <w:p w14:paraId="5BD11362">
            <w:pPr>
              <w:spacing w:line="300" w:lineRule="auto"/>
              <w:rPr>
                <w:rFonts w:hint="eastAsia" w:ascii="宋体"/>
                <w:color w:val="auto"/>
                <w:szCs w:val="21"/>
                <w:highlight w:val="none"/>
              </w:rPr>
            </w:pPr>
          </w:p>
        </w:tc>
      </w:tr>
      <w:tr w14:paraId="1523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E4EF2BF">
            <w:pPr>
              <w:spacing w:line="300" w:lineRule="auto"/>
              <w:rPr>
                <w:rFonts w:hint="eastAsia" w:ascii="宋体"/>
                <w:color w:val="auto"/>
                <w:szCs w:val="21"/>
                <w:highlight w:val="none"/>
              </w:rPr>
            </w:pPr>
            <w:r>
              <w:rPr>
                <w:rFonts w:hint="eastAsia" w:ascii="宋体"/>
                <w:color w:val="auto"/>
                <w:szCs w:val="21"/>
                <w:highlight w:val="none"/>
              </w:rPr>
              <w:t>2.项目副经理（如有）</w:t>
            </w:r>
          </w:p>
        </w:tc>
        <w:tc>
          <w:tcPr>
            <w:tcW w:w="788" w:type="dxa"/>
            <w:noWrap w:val="0"/>
            <w:vAlign w:val="center"/>
          </w:tcPr>
          <w:p w14:paraId="1D8EF24B">
            <w:pPr>
              <w:spacing w:line="300" w:lineRule="auto"/>
              <w:rPr>
                <w:rFonts w:hint="eastAsia" w:ascii="宋体"/>
                <w:color w:val="auto"/>
                <w:szCs w:val="21"/>
                <w:highlight w:val="none"/>
              </w:rPr>
            </w:pPr>
          </w:p>
        </w:tc>
        <w:tc>
          <w:tcPr>
            <w:tcW w:w="787" w:type="dxa"/>
            <w:noWrap w:val="0"/>
            <w:vAlign w:val="center"/>
          </w:tcPr>
          <w:p w14:paraId="1437415E">
            <w:pPr>
              <w:spacing w:line="300" w:lineRule="auto"/>
              <w:rPr>
                <w:rFonts w:hint="eastAsia" w:ascii="宋体"/>
                <w:color w:val="auto"/>
                <w:szCs w:val="21"/>
                <w:highlight w:val="none"/>
              </w:rPr>
            </w:pPr>
          </w:p>
        </w:tc>
        <w:tc>
          <w:tcPr>
            <w:tcW w:w="1439" w:type="dxa"/>
            <w:noWrap w:val="0"/>
            <w:vAlign w:val="center"/>
          </w:tcPr>
          <w:p w14:paraId="79321CCB">
            <w:pPr>
              <w:spacing w:line="300" w:lineRule="auto"/>
              <w:rPr>
                <w:rFonts w:hint="eastAsia" w:ascii="宋体"/>
                <w:color w:val="auto"/>
                <w:szCs w:val="21"/>
                <w:highlight w:val="none"/>
              </w:rPr>
            </w:pPr>
          </w:p>
        </w:tc>
        <w:tc>
          <w:tcPr>
            <w:tcW w:w="2950" w:type="dxa"/>
            <w:noWrap w:val="0"/>
            <w:vAlign w:val="center"/>
          </w:tcPr>
          <w:p w14:paraId="42571139">
            <w:pPr>
              <w:spacing w:line="300" w:lineRule="auto"/>
              <w:rPr>
                <w:rFonts w:hint="eastAsia" w:ascii="宋体"/>
                <w:color w:val="auto"/>
                <w:szCs w:val="21"/>
                <w:highlight w:val="none"/>
              </w:rPr>
            </w:pPr>
          </w:p>
        </w:tc>
      </w:tr>
      <w:tr w14:paraId="62E1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3467A85">
            <w:pPr>
              <w:spacing w:line="300" w:lineRule="auto"/>
              <w:rPr>
                <w:rFonts w:hint="eastAsia" w:ascii="宋体"/>
                <w:color w:val="auto"/>
                <w:szCs w:val="21"/>
                <w:highlight w:val="none"/>
              </w:rPr>
            </w:pPr>
            <w:r>
              <w:rPr>
                <w:rFonts w:hint="eastAsia" w:ascii="宋体"/>
                <w:color w:val="auto"/>
                <w:szCs w:val="21"/>
                <w:highlight w:val="none"/>
              </w:rPr>
              <w:t>……</w:t>
            </w:r>
          </w:p>
        </w:tc>
        <w:tc>
          <w:tcPr>
            <w:tcW w:w="788" w:type="dxa"/>
            <w:noWrap w:val="0"/>
            <w:vAlign w:val="center"/>
          </w:tcPr>
          <w:p w14:paraId="78560613">
            <w:pPr>
              <w:spacing w:line="300" w:lineRule="auto"/>
              <w:rPr>
                <w:rFonts w:hint="eastAsia" w:ascii="宋体"/>
                <w:color w:val="auto"/>
                <w:szCs w:val="21"/>
                <w:highlight w:val="none"/>
              </w:rPr>
            </w:pPr>
          </w:p>
        </w:tc>
        <w:tc>
          <w:tcPr>
            <w:tcW w:w="787" w:type="dxa"/>
            <w:noWrap w:val="0"/>
            <w:vAlign w:val="center"/>
          </w:tcPr>
          <w:p w14:paraId="2487D10F">
            <w:pPr>
              <w:spacing w:line="300" w:lineRule="auto"/>
              <w:rPr>
                <w:rFonts w:hint="eastAsia" w:ascii="宋体"/>
                <w:color w:val="auto"/>
                <w:szCs w:val="21"/>
                <w:highlight w:val="none"/>
              </w:rPr>
            </w:pPr>
          </w:p>
        </w:tc>
        <w:tc>
          <w:tcPr>
            <w:tcW w:w="1439" w:type="dxa"/>
            <w:noWrap w:val="0"/>
            <w:vAlign w:val="center"/>
          </w:tcPr>
          <w:p w14:paraId="7664015F">
            <w:pPr>
              <w:spacing w:line="300" w:lineRule="auto"/>
              <w:rPr>
                <w:rFonts w:hint="eastAsia" w:ascii="宋体"/>
                <w:color w:val="auto"/>
                <w:szCs w:val="21"/>
                <w:highlight w:val="none"/>
              </w:rPr>
            </w:pPr>
          </w:p>
        </w:tc>
        <w:tc>
          <w:tcPr>
            <w:tcW w:w="2950" w:type="dxa"/>
            <w:noWrap w:val="0"/>
            <w:vAlign w:val="center"/>
          </w:tcPr>
          <w:p w14:paraId="182268FC">
            <w:pPr>
              <w:spacing w:line="300" w:lineRule="auto"/>
              <w:rPr>
                <w:rFonts w:hint="eastAsia" w:ascii="宋体"/>
                <w:color w:val="auto"/>
                <w:szCs w:val="21"/>
                <w:highlight w:val="none"/>
              </w:rPr>
            </w:pPr>
          </w:p>
        </w:tc>
      </w:tr>
      <w:tr w14:paraId="2B81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71AAF88">
            <w:pPr>
              <w:spacing w:line="300" w:lineRule="auto"/>
              <w:rPr>
                <w:rFonts w:hint="eastAsia" w:ascii="宋体"/>
                <w:color w:val="auto"/>
                <w:szCs w:val="21"/>
                <w:highlight w:val="none"/>
              </w:rPr>
            </w:pPr>
            <w:r>
              <w:rPr>
                <w:rFonts w:hint="eastAsia" w:ascii="宋体"/>
                <w:color w:val="auto"/>
                <w:szCs w:val="21"/>
                <w:highlight w:val="none"/>
              </w:rPr>
              <w:t>3.技术负责人</w:t>
            </w:r>
          </w:p>
        </w:tc>
        <w:tc>
          <w:tcPr>
            <w:tcW w:w="788" w:type="dxa"/>
            <w:noWrap w:val="0"/>
            <w:vAlign w:val="center"/>
          </w:tcPr>
          <w:p w14:paraId="43D67640">
            <w:pPr>
              <w:spacing w:line="300" w:lineRule="auto"/>
              <w:rPr>
                <w:rFonts w:hint="eastAsia" w:ascii="宋体"/>
                <w:color w:val="auto"/>
                <w:szCs w:val="21"/>
                <w:highlight w:val="none"/>
              </w:rPr>
            </w:pPr>
          </w:p>
        </w:tc>
        <w:tc>
          <w:tcPr>
            <w:tcW w:w="787" w:type="dxa"/>
            <w:noWrap w:val="0"/>
            <w:vAlign w:val="center"/>
          </w:tcPr>
          <w:p w14:paraId="146DA522">
            <w:pPr>
              <w:spacing w:line="300" w:lineRule="auto"/>
              <w:rPr>
                <w:rFonts w:hint="eastAsia" w:ascii="宋体"/>
                <w:color w:val="auto"/>
                <w:szCs w:val="21"/>
                <w:highlight w:val="none"/>
              </w:rPr>
            </w:pPr>
          </w:p>
        </w:tc>
        <w:tc>
          <w:tcPr>
            <w:tcW w:w="1439" w:type="dxa"/>
            <w:noWrap w:val="0"/>
            <w:vAlign w:val="center"/>
          </w:tcPr>
          <w:p w14:paraId="3E4517CB">
            <w:pPr>
              <w:spacing w:line="300" w:lineRule="auto"/>
              <w:rPr>
                <w:rFonts w:hint="eastAsia" w:ascii="宋体"/>
                <w:color w:val="auto"/>
                <w:szCs w:val="21"/>
                <w:highlight w:val="none"/>
              </w:rPr>
            </w:pPr>
          </w:p>
        </w:tc>
        <w:tc>
          <w:tcPr>
            <w:tcW w:w="2950" w:type="dxa"/>
            <w:noWrap w:val="0"/>
            <w:vAlign w:val="center"/>
          </w:tcPr>
          <w:p w14:paraId="75321A9A">
            <w:pPr>
              <w:spacing w:line="300" w:lineRule="auto"/>
              <w:rPr>
                <w:rFonts w:hint="eastAsia" w:ascii="宋体"/>
                <w:color w:val="auto"/>
                <w:szCs w:val="21"/>
                <w:highlight w:val="none"/>
              </w:rPr>
            </w:pPr>
          </w:p>
        </w:tc>
      </w:tr>
      <w:tr w14:paraId="2250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6559A22D">
            <w:pPr>
              <w:spacing w:line="300" w:lineRule="auto"/>
              <w:rPr>
                <w:rFonts w:hint="eastAsia" w:ascii="宋体"/>
                <w:color w:val="auto"/>
                <w:szCs w:val="21"/>
                <w:highlight w:val="none"/>
              </w:rPr>
            </w:pPr>
            <w:r>
              <w:rPr>
                <w:rFonts w:hint="eastAsia" w:ascii="宋体"/>
                <w:color w:val="auto"/>
                <w:szCs w:val="21"/>
                <w:highlight w:val="none"/>
              </w:rPr>
              <w:t>4.施工员</w:t>
            </w:r>
          </w:p>
        </w:tc>
        <w:tc>
          <w:tcPr>
            <w:tcW w:w="788" w:type="dxa"/>
            <w:noWrap w:val="0"/>
            <w:vAlign w:val="center"/>
          </w:tcPr>
          <w:p w14:paraId="38A8A117">
            <w:pPr>
              <w:spacing w:line="300" w:lineRule="auto"/>
              <w:rPr>
                <w:rFonts w:hint="eastAsia" w:ascii="宋体"/>
                <w:color w:val="auto"/>
                <w:szCs w:val="21"/>
                <w:highlight w:val="none"/>
              </w:rPr>
            </w:pPr>
          </w:p>
        </w:tc>
        <w:tc>
          <w:tcPr>
            <w:tcW w:w="787" w:type="dxa"/>
            <w:noWrap w:val="0"/>
            <w:vAlign w:val="center"/>
          </w:tcPr>
          <w:p w14:paraId="259936D4">
            <w:pPr>
              <w:spacing w:line="300" w:lineRule="auto"/>
              <w:rPr>
                <w:rFonts w:hint="eastAsia" w:ascii="宋体"/>
                <w:color w:val="auto"/>
                <w:szCs w:val="21"/>
                <w:highlight w:val="none"/>
              </w:rPr>
            </w:pPr>
          </w:p>
        </w:tc>
        <w:tc>
          <w:tcPr>
            <w:tcW w:w="1439" w:type="dxa"/>
            <w:noWrap w:val="0"/>
            <w:vAlign w:val="center"/>
          </w:tcPr>
          <w:p w14:paraId="7C7521BE">
            <w:pPr>
              <w:spacing w:line="300" w:lineRule="auto"/>
              <w:rPr>
                <w:rFonts w:hint="eastAsia" w:ascii="宋体"/>
                <w:color w:val="auto"/>
                <w:szCs w:val="21"/>
                <w:highlight w:val="none"/>
              </w:rPr>
            </w:pPr>
          </w:p>
        </w:tc>
        <w:tc>
          <w:tcPr>
            <w:tcW w:w="2950" w:type="dxa"/>
            <w:noWrap w:val="0"/>
            <w:vAlign w:val="center"/>
          </w:tcPr>
          <w:p w14:paraId="62E5EC45">
            <w:pPr>
              <w:spacing w:line="300" w:lineRule="auto"/>
              <w:rPr>
                <w:rFonts w:hint="eastAsia" w:ascii="宋体"/>
                <w:color w:val="auto"/>
                <w:szCs w:val="21"/>
                <w:highlight w:val="none"/>
              </w:rPr>
            </w:pPr>
          </w:p>
        </w:tc>
      </w:tr>
      <w:tr w14:paraId="459A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380F3E8">
            <w:pPr>
              <w:spacing w:line="300" w:lineRule="auto"/>
              <w:rPr>
                <w:rFonts w:hint="eastAsia" w:ascii="宋体"/>
                <w:color w:val="auto"/>
                <w:szCs w:val="21"/>
                <w:highlight w:val="none"/>
              </w:rPr>
            </w:pPr>
            <w:r>
              <w:rPr>
                <w:rFonts w:hint="eastAsia" w:ascii="宋体"/>
                <w:color w:val="auto"/>
                <w:szCs w:val="21"/>
                <w:highlight w:val="none"/>
              </w:rPr>
              <w:t>……</w:t>
            </w:r>
          </w:p>
        </w:tc>
        <w:tc>
          <w:tcPr>
            <w:tcW w:w="788" w:type="dxa"/>
            <w:noWrap w:val="0"/>
            <w:vAlign w:val="center"/>
          </w:tcPr>
          <w:p w14:paraId="683A3D4A">
            <w:pPr>
              <w:spacing w:line="300" w:lineRule="auto"/>
              <w:rPr>
                <w:rFonts w:hint="eastAsia" w:ascii="宋体"/>
                <w:color w:val="auto"/>
                <w:szCs w:val="21"/>
                <w:highlight w:val="none"/>
              </w:rPr>
            </w:pPr>
          </w:p>
        </w:tc>
        <w:tc>
          <w:tcPr>
            <w:tcW w:w="787" w:type="dxa"/>
            <w:noWrap w:val="0"/>
            <w:vAlign w:val="center"/>
          </w:tcPr>
          <w:p w14:paraId="0DB3E145">
            <w:pPr>
              <w:spacing w:line="300" w:lineRule="auto"/>
              <w:rPr>
                <w:rFonts w:hint="eastAsia" w:ascii="宋体"/>
                <w:color w:val="auto"/>
                <w:szCs w:val="21"/>
                <w:highlight w:val="none"/>
              </w:rPr>
            </w:pPr>
          </w:p>
        </w:tc>
        <w:tc>
          <w:tcPr>
            <w:tcW w:w="1439" w:type="dxa"/>
            <w:noWrap w:val="0"/>
            <w:vAlign w:val="center"/>
          </w:tcPr>
          <w:p w14:paraId="488A6670">
            <w:pPr>
              <w:spacing w:line="300" w:lineRule="auto"/>
              <w:rPr>
                <w:rFonts w:hint="eastAsia" w:ascii="宋体"/>
                <w:color w:val="auto"/>
                <w:szCs w:val="21"/>
                <w:highlight w:val="none"/>
              </w:rPr>
            </w:pPr>
          </w:p>
        </w:tc>
        <w:tc>
          <w:tcPr>
            <w:tcW w:w="2950" w:type="dxa"/>
            <w:noWrap w:val="0"/>
            <w:vAlign w:val="center"/>
          </w:tcPr>
          <w:p w14:paraId="17130095">
            <w:pPr>
              <w:spacing w:line="300" w:lineRule="auto"/>
              <w:rPr>
                <w:rFonts w:hint="eastAsia" w:ascii="宋体"/>
                <w:color w:val="auto"/>
                <w:szCs w:val="21"/>
                <w:highlight w:val="none"/>
              </w:rPr>
            </w:pPr>
          </w:p>
        </w:tc>
      </w:tr>
      <w:tr w14:paraId="193F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C46AF8F">
            <w:pPr>
              <w:spacing w:line="300" w:lineRule="auto"/>
              <w:rPr>
                <w:rFonts w:hint="eastAsia" w:ascii="宋体"/>
                <w:color w:val="auto"/>
                <w:szCs w:val="21"/>
                <w:highlight w:val="none"/>
              </w:rPr>
            </w:pPr>
            <w:r>
              <w:rPr>
                <w:rFonts w:hint="eastAsia" w:ascii="宋体"/>
                <w:color w:val="auto"/>
                <w:szCs w:val="21"/>
                <w:highlight w:val="none"/>
              </w:rPr>
              <w:t>5. 质检员</w:t>
            </w:r>
          </w:p>
        </w:tc>
        <w:tc>
          <w:tcPr>
            <w:tcW w:w="788" w:type="dxa"/>
            <w:noWrap w:val="0"/>
            <w:vAlign w:val="center"/>
          </w:tcPr>
          <w:p w14:paraId="2C1CDAA1">
            <w:pPr>
              <w:spacing w:line="300" w:lineRule="auto"/>
              <w:rPr>
                <w:rFonts w:hint="eastAsia" w:ascii="宋体"/>
                <w:color w:val="auto"/>
                <w:szCs w:val="21"/>
                <w:highlight w:val="none"/>
              </w:rPr>
            </w:pPr>
          </w:p>
        </w:tc>
        <w:tc>
          <w:tcPr>
            <w:tcW w:w="787" w:type="dxa"/>
            <w:noWrap w:val="0"/>
            <w:vAlign w:val="center"/>
          </w:tcPr>
          <w:p w14:paraId="2F747DE1">
            <w:pPr>
              <w:spacing w:line="300" w:lineRule="auto"/>
              <w:rPr>
                <w:rFonts w:hint="eastAsia" w:ascii="宋体"/>
                <w:color w:val="auto"/>
                <w:szCs w:val="21"/>
                <w:highlight w:val="none"/>
              </w:rPr>
            </w:pPr>
          </w:p>
        </w:tc>
        <w:tc>
          <w:tcPr>
            <w:tcW w:w="1439" w:type="dxa"/>
            <w:noWrap w:val="0"/>
            <w:vAlign w:val="center"/>
          </w:tcPr>
          <w:p w14:paraId="2E80C1D5">
            <w:pPr>
              <w:spacing w:line="300" w:lineRule="auto"/>
              <w:rPr>
                <w:rFonts w:hint="eastAsia" w:ascii="宋体"/>
                <w:color w:val="auto"/>
                <w:szCs w:val="21"/>
                <w:highlight w:val="none"/>
              </w:rPr>
            </w:pPr>
          </w:p>
        </w:tc>
        <w:tc>
          <w:tcPr>
            <w:tcW w:w="2950" w:type="dxa"/>
            <w:noWrap w:val="0"/>
            <w:vAlign w:val="center"/>
          </w:tcPr>
          <w:p w14:paraId="70A14B0D">
            <w:pPr>
              <w:spacing w:line="300" w:lineRule="auto"/>
              <w:rPr>
                <w:rFonts w:hint="eastAsia" w:ascii="宋体"/>
                <w:color w:val="auto"/>
                <w:szCs w:val="21"/>
                <w:highlight w:val="none"/>
              </w:rPr>
            </w:pPr>
          </w:p>
        </w:tc>
      </w:tr>
      <w:tr w14:paraId="215E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3B07B2CF">
            <w:pPr>
              <w:spacing w:line="300" w:lineRule="auto"/>
              <w:rPr>
                <w:rFonts w:hint="eastAsia" w:ascii="宋体"/>
                <w:color w:val="auto"/>
                <w:szCs w:val="21"/>
                <w:highlight w:val="none"/>
              </w:rPr>
            </w:pPr>
            <w:r>
              <w:rPr>
                <w:rFonts w:hint="eastAsia" w:ascii="宋体"/>
                <w:color w:val="auto"/>
                <w:szCs w:val="21"/>
                <w:highlight w:val="none"/>
              </w:rPr>
              <w:t>……</w:t>
            </w:r>
          </w:p>
        </w:tc>
        <w:tc>
          <w:tcPr>
            <w:tcW w:w="788" w:type="dxa"/>
            <w:noWrap w:val="0"/>
            <w:vAlign w:val="center"/>
          </w:tcPr>
          <w:p w14:paraId="2CE05855">
            <w:pPr>
              <w:spacing w:line="300" w:lineRule="auto"/>
              <w:rPr>
                <w:rFonts w:hint="eastAsia" w:ascii="宋体"/>
                <w:color w:val="auto"/>
                <w:szCs w:val="21"/>
                <w:highlight w:val="none"/>
              </w:rPr>
            </w:pPr>
          </w:p>
        </w:tc>
        <w:tc>
          <w:tcPr>
            <w:tcW w:w="787" w:type="dxa"/>
            <w:noWrap w:val="0"/>
            <w:vAlign w:val="center"/>
          </w:tcPr>
          <w:p w14:paraId="6D12A033">
            <w:pPr>
              <w:spacing w:line="300" w:lineRule="auto"/>
              <w:rPr>
                <w:rFonts w:hint="eastAsia" w:ascii="宋体"/>
                <w:color w:val="auto"/>
                <w:szCs w:val="21"/>
                <w:highlight w:val="none"/>
              </w:rPr>
            </w:pPr>
          </w:p>
        </w:tc>
        <w:tc>
          <w:tcPr>
            <w:tcW w:w="1439" w:type="dxa"/>
            <w:noWrap w:val="0"/>
            <w:vAlign w:val="center"/>
          </w:tcPr>
          <w:p w14:paraId="49A6B3F6">
            <w:pPr>
              <w:spacing w:line="300" w:lineRule="auto"/>
              <w:rPr>
                <w:rFonts w:hint="eastAsia" w:ascii="宋体"/>
                <w:color w:val="auto"/>
                <w:szCs w:val="21"/>
                <w:highlight w:val="none"/>
              </w:rPr>
            </w:pPr>
          </w:p>
        </w:tc>
        <w:tc>
          <w:tcPr>
            <w:tcW w:w="2950" w:type="dxa"/>
            <w:noWrap w:val="0"/>
            <w:vAlign w:val="center"/>
          </w:tcPr>
          <w:p w14:paraId="3578ABC2">
            <w:pPr>
              <w:spacing w:line="300" w:lineRule="auto"/>
              <w:rPr>
                <w:rFonts w:hint="eastAsia" w:ascii="宋体"/>
                <w:color w:val="auto"/>
                <w:szCs w:val="21"/>
                <w:highlight w:val="none"/>
              </w:rPr>
            </w:pPr>
          </w:p>
        </w:tc>
      </w:tr>
      <w:tr w14:paraId="5612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7AF40A0B">
            <w:pPr>
              <w:spacing w:line="300" w:lineRule="auto"/>
              <w:rPr>
                <w:rFonts w:hint="eastAsia" w:ascii="宋体"/>
                <w:color w:val="auto"/>
                <w:szCs w:val="21"/>
                <w:highlight w:val="none"/>
              </w:rPr>
            </w:pPr>
            <w:r>
              <w:rPr>
                <w:rFonts w:hint="eastAsia" w:ascii="宋体"/>
                <w:color w:val="auto"/>
                <w:szCs w:val="21"/>
                <w:highlight w:val="none"/>
              </w:rPr>
              <w:t>6.专职安全生产管理人员</w:t>
            </w:r>
          </w:p>
        </w:tc>
        <w:tc>
          <w:tcPr>
            <w:tcW w:w="788" w:type="dxa"/>
            <w:noWrap w:val="0"/>
            <w:vAlign w:val="center"/>
          </w:tcPr>
          <w:p w14:paraId="06B45598">
            <w:pPr>
              <w:spacing w:line="300" w:lineRule="auto"/>
              <w:rPr>
                <w:rFonts w:hint="eastAsia" w:ascii="宋体"/>
                <w:color w:val="auto"/>
                <w:szCs w:val="21"/>
                <w:highlight w:val="none"/>
              </w:rPr>
            </w:pPr>
          </w:p>
        </w:tc>
        <w:tc>
          <w:tcPr>
            <w:tcW w:w="787" w:type="dxa"/>
            <w:noWrap w:val="0"/>
            <w:vAlign w:val="center"/>
          </w:tcPr>
          <w:p w14:paraId="3BB8A9AC">
            <w:pPr>
              <w:spacing w:line="300" w:lineRule="auto"/>
              <w:rPr>
                <w:rFonts w:hint="eastAsia" w:ascii="宋体"/>
                <w:color w:val="auto"/>
                <w:szCs w:val="21"/>
                <w:highlight w:val="none"/>
              </w:rPr>
            </w:pPr>
          </w:p>
        </w:tc>
        <w:tc>
          <w:tcPr>
            <w:tcW w:w="1439" w:type="dxa"/>
            <w:noWrap w:val="0"/>
            <w:vAlign w:val="center"/>
          </w:tcPr>
          <w:p w14:paraId="18A899D9">
            <w:pPr>
              <w:spacing w:line="300" w:lineRule="auto"/>
              <w:rPr>
                <w:rFonts w:hint="eastAsia" w:ascii="宋体"/>
                <w:color w:val="auto"/>
                <w:szCs w:val="21"/>
                <w:highlight w:val="none"/>
              </w:rPr>
            </w:pPr>
          </w:p>
        </w:tc>
        <w:tc>
          <w:tcPr>
            <w:tcW w:w="2950" w:type="dxa"/>
            <w:noWrap w:val="0"/>
            <w:vAlign w:val="center"/>
          </w:tcPr>
          <w:p w14:paraId="34648EB1">
            <w:pPr>
              <w:spacing w:line="300" w:lineRule="auto"/>
              <w:rPr>
                <w:rFonts w:hint="eastAsia" w:ascii="宋体"/>
                <w:color w:val="auto"/>
                <w:szCs w:val="21"/>
                <w:highlight w:val="none"/>
              </w:rPr>
            </w:pPr>
          </w:p>
        </w:tc>
      </w:tr>
      <w:tr w14:paraId="5AF9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210E1F4B">
            <w:pPr>
              <w:spacing w:line="300" w:lineRule="auto"/>
              <w:rPr>
                <w:rFonts w:hint="eastAsia" w:ascii="宋体"/>
                <w:color w:val="auto"/>
                <w:szCs w:val="21"/>
                <w:highlight w:val="none"/>
              </w:rPr>
            </w:pPr>
            <w:r>
              <w:rPr>
                <w:rFonts w:hint="eastAsia" w:ascii="宋体"/>
                <w:color w:val="auto"/>
                <w:szCs w:val="21"/>
                <w:highlight w:val="none"/>
              </w:rPr>
              <w:t>……</w:t>
            </w:r>
          </w:p>
        </w:tc>
        <w:tc>
          <w:tcPr>
            <w:tcW w:w="788" w:type="dxa"/>
            <w:noWrap w:val="0"/>
            <w:vAlign w:val="center"/>
          </w:tcPr>
          <w:p w14:paraId="05E8D111">
            <w:pPr>
              <w:spacing w:line="300" w:lineRule="auto"/>
              <w:rPr>
                <w:rFonts w:hint="eastAsia" w:ascii="宋体"/>
                <w:color w:val="auto"/>
                <w:szCs w:val="21"/>
                <w:highlight w:val="none"/>
              </w:rPr>
            </w:pPr>
          </w:p>
        </w:tc>
        <w:tc>
          <w:tcPr>
            <w:tcW w:w="787" w:type="dxa"/>
            <w:noWrap w:val="0"/>
            <w:vAlign w:val="center"/>
          </w:tcPr>
          <w:p w14:paraId="5C1E8CF4">
            <w:pPr>
              <w:spacing w:line="300" w:lineRule="auto"/>
              <w:rPr>
                <w:rFonts w:hint="eastAsia" w:ascii="宋体"/>
                <w:color w:val="auto"/>
                <w:szCs w:val="21"/>
                <w:highlight w:val="none"/>
              </w:rPr>
            </w:pPr>
          </w:p>
        </w:tc>
        <w:tc>
          <w:tcPr>
            <w:tcW w:w="1439" w:type="dxa"/>
            <w:noWrap w:val="0"/>
            <w:vAlign w:val="center"/>
          </w:tcPr>
          <w:p w14:paraId="02E4F98E">
            <w:pPr>
              <w:spacing w:line="300" w:lineRule="auto"/>
              <w:rPr>
                <w:rFonts w:hint="eastAsia" w:ascii="宋体"/>
                <w:color w:val="auto"/>
                <w:szCs w:val="21"/>
                <w:highlight w:val="none"/>
              </w:rPr>
            </w:pPr>
          </w:p>
        </w:tc>
        <w:tc>
          <w:tcPr>
            <w:tcW w:w="2950" w:type="dxa"/>
            <w:noWrap w:val="0"/>
            <w:vAlign w:val="center"/>
          </w:tcPr>
          <w:p w14:paraId="7122FD25">
            <w:pPr>
              <w:spacing w:line="300" w:lineRule="auto"/>
              <w:rPr>
                <w:rFonts w:hint="eastAsia" w:ascii="宋体"/>
                <w:color w:val="auto"/>
                <w:szCs w:val="21"/>
                <w:highlight w:val="none"/>
              </w:rPr>
            </w:pPr>
          </w:p>
        </w:tc>
      </w:tr>
      <w:tr w14:paraId="273D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jc w:val="center"/>
        </w:trPr>
        <w:tc>
          <w:tcPr>
            <w:tcW w:w="3133" w:type="dxa"/>
            <w:noWrap w:val="0"/>
            <w:vAlign w:val="center"/>
          </w:tcPr>
          <w:p w14:paraId="48A24704">
            <w:pPr>
              <w:spacing w:line="300" w:lineRule="auto"/>
              <w:rPr>
                <w:rFonts w:hint="eastAsia" w:ascii="宋体"/>
                <w:color w:val="auto"/>
                <w:szCs w:val="21"/>
                <w:highlight w:val="none"/>
              </w:rPr>
            </w:pPr>
            <w:r>
              <w:rPr>
                <w:rFonts w:hint="eastAsia" w:ascii="宋体"/>
                <w:color w:val="auto"/>
                <w:szCs w:val="21"/>
                <w:highlight w:val="none"/>
              </w:rPr>
              <w:t>7……</w:t>
            </w:r>
          </w:p>
        </w:tc>
        <w:tc>
          <w:tcPr>
            <w:tcW w:w="788" w:type="dxa"/>
            <w:noWrap w:val="0"/>
            <w:vAlign w:val="center"/>
          </w:tcPr>
          <w:p w14:paraId="150B9D90">
            <w:pPr>
              <w:spacing w:line="300" w:lineRule="auto"/>
              <w:rPr>
                <w:rFonts w:hint="eastAsia" w:ascii="宋体"/>
                <w:color w:val="auto"/>
                <w:szCs w:val="21"/>
                <w:highlight w:val="none"/>
              </w:rPr>
            </w:pPr>
          </w:p>
        </w:tc>
        <w:tc>
          <w:tcPr>
            <w:tcW w:w="787" w:type="dxa"/>
            <w:noWrap w:val="0"/>
            <w:vAlign w:val="center"/>
          </w:tcPr>
          <w:p w14:paraId="3E83D05C">
            <w:pPr>
              <w:spacing w:line="300" w:lineRule="auto"/>
              <w:rPr>
                <w:rFonts w:hint="eastAsia" w:ascii="宋体"/>
                <w:color w:val="auto"/>
                <w:szCs w:val="21"/>
                <w:highlight w:val="none"/>
              </w:rPr>
            </w:pPr>
          </w:p>
        </w:tc>
        <w:tc>
          <w:tcPr>
            <w:tcW w:w="1439" w:type="dxa"/>
            <w:noWrap w:val="0"/>
            <w:vAlign w:val="center"/>
          </w:tcPr>
          <w:p w14:paraId="0A6E1414">
            <w:pPr>
              <w:spacing w:line="300" w:lineRule="auto"/>
              <w:rPr>
                <w:rFonts w:hint="eastAsia" w:ascii="宋体"/>
                <w:color w:val="auto"/>
                <w:szCs w:val="21"/>
                <w:highlight w:val="none"/>
              </w:rPr>
            </w:pPr>
          </w:p>
        </w:tc>
        <w:tc>
          <w:tcPr>
            <w:tcW w:w="2950" w:type="dxa"/>
            <w:noWrap w:val="0"/>
            <w:vAlign w:val="center"/>
          </w:tcPr>
          <w:p w14:paraId="1110CB59">
            <w:pPr>
              <w:spacing w:line="300" w:lineRule="auto"/>
              <w:rPr>
                <w:rFonts w:hint="eastAsia" w:ascii="宋体"/>
                <w:color w:val="auto"/>
                <w:szCs w:val="21"/>
                <w:highlight w:val="none"/>
              </w:rPr>
            </w:pPr>
          </w:p>
        </w:tc>
      </w:tr>
      <w:tr w14:paraId="4B5E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3133" w:type="dxa"/>
            <w:noWrap w:val="0"/>
            <w:vAlign w:val="center"/>
          </w:tcPr>
          <w:p w14:paraId="02552146">
            <w:pPr>
              <w:spacing w:line="300" w:lineRule="auto"/>
              <w:rPr>
                <w:rFonts w:hint="eastAsia" w:ascii="宋体"/>
                <w:color w:val="auto"/>
                <w:szCs w:val="21"/>
                <w:highlight w:val="none"/>
              </w:rPr>
            </w:pPr>
          </w:p>
        </w:tc>
        <w:tc>
          <w:tcPr>
            <w:tcW w:w="788" w:type="dxa"/>
            <w:noWrap w:val="0"/>
            <w:vAlign w:val="center"/>
          </w:tcPr>
          <w:p w14:paraId="06612AC0">
            <w:pPr>
              <w:spacing w:line="300" w:lineRule="auto"/>
              <w:rPr>
                <w:rFonts w:hint="eastAsia" w:ascii="宋体"/>
                <w:color w:val="auto"/>
                <w:szCs w:val="21"/>
                <w:highlight w:val="none"/>
              </w:rPr>
            </w:pPr>
          </w:p>
        </w:tc>
        <w:tc>
          <w:tcPr>
            <w:tcW w:w="787" w:type="dxa"/>
            <w:noWrap w:val="0"/>
            <w:vAlign w:val="center"/>
          </w:tcPr>
          <w:p w14:paraId="1125E061">
            <w:pPr>
              <w:spacing w:line="300" w:lineRule="auto"/>
              <w:rPr>
                <w:rFonts w:hint="eastAsia" w:ascii="宋体"/>
                <w:color w:val="auto"/>
                <w:szCs w:val="21"/>
                <w:highlight w:val="none"/>
              </w:rPr>
            </w:pPr>
          </w:p>
        </w:tc>
        <w:tc>
          <w:tcPr>
            <w:tcW w:w="1439" w:type="dxa"/>
            <w:noWrap w:val="0"/>
            <w:vAlign w:val="center"/>
          </w:tcPr>
          <w:p w14:paraId="2436C414">
            <w:pPr>
              <w:spacing w:line="300" w:lineRule="auto"/>
              <w:rPr>
                <w:rFonts w:hint="eastAsia" w:ascii="宋体"/>
                <w:color w:val="auto"/>
                <w:szCs w:val="21"/>
                <w:highlight w:val="none"/>
              </w:rPr>
            </w:pPr>
          </w:p>
        </w:tc>
        <w:tc>
          <w:tcPr>
            <w:tcW w:w="2950" w:type="dxa"/>
            <w:noWrap w:val="0"/>
            <w:vAlign w:val="center"/>
          </w:tcPr>
          <w:p w14:paraId="1AA47BFB">
            <w:pPr>
              <w:spacing w:line="300" w:lineRule="auto"/>
              <w:rPr>
                <w:rFonts w:hint="eastAsia" w:ascii="宋体"/>
                <w:color w:val="auto"/>
                <w:szCs w:val="21"/>
                <w:highlight w:val="none"/>
              </w:rPr>
            </w:pPr>
          </w:p>
        </w:tc>
      </w:tr>
    </w:tbl>
    <w:p w14:paraId="7BF2C0DB">
      <w:pPr>
        <w:spacing w:line="400" w:lineRule="exact"/>
        <w:rPr>
          <w:rFonts w:hint="eastAsia" w:ascii="宋体"/>
          <w:b/>
          <w:color w:val="auto"/>
          <w:sz w:val="21"/>
          <w:szCs w:val="21"/>
          <w:highlight w:val="none"/>
        </w:rPr>
      </w:pPr>
      <w:r>
        <w:rPr>
          <w:rFonts w:hint="eastAsia" w:ascii="宋体"/>
          <w:b w:val="0"/>
          <w:bCs/>
          <w:color w:val="auto"/>
          <w:sz w:val="21"/>
          <w:szCs w:val="21"/>
          <w:highlight w:val="none"/>
        </w:rPr>
        <w:t>注：项目经理应附身份证、注册建造师执业资格证书、安全生产考核合格证书（B类）、职称证书（如有）的扫描件；项目技术负责人应附身份证扫描件、职称证书扫描件；专职安全生产管理人员应附身份证、专职安全员安全生产考核合格证书（C类）、职称证书（如有）扫描件；其他主要人员应附执业证或上岗证书、职称证书（如有）扫描件；提供以上人员由社保部门出具的供应商为其缴纳的响应文件递交截止时间前半年内任意一个月社保证明扫描件，除供应商为以下三种情形的：①如供应商为截标时间前60日以内成立的公司，可以提供供应商与委托代理人签订的劳动合同扫描件代替社保证明扫描件；②如供应商为事业单位，可以提供事业单位机构编制管理证扫描件或事业单位机构为其发放工资的工资条扫描件代替社保证明扫描件；③如委托代理人为免缴纳社保人员，提供免缴纳社保的证明材料扫描件及供应商与委托代理人签订的劳动合同扫描件代替社保证明扫描件。</w:t>
      </w:r>
    </w:p>
    <w:p w14:paraId="17A3DB36">
      <w:pPr>
        <w:rPr>
          <w:rFonts w:hint="eastAsia" w:ascii="宋体"/>
          <w:b/>
          <w:color w:val="auto"/>
          <w:highlight w:val="none"/>
        </w:rPr>
      </w:pPr>
    </w:p>
    <w:p w14:paraId="4BD8E6E8">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2C00E57D">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517550CD">
      <w:pPr>
        <w:pStyle w:val="9"/>
        <w:rPr>
          <w:rFonts w:hint="eastAsia" w:ascii="宋体" w:cs="MingLiU"/>
          <w:color w:val="auto"/>
          <w:kern w:val="0"/>
          <w:sz w:val="24"/>
          <w:highlight w:val="none"/>
          <w:lang w:bidi="ar-SA"/>
        </w:rPr>
      </w:pPr>
    </w:p>
    <w:p w14:paraId="0FE68B1C">
      <w:pPr>
        <w:pStyle w:val="12"/>
        <w:spacing w:line="460" w:lineRule="exact"/>
        <w:ind w:firstLine="562" w:firstLineChars="200"/>
        <w:rPr>
          <w:rFonts w:hint="eastAsia" w:cs="Times New Roman"/>
          <w:b/>
          <w:color w:val="auto"/>
          <w:sz w:val="28"/>
          <w:szCs w:val="28"/>
          <w:highlight w:val="none"/>
          <w:lang w:bidi="ar-SA"/>
        </w:rPr>
      </w:pPr>
      <w:r>
        <w:rPr>
          <w:rFonts w:hint="eastAsia" w:cs="Times New Roman"/>
          <w:b/>
          <w:color w:val="auto"/>
          <w:sz w:val="28"/>
          <w:szCs w:val="28"/>
          <w:highlight w:val="none"/>
          <w:lang w:val="en-US" w:eastAsia="zh-CN" w:bidi="ar-SA"/>
        </w:rPr>
        <w:t>4</w:t>
      </w:r>
      <w:r>
        <w:rPr>
          <w:rFonts w:hint="eastAsia" w:cs="Times New Roman"/>
          <w:b/>
          <w:color w:val="auto"/>
          <w:sz w:val="28"/>
          <w:szCs w:val="28"/>
          <w:highlight w:val="none"/>
          <w:lang w:bidi="ar-SA"/>
        </w:rPr>
        <w:t>.施工组织设计（根据工程量清单及工程情况自行编制）（格式自拟，必须提供）；</w:t>
      </w:r>
    </w:p>
    <w:p w14:paraId="2D22CED6">
      <w:pPr>
        <w:pStyle w:val="12"/>
        <w:spacing w:line="360" w:lineRule="exact"/>
        <w:ind w:firstLine="1470" w:firstLineChars="700"/>
        <w:rPr>
          <w:rFonts w:hint="eastAsia"/>
          <w:color w:val="auto"/>
          <w:highlight w:val="none"/>
        </w:rPr>
      </w:pPr>
    </w:p>
    <w:p w14:paraId="757D8123">
      <w:pPr>
        <w:pStyle w:val="12"/>
        <w:spacing w:line="360" w:lineRule="exact"/>
        <w:ind w:firstLine="1470" w:firstLineChars="700"/>
        <w:rPr>
          <w:rFonts w:hint="eastAsia"/>
          <w:color w:val="auto"/>
          <w:highlight w:val="none"/>
        </w:rPr>
      </w:pPr>
    </w:p>
    <w:p w14:paraId="0BFDE602">
      <w:pPr>
        <w:pStyle w:val="12"/>
        <w:spacing w:line="360" w:lineRule="exact"/>
        <w:ind w:firstLine="1470" w:firstLineChars="700"/>
        <w:rPr>
          <w:rFonts w:hint="eastAsia"/>
          <w:color w:val="auto"/>
          <w:highlight w:val="none"/>
        </w:rPr>
      </w:pPr>
    </w:p>
    <w:p w14:paraId="43A43324">
      <w:pPr>
        <w:pStyle w:val="12"/>
        <w:spacing w:line="360" w:lineRule="exact"/>
        <w:ind w:firstLine="1470" w:firstLineChars="700"/>
        <w:rPr>
          <w:rFonts w:hint="eastAsia"/>
          <w:color w:val="auto"/>
          <w:highlight w:val="none"/>
        </w:rPr>
      </w:pPr>
    </w:p>
    <w:p w14:paraId="4DD958E1">
      <w:pPr>
        <w:pStyle w:val="12"/>
        <w:spacing w:line="360" w:lineRule="exact"/>
        <w:ind w:firstLine="1470" w:firstLineChars="700"/>
        <w:rPr>
          <w:rFonts w:hint="eastAsia"/>
          <w:color w:val="auto"/>
          <w:highlight w:val="none"/>
        </w:rPr>
      </w:pPr>
    </w:p>
    <w:p w14:paraId="2BA4B35C">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5A5161FE">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2D02B279">
      <w:pPr>
        <w:spacing w:line="400" w:lineRule="exact"/>
        <w:rPr>
          <w:rFonts w:hint="eastAsia" w:ascii="宋体"/>
          <w:b/>
          <w:color w:val="auto"/>
          <w:sz w:val="28"/>
          <w:szCs w:val="28"/>
          <w:highlight w:val="none"/>
        </w:rPr>
      </w:pPr>
    </w:p>
    <w:p w14:paraId="264E4B5E">
      <w:pPr>
        <w:spacing w:line="400" w:lineRule="exact"/>
        <w:rPr>
          <w:rFonts w:hint="eastAsia" w:ascii="宋体"/>
          <w:b/>
          <w:color w:val="auto"/>
          <w:sz w:val="28"/>
          <w:szCs w:val="28"/>
          <w:highlight w:val="none"/>
        </w:rPr>
      </w:pPr>
    </w:p>
    <w:p w14:paraId="474FD277">
      <w:pPr>
        <w:spacing w:line="400" w:lineRule="exact"/>
        <w:rPr>
          <w:rFonts w:hint="eastAsia" w:ascii="宋体"/>
          <w:b/>
          <w:color w:val="auto"/>
          <w:sz w:val="28"/>
          <w:szCs w:val="28"/>
          <w:highlight w:val="none"/>
        </w:rPr>
      </w:pPr>
    </w:p>
    <w:p w14:paraId="26F65B29">
      <w:pPr>
        <w:spacing w:line="400" w:lineRule="exact"/>
        <w:ind w:firstLine="551" w:firstLineChars="196"/>
        <w:rPr>
          <w:rFonts w:hint="eastAsia" w:ascii="宋体" w:cs="宋体"/>
          <w:b/>
          <w:color w:val="auto"/>
          <w:kern w:val="0"/>
          <w:sz w:val="28"/>
          <w:szCs w:val="28"/>
          <w:highlight w:val="none"/>
          <w:lang w:bidi="ar-SA"/>
        </w:rPr>
      </w:pPr>
    </w:p>
    <w:p w14:paraId="762B6824">
      <w:pPr>
        <w:spacing w:line="400" w:lineRule="exact"/>
        <w:ind w:firstLine="551" w:firstLineChars="196"/>
        <w:jc w:val="both"/>
        <w:rPr>
          <w:rFonts w:hint="eastAsia" w:ascii="宋体" w:cs="宋体"/>
          <w:b/>
          <w:color w:val="auto"/>
          <w:kern w:val="0"/>
          <w:sz w:val="28"/>
          <w:szCs w:val="28"/>
          <w:highlight w:val="none"/>
          <w:lang w:bidi="ar-SA"/>
        </w:rPr>
      </w:pPr>
      <w:r>
        <w:rPr>
          <w:rFonts w:hint="eastAsia" w:ascii="宋体" w:cs="宋体"/>
          <w:b/>
          <w:color w:val="auto"/>
          <w:kern w:val="0"/>
          <w:sz w:val="28"/>
          <w:szCs w:val="28"/>
          <w:highlight w:val="none"/>
          <w:lang w:val="en-US" w:eastAsia="zh-CN" w:bidi="ar-SA"/>
        </w:rPr>
        <w:br w:type="page"/>
      </w:r>
      <w:r>
        <w:rPr>
          <w:rFonts w:hint="eastAsia" w:ascii="宋体" w:cs="宋体"/>
          <w:b/>
          <w:color w:val="auto"/>
          <w:kern w:val="0"/>
          <w:sz w:val="28"/>
          <w:szCs w:val="28"/>
          <w:highlight w:val="none"/>
          <w:lang w:val="en-US" w:eastAsia="zh-CN" w:bidi="ar-SA"/>
        </w:rPr>
        <w:t>5</w:t>
      </w:r>
      <w:r>
        <w:rPr>
          <w:rFonts w:hint="eastAsia" w:ascii="宋体" w:cs="宋体"/>
          <w:b/>
          <w:color w:val="auto"/>
          <w:kern w:val="0"/>
          <w:sz w:val="28"/>
          <w:szCs w:val="28"/>
          <w:highlight w:val="none"/>
          <w:lang w:bidi="ar-SA"/>
        </w:rPr>
        <w:t>.建设工程项目管理承诺书（必须提供）；</w:t>
      </w:r>
    </w:p>
    <w:p w14:paraId="5BB13FE1">
      <w:pPr>
        <w:spacing w:line="400" w:lineRule="exact"/>
        <w:ind w:firstLine="551" w:firstLineChars="196"/>
        <w:rPr>
          <w:rFonts w:hint="eastAsia" w:ascii="宋体" w:cs="宋体"/>
          <w:b/>
          <w:color w:val="auto"/>
          <w:kern w:val="0"/>
          <w:sz w:val="28"/>
          <w:szCs w:val="28"/>
          <w:highlight w:val="none"/>
          <w:lang w:bidi="ar-SA"/>
        </w:rPr>
      </w:pPr>
    </w:p>
    <w:p w14:paraId="3F0C1ED8">
      <w:pPr>
        <w:spacing w:line="480" w:lineRule="auto"/>
        <w:jc w:val="left"/>
        <w:rPr>
          <w:rFonts w:hint="eastAsia" w:ascii="宋体"/>
          <w:color w:val="auto"/>
          <w:highlight w:val="none"/>
        </w:rPr>
      </w:pPr>
      <w:r>
        <w:rPr>
          <w:rFonts w:hint="eastAsia" w:ascii="宋体"/>
          <w:color w:val="auto"/>
          <w:highlight w:val="none"/>
          <w:u w:val="single"/>
        </w:rPr>
        <w:t xml:space="preserve">  </w:t>
      </w:r>
      <w:r>
        <w:rPr>
          <w:rFonts w:hint="eastAsia" w:ascii="宋体" w:hAnsi="Times New Roman" w:eastAsia="宋体" w:cs="Times New Roman"/>
          <w:color w:val="auto"/>
          <w:u w:val="single"/>
          <w:lang w:eastAsia="zh-CN"/>
        </w:rPr>
        <w:t>龙胜各族自治县教育局</w:t>
      </w:r>
      <w:r>
        <w:rPr>
          <w:rFonts w:hint="eastAsia" w:ascii="宋体"/>
          <w:color w:val="auto"/>
          <w:highlight w:val="none"/>
          <w:u w:val="single"/>
        </w:rPr>
        <w:t xml:space="preserve">  </w:t>
      </w:r>
      <w:r>
        <w:rPr>
          <w:rFonts w:hint="eastAsia" w:ascii="宋体"/>
          <w:color w:val="auto"/>
          <w:highlight w:val="none"/>
        </w:rPr>
        <w:t>：</w:t>
      </w:r>
    </w:p>
    <w:p w14:paraId="037EEC09">
      <w:pPr>
        <w:spacing w:line="520" w:lineRule="exact"/>
        <w:ind w:firstLine="422" w:firstLineChars="201"/>
        <w:jc w:val="left"/>
        <w:rPr>
          <w:rFonts w:hint="eastAsia" w:ascii="宋体"/>
          <w:color w:val="auto"/>
          <w:highlight w:val="none"/>
        </w:rPr>
      </w:pPr>
      <w:r>
        <w:rPr>
          <w:rFonts w:hint="eastAsia" w:ascii="宋体"/>
          <w:color w:val="auto"/>
          <w:highlight w:val="none"/>
        </w:rPr>
        <w:t>作为参与</w:t>
      </w:r>
      <w:r>
        <w:rPr>
          <w:rFonts w:hint="eastAsia" w:ascii="宋体" w:cs="宋体"/>
          <w:color w:val="auto"/>
          <w:szCs w:val="21"/>
          <w:highlight w:val="none"/>
          <w:u w:val="single"/>
          <w:lang w:bidi="ar-SA"/>
        </w:rPr>
        <w:t> </w:t>
      </w:r>
      <w:r>
        <w:rPr>
          <w:rFonts w:hint="eastAsia" w:ascii="宋体"/>
          <w:color w:val="auto"/>
          <w:highlight w:val="none"/>
          <w:u w:val="single"/>
        </w:rPr>
        <w:t>（项目名称、项目编号 ）</w:t>
      </w:r>
      <w:r>
        <w:rPr>
          <w:rFonts w:hint="eastAsia" w:ascii="宋体"/>
          <w:color w:val="auto"/>
          <w:highlight w:val="none"/>
        </w:rPr>
        <w:t>项目的竞标方，根据国家、自治区及桂林市相关文件规定，我方在此向采购人承诺：</w:t>
      </w:r>
    </w:p>
    <w:p w14:paraId="6A04B62F">
      <w:pPr>
        <w:spacing w:line="520" w:lineRule="exact"/>
        <w:ind w:firstLine="422" w:firstLineChars="201"/>
        <w:jc w:val="left"/>
        <w:rPr>
          <w:rFonts w:hint="eastAsia" w:ascii="宋体"/>
          <w:color w:val="auto"/>
          <w:highlight w:val="none"/>
        </w:rPr>
      </w:pPr>
      <w:r>
        <w:rPr>
          <w:rFonts w:hint="eastAsia" w:ascii="宋体"/>
          <w:color w:val="auto"/>
          <w:highlight w:val="none"/>
        </w:rPr>
        <w:t>1.一旦成交，我方保证按照政府相关部门的规定，在规定时间内足额将农民工工资保障金转入农民工工资保障金专用账户。一旦我方所承包的该项目中出现拖欠农民工和工人工资情况，由建设行政主管部门或财政部门从我方农民工工资保障金中先予划支。我方在中标后如不按时、足额存入农民工工资保障金的，将被取消中标资格。</w:t>
      </w:r>
    </w:p>
    <w:p w14:paraId="4D8B008E">
      <w:pPr>
        <w:spacing w:line="520" w:lineRule="exact"/>
        <w:ind w:left="-10" w:firstLine="455" w:firstLineChars="217"/>
        <w:jc w:val="left"/>
        <w:rPr>
          <w:rFonts w:hint="eastAsia" w:ascii="宋体"/>
          <w:color w:val="auto"/>
          <w:highlight w:val="none"/>
        </w:rPr>
      </w:pPr>
      <w:r>
        <w:rPr>
          <w:rFonts w:hint="eastAsia" w:ascii="宋体"/>
          <w:color w:val="auto"/>
          <w:highlight w:val="none"/>
        </w:rPr>
        <w:t>2.一旦成交，我方保证在施工过程中，严格执行桂建质安[2015]16号文《广西壮族自治区建筑工程安全文明施工费使用管理细则》的有关规定，确保建设工程各项安全防护、文明施工措施落实到位。如我方在该项目的承包中出现未按桂建质安[2015]16号文附件一规定执行的情形，我方愿意按照相关规定接受建设单位及有关主管部门的处罚。</w:t>
      </w:r>
    </w:p>
    <w:p w14:paraId="471807EB">
      <w:pPr>
        <w:spacing w:line="520" w:lineRule="exact"/>
        <w:ind w:left="-2" w:leftChars="-1" w:firstLine="449" w:firstLineChars="214"/>
        <w:jc w:val="left"/>
        <w:rPr>
          <w:rFonts w:hint="eastAsia" w:ascii="宋体"/>
          <w:color w:val="auto"/>
          <w:highlight w:val="none"/>
        </w:rPr>
      </w:pPr>
      <w:r>
        <w:rPr>
          <w:rFonts w:hint="eastAsia" w:ascii="宋体"/>
          <w:color w:val="auto"/>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FD075A2">
      <w:pPr>
        <w:pStyle w:val="50"/>
        <w:spacing w:line="520" w:lineRule="exact"/>
        <w:ind w:left="-10" w:firstLine="455" w:firstLineChars="217"/>
        <w:jc w:val="left"/>
        <w:rPr>
          <w:color w:val="auto"/>
          <w:szCs w:val="21"/>
          <w:highlight w:val="none"/>
        </w:rPr>
      </w:pPr>
      <w:r>
        <w:rPr>
          <w:rFonts w:hint="eastAsia"/>
          <w:color w:val="auto"/>
          <w:szCs w:val="21"/>
          <w:highlight w:val="none"/>
        </w:rPr>
        <w:t>4、一旦中标，我方保证在施工过程中，严格执行《关于禁止使用不符合规范要求的竹脚手架的通知》（</w:t>
      </w:r>
      <w:r>
        <w:rPr>
          <w:color w:val="auto"/>
          <w:szCs w:val="21"/>
          <w:highlight w:val="none"/>
        </w:rPr>
        <w:t>桂建</w:t>
      </w:r>
      <w:r>
        <w:rPr>
          <w:rFonts w:hint="eastAsia"/>
          <w:color w:val="auto"/>
          <w:szCs w:val="21"/>
          <w:highlight w:val="none"/>
        </w:rPr>
        <w:t>管字</w:t>
      </w:r>
      <w:r>
        <w:rPr>
          <w:color w:val="auto"/>
          <w:szCs w:val="21"/>
          <w:highlight w:val="none"/>
        </w:rPr>
        <w:t>〔200</w:t>
      </w:r>
      <w:r>
        <w:rPr>
          <w:rFonts w:hint="eastAsia"/>
          <w:color w:val="auto"/>
          <w:szCs w:val="21"/>
          <w:highlight w:val="none"/>
        </w:rPr>
        <w:t>3</w:t>
      </w:r>
      <w:r>
        <w:rPr>
          <w:color w:val="auto"/>
          <w:szCs w:val="21"/>
          <w:highlight w:val="none"/>
        </w:rPr>
        <w:t>〕</w:t>
      </w:r>
      <w:r>
        <w:rPr>
          <w:rFonts w:hint="eastAsia"/>
          <w:color w:val="auto"/>
          <w:szCs w:val="21"/>
          <w:highlight w:val="none"/>
        </w:rPr>
        <w:t>40</w:t>
      </w:r>
      <w:r>
        <w:rPr>
          <w:color w:val="auto"/>
          <w:szCs w:val="21"/>
          <w:highlight w:val="none"/>
        </w:rPr>
        <w:t>号</w:t>
      </w:r>
      <w:r>
        <w:rPr>
          <w:rFonts w:hint="eastAsia"/>
          <w:color w:val="auto"/>
          <w:szCs w:val="21"/>
          <w:highlight w:val="none"/>
        </w:rPr>
        <w:t>）的有关规定，不使用竹脚手架。如我方在该</w:t>
      </w:r>
      <w:r>
        <w:rPr>
          <w:color w:val="auto"/>
          <w:szCs w:val="21"/>
          <w:highlight w:val="none"/>
        </w:rPr>
        <w:t>项目的承包中出现未按规定执行的情形，我方愿意按照相关规定接受建设单位及有关主管部门的处罚。</w:t>
      </w:r>
    </w:p>
    <w:p w14:paraId="7EE31F64">
      <w:pPr>
        <w:pStyle w:val="50"/>
        <w:spacing w:line="520" w:lineRule="exact"/>
        <w:ind w:left="-10" w:firstLine="455" w:firstLineChars="217"/>
        <w:jc w:val="left"/>
        <w:rPr>
          <w:color w:val="auto"/>
          <w:szCs w:val="21"/>
          <w:highlight w:val="none"/>
        </w:rPr>
      </w:pPr>
      <w:r>
        <w:rPr>
          <w:rFonts w:hint="eastAsia"/>
          <w:color w:val="auto"/>
          <w:szCs w:val="21"/>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20763F55">
      <w:pPr>
        <w:spacing w:line="400" w:lineRule="exact"/>
        <w:ind w:firstLine="551" w:firstLineChars="196"/>
        <w:rPr>
          <w:rFonts w:hint="eastAsia" w:ascii="宋体" w:cs="宋体"/>
          <w:b/>
          <w:color w:val="auto"/>
          <w:kern w:val="0"/>
          <w:sz w:val="28"/>
          <w:szCs w:val="28"/>
          <w:highlight w:val="none"/>
          <w:lang w:bidi="ar-SA"/>
        </w:rPr>
      </w:pPr>
    </w:p>
    <w:p w14:paraId="4C5D5AEE">
      <w:pPr>
        <w:spacing w:line="400" w:lineRule="exact"/>
        <w:ind w:firstLine="551" w:firstLineChars="196"/>
        <w:rPr>
          <w:rFonts w:hint="eastAsia" w:ascii="宋体" w:cs="宋体"/>
          <w:b/>
          <w:color w:val="auto"/>
          <w:kern w:val="0"/>
          <w:sz w:val="28"/>
          <w:szCs w:val="28"/>
          <w:highlight w:val="none"/>
          <w:lang w:bidi="ar-SA"/>
        </w:rPr>
      </w:pPr>
    </w:p>
    <w:p w14:paraId="0AD4187C">
      <w:pPr>
        <w:spacing w:line="400" w:lineRule="exact"/>
        <w:ind w:firstLine="551" w:firstLineChars="196"/>
        <w:rPr>
          <w:rFonts w:hint="eastAsia" w:ascii="宋体" w:cs="宋体"/>
          <w:b/>
          <w:color w:val="auto"/>
          <w:kern w:val="0"/>
          <w:sz w:val="28"/>
          <w:szCs w:val="28"/>
          <w:highlight w:val="none"/>
          <w:lang w:bidi="ar-SA"/>
        </w:rPr>
      </w:pPr>
    </w:p>
    <w:p w14:paraId="572C0CDD">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 xml:space="preserve">               </w:t>
      </w:r>
    </w:p>
    <w:p w14:paraId="2A937F55">
      <w:pPr>
        <w:keepNext w:val="0"/>
        <w:keepLines w:val="0"/>
        <w:pageBreakBefore w:val="0"/>
        <w:widowControl w:val="0"/>
        <w:kinsoku/>
        <w:wordWrap/>
        <w:overflowPunct/>
        <w:topLinePunct w:val="0"/>
        <w:autoSpaceDE/>
        <w:autoSpaceDN/>
        <w:bidi w:val="0"/>
        <w:adjustRightInd/>
        <w:snapToGrid w:val="0"/>
        <w:spacing w:line="360" w:lineRule="auto"/>
        <w:ind w:firstLine="1890" w:firstLineChars="9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lang w:eastAsia="zh-CN"/>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p>
    <w:p w14:paraId="0AC5095F">
      <w:pPr>
        <w:pStyle w:val="50"/>
        <w:spacing w:line="360" w:lineRule="auto"/>
        <w:jc w:val="center"/>
        <w:rPr>
          <w:color w:val="auto"/>
          <w:szCs w:val="21"/>
          <w:highlight w:val="none"/>
        </w:rPr>
      </w:pPr>
      <w:r>
        <w:rPr>
          <w:rFonts w:hint="eastAsia" w:cs="宋体"/>
          <w:b/>
          <w:bCs/>
          <w:color w:val="auto"/>
          <w:sz w:val="28"/>
          <w:szCs w:val="28"/>
          <w:highlight w:val="none"/>
          <w:lang w:bidi="ar-SA"/>
        </w:rPr>
        <w:br w:type="page"/>
      </w:r>
      <w:r>
        <w:rPr>
          <w:rFonts w:hint="eastAsia" w:cs="宋体"/>
          <w:b/>
          <w:bCs/>
          <w:color w:val="auto"/>
          <w:sz w:val="28"/>
          <w:szCs w:val="28"/>
          <w:highlight w:val="none"/>
          <w:lang w:bidi="ar-SA"/>
        </w:rPr>
        <w:t>广西壮族自治区建筑工程安全文明施工措施项目清单内容</w:t>
      </w:r>
    </w:p>
    <w:p w14:paraId="15F98AE5">
      <w:pPr>
        <w:pStyle w:val="50"/>
        <w:spacing w:line="360" w:lineRule="auto"/>
        <w:ind w:firstLine="600" w:firstLineChars="250"/>
        <w:jc w:val="center"/>
        <w:rPr>
          <w:color w:val="auto"/>
          <w:sz w:val="24"/>
          <w:szCs w:val="24"/>
          <w:highlight w:val="none"/>
        </w:rPr>
      </w:pPr>
      <w:r>
        <w:rPr>
          <w:rFonts w:hint="eastAsia" w:cs="宋体"/>
          <w:color w:val="auto"/>
          <w:sz w:val="24"/>
          <w:szCs w:val="24"/>
          <w:highlight w:val="none"/>
          <w:lang w:bidi="ar-SA"/>
        </w:rPr>
        <w:t>（桂建质〔</w:t>
      </w:r>
      <w:r>
        <w:rPr>
          <w:color w:val="auto"/>
          <w:sz w:val="24"/>
          <w:szCs w:val="24"/>
          <w:highlight w:val="none"/>
        </w:rPr>
        <w:t>2015</w:t>
      </w:r>
      <w:r>
        <w:rPr>
          <w:rFonts w:hint="eastAsia" w:cs="宋体"/>
          <w:color w:val="auto"/>
          <w:sz w:val="24"/>
          <w:szCs w:val="24"/>
          <w:highlight w:val="none"/>
          <w:lang w:bidi="ar-SA"/>
        </w:rPr>
        <w:t>〕</w:t>
      </w:r>
      <w:r>
        <w:rPr>
          <w:color w:val="auto"/>
          <w:sz w:val="24"/>
          <w:szCs w:val="24"/>
          <w:highlight w:val="none"/>
        </w:rPr>
        <w:t>16</w:t>
      </w:r>
      <w:r>
        <w:rPr>
          <w:rFonts w:hint="eastAsia" w:cs="宋体"/>
          <w:color w:val="auto"/>
          <w:sz w:val="24"/>
          <w:szCs w:val="24"/>
          <w:highlight w:val="none"/>
          <w:lang w:bidi="ar-SA"/>
        </w:rPr>
        <w:t>号文附件一）</w:t>
      </w:r>
    </w:p>
    <w:p w14:paraId="1A4BFCF9">
      <w:pPr>
        <w:pStyle w:val="50"/>
        <w:spacing w:line="240" w:lineRule="atLeast"/>
        <w:jc w:val="center"/>
        <w:rPr>
          <w:rFonts w:hint="eastAsia" w:ascii="宋体"/>
          <w:b/>
          <w:bCs/>
          <w:color w:val="auto"/>
          <w:sz w:val="24"/>
          <w:szCs w:val="24"/>
          <w:highlight w:val="none"/>
        </w:rPr>
      </w:pPr>
      <w:r>
        <w:rPr>
          <w:rFonts w:hint="eastAsia" w:ascii="宋体" w:cs="宋体"/>
          <w:b/>
          <w:bCs/>
          <w:color w:val="auto"/>
          <w:sz w:val="24"/>
          <w:szCs w:val="24"/>
          <w:highlight w:val="none"/>
          <w:lang w:bidi="ar-SA"/>
        </w:rPr>
        <w:t>广西壮族自治区</w:t>
      </w:r>
    </w:p>
    <w:p w14:paraId="0E833B41">
      <w:pPr>
        <w:pStyle w:val="50"/>
        <w:spacing w:line="240" w:lineRule="atLeast"/>
        <w:ind w:firstLine="546"/>
        <w:jc w:val="center"/>
        <w:rPr>
          <w:b/>
          <w:bCs/>
          <w:color w:val="auto"/>
          <w:w w:val="90"/>
          <w:sz w:val="24"/>
          <w:szCs w:val="24"/>
          <w:highlight w:val="none"/>
        </w:rPr>
      </w:pPr>
      <w:r>
        <w:rPr>
          <w:rFonts w:hint="eastAsia" w:cs="宋体"/>
          <w:b/>
          <w:bCs/>
          <w:color w:val="auto"/>
          <w:w w:val="90"/>
          <w:sz w:val="24"/>
          <w:szCs w:val="24"/>
          <w:highlight w:val="none"/>
          <w:lang w:bidi="ar-SA"/>
        </w:rPr>
        <w:t>建设工程安全文明施工措施项目清单内容</w:t>
      </w:r>
    </w:p>
    <w:p w14:paraId="53243B15">
      <w:pPr>
        <w:pStyle w:val="50"/>
        <w:spacing w:line="240" w:lineRule="atLeast"/>
        <w:ind w:firstLine="546"/>
        <w:jc w:val="center"/>
        <w:rPr>
          <w:b/>
          <w:bCs/>
          <w:color w:val="auto"/>
          <w:w w:val="90"/>
          <w:sz w:val="24"/>
          <w:szCs w:val="24"/>
          <w:highlight w:val="none"/>
        </w:rPr>
      </w:pP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473D6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65C232A6">
            <w:pPr>
              <w:pStyle w:val="50"/>
              <w:spacing w:line="300" w:lineRule="exact"/>
              <w:jc w:val="center"/>
              <w:rPr>
                <w:rFonts w:hint="eastAsia" w:ascii="方正仿宋_GBK" w:eastAsia="方正仿宋_GBK"/>
                <w:b/>
                <w:bCs/>
                <w:color w:val="auto"/>
                <w:szCs w:val="21"/>
                <w:highlight w:val="none"/>
              </w:rPr>
            </w:pPr>
            <w:r>
              <w:rPr>
                <w:rFonts w:hint="eastAsia" w:ascii="方正仿宋_GBK" w:eastAsia="方正仿宋_GBK" w:cs="方正仿宋_GBK"/>
                <w:b/>
                <w:bCs/>
                <w:color w:val="auto"/>
                <w:szCs w:val="21"/>
                <w:highlight w:val="none"/>
                <w:lang w:bidi="ar-SA"/>
              </w:rPr>
              <w:t>类别</w:t>
            </w:r>
          </w:p>
        </w:tc>
        <w:tc>
          <w:tcPr>
            <w:tcW w:w="2070" w:type="dxa"/>
            <w:gridSpan w:val="2"/>
            <w:tcBorders>
              <w:top w:val="single" w:color="auto" w:sz="12" w:space="0"/>
            </w:tcBorders>
            <w:noWrap w:val="0"/>
            <w:vAlign w:val="center"/>
          </w:tcPr>
          <w:p w14:paraId="265A85B0">
            <w:pPr>
              <w:pStyle w:val="50"/>
              <w:spacing w:line="300" w:lineRule="exact"/>
              <w:jc w:val="center"/>
              <w:rPr>
                <w:rFonts w:hint="eastAsia" w:ascii="方正仿宋_GBK" w:eastAsia="方正仿宋_GBK"/>
                <w:b/>
                <w:bCs/>
                <w:color w:val="auto"/>
                <w:szCs w:val="21"/>
                <w:highlight w:val="none"/>
              </w:rPr>
            </w:pPr>
            <w:r>
              <w:rPr>
                <w:rFonts w:hint="eastAsia" w:ascii="方正仿宋_GBK" w:eastAsia="方正仿宋_GBK" w:cs="方正仿宋_GBK"/>
                <w:b/>
                <w:bCs/>
                <w:color w:val="auto"/>
                <w:szCs w:val="21"/>
                <w:highlight w:val="none"/>
                <w:lang w:bidi="ar-SA"/>
              </w:rPr>
              <w:t>项目名称</w:t>
            </w:r>
          </w:p>
        </w:tc>
        <w:tc>
          <w:tcPr>
            <w:tcW w:w="6645" w:type="dxa"/>
            <w:tcBorders>
              <w:top w:val="single" w:color="auto" w:sz="12" w:space="0"/>
            </w:tcBorders>
            <w:noWrap w:val="0"/>
            <w:vAlign w:val="center"/>
          </w:tcPr>
          <w:p w14:paraId="5C7BBF93">
            <w:pPr>
              <w:pStyle w:val="50"/>
              <w:spacing w:line="300" w:lineRule="exact"/>
              <w:jc w:val="center"/>
              <w:rPr>
                <w:rFonts w:hint="eastAsia" w:ascii="方正仿宋_GBK" w:eastAsia="方正仿宋_GBK"/>
                <w:b/>
                <w:bCs/>
                <w:color w:val="auto"/>
                <w:szCs w:val="21"/>
                <w:highlight w:val="none"/>
              </w:rPr>
            </w:pPr>
            <w:r>
              <w:rPr>
                <w:rFonts w:hint="eastAsia" w:ascii="方正仿宋_GBK" w:eastAsia="方正仿宋_GBK" w:cs="方正仿宋_GBK"/>
                <w:b/>
                <w:bCs/>
                <w:color w:val="auto"/>
                <w:szCs w:val="21"/>
                <w:highlight w:val="none"/>
                <w:lang w:bidi="ar-SA"/>
              </w:rPr>
              <w:t>主要内容和要求</w:t>
            </w:r>
          </w:p>
        </w:tc>
      </w:tr>
      <w:tr w14:paraId="1F74B0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5C1CDE2D">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文明</w:t>
            </w:r>
          </w:p>
          <w:p w14:paraId="124D0676">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施工</w:t>
            </w:r>
          </w:p>
          <w:p w14:paraId="072505F0">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与</w:t>
            </w:r>
          </w:p>
          <w:p w14:paraId="4A74B23E">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环境</w:t>
            </w:r>
          </w:p>
          <w:p w14:paraId="6982DA67">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保护</w:t>
            </w:r>
          </w:p>
        </w:tc>
        <w:tc>
          <w:tcPr>
            <w:tcW w:w="2070" w:type="dxa"/>
            <w:gridSpan w:val="2"/>
            <w:noWrap w:val="0"/>
            <w:vAlign w:val="center"/>
          </w:tcPr>
          <w:p w14:paraId="24C67380">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安全警示</w:t>
            </w:r>
          </w:p>
          <w:p w14:paraId="68DA2FC2">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标志牌</w:t>
            </w:r>
          </w:p>
        </w:tc>
        <w:tc>
          <w:tcPr>
            <w:tcW w:w="6645" w:type="dxa"/>
            <w:noWrap w:val="0"/>
            <w:vAlign w:val="center"/>
          </w:tcPr>
          <w:p w14:paraId="3C5CCD93">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在易发伤亡事故（或危险）处设置明显的、符合国家标准要求的安全警示标志牌。</w:t>
            </w:r>
          </w:p>
        </w:tc>
      </w:tr>
      <w:tr w14:paraId="31145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6EABAF7">
            <w:pPr>
              <w:rPr>
                <w:color w:val="auto"/>
                <w:highlight w:val="none"/>
              </w:rPr>
            </w:pPr>
          </w:p>
        </w:tc>
        <w:tc>
          <w:tcPr>
            <w:tcW w:w="2070" w:type="dxa"/>
            <w:gridSpan w:val="2"/>
            <w:noWrap w:val="0"/>
            <w:vAlign w:val="center"/>
          </w:tcPr>
          <w:p w14:paraId="0E2F79DE">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现场围挡</w:t>
            </w:r>
          </w:p>
        </w:tc>
        <w:tc>
          <w:tcPr>
            <w:tcW w:w="6645" w:type="dxa"/>
            <w:noWrap w:val="0"/>
            <w:vAlign w:val="center"/>
          </w:tcPr>
          <w:p w14:paraId="77AE02D6">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1. 现场采用封闭围挡，高度不小于1.8m。</w:t>
            </w:r>
          </w:p>
          <w:p w14:paraId="188FCF30">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2. 围挡材料可用彩色、定型钢板，砌块等墙体。</w:t>
            </w:r>
          </w:p>
        </w:tc>
      </w:tr>
      <w:tr w14:paraId="1A960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CEF16AA">
            <w:pPr>
              <w:rPr>
                <w:color w:val="auto"/>
                <w:highlight w:val="none"/>
              </w:rPr>
            </w:pPr>
          </w:p>
        </w:tc>
        <w:tc>
          <w:tcPr>
            <w:tcW w:w="2070" w:type="dxa"/>
            <w:gridSpan w:val="2"/>
            <w:noWrap w:val="0"/>
            <w:vAlign w:val="center"/>
          </w:tcPr>
          <w:p w14:paraId="32FB271D">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七牌二图</w:t>
            </w:r>
          </w:p>
        </w:tc>
        <w:tc>
          <w:tcPr>
            <w:tcW w:w="6645" w:type="dxa"/>
            <w:noWrap w:val="0"/>
            <w:vAlign w:val="center"/>
          </w:tcPr>
          <w:p w14:paraId="57F64D98">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在进门处悬挂工程概况、现场出入制度、管理人员名单及监督电话、安全生产规定、文明施工、消防保卫、节能公示等七牌以及施工现场总平面图、工程效果图。</w:t>
            </w:r>
          </w:p>
        </w:tc>
      </w:tr>
      <w:tr w14:paraId="4CF45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1C160F4B">
            <w:pPr>
              <w:rPr>
                <w:color w:val="auto"/>
                <w:highlight w:val="none"/>
              </w:rPr>
            </w:pPr>
          </w:p>
        </w:tc>
        <w:tc>
          <w:tcPr>
            <w:tcW w:w="2070" w:type="dxa"/>
            <w:gridSpan w:val="2"/>
            <w:noWrap w:val="0"/>
            <w:vAlign w:val="center"/>
          </w:tcPr>
          <w:p w14:paraId="6B64C299">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企业标志</w:t>
            </w:r>
          </w:p>
        </w:tc>
        <w:tc>
          <w:tcPr>
            <w:tcW w:w="6645" w:type="dxa"/>
            <w:noWrap w:val="0"/>
            <w:vAlign w:val="center"/>
          </w:tcPr>
          <w:p w14:paraId="3E262BC5">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现场出入的大门应设有本企业标志或企业标识。</w:t>
            </w:r>
          </w:p>
        </w:tc>
      </w:tr>
      <w:tr w14:paraId="2E612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AF1C54">
            <w:pPr>
              <w:rPr>
                <w:color w:val="auto"/>
                <w:highlight w:val="none"/>
              </w:rPr>
            </w:pPr>
          </w:p>
        </w:tc>
        <w:tc>
          <w:tcPr>
            <w:tcW w:w="2070" w:type="dxa"/>
            <w:gridSpan w:val="2"/>
            <w:noWrap w:val="0"/>
            <w:vAlign w:val="center"/>
          </w:tcPr>
          <w:p w14:paraId="2446DF2D">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场容场貌</w:t>
            </w:r>
          </w:p>
        </w:tc>
        <w:tc>
          <w:tcPr>
            <w:tcW w:w="6645" w:type="dxa"/>
            <w:noWrap w:val="0"/>
            <w:vAlign w:val="center"/>
          </w:tcPr>
          <w:p w14:paraId="4C585D64">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1. 道路畅通。</w:t>
            </w:r>
          </w:p>
          <w:p w14:paraId="1A5411CE">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2. 排水设施齐全畅通。</w:t>
            </w:r>
          </w:p>
          <w:p w14:paraId="3F4070B5">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3. 工地地面硬化处理（办公区、生活区、现场道路、材料堆放、混凝土搅拌、砂浆搅拌、钢筋加工等场地和外脚手架基础等）。</w:t>
            </w:r>
          </w:p>
        </w:tc>
      </w:tr>
      <w:tr w14:paraId="5632FC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0663402">
            <w:pPr>
              <w:rPr>
                <w:color w:val="auto"/>
                <w:highlight w:val="none"/>
              </w:rPr>
            </w:pPr>
          </w:p>
        </w:tc>
        <w:tc>
          <w:tcPr>
            <w:tcW w:w="2070" w:type="dxa"/>
            <w:gridSpan w:val="2"/>
            <w:noWrap w:val="0"/>
            <w:vAlign w:val="center"/>
          </w:tcPr>
          <w:p w14:paraId="76E09055">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材料堆放</w:t>
            </w:r>
          </w:p>
        </w:tc>
        <w:tc>
          <w:tcPr>
            <w:tcW w:w="6645" w:type="dxa"/>
            <w:noWrap w:val="0"/>
            <w:vAlign w:val="center"/>
          </w:tcPr>
          <w:p w14:paraId="2B3E4FC9">
            <w:pPr>
              <w:pStyle w:val="50"/>
              <w:numPr>
                <w:ilvl w:val="0"/>
                <w:numId w:val="6"/>
              </w:numPr>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材料、构件、料具等堆放时，应有名称、品种、规格等标牌。</w:t>
            </w:r>
          </w:p>
          <w:p w14:paraId="01AE39F9">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2. 水泥和其它易飞扬细颗粒建筑材料应封闭存放或采取覆盖等措施。</w:t>
            </w:r>
          </w:p>
          <w:p w14:paraId="21FFD368">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3. 易燃、易爆和有毒有害物品分类存放。</w:t>
            </w:r>
          </w:p>
        </w:tc>
      </w:tr>
      <w:tr w14:paraId="384E3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0E37B63F">
            <w:pPr>
              <w:rPr>
                <w:color w:val="auto"/>
                <w:highlight w:val="none"/>
              </w:rPr>
            </w:pPr>
          </w:p>
        </w:tc>
        <w:tc>
          <w:tcPr>
            <w:tcW w:w="2070" w:type="dxa"/>
            <w:gridSpan w:val="2"/>
            <w:noWrap w:val="0"/>
            <w:vAlign w:val="center"/>
          </w:tcPr>
          <w:p w14:paraId="2D3D3CE0">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现场防火</w:t>
            </w:r>
          </w:p>
        </w:tc>
        <w:tc>
          <w:tcPr>
            <w:tcW w:w="6645" w:type="dxa"/>
            <w:noWrap w:val="0"/>
            <w:vAlign w:val="center"/>
          </w:tcPr>
          <w:p w14:paraId="6DE375F8">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消防器材配置合理，符合消防要求。</w:t>
            </w:r>
          </w:p>
        </w:tc>
      </w:tr>
      <w:tr w14:paraId="7A9D5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372772B">
            <w:pPr>
              <w:rPr>
                <w:color w:val="auto"/>
                <w:highlight w:val="none"/>
              </w:rPr>
            </w:pPr>
          </w:p>
        </w:tc>
        <w:tc>
          <w:tcPr>
            <w:tcW w:w="2070" w:type="dxa"/>
            <w:gridSpan w:val="2"/>
            <w:noWrap w:val="0"/>
            <w:vAlign w:val="center"/>
          </w:tcPr>
          <w:p w14:paraId="1FFC7AFB">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垃圾清运</w:t>
            </w:r>
          </w:p>
        </w:tc>
        <w:tc>
          <w:tcPr>
            <w:tcW w:w="6645" w:type="dxa"/>
            <w:noWrap w:val="0"/>
            <w:vAlign w:val="center"/>
          </w:tcPr>
          <w:p w14:paraId="5BBC4CE0">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1. 施工现场应设置密闭式垃圾站，施工垃圾、生活垃圾应分类存放。</w:t>
            </w:r>
          </w:p>
          <w:p w14:paraId="05F62593">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2. 施工垃圾必须采用相应容器或管道运输。</w:t>
            </w:r>
          </w:p>
        </w:tc>
      </w:tr>
      <w:tr w14:paraId="35E5E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8CA97E7">
            <w:pPr>
              <w:rPr>
                <w:color w:val="auto"/>
                <w:highlight w:val="none"/>
              </w:rPr>
            </w:pPr>
          </w:p>
        </w:tc>
        <w:tc>
          <w:tcPr>
            <w:tcW w:w="2070" w:type="dxa"/>
            <w:gridSpan w:val="2"/>
            <w:noWrap w:val="0"/>
            <w:vAlign w:val="center"/>
          </w:tcPr>
          <w:p w14:paraId="423A6E4C">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宣传栏、环保及不扰民措施</w:t>
            </w:r>
          </w:p>
        </w:tc>
        <w:tc>
          <w:tcPr>
            <w:tcW w:w="6645" w:type="dxa"/>
            <w:noWrap w:val="0"/>
            <w:vAlign w:val="center"/>
          </w:tcPr>
          <w:p w14:paraId="455325CE">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宣传栏、安全宣传标语等，洗车（防止污染市区道路）、粉尘、噪声控制和排污（污水、废气）措施等。</w:t>
            </w:r>
          </w:p>
        </w:tc>
      </w:tr>
      <w:tr w14:paraId="2D7C8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62855796">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临时设施</w:t>
            </w:r>
          </w:p>
        </w:tc>
        <w:tc>
          <w:tcPr>
            <w:tcW w:w="2070" w:type="dxa"/>
            <w:gridSpan w:val="2"/>
            <w:noWrap w:val="0"/>
            <w:vAlign w:val="center"/>
          </w:tcPr>
          <w:p w14:paraId="4821A8D9">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现场办公</w:t>
            </w:r>
          </w:p>
          <w:p w14:paraId="5257CC22">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生活设施</w:t>
            </w:r>
          </w:p>
        </w:tc>
        <w:tc>
          <w:tcPr>
            <w:tcW w:w="6645" w:type="dxa"/>
            <w:noWrap w:val="0"/>
            <w:vAlign w:val="center"/>
          </w:tcPr>
          <w:p w14:paraId="42EFF08C">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1. 施工现场办公、生活区与作业区分开设置，保持安全距离。</w:t>
            </w:r>
          </w:p>
          <w:p w14:paraId="10F33790">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2. 工地办公室、现场宿舍、食堂、厕所、饮水、沐浴、休息场所等符合卫生、消防安全要求。</w:t>
            </w:r>
          </w:p>
        </w:tc>
      </w:tr>
      <w:tr w14:paraId="3E9A7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A125044">
            <w:pPr>
              <w:rPr>
                <w:color w:val="auto"/>
                <w:highlight w:val="none"/>
              </w:rPr>
            </w:pPr>
          </w:p>
        </w:tc>
        <w:tc>
          <w:tcPr>
            <w:tcW w:w="525" w:type="dxa"/>
            <w:vMerge w:val="restart"/>
            <w:noWrap w:val="0"/>
            <w:vAlign w:val="center"/>
          </w:tcPr>
          <w:p w14:paraId="740D35D7">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施工现场</w:t>
            </w:r>
          </w:p>
          <w:p w14:paraId="3D2FD364">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临时用电</w:t>
            </w:r>
          </w:p>
        </w:tc>
        <w:tc>
          <w:tcPr>
            <w:tcW w:w="1545" w:type="dxa"/>
            <w:noWrap w:val="0"/>
            <w:vAlign w:val="center"/>
          </w:tcPr>
          <w:p w14:paraId="4A5AA2EE">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配电线路</w:t>
            </w:r>
          </w:p>
        </w:tc>
        <w:tc>
          <w:tcPr>
            <w:tcW w:w="6645" w:type="dxa"/>
            <w:noWrap w:val="0"/>
            <w:vAlign w:val="center"/>
          </w:tcPr>
          <w:p w14:paraId="01EF7CCF">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1. 按照TN-S系统要求配备五芯电缆、四芯电缆和三芯电缆。</w:t>
            </w:r>
          </w:p>
          <w:p w14:paraId="38DEB1F8">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2. 按要求架设临时用电线路的电杆、横担、瓷夹、瓷瓶等，或电缆埋地的地沟。</w:t>
            </w:r>
          </w:p>
          <w:p w14:paraId="1D5EDAD1">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3. 对靠近施工现场的外电线路，设置木质、塑料等绝缘体的防护设施。</w:t>
            </w:r>
          </w:p>
        </w:tc>
      </w:tr>
      <w:tr w14:paraId="64163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0ECF03E">
            <w:pPr>
              <w:rPr>
                <w:color w:val="auto"/>
                <w:highlight w:val="none"/>
              </w:rPr>
            </w:pPr>
          </w:p>
        </w:tc>
        <w:tc>
          <w:tcPr>
            <w:tcW w:w="525" w:type="dxa"/>
            <w:vMerge w:val="continue"/>
            <w:noWrap w:val="0"/>
            <w:vAlign w:val="center"/>
          </w:tcPr>
          <w:p w14:paraId="28CC121A">
            <w:pPr>
              <w:rPr>
                <w:color w:val="auto"/>
                <w:highlight w:val="none"/>
              </w:rPr>
            </w:pPr>
          </w:p>
        </w:tc>
        <w:tc>
          <w:tcPr>
            <w:tcW w:w="1545" w:type="dxa"/>
            <w:noWrap w:val="0"/>
            <w:vAlign w:val="center"/>
          </w:tcPr>
          <w:p w14:paraId="4B6F0AD6">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配电箱</w:t>
            </w:r>
          </w:p>
          <w:p w14:paraId="1973AA66">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开关箱</w:t>
            </w:r>
          </w:p>
        </w:tc>
        <w:tc>
          <w:tcPr>
            <w:tcW w:w="6645" w:type="dxa"/>
            <w:noWrap w:val="0"/>
            <w:vAlign w:val="center"/>
          </w:tcPr>
          <w:p w14:paraId="0EF12142">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1. 按三级配电要求，配备总配电箱、分配电箱、开关箱三类（铁质）标准电箱，开关箱应符合“一机、一箱、一闸、一漏”，三类电箱中的各类电器应是合格品。</w:t>
            </w:r>
          </w:p>
          <w:p w14:paraId="68E6236B">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2. 按两级保护的要求，选取符合容量要求和质量合格的总配电箱和开关箱中的漏电保护器。</w:t>
            </w:r>
          </w:p>
          <w:p w14:paraId="5BBF4094">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3. 对大型、落地式分配电箱、开关箱设置防护棚和通透式围挡。</w:t>
            </w:r>
          </w:p>
        </w:tc>
      </w:tr>
      <w:tr w14:paraId="418A5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36C52EB3">
            <w:pPr>
              <w:rPr>
                <w:color w:val="auto"/>
                <w:highlight w:val="none"/>
              </w:rPr>
            </w:pPr>
          </w:p>
        </w:tc>
        <w:tc>
          <w:tcPr>
            <w:tcW w:w="525" w:type="dxa"/>
            <w:vMerge w:val="continue"/>
            <w:noWrap w:val="0"/>
            <w:vAlign w:val="center"/>
          </w:tcPr>
          <w:p w14:paraId="5539AC3C">
            <w:pPr>
              <w:rPr>
                <w:color w:val="auto"/>
                <w:highlight w:val="none"/>
              </w:rPr>
            </w:pPr>
          </w:p>
        </w:tc>
        <w:tc>
          <w:tcPr>
            <w:tcW w:w="1545" w:type="dxa"/>
            <w:noWrap w:val="0"/>
            <w:vAlign w:val="center"/>
          </w:tcPr>
          <w:p w14:paraId="523E9276">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接地装置</w:t>
            </w:r>
          </w:p>
        </w:tc>
        <w:tc>
          <w:tcPr>
            <w:tcW w:w="6645" w:type="dxa"/>
            <w:noWrap w:val="0"/>
            <w:vAlign w:val="center"/>
          </w:tcPr>
          <w:p w14:paraId="161B2050">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施工现场应设置不少于三处的重复接地装置。</w:t>
            </w:r>
          </w:p>
        </w:tc>
      </w:tr>
      <w:tr w14:paraId="350F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2D57108C">
            <w:pPr>
              <w:rPr>
                <w:color w:val="auto"/>
                <w:highlight w:val="none"/>
              </w:rPr>
            </w:pPr>
          </w:p>
        </w:tc>
        <w:tc>
          <w:tcPr>
            <w:tcW w:w="525" w:type="dxa"/>
            <w:vMerge w:val="continue"/>
            <w:noWrap w:val="0"/>
            <w:vAlign w:val="center"/>
          </w:tcPr>
          <w:p w14:paraId="215D2381">
            <w:pPr>
              <w:rPr>
                <w:color w:val="auto"/>
                <w:highlight w:val="none"/>
              </w:rPr>
            </w:pPr>
          </w:p>
        </w:tc>
        <w:tc>
          <w:tcPr>
            <w:tcW w:w="1545" w:type="dxa"/>
            <w:noWrap w:val="0"/>
            <w:vAlign w:val="center"/>
          </w:tcPr>
          <w:p w14:paraId="7E9B464D">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现场变配电装置</w:t>
            </w:r>
          </w:p>
        </w:tc>
        <w:tc>
          <w:tcPr>
            <w:tcW w:w="6645" w:type="dxa"/>
            <w:noWrap w:val="0"/>
            <w:vAlign w:val="center"/>
          </w:tcPr>
          <w:p w14:paraId="4C617866">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总配电房建筑材料必须达到消防防火要求，室内做硬地坪、电缆沟。</w:t>
            </w:r>
          </w:p>
        </w:tc>
      </w:tr>
      <w:tr w14:paraId="3587B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1049B60B">
            <w:pPr>
              <w:pStyle w:val="50"/>
              <w:spacing w:line="300" w:lineRule="exact"/>
              <w:jc w:val="center"/>
              <w:rPr>
                <w:rFonts w:hint="eastAsia" w:ascii="方正仿宋_GBK" w:eastAsia="方正仿宋_GBK"/>
                <w:b/>
                <w:bCs/>
                <w:color w:val="auto"/>
                <w:szCs w:val="21"/>
                <w:highlight w:val="none"/>
              </w:rPr>
            </w:pPr>
            <w:r>
              <w:rPr>
                <w:rFonts w:hint="eastAsia" w:ascii="方正仿宋_GBK" w:eastAsia="方正仿宋_GBK" w:cs="方正仿宋_GBK"/>
                <w:b/>
                <w:bCs/>
                <w:color w:val="auto"/>
                <w:szCs w:val="21"/>
                <w:highlight w:val="none"/>
                <w:lang w:bidi="ar-SA"/>
              </w:rPr>
              <w:t>类别</w:t>
            </w:r>
          </w:p>
        </w:tc>
        <w:tc>
          <w:tcPr>
            <w:tcW w:w="2070" w:type="dxa"/>
            <w:gridSpan w:val="2"/>
            <w:noWrap w:val="0"/>
            <w:vAlign w:val="center"/>
          </w:tcPr>
          <w:p w14:paraId="2F89E087">
            <w:pPr>
              <w:pStyle w:val="50"/>
              <w:spacing w:line="300" w:lineRule="exact"/>
              <w:jc w:val="center"/>
              <w:rPr>
                <w:rFonts w:hint="eastAsia" w:ascii="方正仿宋_GBK" w:eastAsia="方正仿宋_GBK"/>
                <w:b/>
                <w:bCs/>
                <w:color w:val="auto"/>
                <w:szCs w:val="21"/>
                <w:highlight w:val="none"/>
              </w:rPr>
            </w:pPr>
            <w:r>
              <w:rPr>
                <w:rFonts w:hint="eastAsia" w:ascii="方正仿宋_GBK" w:eastAsia="方正仿宋_GBK" w:cs="方正仿宋_GBK"/>
                <w:b/>
                <w:bCs/>
                <w:color w:val="auto"/>
                <w:szCs w:val="21"/>
                <w:highlight w:val="none"/>
                <w:lang w:bidi="ar-SA"/>
              </w:rPr>
              <w:t>项目名称</w:t>
            </w:r>
          </w:p>
        </w:tc>
        <w:tc>
          <w:tcPr>
            <w:tcW w:w="6645" w:type="dxa"/>
            <w:noWrap w:val="0"/>
            <w:vAlign w:val="center"/>
          </w:tcPr>
          <w:p w14:paraId="12E2FF37">
            <w:pPr>
              <w:pStyle w:val="50"/>
              <w:spacing w:line="300" w:lineRule="exact"/>
              <w:jc w:val="center"/>
              <w:rPr>
                <w:rFonts w:hint="eastAsia" w:ascii="方正仿宋_GBK" w:eastAsia="方正仿宋_GBK"/>
                <w:b/>
                <w:bCs/>
                <w:color w:val="auto"/>
                <w:szCs w:val="21"/>
                <w:highlight w:val="none"/>
              </w:rPr>
            </w:pPr>
            <w:r>
              <w:rPr>
                <w:rFonts w:hint="eastAsia" w:ascii="方正仿宋_GBK" w:eastAsia="方正仿宋_GBK" w:cs="方正仿宋_GBK"/>
                <w:b/>
                <w:bCs/>
                <w:color w:val="auto"/>
                <w:szCs w:val="21"/>
                <w:highlight w:val="none"/>
                <w:lang w:bidi="ar-SA"/>
              </w:rPr>
              <w:t>主要内容和要求</w:t>
            </w:r>
          </w:p>
        </w:tc>
      </w:tr>
      <w:tr w14:paraId="70D49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71695CD">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安全施工</w:t>
            </w:r>
          </w:p>
        </w:tc>
        <w:tc>
          <w:tcPr>
            <w:tcW w:w="525" w:type="dxa"/>
            <w:vMerge w:val="restart"/>
            <w:noWrap w:val="0"/>
            <w:vAlign w:val="center"/>
          </w:tcPr>
          <w:p w14:paraId="57B9152F">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高处作业防护</w:t>
            </w:r>
          </w:p>
        </w:tc>
        <w:tc>
          <w:tcPr>
            <w:tcW w:w="1545" w:type="dxa"/>
            <w:noWrap w:val="0"/>
            <w:vAlign w:val="center"/>
          </w:tcPr>
          <w:p w14:paraId="1EE4616F">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楼层、屋面、阳台等临边</w:t>
            </w:r>
          </w:p>
        </w:tc>
        <w:tc>
          <w:tcPr>
            <w:tcW w:w="6645" w:type="dxa"/>
            <w:noWrap w:val="0"/>
            <w:vAlign w:val="center"/>
          </w:tcPr>
          <w:p w14:paraId="1996994F">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设两道防护栏杆和18cm高的踢脚板，用密目式安全立网全封闭。</w:t>
            </w:r>
          </w:p>
        </w:tc>
      </w:tr>
      <w:tr w14:paraId="3F10C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DF95B1D">
            <w:pPr>
              <w:rPr>
                <w:color w:val="auto"/>
                <w:highlight w:val="none"/>
              </w:rPr>
            </w:pPr>
          </w:p>
        </w:tc>
        <w:tc>
          <w:tcPr>
            <w:tcW w:w="525" w:type="dxa"/>
            <w:vMerge w:val="continue"/>
            <w:noWrap w:val="0"/>
            <w:vAlign w:val="center"/>
          </w:tcPr>
          <w:p w14:paraId="7B57139D">
            <w:pPr>
              <w:rPr>
                <w:color w:val="auto"/>
                <w:highlight w:val="none"/>
              </w:rPr>
            </w:pPr>
          </w:p>
        </w:tc>
        <w:tc>
          <w:tcPr>
            <w:tcW w:w="1545" w:type="dxa"/>
            <w:noWrap w:val="0"/>
            <w:vAlign w:val="center"/>
          </w:tcPr>
          <w:p w14:paraId="1105EE0C">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通道口</w:t>
            </w:r>
          </w:p>
        </w:tc>
        <w:tc>
          <w:tcPr>
            <w:tcW w:w="6645" w:type="dxa"/>
            <w:noWrap w:val="0"/>
            <w:vAlign w:val="center"/>
          </w:tcPr>
          <w:p w14:paraId="103D2E7F">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设防护棚，防护棚应为不小于5cm厚的木板或两道相距50cm的竹笆。两侧应沿栏杆架用密目式安全网封闭。</w:t>
            </w:r>
          </w:p>
        </w:tc>
      </w:tr>
      <w:tr w14:paraId="16FB2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0D72714">
            <w:pPr>
              <w:rPr>
                <w:color w:val="auto"/>
                <w:highlight w:val="none"/>
              </w:rPr>
            </w:pPr>
          </w:p>
        </w:tc>
        <w:tc>
          <w:tcPr>
            <w:tcW w:w="525" w:type="dxa"/>
            <w:vMerge w:val="continue"/>
            <w:noWrap w:val="0"/>
            <w:vAlign w:val="center"/>
          </w:tcPr>
          <w:p w14:paraId="7198F7E4">
            <w:pPr>
              <w:rPr>
                <w:color w:val="auto"/>
                <w:highlight w:val="none"/>
              </w:rPr>
            </w:pPr>
          </w:p>
        </w:tc>
        <w:tc>
          <w:tcPr>
            <w:tcW w:w="1545" w:type="dxa"/>
            <w:noWrap w:val="0"/>
            <w:vAlign w:val="center"/>
          </w:tcPr>
          <w:p w14:paraId="2789FE8C">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预留洞口</w:t>
            </w:r>
          </w:p>
        </w:tc>
        <w:tc>
          <w:tcPr>
            <w:tcW w:w="6645" w:type="dxa"/>
            <w:noWrap w:val="0"/>
            <w:vAlign w:val="center"/>
          </w:tcPr>
          <w:p w14:paraId="3499A921">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用硬质材料全封闭，短边超过1.5m长的洞口，除封闭外四周还应设有防护栏杆。</w:t>
            </w:r>
          </w:p>
        </w:tc>
      </w:tr>
      <w:tr w14:paraId="666DA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2DE298CF">
            <w:pPr>
              <w:rPr>
                <w:color w:val="auto"/>
                <w:highlight w:val="none"/>
              </w:rPr>
            </w:pPr>
          </w:p>
        </w:tc>
        <w:tc>
          <w:tcPr>
            <w:tcW w:w="525" w:type="dxa"/>
            <w:vMerge w:val="continue"/>
            <w:noWrap w:val="0"/>
            <w:vAlign w:val="center"/>
          </w:tcPr>
          <w:p w14:paraId="39A53BD1">
            <w:pPr>
              <w:rPr>
                <w:color w:val="auto"/>
                <w:highlight w:val="none"/>
              </w:rPr>
            </w:pPr>
          </w:p>
        </w:tc>
        <w:tc>
          <w:tcPr>
            <w:tcW w:w="1545" w:type="dxa"/>
            <w:noWrap w:val="0"/>
            <w:vAlign w:val="center"/>
          </w:tcPr>
          <w:p w14:paraId="1B9E37A4">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电梯井口</w:t>
            </w:r>
          </w:p>
        </w:tc>
        <w:tc>
          <w:tcPr>
            <w:tcW w:w="6645" w:type="dxa"/>
            <w:noWrap w:val="0"/>
            <w:vAlign w:val="center"/>
          </w:tcPr>
          <w:p w14:paraId="20FBF1C5">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设置定型化、工具化的防护门，在电梯井内每隔2层（不大于10m）设置一道水平防护。</w:t>
            </w:r>
          </w:p>
        </w:tc>
      </w:tr>
      <w:tr w14:paraId="09117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3C93228">
            <w:pPr>
              <w:rPr>
                <w:color w:val="auto"/>
                <w:highlight w:val="none"/>
              </w:rPr>
            </w:pPr>
          </w:p>
        </w:tc>
        <w:tc>
          <w:tcPr>
            <w:tcW w:w="525" w:type="dxa"/>
            <w:vMerge w:val="continue"/>
            <w:noWrap w:val="0"/>
            <w:vAlign w:val="center"/>
          </w:tcPr>
          <w:p w14:paraId="3C3C698D">
            <w:pPr>
              <w:rPr>
                <w:color w:val="auto"/>
                <w:highlight w:val="none"/>
              </w:rPr>
            </w:pPr>
          </w:p>
        </w:tc>
        <w:tc>
          <w:tcPr>
            <w:tcW w:w="1545" w:type="dxa"/>
            <w:noWrap w:val="0"/>
            <w:vAlign w:val="center"/>
          </w:tcPr>
          <w:p w14:paraId="53AB561A">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楼梯边</w:t>
            </w:r>
          </w:p>
        </w:tc>
        <w:tc>
          <w:tcPr>
            <w:tcW w:w="6645" w:type="dxa"/>
            <w:noWrap w:val="0"/>
            <w:vAlign w:val="center"/>
          </w:tcPr>
          <w:p w14:paraId="56013A01">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设1.2m高的定型化、工具化的防护栏，18cm高的踢脚板。</w:t>
            </w:r>
          </w:p>
        </w:tc>
      </w:tr>
      <w:tr w14:paraId="245DC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8A192F0">
            <w:pPr>
              <w:rPr>
                <w:color w:val="auto"/>
                <w:highlight w:val="none"/>
              </w:rPr>
            </w:pPr>
          </w:p>
        </w:tc>
        <w:tc>
          <w:tcPr>
            <w:tcW w:w="525" w:type="dxa"/>
            <w:vMerge w:val="continue"/>
            <w:noWrap w:val="0"/>
            <w:vAlign w:val="center"/>
          </w:tcPr>
          <w:p w14:paraId="7D7790AB">
            <w:pPr>
              <w:rPr>
                <w:color w:val="auto"/>
                <w:highlight w:val="none"/>
              </w:rPr>
            </w:pPr>
          </w:p>
        </w:tc>
        <w:tc>
          <w:tcPr>
            <w:tcW w:w="1545" w:type="dxa"/>
            <w:noWrap w:val="0"/>
            <w:vAlign w:val="center"/>
          </w:tcPr>
          <w:p w14:paraId="6637D16F">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垂直方向交叉作业</w:t>
            </w:r>
          </w:p>
        </w:tc>
        <w:tc>
          <w:tcPr>
            <w:tcW w:w="6645" w:type="dxa"/>
            <w:noWrap w:val="0"/>
            <w:vAlign w:val="center"/>
          </w:tcPr>
          <w:p w14:paraId="7C5AD313">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设置防护隔离棚或其它设施。</w:t>
            </w:r>
          </w:p>
        </w:tc>
      </w:tr>
      <w:tr w14:paraId="3FAA9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09342C4">
            <w:pPr>
              <w:rPr>
                <w:color w:val="auto"/>
                <w:highlight w:val="none"/>
              </w:rPr>
            </w:pPr>
          </w:p>
        </w:tc>
        <w:tc>
          <w:tcPr>
            <w:tcW w:w="525" w:type="dxa"/>
            <w:vMerge w:val="continue"/>
            <w:noWrap w:val="0"/>
            <w:vAlign w:val="center"/>
          </w:tcPr>
          <w:p w14:paraId="2DD79F5D">
            <w:pPr>
              <w:rPr>
                <w:color w:val="auto"/>
                <w:highlight w:val="none"/>
              </w:rPr>
            </w:pPr>
          </w:p>
        </w:tc>
        <w:tc>
          <w:tcPr>
            <w:tcW w:w="1545" w:type="dxa"/>
            <w:noWrap w:val="0"/>
            <w:vAlign w:val="center"/>
          </w:tcPr>
          <w:p w14:paraId="2ED5463B">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高处作业</w:t>
            </w:r>
          </w:p>
        </w:tc>
        <w:tc>
          <w:tcPr>
            <w:tcW w:w="6645" w:type="dxa"/>
            <w:noWrap w:val="0"/>
            <w:vAlign w:val="center"/>
          </w:tcPr>
          <w:p w14:paraId="4BEC5BAD">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有悬挂安全带的悬索或其它设施，有操作平台，有上下的梯子或其它形式的通道。</w:t>
            </w:r>
          </w:p>
        </w:tc>
      </w:tr>
      <w:tr w14:paraId="76C74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9C81883">
            <w:pPr>
              <w:rPr>
                <w:color w:val="auto"/>
                <w:highlight w:val="none"/>
              </w:rPr>
            </w:pPr>
          </w:p>
        </w:tc>
        <w:tc>
          <w:tcPr>
            <w:tcW w:w="525" w:type="dxa"/>
            <w:vMerge w:val="continue"/>
            <w:noWrap w:val="0"/>
            <w:vAlign w:val="center"/>
          </w:tcPr>
          <w:p w14:paraId="256BC704">
            <w:pPr>
              <w:rPr>
                <w:color w:val="auto"/>
                <w:highlight w:val="none"/>
              </w:rPr>
            </w:pPr>
          </w:p>
        </w:tc>
        <w:tc>
          <w:tcPr>
            <w:tcW w:w="1545" w:type="dxa"/>
            <w:noWrap w:val="0"/>
            <w:vAlign w:val="center"/>
          </w:tcPr>
          <w:p w14:paraId="6975E0F9">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基坑、物料平台</w:t>
            </w:r>
          </w:p>
        </w:tc>
        <w:tc>
          <w:tcPr>
            <w:tcW w:w="6645" w:type="dxa"/>
            <w:noWrap w:val="0"/>
            <w:vAlign w:val="center"/>
          </w:tcPr>
          <w:p w14:paraId="765E1208">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设1.2m高标准化的防护栏，用密目式安全立网封闭，悬挂标识。</w:t>
            </w:r>
          </w:p>
        </w:tc>
      </w:tr>
      <w:tr w14:paraId="1133C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F42A33E">
            <w:pPr>
              <w:rPr>
                <w:color w:val="auto"/>
                <w:highlight w:val="none"/>
              </w:rPr>
            </w:pPr>
          </w:p>
        </w:tc>
        <w:tc>
          <w:tcPr>
            <w:tcW w:w="2070" w:type="dxa"/>
            <w:gridSpan w:val="2"/>
            <w:noWrap w:val="0"/>
            <w:vAlign w:val="center"/>
          </w:tcPr>
          <w:p w14:paraId="10704C2F">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安全防护用品</w:t>
            </w:r>
          </w:p>
        </w:tc>
        <w:tc>
          <w:tcPr>
            <w:tcW w:w="6645" w:type="dxa"/>
            <w:noWrap w:val="0"/>
            <w:vAlign w:val="center"/>
          </w:tcPr>
          <w:p w14:paraId="1293B963">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安全帽、安全带、特种作业人员（电工、焊工、架子工等）防护服装、用品等。</w:t>
            </w:r>
          </w:p>
        </w:tc>
      </w:tr>
      <w:tr w14:paraId="6AAF0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5EFC2245">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其它</w:t>
            </w:r>
          </w:p>
        </w:tc>
        <w:tc>
          <w:tcPr>
            <w:tcW w:w="525" w:type="dxa"/>
            <w:vMerge w:val="restart"/>
            <w:noWrap w:val="0"/>
            <w:vAlign w:val="center"/>
          </w:tcPr>
          <w:p w14:paraId="64C91AF4">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机械设备防护</w:t>
            </w:r>
          </w:p>
        </w:tc>
        <w:tc>
          <w:tcPr>
            <w:tcW w:w="1545" w:type="dxa"/>
            <w:noWrap w:val="0"/>
            <w:vAlign w:val="center"/>
          </w:tcPr>
          <w:p w14:paraId="369544BA">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中小型机械</w:t>
            </w:r>
          </w:p>
        </w:tc>
        <w:tc>
          <w:tcPr>
            <w:tcW w:w="6645" w:type="dxa"/>
            <w:noWrap w:val="0"/>
            <w:vAlign w:val="center"/>
          </w:tcPr>
          <w:p w14:paraId="5F5F0DC5">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设防护棚（同通道口防护并有防雨措施）。</w:t>
            </w:r>
          </w:p>
        </w:tc>
      </w:tr>
      <w:tr w14:paraId="3F9E0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1A0B354">
            <w:pPr>
              <w:rPr>
                <w:color w:val="auto"/>
                <w:highlight w:val="none"/>
              </w:rPr>
            </w:pPr>
          </w:p>
        </w:tc>
        <w:tc>
          <w:tcPr>
            <w:tcW w:w="525" w:type="dxa"/>
            <w:vMerge w:val="continue"/>
            <w:noWrap w:val="0"/>
            <w:vAlign w:val="center"/>
          </w:tcPr>
          <w:p w14:paraId="5DFFB416">
            <w:pPr>
              <w:rPr>
                <w:color w:val="auto"/>
                <w:highlight w:val="none"/>
              </w:rPr>
            </w:pPr>
          </w:p>
        </w:tc>
        <w:tc>
          <w:tcPr>
            <w:tcW w:w="1545" w:type="dxa"/>
            <w:noWrap w:val="0"/>
            <w:vAlign w:val="center"/>
          </w:tcPr>
          <w:p w14:paraId="0534E2AB">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垂直运输设备</w:t>
            </w:r>
          </w:p>
        </w:tc>
        <w:tc>
          <w:tcPr>
            <w:tcW w:w="6645" w:type="dxa"/>
            <w:noWrap w:val="0"/>
            <w:vAlign w:val="center"/>
          </w:tcPr>
          <w:p w14:paraId="37AC7331">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1. 垂直运输设备检测、检验、日常维护、保养等。</w:t>
            </w:r>
          </w:p>
          <w:p w14:paraId="203B9443">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2. 物料提升机、施工电梯等物料平台搭设、外侧用密目式安全立网全封闭，有安全通道、安全防护门、防护棚等。</w:t>
            </w:r>
          </w:p>
        </w:tc>
      </w:tr>
      <w:tr w14:paraId="45CF7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3EFAF34">
            <w:pPr>
              <w:rPr>
                <w:color w:val="auto"/>
                <w:highlight w:val="none"/>
              </w:rPr>
            </w:pPr>
          </w:p>
        </w:tc>
        <w:tc>
          <w:tcPr>
            <w:tcW w:w="2070" w:type="dxa"/>
            <w:gridSpan w:val="2"/>
            <w:noWrap w:val="0"/>
            <w:vAlign w:val="center"/>
          </w:tcPr>
          <w:p w14:paraId="3C4283F9">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专家论证审查</w:t>
            </w:r>
          </w:p>
        </w:tc>
        <w:tc>
          <w:tcPr>
            <w:tcW w:w="6645" w:type="dxa"/>
            <w:noWrap w:val="0"/>
            <w:vAlign w:val="center"/>
          </w:tcPr>
          <w:p w14:paraId="1CF65C9F">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超过一定规模的危险性较大分部分项工程专家论证审查。</w:t>
            </w:r>
          </w:p>
        </w:tc>
      </w:tr>
      <w:tr w14:paraId="13A5C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326DD3C6">
            <w:pPr>
              <w:rPr>
                <w:color w:val="auto"/>
                <w:highlight w:val="none"/>
              </w:rPr>
            </w:pPr>
          </w:p>
        </w:tc>
        <w:tc>
          <w:tcPr>
            <w:tcW w:w="2070" w:type="dxa"/>
            <w:gridSpan w:val="2"/>
            <w:noWrap w:val="0"/>
            <w:vAlign w:val="center"/>
          </w:tcPr>
          <w:p w14:paraId="65945886">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应急救援预案</w:t>
            </w:r>
          </w:p>
        </w:tc>
        <w:tc>
          <w:tcPr>
            <w:tcW w:w="6645" w:type="dxa"/>
            <w:noWrap w:val="0"/>
            <w:vAlign w:val="center"/>
          </w:tcPr>
          <w:p w14:paraId="655734DB">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救援器材准备及演练等。</w:t>
            </w:r>
          </w:p>
        </w:tc>
      </w:tr>
      <w:tr w14:paraId="73065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115F368D">
            <w:pPr>
              <w:rPr>
                <w:color w:val="auto"/>
                <w:highlight w:val="none"/>
              </w:rPr>
            </w:pPr>
          </w:p>
        </w:tc>
        <w:tc>
          <w:tcPr>
            <w:tcW w:w="2070" w:type="dxa"/>
            <w:gridSpan w:val="2"/>
            <w:tcBorders>
              <w:bottom w:val="single" w:color="auto" w:sz="12" w:space="0"/>
            </w:tcBorders>
            <w:noWrap w:val="0"/>
            <w:vAlign w:val="center"/>
          </w:tcPr>
          <w:p w14:paraId="45F33DDF">
            <w:pPr>
              <w:pStyle w:val="50"/>
              <w:spacing w:line="300" w:lineRule="exact"/>
              <w:jc w:val="center"/>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非正常情况施工</w:t>
            </w:r>
          </w:p>
        </w:tc>
        <w:tc>
          <w:tcPr>
            <w:tcW w:w="6645" w:type="dxa"/>
            <w:tcBorders>
              <w:bottom w:val="single" w:color="auto" w:sz="12" w:space="0"/>
            </w:tcBorders>
            <w:noWrap w:val="0"/>
            <w:vAlign w:val="center"/>
          </w:tcPr>
          <w:p w14:paraId="4AE64DFF">
            <w:pPr>
              <w:pStyle w:val="50"/>
              <w:spacing w:line="300" w:lineRule="exact"/>
              <w:rPr>
                <w:rFonts w:hint="eastAsia" w:ascii="方正仿宋_GBK" w:eastAsia="方正仿宋_GBK"/>
                <w:color w:val="auto"/>
                <w:szCs w:val="21"/>
                <w:highlight w:val="none"/>
              </w:rPr>
            </w:pPr>
            <w:r>
              <w:rPr>
                <w:rFonts w:hint="eastAsia" w:ascii="方正仿宋_GBK" w:eastAsia="方正仿宋_GBK" w:cs="方正仿宋_GBK"/>
                <w:color w:val="auto"/>
                <w:szCs w:val="21"/>
                <w:highlight w:val="none"/>
                <w:lang w:bidi="ar-SA"/>
              </w:rPr>
              <w:t>其它特殊情况下的防护费用，如：城市主干道、人流密集、河边等处施工及文物、古建筑、古树保护等。</w:t>
            </w:r>
          </w:p>
        </w:tc>
      </w:tr>
    </w:tbl>
    <w:p w14:paraId="68F69F2D">
      <w:pPr>
        <w:pStyle w:val="50"/>
        <w:spacing w:line="240" w:lineRule="atLeast"/>
        <w:ind w:firstLine="546"/>
        <w:jc w:val="center"/>
        <w:rPr>
          <w:b/>
          <w:bCs/>
          <w:color w:val="auto"/>
          <w:w w:val="90"/>
          <w:sz w:val="24"/>
          <w:szCs w:val="24"/>
          <w:highlight w:val="none"/>
        </w:rPr>
      </w:pPr>
    </w:p>
    <w:p w14:paraId="26A24A15">
      <w:pPr>
        <w:pStyle w:val="50"/>
        <w:spacing w:before="156"/>
        <w:ind w:firstLine="420" w:firstLineChars="200"/>
        <w:rPr>
          <w:rFonts w:cs="宋体"/>
          <w:color w:val="auto"/>
          <w:szCs w:val="21"/>
          <w:highlight w:val="none"/>
          <w:lang w:bidi="ar-SA"/>
        </w:rPr>
      </w:pPr>
      <w:r>
        <w:rPr>
          <w:rFonts w:hint="eastAsia" w:cs="宋体"/>
          <w:color w:val="auto"/>
          <w:szCs w:val="21"/>
          <w:highlight w:val="none"/>
          <w:lang w:bidi="ar-SA"/>
        </w:rPr>
        <w:t>注：本表所列建筑工程安全文明施工费，是依据现行法律法规及标准规范确定的。如法律法规和标准规范修订，本表所列项目应按照修订后的法律法规和标准规范进行调整。</w:t>
      </w:r>
    </w:p>
    <w:p w14:paraId="36700011">
      <w:pPr>
        <w:pStyle w:val="50"/>
        <w:spacing w:before="156"/>
        <w:ind w:firstLine="420" w:firstLineChars="200"/>
        <w:rPr>
          <w:rFonts w:cs="宋体"/>
          <w:color w:val="auto"/>
          <w:szCs w:val="21"/>
          <w:highlight w:val="none"/>
          <w:lang w:bidi="ar-SA"/>
        </w:rPr>
      </w:pPr>
    </w:p>
    <w:p w14:paraId="600E6872">
      <w:pPr>
        <w:pStyle w:val="50"/>
        <w:spacing w:before="156"/>
        <w:ind w:firstLine="420" w:firstLineChars="200"/>
        <w:rPr>
          <w:rFonts w:cs="宋体"/>
          <w:color w:val="auto"/>
          <w:szCs w:val="21"/>
          <w:highlight w:val="none"/>
          <w:lang w:bidi="ar-SA"/>
        </w:rPr>
      </w:pPr>
    </w:p>
    <w:p w14:paraId="64E33EA9">
      <w:pPr>
        <w:pStyle w:val="50"/>
        <w:spacing w:before="156"/>
        <w:ind w:firstLine="420" w:firstLineChars="200"/>
        <w:rPr>
          <w:rFonts w:cs="宋体"/>
          <w:color w:val="auto"/>
          <w:szCs w:val="21"/>
          <w:highlight w:val="none"/>
          <w:lang w:bidi="ar-SA"/>
        </w:rPr>
      </w:pPr>
    </w:p>
    <w:p w14:paraId="04E5826D">
      <w:pPr>
        <w:pStyle w:val="50"/>
        <w:spacing w:before="156"/>
        <w:ind w:firstLine="420" w:firstLineChars="200"/>
        <w:rPr>
          <w:rFonts w:cs="宋体"/>
          <w:color w:val="auto"/>
          <w:szCs w:val="21"/>
          <w:highlight w:val="none"/>
          <w:lang w:bidi="ar-SA"/>
        </w:rPr>
      </w:pPr>
    </w:p>
    <w:p w14:paraId="3488FD6B">
      <w:pPr>
        <w:spacing w:line="300" w:lineRule="auto"/>
        <w:jc w:val="left"/>
        <w:rPr>
          <w:rFonts w:hint="eastAsia" w:ascii="宋体"/>
          <w:b/>
          <w:color w:val="auto"/>
          <w:sz w:val="28"/>
          <w:szCs w:val="28"/>
          <w:highlight w:val="none"/>
        </w:rPr>
      </w:pPr>
    </w:p>
    <w:p w14:paraId="35EC83E6">
      <w:pPr>
        <w:pStyle w:val="7"/>
        <w:rPr>
          <w:rFonts w:hint="eastAsia"/>
          <w:color w:val="auto"/>
          <w:highlight w:val="none"/>
        </w:rPr>
      </w:pPr>
    </w:p>
    <w:p w14:paraId="64FC5F6F">
      <w:pPr>
        <w:rPr>
          <w:rFonts w:hint="eastAsia" w:ascii="宋体"/>
          <w:b/>
          <w:color w:val="auto"/>
          <w:sz w:val="28"/>
          <w:szCs w:val="28"/>
          <w:highlight w:val="none"/>
          <w:lang w:val="en-US" w:eastAsia="zh-CN"/>
        </w:rPr>
      </w:pPr>
      <w:r>
        <w:rPr>
          <w:rFonts w:hint="eastAsia" w:ascii="宋体"/>
          <w:b/>
          <w:color w:val="auto"/>
          <w:sz w:val="28"/>
          <w:szCs w:val="28"/>
          <w:highlight w:val="none"/>
          <w:lang w:val="en-US" w:eastAsia="zh-CN"/>
        </w:rPr>
        <w:br w:type="page"/>
      </w:r>
    </w:p>
    <w:p w14:paraId="6A64132D">
      <w:pPr>
        <w:spacing w:line="300" w:lineRule="auto"/>
        <w:ind w:left="105" w:leftChars="50" w:firstLine="562" w:firstLineChars="200"/>
        <w:jc w:val="left"/>
        <w:rPr>
          <w:rFonts w:hint="eastAsia" w:ascii="宋体"/>
          <w:b/>
          <w:color w:val="auto"/>
          <w:sz w:val="28"/>
          <w:szCs w:val="28"/>
          <w:highlight w:val="none"/>
        </w:rPr>
      </w:pPr>
      <w:r>
        <w:rPr>
          <w:rFonts w:hint="eastAsia" w:ascii="宋体"/>
          <w:b/>
          <w:color w:val="auto"/>
          <w:sz w:val="28"/>
          <w:szCs w:val="28"/>
          <w:highlight w:val="none"/>
          <w:lang w:val="en-US" w:eastAsia="zh-CN"/>
        </w:rPr>
        <w:t>6</w:t>
      </w:r>
      <w:r>
        <w:rPr>
          <w:rFonts w:hint="eastAsia" w:ascii="宋体"/>
          <w:b/>
          <w:color w:val="auto"/>
          <w:sz w:val="28"/>
          <w:szCs w:val="28"/>
          <w:highlight w:val="none"/>
        </w:rPr>
        <w:t>.城乡清洁工程渣土清运承诺书（必须提供）；</w:t>
      </w:r>
    </w:p>
    <w:p w14:paraId="02A9CC72">
      <w:pPr>
        <w:spacing w:line="300" w:lineRule="auto"/>
        <w:ind w:left="105" w:leftChars="50" w:firstLine="562" w:firstLineChars="200"/>
        <w:jc w:val="left"/>
        <w:rPr>
          <w:rFonts w:hint="eastAsia" w:ascii="宋体"/>
          <w:b/>
          <w:color w:val="auto"/>
          <w:sz w:val="28"/>
          <w:szCs w:val="28"/>
          <w:highlight w:val="none"/>
        </w:rPr>
      </w:pPr>
      <w:r>
        <w:rPr>
          <w:rFonts w:hint="eastAsia" w:ascii="宋体"/>
          <w:b/>
          <w:color w:val="auto"/>
          <w:sz w:val="28"/>
          <w:szCs w:val="28"/>
          <w:highlight w:val="none"/>
        </w:rPr>
        <w:t>（按照桂林市建设工程招标站市建招字[2011]02号的规定承诺，格式自拟。）</w:t>
      </w:r>
    </w:p>
    <w:p w14:paraId="6D3D4A98">
      <w:pPr>
        <w:pStyle w:val="5"/>
        <w:outlineLvl w:val="9"/>
        <w:rPr>
          <w:rFonts w:hint="eastAsia"/>
          <w:color w:val="auto"/>
          <w:highlight w:val="none"/>
        </w:rPr>
      </w:pPr>
    </w:p>
    <w:p w14:paraId="36D31FE0">
      <w:pPr>
        <w:pStyle w:val="7"/>
        <w:rPr>
          <w:rFonts w:hint="eastAsia"/>
          <w:color w:val="auto"/>
          <w:highlight w:val="none"/>
        </w:rPr>
      </w:pPr>
    </w:p>
    <w:p w14:paraId="002D69E7">
      <w:pPr>
        <w:spacing w:line="300" w:lineRule="auto"/>
        <w:ind w:left="105" w:leftChars="50" w:firstLine="562" w:firstLineChars="200"/>
        <w:jc w:val="left"/>
        <w:rPr>
          <w:rFonts w:hint="eastAsia" w:ascii="宋体"/>
          <w:b/>
          <w:color w:val="auto"/>
          <w:sz w:val="28"/>
          <w:szCs w:val="28"/>
          <w:highlight w:val="none"/>
        </w:rPr>
      </w:pPr>
      <w:r>
        <w:rPr>
          <w:rFonts w:hint="eastAsia" w:ascii="宋体"/>
          <w:b/>
          <w:color w:val="auto"/>
          <w:sz w:val="28"/>
          <w:szCs w:val="28"/>
          <w:highlight w:val="none"/>
          <w:lang w:val="en-US" w:eastAsia="zh-CN"/>
        </w:rPr>
        <w:t>7</w:t>
      </w:r>
      <w:r>
        <w:rPr>
          <w:rFonts w:hint="eastAsia" w:ascii="宋体"/>
          <w:b/>
          <w:color w:val="auto"/>
          <w:sz w:val="28"/>
          <w:szCs w:val="28"/>
          <w:highlight w:val="none"/>
        </w:rPr>
        <w:t>.磋商供应商认为需要提供的有关资料。</w:t>
      </w:r>
    </w:p>
    <w:p w14:paraId="418DBB27">
      <w:pPr>
        <w:autoSpaceDE w:val="0"/>
        <w:autoSpaceDN w:val="0"/>
        <w:adjustRightInd w:val="0"/>
        <w:snapToGrid w:val="0"/>
        <w:spacing w:line="300" w:lineRule="auto"/>
        <w:jc w:val="center"/>
        <w:rPr>
          <w:rFonts w:hint="eastAsia" w:ascii="仿宋_GB2312" w:eastAsia="仿宋_GB2312"/>
          <w:b/>
          <w:color w:val="auto"/>
          <w:kern w:val="0"/>
          <w:sz w:val="44"/>
          <w:szCs w:val="44"/>
          <w:highlight w:val="none"/>
        </w:rPr>
      </w:pPr>
    </w:p>
    <w:p w14:paraId="451DFD17">
      <w:pPr>
        <w:autoSpaceDE w:val="0"/>
        <w:autoSpaceDN w:val="0"/>
        <w:adjustRightInd w:val="0"/>
        <w:snapToGrid w:val="0"/>
        <w:spacing w:line="300" w:lineRule="auto"/>
        <w:jc w:val="center"/>
        <w:rPr>
          <w:rFonts w:hint="eastAsia" w:ascii="仿宋_GB2312" w:eastAsia="仿宋_GB2312"/>
          <w:b/>
          <w:color w:val="auto"/>
          <w:kern w:val="0"/>
          <w:sz w:val="44"/>
          <w:szCs w:val="44"/>
          <w:highlight w:val="none"/>
        </w:rPr>
      </w:pPr>
    </w:p>
    <w:p w14:paraId="652BA816">
      <w:pPr>
        <w:pStyle w:val="5"/>
        <w:outlineLvl w:val="9"/>
        <w:rPr>
          <w:rFonts w:hint="eastAsia" w:ascii="仿宋_GB2312" w:eastAsia="仿宋_GB2312"/>
          <w:b w:val="0"/>
          <w:color w:val="auto"/>
          <w:kern w:val="0"/>
          <w:sz w:val="44"/>
          <w:szCs w:val="44"/>
          <w:highlight w:val="none"/>
        </w:rPr>
      </w:pPr>
    </w:p>
    <w:p w14:paraId="1CF7C98B">
      <w:pPr>
        <w:rPr>
          <w:rFonts w:hint="eastAsia" w:ascii="仿宋_GB2312" w:eastAsia="仿宋_GB2312"/>
          <w:b/>
          <w:color w:val="auto"/>
          <w:kern w:val="0"/>
          <w:sz w:val="44"/>
          <w:szCs w:val="44"/>
          <w:highlight w:val="none"/>
        </w:rPr>
      </w:pPr>
    </w:p>
    <w:p w14:paraId="5F964ACF">
      <w:pPr>
        <w:autoSpaceDE w:val="0"/>
        <w:autoSpaceDN w:val="0"/>
        <w:adjustRightInd w:val="0"/>
        <w:snapToGrid w:val="0"/>
        <w:spacing w:line="300" w:lineRule="auto"/>
        <w:jc w:val="center"/>
        <w:rPr>
          <w:rFonts w:hint="eastAsia" w:ascii="仿宋_GB2312" w:eastAsia="仿宋_GB2312"/>
          <w:b/>
          <w:color w:val="auto"/>
          <w:kern w:val="0"/>
          <w:sz w:val="44"/>
          <w:szCs w:val="44"/>
          <w:highlight w:val="none"/>
        </w:rPr>
      </w:pPr>
    </w:p>
    <w:p w14:paraId="5E17DA62">
      <w:pPr>
        <w:pStyle w:val="5"/>
        <w:outlineLvl w:val="9"/>
        <w:rPr>
          <w:rFonts w:hint="eastAsia"/>
          <w:color w:val="auto"/>
          <w:highlight w:val="none"/>
        </w:rPr>
      </w:pPr>
    </w:p>
    <w:p w14:paraId="7BF148EF">
      <w:pPr>
        <w:pStyle w:val="12"/>
        <w:spacing w:line="360" w:lineRule="exact"/>
        <w:ind w:firstLine="941" w:firstLineChars="213"/>
        <w:rPr>
          <w:rFonts w:hint="eastAsia" w:cs="宋体"/>
          <w:color w:val="auto"/>
          <w:highlight w:val="none"/>
          <w:lang w:bidi="ar-SA"/>
        </w:rPr>
      </w:pPr>
      <w:r>
        <w:rPr>
          <w:rFonts w:hint="eastAsia" w:ascii="宋体"/>
          <w:b/>
          <w:color w:val="auto"/>
          <w:kern w:val="0"/>
          <w:sz w:val="44"/>
          <w:szCs w:val="44"/>
          <w:highlight w:val="none"/>
        </w:rPr>
        <w:t xml:space="preserve"> </w:t>
      </w:r>
    </w:p>
    <w:p w14:paraId="3EAA2D02">
      <w:pPr>
        <w:pStyle w:val="12"/>
        <w:spacing w:line="440" w:lineRule="exact"/>
        <w:rPr>
          <w:rFonts w:hint="eastAsia"/>
          <w:color w:val="auto"/>
          <w:sz w:val="28"/>
          <w:szCs w:val="28"/>
          <w:highlight w:val="none"/>
        </w:rPr>
      </w:pPr>
    </w:p>
    <w:p w14:paraId="6F2E715A">
      <w:pPr>
        <w:autoSpaceDE w:val="0"/>
        <w:autoSpaceDN w:val="0"/>
        <w:adjustRightInd w:val="0"/>
        <w:snapToGrid w:val="0"/>
        <w:spacing w:line="300" w:lineRule="auto"/>
        <w:jc w:val="center"/>
        <w:rPr>
          <w:rFonts w:hint="eastAsia" w:ascii="宋体"/>
          <w:b/>
          <w:color w:val="auto"/>
          <w:kern w:val="0"/>
          <w:sz w:val="44"/>
          <w:szCs w:val="44"/>
          <w:highlight w:val="none"/>
        </w:rPr>
      </w:pPr>
    </w:p>
    <w:p w14:paraId="79B54B81">
      <w:pPr>
        <w:pStyle w:val="7"/>
        <w:rPr>
          <w:rFonts w:hint="eastAsia" w:ascii="宋体"/>
          <w:b/>
          <w:color w:val="auto"/>
          <w:kern w:val="0"/>
          <w:sz w:val="44"/>
          <w:szCs w:val="44"/>
          <w:highlight w:val="none"/>
        </w:rPr>
      </w:pPr>
    </w:p>
    <w:p w14:paraId="4D272A4B">
      <w:pPr>
        <w:pStyle w:val="7"/>
        <w:rPr>
          <w:rFonts w:hint="eastAsia" w:ascii="宋体"/>
          <w:b/>
          <w:color w:val="auto"/>
          <w:kern w:val="0"/>
          <w:sz w:val="44"/>
          <w:szCs w:val="44"/>
          <w:highlight w:val="none"/>
        </w:rPr>
      </w:pPr>
    </w:p>
    <w:p w14:paraId="7DA9BCE6">
      <w:pPr>
        <w:autoSpaceDE w:val="0"/>
        <w:autoSpaceDN w:val="0"/>
        <w:adjustRightInd w:val="0"/>
        <w:snapToGrid w:val="0"/>
        <w:spacing w:line="300" w:lineRule="auto"/>
        <w:jc w:val="center"/>
        <w:outlineLvl w:val="0"/>
        <w:rPr>
          <w:rFonts w:hint="eastAsia" w:ascii="宋体"/>
          <w:b/>
          <w:color w:val="auto"/>
          <w:kern w:val="0"/>
          <w:sz w:val="44"/>
          <w:szCs w:val="44"/>
          <w:highlight w:val="none"/>
        </w:rPr>
      </w:pPr>
      <w:bookmarkStart w:id="742" w:name="_Toc32683"/>
      <w:r>
        <w:rPr>
          <w:rFonts w:hint="eastAsia" w:ascii="宋体"/>
          <w:b/>
          <w:color w:val="auto"/>
          <w:kern w:val="0"/>
          <w:sz w:val="44"/>
          <w:szCs w:val="44"/>
          <w:highlight w:val="none"/>
        </w:rPr>
        <w:br w:type="page"/>
      </w:r>
      <w:r>
        <w:rPr>
          <w:rFonts w:hint="eastAsia" w:ascii="宋体"/>
          <w:b/>
          <w:color w:val="auto"/>
          <w:kern w:val="0"/>
          <w:sz w:val="44"/>
          <w:szCs w:val="44"/>
          <w:highlight w:val="none"/>
        </w:rPr>
        <w:t>第</w:t>
      </w:r>
      <w:r>
        <w:rPr>
          <w:rFonts w:hint="eastAsia" w:ascii="宋体"/>
          <w:b/>
          <w:color w:val="auto"/>
          <w:kern w:val="0"/>
          <w:sz w:val="44"/>
          <w:szCs w:val="44"/>
          <w:highlight w:val="none"/>
          <w:lang w:eastAsia="zh-CN"/>
        </w:rPr>
        <w:t>八</w:t>
      </w:r>
      <w:r>
        <w:rPr>
          <w:rFonts w:hint="eastAsia" w:ascii="宋体"/>
          <w:b/>
          <w:color w:val="auto"/>
          <w:kern w:val="0"/>
          <w:sz w:val="44"/>
          <w:szCs w:val="44"/>
          <w:highlight w:val="none"/>
        </w:rPr>
        <w:t>章 图纸（自行下载）</w:t>
      </w:r>
      <w:bookmarkEnd w:id="742"/>
    </w:p>
    <w:p w14:paraId="773936C5">
      <w:pPr>
        <w:pStyle w:val="12"/>
        <w:spacing w:line="440" w:lineRule="exact"/>
        <w:jc w:val="center"/>
        <w:rPr>
          <w:rFonts w:hint="eastAsia"/>
          <w:b/>
          <w:color w:val="auto"/>
          <w:sz w:val="28"/>
          <w:szCs w:val="28"/>
          <w:highlight w:val="none"/>
        </w:rPr>
      </w:pPr>
    </w:p>
    <w:p w14:paraId="0A4DD0E8">
      <w:pPr>
        <w:spacing w:line="380" w:lineRule="exact"/>
        <w:rPr>
          <w:rFonts w:hint="eastAsia"/>
          <w:b/>
          <w:color w:val="auto"/>
          <w:sz w:val="32"/>
          <w:szCs w:val="32"/>
          <w:highlight w:val="none"/>
        </w:rPr>
      </w:pPr>
    </w:p>
    <w:p w14:paraId="07690020">
      <w:pPr>
        <w:pStyle w:val="7"/>
        <w:rPr>
          <w:rFonts w:hint="eastAsia"/>
          <w:b/>
          <w:color w:val="auto"/>
          <w:sz w:val="32"/>
          <w:szCs w:val="32"/>
          <w:highlight w:val="none"/>
        </w:rPr>
      </w:pPr>
    </w:p>
    <w:p w14:paraId="6FCA4136">
      <w:pPr>
        <w:pStyle w:val="7"/>
        <w:rPr>
          <w:rFonts w:hint="eastAsia"/>
          <w:b/>
          <w:color w:val="auto"/>
          <w:sz w:val="32"/>
          <w:szCs w:val="32"/>
          <w:highlight w:val="none"/>
        </w:rPr>
      </w:pPr>
    </w:p>
    <w:p w14:paraId="71C02070">
      <w:pPr>
        <w:spacing w:line="380" w:lineRule="exact"/>
        <w:rPr>
          <w:rFonts w:hint="eastAsia"/>
          <w:b/>
          <w:color w:val="auto"/>
          <w:sz w:val="24"/>
          <w:highlight w:val="none"/>
        </w:rPr>
      </w:pPr>
      <w:r>
        <w:rPr>
          <w:b/>
          <w:color w:val="auto"/>
          <w:sz w:val="24"/>
          <w:highlight w:val="none"/>
        </w:rPr>
        <w:br w:type="page"/>
      </w:r>
      <w:r>
        <w:rPr>
          <w:rFonts w:hint="eastAsia"/>
          <w:b/>
          <w:color w:val="auto"/>
          <w:sz w:val="24"/>
          <w:highlight w:val="none"/>
        </w:rPr>
        <w:t>附件1：</w:t>
      </w:r>
    </w:p>
    <w:p w14:paraId="347F6C6A">
      <w:pPr>
        <w:jc w:val="center"/>
        <w:rPr>
          <w:rFonts w:hint="eastAsia" w:ascii="仿宋" w:eastAsia="仿宋" w:cs="仿宋"/>
          <w:b/>
          <w:bCs/>
          <w:color w:val="auto"/>
          <w:sz w:val="32"/>
          <w:szCs w:val="32"/>
          <w:highlight w:val="none"/>
          <w:lang w:bidi="ar-SA"/>
        </w:rPr>
      </w:pPr>
      <w:r>
        <w:rPr>
          <w:rFonts w:hint="eastAsia" w:ascii="仿宋" w:eastAsia="仿宋" w:cs="仿宋"/>
          <w:b/>
          <w:bCs/>
          <w:color w:val="auto"/>
          <w:sz w:val="32"/>
          <w:szCs w:val="32"/>
          <w:highlight w:val="none"/>
          <w:lang w:bidi="ar-SA"/>
        </w:rPr>
        <w:t>质疑函范本</w:t>
      </w:r>
    </w:p>
    <w:p w14:paraId="0C972CEA">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auto"/>
          <w:sz w:val="24"/>
          <w:highlight w:val="none"/>
          <w:lang w:bidi="ar-SA"/>
        </w:rPr>
      </w:pPr>
      <w:r>
        <w:rPr>
          <w:rFonts w:hint="eastAsia" w:ascii="仿宋" w:eastAsia="仿宋" w:cs="仿宋"/>
          <w:bCs/>
          <w:color w:val="auto"/>
          <w:sz w:val="24"/>
          <w:highlight w:val="none"/>
          <w:lang w:bidi="ar-SA"/>
        </w:rPr>
        <w:t>一、质疑供应商基本信息</w:t>
      </w:r>
    </w:p>
    <w:p w14:paraId="6D40A13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lang w:bidi="ar-SA"/>
        </w:rPr>
        <w:t>质疑供应商：</w:t>
      </w:r>
      <w:r>
        <w:rPr>
          <w:rFonts w:hint="eastAsia" w:ascii="仿宋" w:eastAsia="仿宋" w:cs="仿宋"/>
          <w:color w:val="auto"/>
          <w:sz w:val="24"/>
          <w:highlight w:val="none"/>
          <w:u w:val="dotted"/>
          <w:lang w:bidi="ar-SA"/>
        </w:rPr>
        <w:t xml:space="preserve">                                        </w:t>
      </w:r>
    </w:p>
    <w:p w14:paraId="61BBA6B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地址：</w:t>
      </w:r>
      <w:r>
        <w:rPr>
          <w:rFonts w:hint="eastAsia" w:ascii="仿宋" w:eastAsia="仿宋" w:cs="仿宋"/>
          <w:color w:val="auto"/>
          <w:sz w:val="24"/>
          <w:highlight w:val="none"/>
          <w:u w:val="dotted"/>
          <w:lang w:bidi="ar-SA"/>
        </w:rPr>
        <w:t xml:space="preserve">                          </w:t>
      </w:r>
      <w:r>
        <w:rPr>
          <w:rFonts w:hint="eastAsia" w:ascii="仿宋" w:eastAsia="仿宋" w:cs="仿宋"/>
          <w:color w:val="auto"/>
          <w:sz w:val="24"/>
          <w:highlight w:val="none"/>
          <w:lang w:bidi="ar-SA"/>
        </w:rPr>
        <w:t>邮编：</w:t>
      </w:r>
      <w:r>
        <w:rPr>
          <w:rFonts w:hint="eastAsia" w:ascii="仿宋" w:eastAsia="仿宋" w:cs="仿宋"/>
          <w:color w:val="auto"/>
          <w:sz w:val="24"/>
          <w:highlight w:val="none"/>
          <w:u w:val="dotted"/>
          <w:lang w:bidi="ar-SA"/>
        </w:rPr>
        <w:t xml:space="preserve">                                                   </w:t>
      </w:r>
    </w:p>
    <w:p w14:paraId="407EDA44">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联系人：</w:t>
      </w:r>
      <w:r>
        <w:rPr>
          <w:rFonts w:hint="eastAsia" w:ascii="仿宋" w:eastAsia="仿宋" w:cs="仿宋"/>
          <w:color w:val="auto"/>
          <w:sz w:val="24"/>
          <w:highlight w:val="none"/>
          <w:u w:val="dotted"/>
          <w:lang w:bidi="ar-SA"/>
        </w:rPr>
        <w:t xml:space="preserve">                      </w:t>
      </w:r>
      <w:r>
        <w:rPr>
          <w:rFonts w:hint="eastAsia" w:ascii="仿宋" w:eastAsia="仿宋" w:cs="仿宋"/>
          <w:color w:val="auto"/>
          <w:sz w:val="24"/>
          <w:highlight w:val="none"/>
          <w:lang w:bidi="ar-SA"/>
        </w:rPr>
        <w:t>联系电话：</w:t>
      </w:r>
      <w:r>
        <w:rPr>
          <w:rFonts w:hint="eastAsia" w:ascii="仿宋" w:eastAsia="仿宋" w:cs="仿宋"/>
          <w:color w:val="auto"/>
          <w:sz w:val="24"/>
          <w:highlight w:val="none"/>
          <w:u w:val="dotted"/>
          <w:lang w:bidi="ar-SA"/>
        </w:rPr>
        <w:t xml:space="preserve">                              </w:t>
      </w:r>
    </w:p>
    <w:p w14:paraId="2B18C0C2">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lang w:bidi="ar-SA"/>
        </w:rPr>
        <w:t>授权代表：</w:t>
      </w:r>
      <w:r>
        <w:rPr>
          <w:rFonts w:hint="eastAsia" w:ascii="仿宋" w:eastAsia="仿宋" w:cs="仿宋"/>
          <w:color w:val="auto"/>
          <w:sz w:val="24"/>
          <w:highlight w:val="none"/>
          <w:u w:val="dotted"/>
          <w:lang w:bidi="ar-SA"/>
        </w:rPr>
        <w:t xml:space="preserve">                                          </w:t>
      </w:r>
    </w:p>
    <w:p w14:paraId="2367A849">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联系电话：</w:t>
      </w:r>
      <w:r>
        <w:rPr>
          <w:rFonts w:hint="eastAsia" w:ascii="仿宋" w:eastAsia="仿宋" w:cs="仿宋"/>
          <w:color w:val="auto"/>
          <w:sz w:val="24"/>
          <w:highlight w:val="none"/>
          <w:u w:val="dotted"/>
          <w:lang w:bidi="ar-SA"/>
        </w:rPr>
        <w:t xml:space="preserve">                                           </w:t>
      </w:r>
      <w:r>
        <w:rPr>
          <w:rFonts w:hint="eastAsia" w:ascii="仿宋" w:eastAsia="仿宋" w:cs="仿宋"/>
          <w:color w:val="auto"/>
          <w:sz w:val="24"/>
          <w:highlight w:val="none"/>
          <w:lang w:bidi="ar-SA"/>
        </w:rPr>
        <w:t xml:space="preserve"> </w:t>
      </w:r>
    </w:p>
    <w:p w14:paraId="3C9B985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 xml:space="preserve">地址： </w:t>
      </w:r>
      <w:r>
        <w:rPr>
          <w:rFonts w:hint="eastAsia" w:ascii="仿宋" w:eastAsia="仿宋" w:cs="仿宋"/>
          <w:color w:val="auto"/>
          <w:sz w:val="24"/>
          <w:highlight w:val="none"/>
          <w:u w:val="dotted"/>
          <w:lang w:bidi="ar-SA"/>
        </w:rPr>
        <w:t xml:space="preserve">                        </w:t>
      </w:r>
      <w:r>
        <w:rPr>
          <w:rFonts w:hint="eastAsia" w:ascii="仿宋" w:eastAsia="仿宋" w:cs="仿宋"/>
          <w:color w:val="auto"/>
          <w:sz w:val="24"/>
          <w:highlight w:val="none"/>
          <w:lang w:bidi="ar-SA"/>
        </w:rPr>
        <w:t>邮编：</w:t>
      </w:r>
      <w:r>
        <w:rPr>
          <w:rFonts w:hint="eastAsia" w:ascii="仿宋" w:eastAsia="仿宋" w:cs="仿宋"/>
          <w:color w:val="auto"/>
          <w:sz w:val="24"/>
          <w:highlight w:val="none"/>
          <w:u w:val="dotted"/>
          <w:lang w:bidi="ar-SA"/>
        </w:rPr>
        <w:t xml:space="preserve">                                                </w:t>
      </w:r>
    </w:p>
    <w:p w14:paraId="3DFDEC2B">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auto"/>
          <w:sz w:val="24"/>
          <w:highlight w:val="none"/>
          <w:lang w:bidi="ar-SA"/>
        </w:rPr>
      </w:pPr>
      <w:r>
        <w:rPr>
          <w:rFonts w:hint="eastAsia" w:ascii="仿宋" w:eastAsia="仿宋" w:cs="仿宋"/>
          <w:bCs/>
          <w:color w:val="auto"/>
          <w:sz w:val="24"/>
          <w:highlight w:val="none"/>
          <w:lang w:bidi="ar-SA"/>
        </w:rPr>
        <w:t>二、质疑项目基本情况</w:t>
      </w:r>
    </w:p>
    <w:p w14:paraId="4D3B67CB">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质疑项目的名称：</w:t>
      </w:r>
      <w:r>
        <w:rPr>
          <w:rFonts w:hint="eastAsia" w:ascii="仿宋" w:eastAsia="仿宋" w:cs="仿宋"/>
          <w:color w:val="auto"/>
          <w:sz w:val="24"/>
          <w:highlight w:val="none"/>
          <w:u w:val="dotted"/>
          <w:lang w:bidi="ar-SA"/>
        </w:rPr>
        <w:t xml:space="preserve">                                      </w:t>
      </w:r>
    </w:p>
    <w:p w14:paraId="1836B53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质疑项目的编号：</w:t>
      </w:r>
      <w:r>
        <w:rPr>
          <w:rFonts w:hint="eastAsia" w:ascii="仿宋" w:eastAsia="仿宋" w:cs="仿宋"/>
          <w:color w:val="auto"/>
          <w:sz w:val="24"/>
          <w:highlight w:val="none"/>
          <w:u w:val="dotted"/>
          <w:lang w:bidi="ar-SA"/>
        </w:rPr>
        <w:t xml:space="preserve">               </w:t>
      </w:r>
      <w:r>
        <w:rPr>
          <w:rFonts w:hint="eastAsia" w:ascii="仿宋" w:eastAsia="仿宋" w:cs="仿宋"/>
          <w:color w:val="auto"/>
          <w:sz w:val="24"/>
          <w:highlight w:val="none"/>
          <w:lang w:bidi="ar-SA"/>
        </w:rPr>
        <w:t>包号：</w:t>
      </w:r>
      <w:r>
        <w:rPr>
          <w:rFonts w:hint="eastAsia" w:ascii="仿宋" w:eastAsia="仿宋" w:cs="仿宋"/>
          <w:color w:val="auto"/>
          <w:sz w:val="24"/>
          <w:highlight w:val="none"/>
          <w:u w:val="dotted"/>
          <w:lang w:bidi="ar-SA"/>
        </w:rPr>
        <w:t xml:space="preserve">                 </w:t>
      </w:r>
    </w:p>
    <w:p w14:paraId="6F6ED2AF">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lang w:bidi="ar-SA"/>
        </w:rPr>
        <w:t>采购人名称：</w:t>
      </w:r>
      <w:r>
        <w:rPr>
          <w:rFonts w:hint="eastAsia" w:ascii="仿宋" w:eastAsia="仿宋" w:cs="仿宋"/>
          <w:color w:val="auto"/>
          <w:sz w:val="24"/>
          <w:highlight w:val="none"/>
          <w:u w:val="dotted"/>
          <w:lang w:bidi="ar-SA"/>
        </w:rPr>
        <w:t xml:space="preserve">                                         </w:t>
      </w:r>
    </w:p>
    <w:p w14:paraId="03B4E76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采购文件获取日期：</w:t>
      </w:r>
      <w:r>
        <w:rPr>
          <w:rFonts w:hint="eastAsia" w:ascii="仿宋" w:eastAsia="仿宋" w:cs="仿宋"/>
          <w:color w:val="auto"/>
          <w:sz w:val="24"/>
          <w:highlight w:val="none"/>
          <w:u w:val="dotted"/>
          <w:lang w:bidi="ar-SA"/>
        </w:rPr>
        <w:t xml:space="preserve">                                           </w:t>
      </w:r>
    </w:p>
    <w:p w14:paraId="689A0CA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auto"/>
          <w:sz w:val="24"/>
          <w:highlight w:val="none"/>
          <w:lang w:bidi="ar-SA"/>
        </w:rPr>
      </w:pPr>
      <w:r>
        <w:rPr>
          <w:rFonts w:hint="eastAsia" w:ascii="仿宋" w:eastAsia="仿宋" w:cs="仿宋"/>
          <w:bCs/>
          <w:color w:val="auto"/>
          <w:sz w:val="24"/>
          <w:highlight w:val="none"/>
          <w:lang w:bidi="ar-SA"/>
        </w:rPr>
        <w:t>三、质疑事项具体内容</w:t>
      </w:r>
    </w:p>
    <w:p w14:paraId="1C13A995">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lang w:bidi="ar-SA"/>
        </w:rPr>
        <w:t>质疑事项1：</w:t>
      </w:r>
      <w:r>
        <w:rPr>
          <w:rFonts w:hint="eastAsia" w:ascii="仿宋" w:eastAsia="仿宋" w:cs="仿宋"/>
          <w:color w:val="auto"/>
          <w:sz w:val="24"/>
          <w:highlight w:val="none"/>
          <w:u w:val="dotted"/>
          <w:lang w:bidi="ar-SA"/>
        </w:rPr>
        <w:t xml:space="preserve">                                         </w:t>
      </w:r>
    </w:p>
    <w:p w14:paraId="56E8304D">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lang w:bidi="ar-SA"/>
        </w:rPr>
        <w:t>事实依据：</w:t>
      </w:r>
      <w:r>
        <w:rPr>
          <w:rFonts w:hint="eastAsia" w:ascii="仿宋" w:eastAsia="仿宋" w:cs="仿宋"/>
          <w:color w:val="auto"/>
          <w:sz w:val="24"/>
          <w:highlight w:val="none"/>
          <w:u w:val="dotted"/>
          <w:lang w:bidi="ar-SA"/>
        </w:rPr>
        <w:t xml:space="preserve">                                          </w:t>
      </w:r>
    </w:p>
    <w:p w14:paraId="23964DE1">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lang w:bidi="ar-SA"/>
        </w:rPr>
        <w:t>法律依据：</w:t>
      </w:r>
      <w:r>
        <w:rPr>
          <w:rFonts w:hint="eastAsia" w:ascii="仿宋" w:eastAsia="仿宋" w:cs="仿宋"/>
          <w:color w:val="auto"/>
          <w:sz w:val="24"/>
          <w:highlight w:val="none"/>
          <w:u w:val="dotted"/>
          <w:lang w:bidi="ar-SA"/>
        </w:rPr>
        <w:t xml:space="preserve">                                          </w:t>
      </w:r>
    </w:p>
    <w:p w14:paraId="193EFD76">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u w:val="dotted"/>
          <w:lang w:bidi="ar-SA"/>
        </w:rPr>
        <w:t xml:space="preserve">                                                     </w:t>
      </w:r>
    </w:p>
    <w:p w14:paraId="06A71109">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lang w:bidi="ar-SA"/>
        </w:rPr>
        <w:t>质疑事项2</w:t>
      </w:r>
    </w:p>
    <w:p w14:paraId="6F47E103">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lang w:bidi="ar-SA"/>
        </w:rPr>
      </w:pPr>
      <w:r>
        <w:rPr>
          <w:rFonts w:hint="eastAsia" w:ascii="仿宋" w:eastAsia="仿宋" w:cs="仿宋"/>
          <w:color w:val="auto"/>
          <w:sz w:val="24"/>
          <w:highlight w:val="none"/>
          <w:lang w:bidi="ar-SA"/>
        </w:rPr>
        <w:t>……</w:t>
      </w:r>
    </w:p>
    <w:p w14:paraId="4F32C7A7">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bCs/>
          <w:color w:val="auto"/>
          <w:sz w:val="24"/>
          <w:highlight w:val="none"/>
          <w:lang w:bidi="ar-SA"/>
        </w:rPr>
      </w:pPr>
      <w:r>
        <w:rPr>
          <w:rFonts w:hint="eastAsia" w:ascii="仿宋" w:eastAsia="仿宋" w:cs="仿宋"/>
          <w:bCs/>
          <w:color w:val="auto"/>
          <w:sz w:val="24"/>
          <w:highlight w:val="none"/>
          <w:lang w:bidi="ar-SA"/>
        </w:rPr>
        <w:t>四、与质疑事项相关的质疑请求</w:t>
      </w:r>
    </w:p>
    <w:p w14:paraId="5E3609BC">
      <w:pPr>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eastAsia="仿宋" w:cs="仿宋"/>
          <w:color w:val="auto"/>
          <w:sz w:val="24"/>
          <w:highlight w:val="none"/>
          <w:u w:val="dotted"/>
          <w:lang w:bidi="ar-SA"/>
        </w:rPr>
      </w:pPr>
      <w:r>
        <w:rPr>
          <w:rFonts w:hint="eastAsia" w:ascii="仿宋" w:eastAsia="仿宋" w:cs="仿宋"/>
          <w:color w:val="auto"/>
          <w:sz w:val="24"/>
          <w:highlight w:val="none"/>
          <w:lang w:bidi="ar-SA"/>
        </w:rPr>
        <w:t>请求：</w:t>
      </w:r>
      <w:r>
        <w:rPr>
          <w:rFonts w:hint="eastAsia" w:ascii="仿宋" w:eastAsia="仿宋" w:cs="仿宋"/>
          <w:color w:val="auto"/>
          <w:sz w:val="24"/>
          <w:highlight w:val="none"/>
          <w:u w:val="dotted"/>
          <w:lang w:bidi="ar-SA"/>
        </w:rPr>
        <w:t xml:space="preserve">                                               </w:t>
      </w:r>
    </w:p>
    <w:p w14:paraId="2B43370A">
      <w:pPr>
        <w:keepNext w:val="0"/>
        <w:keepLines w:val="0"/>
        <w:pageBreakBefore w:val="0"/>
        <w:kinsoku/>
        <w:wordWrap/>
        <w:overflowPunct/>
        <w:topLinePunct w:val="0"/>
        <w:autoSpaceDE/>
        <w:autoSpaceDN/>
        <w:bidi w:val="0"/>
        <w:spacing w:line="360" w:lineRule="exact"/>
        <w:textAlignment w:val="auto"/>
        <w:rPr>
          <w:rFonts w:hint="eastAsia" w:ascii="仿宋" w:eastAsia="仿宋"/>
          <w:color w:val="auto"/>
          <w:sz w:val="24"/>
          <w:highlight w:val="none"/>
        </w:rPr>
      </w:pPr>
      <w:r>
        <w:rPr>
          <w:rFonts w:hint="eastAsia" w:ascii="仿宋" w:eastAsia="仿宋"/>
          <w:color w:val="auto"/>
          <w:sz w:val="24"/>
          <w:highlight w:val="none"/>
        </w:rPr>
        <w:t xml:space="preserve">签字(签章)：                   公章：                      </w:t>
      </w:r>
    </w:p>
    <w:p w14:paraId="0B6AD1B2">
      <w:pPr>
        <w:keepNext w:val="0"/>
        <w:keepLines w:val="0"/>
        <w:pageBreakBefore w:val="0"/>
        <w:kinsoku/>
        <w:wordWrap/>
        <w:overflowPunct/>
        <w:topLinePunct w:val="0"/>
        <w:autoSpaceDE/>
        <w:autoSpaceDN/>
        <w:bidi w:val="0"/>
        <w:spacing w:line="360" w:lineRule="exact"/>
        <w:textAlignment w:val="auto"/>
        <w:rPr>
          <w:rFonts w:hint="eastAsia" w:ascii="仿宋" w:eastAsia="仿宋"/>
          <w:color w:val="auto"/>
          <w:sz w:val="24"/>
          <w:highlight w:val="none"/>
        </w:rPr>
      </w:pPr>
      <w:r>
        <w:rPr>
          <w:rFonts w:hint="eastAsia" w:ascii="仿宋" w:eastAsia="仿宋"/>
          <w:color w:val="auto"/>
          <w:sz w:val="24"/>
          <w:highlight w:val="none"/>
        </w:rPr>
        <w:t xml:space="preserve">日期：    </w:t>
      </w:r>
    </w:p>
    <w:p w14:paraId="763ABC10">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auto"/>
          <w:sz w:val="28"/>
          <w:szCs w:val="28"/>
          <w:highlight w:val="none"/>
        </w:rPr>
      </w:pPr>
    </w:p>
    <w:p w14:paraId="6B5FD371">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auto"/>
          <w:sz w:val="28"/>
          <w:szCs w:val="28"/>
          <w:highlight w:val="none"/>
        </w:rPr>
      </w:pPr>
    </w:p>
    <w:p w14:paraId="501BF673">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auto"/>
          <w:sz w:val="28"/>
          <w:szCs w:val="28"/>
          <w:highlight w:val="none"/>
        </w:rPr>
      </w:pPr>
    </w:p>
    <w:p w14:paraId="303618C2">
      <w:pPr>
        <w:keepNext w:val="0"/>
        <w:keepLines w:val="0"/>
        <w:pageBreakBefore w:val="0"/>
        <w:kinsoku/>
        <w:wordWrap/>
        <w:overflowPunct/>
        <w:topLinePunct w:val="0"/>
        <w:autoSpaceDE/>
        <w:autoSpaceDN/>
        <w:bidi w:val="0"/>
        <w:spacing w:line="360" w:lineRule="exact"/>
        <w:textAlignment w:val="auto"/>
        <w:rPr>
          <w:rFonts w:hint="eastAsia" w:ascii="仿宋" w:eastAsia="仿宋"/>
          <w:b/>
          <w:color w:val="auto"/>
          <w:sz w:val="24"/>
          <w:highlight w:val="none"/>
        </w:rPr>
      </w:pPr>
      <w:r>
        <w:rPr>
          <w:rFonts w:hint="eastAsia" w:ascii="仿宋" w:eastAsia="仿宋"/>
          <w:b/>
          <w:color w:val="auto"/>
          <w:sz w:val="24"/>
          <w:highlight w:val="none"/>
        </w:rPr>
        <w:t>质疑函制作说明：</w:t>
      </w:r>
    </w:p>
    <w:p w14:paraId="3FD6BD80">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auto"/>
          <w:sz w:val="24"/>
          <w:highlight w:val="none"/>
        </w:rPr>
      </w:pPr>
      <w:r>
        <w:rPr>
          <w:rFonts w:hint="eastAsia" w:ascii="仿宋" w:eastAsia="仿宋"/>
          <w:color w:val="auto"/>
          <w:sz w:val="24"/>
          <w:highlight w:val="none"/>
        </w:rPr>
        <w:t>1.供应商提出质疑时，应提交质疑函和必要的证明材料。</w:t>
      </w:r>
    </w:p>
    <w:p w14:paraId="618DB456">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auto"/>
          <w:sz w:val="24"/>
          <w:highlight w:val="none"/>
        </w:rPr>
      </w:pPr>
      <w:r>
        <w:rPr>
          <w:rFonts w:hint="eastAsia" w:ascii="仿宋" w:eastAsia="仿宋"/>
          <w:color w:val="auto"/>
          <w:sz w:val="24"/>
          <w:highlight w:val="none"/>
        </w:rPr>
        <w:t>2.质疑供应商若委托代理人进行质疑的，质疑函应按要求列明“授权代表”的有关内容，并在附件中提交由质疑</w:t>
      </w:r>
      <w:r>
        <w:rPr>
          <w:rFonts w:hint="eastAsia" w:ascii="仿宋" w:eastAsia="仿宋" w:cs="宋体"/>
          <w:color w:val="auto"/>
          <w:kern w:val="0"/>
          <w:sz w:val="24"/>
          <w:highlight w:val="none"/>
          <w:lang w:bidi="ar-SA"/>
        </w:rPr>
        <w:t>供应商签署的授权委托书。授权委托书应载明代理人的姓名或者名称、代理事项、具体权限、期限和相关事项。</w:t>
      </w:r>
    </w:p>
    <w:p w14:paraId="0ED54E5D">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auto"/>
          <w:sz w:val="24"/>
          <w:highlight w:val="none"/>
        </w:rPr>
      </w:pPr>
      <w:r>
        <w:rPr>
          <w:rFonts w:hint="eastAsia" w:ascii="仿宋" w:eastAsia="仿宋"/>
          <w:color w:val="auto"/>
          <w:sz w:val="24"/>
          <w:highlight w:val="none"/>
        </w:rPr>
        <w:t>3.质疑供应商若对项目的某一分包进行质疑，质疑函中应列明具体分包号。</w:t>
      </w:r>
    </w:p>
    <w:p w14:paraId="2BAC282B">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auto"/>
          <w:sz w:val="24"/>
          <w:highlight w:val="none"/>
        </w:rPr>
      </w:pPr>
      <w:r>
        <w:rPr>
          <w:rFonts w:hint="eastAsia" w:ascii="仿宋" w:eastAsia="仿宋"/>
          <w:color w:val="auto"/>
          <w:sz w:val="24"/>
          <w:highlight w:val="none"/>
        </w:rPr>
        <w:t>4.质疑函的质疑事项应具体、明确，并有必要的事实依据和法律依据。</w:t>
      </w:r>
    </w:p>
    <w:p w14:paraId="696D226F">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auto"/>
          <w:sz w:val="24"/>
          <w:highlight w:val="none"/>
        </w:rPr>
      </w:pPr>
      <w:r>
        <w:rPr>
          <w:rFonts w:hint="eastAsia" w:ascii="仿宋" w:eastAsia="仿宋"/>
          <w:color w:val="auto"/>
          <w:sz w:val="24"/>
          <w:highlight w:val="none"/>
        </w:rPr>
        <w:t>5.质疑函的质疑请求应与质疑事项相关。</w:t>
      </w:r>
    </w:p>
    <w:p w14:paraId="2457EE6C">
      <w:pPr>
        <w:keepNext w:val="0"/>
        <w:keepLines w:val="0"/>
        <w:pageBreakBefore w:val="0"/>
        <w:widowControl/>
        <w:kinsoku/>
        <w:wordWrap/>
        <w:overflowPunct/>
        <w:topLinePunct w:val="0"/>
        <w:autoSpaceDE/>
        <w:autoSpaceDN/>
        <w:bidi w:val="0"/>
        <w:spacing w:line="360" w:lineRule="exact"/>
        <w:ind w:firstLine="480" w:firstLineChars="200"/>
        <w:jc w:val="left"/>
        <w:textAlignment w:val="auto"/>
        <w:rPr>
          <w:rFonts w:hint="eastAsia" w:ascii="仿宋" w:eastAsia="仿宋"/>
          <w:color w:val="auto"/>
          <w:sz w:val="24"/>
          <w:highlight w:val="none"/>
        </w:rPr>
      </w:pPr>
      <w:r>
        <w:rPr>
          <w:rFonts w:hint="eastAsia" w:ascii="仿宋" w:eastAsia="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0E917A94">
      <w:pPr>
        <w:widowControl/>
        <w:spacing w:line="360" w:lineRule="auto"/>
        <w:ind w:firstLine="420" w:firstLineChars="200"/>
        <w:jc w:val="left"/>
        <w:rPr>
          <w:rFonts w:hint="eastAsia"/>
          <w:b/>
          <w:color w:val="auto"/>
          <w:sz w:val="28"/>
          <w:szCs w:val="28"/>
          <w:highlight w:val="none"/>
        </w:rPr>
      </w:pPr>
      <w:r>
        <w:rPr>
          <w:rFonts w:hint="eastAsia"/>
          <w:color w:val="auto"/>
          <w:highlight w:val="none"/>
        </w:rPr>
        <w:drawing>
          <wp:anchor distT="0" distB="0" distL="114300" distR="114300" simplePos="0" relativeHeight="251659264" behindDoc="1" locked="0" layoutInCell="1" allowOverlap="1">
            <wp:simplePos x="0" y="0"/>
            <wp:positionH relativeFrom="column">
              <wp:posOffset>-35560</wp:posOffset>
            </wp:positionH>
            <wp:positionV relativeFrom="paragraph">
              <wp:posOffset>598805</wp:posOffset>
            </wp:positionV>
            <wp:extent cx="5150485" cy="4925060"/>
            <wp:effectExtent l="0" t="0" r="12065" b="8890"/>
            <wp:wrapNone/>
            <wp:docPr id="3" name="图片 9" descr="169465784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1694657842273"/>
                    <pic:cNvPicPr>
                      <a:picLocks noChangeAspect="1"/>
                    </pic:cNvPicPr>
                  </pic:nvPicPr>
                  <pic:blipFill>
                    <a:blip r:embed="rId12"/>
                    <a:stretch>
                      <a:fillRect/>
                    </a:stretch>
                  </pic:blipFill>
                  <pic:spPr>
                    <a:xfrm>
                      <a:off x="0" y="0"/>
                      <a:ext cx="5150485" cy="4925060"/>
                    </a:xfrm>
                    <a:prstGeom prst="rect">
                      <a:avLst/>
                    </a:prstGeom>
                    <a:noFill/>
                    <a:ln>
                      <a:noFill/>
                    </a:ln>
                  </pic:spPr>
                </pic:pic>
              </a:graphicData>
            </a:graphic>
          </wp:anchor>
        </w:drawing>
      </w:r>
    </w:p>
    <w:p w14:paraId="5D483DAA">
      <w:pPr>
        <w:pStyle w:val="12"/>
        <w:spacing w:line="440" w:lineRule="exact"/>
        <w:jc w:val="center"/>
        <w:rPr>
          <w:rFonts w:hint="eastAsia"/>
          <w:b/>
          <w:color w:val="auto"/>
          <w:sz w:val="28"/>
          <w:szCs w:val="28"/>
          <w:highlight w:val="none"/>
        </w:rPr>
      </w:pPr>
    </w:p>
    <w:p w14:paraId="01AC70D7">
      <w:pPr>
        <w:pStyle w:val="12"/>
        <w:spacing w:line="440" w:lineRule="exact"/>
        <w:rPr>
          <w:color w:val="auto"/>
          <w:highlight w:val="none"/>
        </w:rPr>
      </w:pPr>
    </w:p>
    <w:p w14:paraId="2F97C9BB">
      <w:pPr>
        <w:rPr>
          <w:color w:val="auto"/>
          <w:highlight w:val="none"/>
        </w:rPr>
      </w:pPr>
    </w:p>
    <w:p w14:paraId="10FC8E93">
      <w:pPr>
        <w:rPr>
          <w:color w:val="auto"/>
          <w:highlight w:val="none"/>
        </w:rPr>
      </w:pPr>
    </w:p>
    <w:sectPr>
      <w:headerReference r:id="rId9" w:type="default"/>
      <w:footerReference r:id="rId10" w:type="default"/>
      <w:pgSz w:w="11910" w:h="16850"/>
      <w:pgMar w:top="1417" w:right="1417" w:bottom="1417" w:left="1417"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048C">
    <w:pPr>
      <w:pStyle w:val="14"/>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A0BE8">
                          <w:pPr>
                            <w:pStyle w:val="14"/>
                            <w:jc w:val="center"/>
                            <w:rPr>
                              <w:rStyle w:val="23"/>
                              <w:rFonts w:hint="eastAsia"/>
                            </w:rPr>
                          </w:pPr>
                          <w:r>
                            <w:fldChar w:fldCharType="begin"/>
                          </w:r>
                          <w:r>
                            <w:rPr>
                              <w:rStyle w:val="23"/>
                            </w:rPr>
                            <w:instrText xml:space="preserve">PAGE  </w:instrText>
                          </w:r>
                          <w:r>
                            <w:fldChar w:fldCharType="separate"/>
                          </w:r>
                          <w:r>
                            <w:rPr>
                              <w:rStyle w:val="23"/>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47A0BE8">
                    <w:pPr>
                      <w:pStyle w:val="14"/>
                      <w:jc w:val="center"/>
                      <w:rPr>
                        <w:rStyle w:val="23"/>
                        <w:rFonts w:hint="eastAsia"/>
                      </w:rPr>
                    </w:pPr>
                    <w:r>
                      <w:fldChar w:fldCharType="begin"/>
                    </w:r>
                    <w:r>
                      <w:rPr>
                        <w:rStyle w:val="23"/>
                      </w:rPr>
                      <w:instrText xml:space="preserve">PAGE  </w:instrText>
                    </w:r>
                    <w:r>
                      <w:fldChar w:fldCharType="separate"/>
                    </w:r>
                    <w:r>
                      <w:rPr>
                        <w:rStyle w:val="23"/>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C910">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14:paraId="7E98CD8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5341">
    <w:pPr>
      <w:pStyle w:val="14"/>
      <w:jc w:val="center"/>
    </w:pPr>
    <w:r>
      <w:fldChar w:fldCharType="begin"/>
    </w:r>
    <w:r>
      <w:instrText xml:space="preserve">PAGE   \* MERGEFORMAT</w:instrText>
    </w:r>
    <w:r>
      <w:fldChar w:fldCharType="separate"/>
    </w:r>
    <w:r>
      <w:rPr>
        <w:lang w:val="zh-CN"/>
      </w:rPr>
      <w:t>65</w:t>
    </w:r>
    <w:r>
      <w:fldChar w:fldCharType="end"/>
    </w:r>
  </w:p>
  <w:p w14:paraId="24A2341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BAA5">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1BA63">
                          <w:pPr>
                            <w:pStyle w:val="14"/>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B1BA63">
                    <w:pPr>
                      <w:pStyle w:val="14"/>
                    </w:pPr>
                    <w:r>
                      <w:fldChar w:fldCharType="begin"/>
                    </w:r>
                    <w:r>
                      <w:instrText xml:space="preserve"> PAGE  \* MERGEFORMAT </w:instrText>
                    </w:r>
                    <w:r>
                      <w:fldChar w:fldCharType="separate"/>
                    </w:r>
                    <w:r>
                      <w:t>64</w:t>
                    </w:r>
                    <w:r>
                      <w:fldChar w:fldCharType="end"/>
                    </w:r>
                  </w:p>
                </w:txbxContent>
              </v:textbox>
            </v:shape>
          </w:pict>
        </mc:Fallback>
      </mc:AlternateContent>
    </w:r>
  </w:p>
  <w:p w14:paraId="1772A10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97B8">
    <w:pPr>
      <w:pStyle w:val="15"/>
      <w:pBdr>
        <w:bottom w:val="none" w:color="auto" w:sz="0" w:space="0"/>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4D482">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6723C">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5497">
    <w:pPr>
      <w:pStyle w:val="1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BCCAE"/>
    <w:multiLevelType w:val="singleLevel"/>
    <w:tmpl w:val="91EBCCAE"/>
    <w:lvl w:ilvl="0" w:tentative="0">
      <w:start w:val="1"/>
      <w:numFmt w:val="decimal"/>
      <w:lvlText w:val="%1."/>
      <w:lvlJc w:val="left"/>
      <w:pPr>
        <w:tabs>
          <w:tab w:val="left" w:pos="312"/>
        </w:tabs>
        <w:ind w:left="0" w:firstLine="0"/>
      </w:pPr>
    </w:lvl>
  </w:abstractNum>
  <w:abstractNum w:abstractNumId="1">
    <w:nsid w:val="FC88ADFE"/>
    <w:multiLevelType w:val="singleLevel"/>
    <w:tmpl w:val="FC88ADFE"/>
    <w:lvl w:ilvl="0" w:tentative="0">
      <w:start w:val="1"/>
      <w:numFmt w:val="chineseCounting"/>
      <w:suff w:val="nothing"/>
      <w:lvlText w:val="%1、"/>
      <w:lvlJc w:val="left"/>
      <w:rPr>
        <w:rFonts w:hint="eastAsia"/>
      </w:rPr>
    </w:lvl>
  </w:abstractNum>
  <w:abstractNum w:abstractNumId="2">
    <w:nsid w:val="19E2C338"/>
    <w:multiLevelType w:val="multilevel"/>
    <w:tmpl w:val="19E2C338"/>
    <w:lvl w:ilvl="0" w:tentative="0">
      <w:start w:val="1"/>
      <w:numFmt w:val="decimal"/>
      <w:lvlText w:val="%1."/>
      <w:legacy w:legacy="1" w:legacySpace="0" w:legacyIndent="360"/>
      <w:lvlJc w:val="left"/>
      <w:pPr>
        <w:ind w:left="772" w:hanging="360"/>
      </w:pPr>
      <w:rPr>
        <w:rFonts w:hint="default" w:ascii="宋体" w:hAnsi="宋体"/>
        <w:bCs/>
        <w:iCs w:val="0"/>
      </w:rPr>
    </w:lvl>
    <w:lvl w:ilvl="1" w:tentative="0">
      <w:start w:val="1"/>
      <w:numFmt w:val="lowerLetter"/>
      <w:lvlText w:val="%2)"/>
      <w:legacy w:legacy="1" w:legacySpace="0" w:legacyIndent="420"/>
      <w:lvlJc w:val="left"/>
      <w:pPr>
        <w:ind w:left="1252" w:hanging="420"/>
      </w:pPr>
    </w:lvl>
    <w:lvl w:ilvl="2" w:tentative="0">
      <w:start w:val="1"/>
      <w:numFmt w:val="lowerRoman"/>
      <w:lvlText w:val="%3."/>
      <w:legacy w:legacy="1" w:legacySpace="0" w:legacyIndent="420"/>
      <w:lvlJc w:val="right"/>
      <w:pPr>
        <w:ind w:left="1672" w:hanging="420"/>
      </w:pPr>
    </w:lvl>
    <w:lvl w:ilvl="3" w:tentative="0">
      <w:start w:val="1"/>
      <w:numFmt w:val="decimal"/>
      <w:lvlText w:val="%4."/>
      <w:legacy w:legacy="1" w:legacySpace="0" w:legacyIndent="420"/>
      <w:lvlJc w:val="left"/>
      <w:pPr>
        <w:ind w:left="2092" w:hanging="420"/>
      </w:pPr>
    </w:lvl>
    <w:lvl w:ilvl="4" w:tentative="0">
      <w:start w:val="1"/>
      <w:numFmt w:val="lowerLetter"/>
      <w:lvlText w:val="%5)"/>
      <w:legacy w:legacy="1" w:legacySpace="0" w:legacyIndent="420"/>
      <w:lvlJc w:val="left"/>
      <w:pPr>
        <w:ind w:left="2512" w:hanging="420"/>
      </w:pPr>
    </w:lvl>
    <w:lvl w:ilvl="5" w:tentative="0">
      <w:start w:val="1"/>
      <w:numFmt w:val="lowerRoman"/>
      <w:lvlText w:val="%6."/>
      <w:legacy w:legacy="1" w:legacySpace="0" w:legacyIndent="420"/>
      <w:lvlJc w:val="right"/>
      <w:pPr>
        <w:ind w:left="2932" w:hanging="420"/>
      </w:pPr>
    </w:lvl>
    <w:lvl w:ilvl="6" w:tentative="0">
      <w:start w:val="1"/>
      <w:numFmt w:val="decimal"/>
      <w:lvlText w:val="%7."/>
      <w:legacy w:legacy="1" w:legacySpace="0" w:legacyIndent="420"/>
      <w:lvlJc w:val="left"/>
      <w:pPr>
        <w:ind w:left="3352" w:hanging="420"/>
      </w:pPr>
    </w:lvl>
    <w:lvl w:ilvl="7" w:tentative="0">
      <w:start w:val="1"/>
      <w:numFmt w:val="lowerLetter"/>
      <w:lvlText w:val="%8)"/>
      <w:legacy w:legacy="1" w:legacySpace="0" w:legacyIndent="420"/>
      <w:lvlJc w:val="left"/>
      <w:pPr>
        <w:ind w:left="3772" w:hanging="420"/>
      </w:pPr>
    </w:lvl>
    <w:lvl w:ilvl="8" w:tentative="0">
      <w:start w:val="1"/>
      <w:numFmt w:val="lowerRoman"/>
      <w:lvlText w:val="%9."/>
      <w:legacy w:legacy="1" w:legacySpace="0" w:legacyIndent="420"/>
      <w:lvlJc w:val="right"/>
      <w:pPr>
        <w:ind w:left="4192" w:hanging="420"/>
      </w:pPr>
    </w:lvl>
  </w:abstractNum>
  <w:abstractNum w:abstractNumId="3">
    <w:nsid w:val="2939AA4F"/>
    <w:multiLevelType w:val="singleLevel"/>
    <w:tmpl w:val="2939AA4F"/>
    <w:lvl w:ilvl="0" w:tentative="0">
      <w:start w:val="1"/>
      <w:numFmt w:val="decimal"/>
      <w:suff w:val="nothing"/>
      <w:lvlText w:val="（%1）"/>
      <w:lvlJc w:val="left"/>
      <w:pPr>
        <w:tabs>
          <w:tab w:val="left" w:pos="0"/>
        </w:tabs>
        <w:ind w:left="0" w:firstLine="0"/>
      </w:pPr>
    </w:lvl>
  </w:abstractNum>
  <w:abstractNum w:abstractNumId="4">
    <w:nsid w:val="5B9D5306"/>
    <w:multiLevelType w:val="singleLevel"/>
    <w:tmpl w:val="5B9D5306"/>
    <w:lvl w:ilvl="0" w:tentative="0">
      <w:start w:val="2"/>
      <w:numFmt w:val="decimal"/>
      <w:suff w:val="nothing"/>
      <w:lvlText w:val="（%1）"/>
      <w:lvlJc w:val="left"/>
      <w:pPr>
        <w:tabs>
          <w:tab w:val="left" w:pos="0"/>
        </w:tabs>
        <w:ind w:left="0" w:firstLine="0"/>
      </w:pPr>
    </w:lvl>
  </w:abstractNum>
  <w:abstractNum w:abstractNumId="5">
    <w:nsid w:val="7D335EFA"/>
    <w:multiLevelType w:val="singleLevel"/>
    <w:tmpl w:val="7D335EFA"/>
    <w:lvl w:ilvl="0" w:tentative="0">
      <w:start w:val="1"/>
      <w:numFmt w:val="decimal"/>
      <w:suff w:val="space"/>
      <w:lvlText w:val="%1."/>
      <w:lvlJc w:val="left"/>
      <w:pPr>
        <w:tabs>
          <w:tab w:val="left" w:pos="0"/>
        </w:tabs>
        <w:ind w:left="0" w:firstLine="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317DF"/>
    <w:rsid w:val="08B11285"/>
    <w:rsid w:val="09816C22"/>
    <w:rsid w:val="0AC146AD"/>
    <w:rsid w:val="0CD12914"/>
    <w:rsid w:val="0DC91529"/>
    <w:rsid w:val="0F4A0196"/>
    <w:rsid w:val="0FB45FE4"/>
    <w:rsid w:val="10984641"/>
    <w:rsid w:val="10B71B0D"/>
    <w:rsid w:val="154C5AD8"/>
    <w:rsid w:val="168F20AA"/>
    <w:rsid w:val="1A9B14F2"/>
    <w:rsid w:val="20DE1C7C"/>
    <w:rsid w:val="22045743"/>
    <w:rsid w:val="23492A98"/>
    <w:rsid w:val="26222E1C"/>
    <w:rsid w:val="26A8388C"/>
    <w:rsid w:val="27FF75AA"/>
    <w:rsid w:val="2A2862A8"/>
    <w:rsid w:val="2EA51528"/>
    <w:rsid w:val="323C2E8C"/>
    <w:rsid w:val="3CF17FD1"/>
    <w:rsid w:val="413D463E"/>
    <w:rsid w:val="4427252A"/>
    <w:rsid w:val="4649559B"/>
    <w:rsid w:val="47EC1AC1"/>
    <w:rsid w:val="4B3612A5"/>
    <w:rsid w:val="4C470B68"/>
    <w:rsid w:val="4FDD187C"/>
    <w:rsid w:val="52DE4601"/>
    <w:rsid w:val="54A939C1"/>
    <w:rsid w:val="56570A4D"/>
    <w:rsid w:val="5A994D58"/>
    <w:rsid w:val="5BFB3FFB"/>
    <w:rsid w:val="5CA46D5F"/>
    <w:rsid w:val="618A0ACD"/>
    <w:rsid w:val="6329551F"/>
    <w:rsid w:val="68AB5D4F"/>
    <w:rsid w:val="6C4C04D0"/>
    <w:rsid w:val="6FD131C7"/>
    <w:rsid w:val="70C264D6"/>
    <w:rsid w:val="71C46B41"/>
    <w:rsid w:val="742965A4"/>
    <w:rsid w:val="778A1E23"/>
    <w:rsid w:val="7A7F403F"/>
    <w:rsid w:val="7B4A1054"/>
    <w:rsid w:val="7F98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36"/>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26"/>
    <w:qFormat/>
    <w:uiPriority w:val="0"/>
    <w:pPr>
      <w:keepNext/>
      <w:keepLines/>
      <w:widowControl/>
      <w:spacing w:before="260" w:after="260" w:line="416" w:lineRule="auto"/>
      <w:outlineLvl w:val="2"/>
    </w:pPr>
    <w:rPr>
      <w:b/>
      <w:bCs/>
      <w:sz w:val="24"/>
      <w:szCs w:val="32"/>
    </w:rPr>
  </w:style>
  <w:style w:type="paragraph" w:styleId="5">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firstLine="0"/>
    </w:pPr>
  </w:style>
  <w:style w:type="paragraph" w:styleId="7">
    <w:name w:val="Normal Indent"/>
    <w:basedOn w:val="1"/>
    <w:qFormat/>
    <w:uiPriority w:val="0"/>
    <w:pPr>
      <w:ind w:firstLine="420"/>
    </w:pPr>
    <w:rPr>
      <w:szCs w:val="20"/>
    </w:rPr>
  </w:style>
  <w:style w:type="paragraph" w:styleId="8">
    <w:name w:val="annotation text"/>
    <w:basedOn w:val="1"/>
    <w:qFormat/>
    <w:uiPriority w:val="0"/>
    <w:pPr>
      <w:widowControl/>
      <w:jc w:val="left"/>
    </w:pPr>
    <w:rPr>
      <w:rFonts w:ascii="Calibri" w:hAnsi="Calibri" w:eastAsia="宋体" w:cs="Times New Roman"/>
    </w:rPr>
  </w:style>
  <w:style w:type="paragraph" w:styleId="9">
    <w:name w:val="Body Text"/>
    <w:basedOn w:val="1"/>
    <w:next w:val="1"/>
    <w:unhideWhenUsed/>
    <w:qFormat/>
    <w:uiPriority w:val="0"/>
    <w:pPr>
      <w:spacing w:after="120"/>
    </w:pPr>
  </w:style>
  <w:style w:type="paragraph" w:styleId="10">
    <w:name w:val="Body Text Indent"/>
    <w:basedOn w:val="1"/>
    <w:qFormat/>
    <w:uiPriority w:val="0"/>
    <w:pPr>
      <w:spacing w:after="120" w:line="360" w:lineRule="exact"/>
      <w:ind w:left="420" w:leftChars="200" w:firstLine="200" w:firstLineChars="200"/>
    </w:pPr>
  </w:style>
  <w:style w:type="paragraph" w:styleId="11">
    <w:name w:val="Block Text"/>
    <w:basedOn w:val="1"/>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12">
    <w:name w:val="Plain Text"/>
    <w:basedOn w:val="1"/>
    <w:qFormat/>
    <w:uiPriority w:val="0"/>
    <w:rPr>
      <w:rFonts w:ascii="宋体" w:hAnsi="Courier New" w:cs="Times New Roman"/>
      <w:szCs w:val="22"/>
    </w:rPr>
  </w:style>
  <w:style w:type="paragraph" w:styleId="13">
    <w:name w:val="Balloon Text"/>
    <w:basedOn w:val="1"/>
    <w:unhideWhenUsed/>
    <w:qFormat/>
    <w:uiPriority w:val="0"/>
    <w:rPr>
      <w:sz w:val="18"/>
      <w:szCs w:val="18"/>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25">
    <w:name w:val="List Paragraph"/>
    <w:basedOn w:val="1"/>
    <w:qFormat/>
    <w:uiPriority w:val="0"/>
    <w:pPr>
      <w:ind w:firstLine="420" w:firstLineChars="200"/>
    </w:pPr>
  </w:style>
  <w:style w:type="character" w:customStyle="1" w:styleId="26">
    <w:name w:val="标题 3 字符"/>
    <w:link w:val="4"/>
    <w:qFormat/>
    <w:uiPriority w:val="0"/>
    <w:rPr>
      <w:b/>
      <w:bCs/>
      <w:sz w:val="24"/>
      <w:szCs w:val="32"/>
    </w:rPr>
  </w:style>
  <w:style w:type="paragraph" w:customStyle="1" w:styleId="27">
    <w:name w:val="p0"/>
    <w:basedOn w:val="1"/>
    <w:qFormat/>
    <w:uiPriority w:val="0"/>
    <w:pPr>
      <w:widowControl/>
    </w:pPr>
    <w:rPr>
      <w:rFonts w:ascii="Calibri" w:hAnsi="Calibri" w:cs="宋体"/>
      <w:kern w:val="0"/>
      <w:szCs w:val="21"/>
    </w:rPr>
  </w:style>
  <w:style w:type="paragraph" w:customStyle="1" w:styleId="28">
    <w:name w:val="首行缩进"/>
    <w:basedOn w:val="1"/>
    <w:qFormat/>
    <w:uiPriority w:val="0"/>
    <w:pPr>
      <w:spacing w:line="360" w:lineRule="auto"/>
      <w:ind w:firstLine="480" w:firstLineChars="200"/>
    </w:pPr>
    <w:rPr>
      <w:rFonts w:ascii="宋体" w:hAnsi="宋体"/>
      <w:kern w:val="0"/>
      <w:sz w:val="24"/>
    </w:rPr>
  </w:style>
  <w:style w:type="paragraph" w:customStyle="1" w:styleId="29">
    <w:name w:val="正文呀2_1"/>
    <w:basedOn w:val="30"/>
    <w:qFormat/>
    <w:uiPriority w:val="0"/>
    <w:rPr>
      <w:rFonts w:ascii="Times New Roman" w:hAnsi="Times New Roman" w:eastAsia="宋体" w:cs="Times New Roman"/>
      <w:kern w:val="2"/>
      <w:sz w:val="21"/>
      <w:lang w:val="en-US" w:eastAsia="zh-CN"/>
    </w:rPr>
  </w:style>
  <w:style w:type="paragraph" w:customStyle="1" w:styleId="30">
    <w:name w:val="正文呀_1"/>
    <w:basedOn w:val="31"/>
    <w:qFormat/>
    <w:uiPriority w:val="0"/>
    <w:pPr>
      <w:spacing w:line="420" w:lineRule="exact"/>
      <w:ind w:firstLine="420" w:firstLineChars="200"/>
    </w:pPr>
    <w:rPr>
      <w:rFonts w:ascii="宋体" w:hAnsi="宋体"/>
      <w:kern w:val="0"/>
      <w:sz w:val="20"/>
      <w:szCs w:val="21"/>
      <w:lang w:val="zh-CN" w:eastAsia="zh-CN"/>
    </w:rPr>
  </w:style>
  <w:style w:type="paragraph" w:customStyle="1" w:styleId="31">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_0"/>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文本_0"/>
    <w:basedOn w:val="32"/>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4">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2"/>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标题 4_1"/>
    <w:basedOn w:val="35"/>
    <w:next w:val="35"/>
    <w:qFormat/>
    <w:uiPriority w:val="99"/>
    <w:pPr>
      <w:keepNext/>
      <w:keepLines/>
      <w:spacing w:before="280" w:after="290" w:line="376" w:lineRule="auto"/>
      <w:outlineLvl w:val="3"/>
    </w:pPr>
    <w:rPr>
      <w:rFonts w:ascii="Arial" w:hAnsi="Arial" w:eastAsia="黑体"/>
      <w:b/>
      <w:bCs/>
      <w:sz w:val="28"/>
      <w:szCs w:val="28"/>
    </w:rPr>
  </w:style>
  <w:style w:type="character" w:customStyle="1" w:styleId="37">
    <w:name w:val="NormalCharacter"/>
    <w:semiHidden/>
    <w:qFormat/>
    <w:uiPriority w:val="0"/>
  </w:style>
  <w:style w:type="paragraph" w:customStyle="1" w:styleId="38">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39">
    <w:name w:val="PlainText"/>
    <w:basedOn w:val="1"/>
    <w:next w:val="40"/>
    <w:qFormat/>
    <w:locked/>
    <w:uiPriority w:val="0"/>
    <w:rPr>
      <w:rFonts w:ascii="宋体" w:hAnsi="Courier New"/>
      <w:szCs w:val="20"/>
    </w:rPr>
  </w:style>
  <w:style w:type="paragraph" w:customStyle="1" w:styleId="40">
    <w:name w:val="Index8"/>
    <w:basedOn w:val="1"/>
    <w:next w:val="1"/>
    <w:qFormat/>
    <w:locked/>
    <w:uiPriority w:val="0"/>
    <w:pPr>
      <w:ind w:left="2940"/>
    </w:pPr>
  </w:style>
  <w:style w:type="paragraph" w:customStyle="1" w:styleId="41">
    <w:name w:val="1"/>
    <w:basedOn w:val="1"/>
    <w:next w:val="12"/>
    <w:qFormat/>
    <w:uiPriority w:val="0"/>
    <w:rPr>
      <w:rFonts w:ascii="宋体"/>
      <w:szCs w:val="20"/>
    </w:rPr>
  </w:style>
  <w:style w:type="paragraph" w:customStyle="1" w:styleId="42">
    <w:name w:val="Other|1"/>
    <w:basedOn w:val="1"/>
    <w:qFormat/>
    <w:uiPriority w:val="0"/>
    <w:pPr>
      <w:spacing w:line="314" w:lineRule="exact"/>
    </w:pPr>
    <w:rPr>
      <w:rFonts w:ascii="宋体" w:cs="宋体"/>
      <w:sz w:val="20"/>
      <w:szCs w:val="20"/>
      <w:lang w:val="zh-TW" w:eastAsia="zh-TW" w:bidi="zh-TW"/>
    </w:rPr>
  </w:style>
  <w:style w:type="paragraph" w:customStyle="1" w:styleId="43">
    <w:name w:val="正文小标题"/>
    <w:basedOn w:val="2"/>
    <w:link w:val="47"/>
    <w:qFormat/>
    <w:uiPriority w:val="0"/>
    <w:pPr>
      <w:spacing w:before="480" w:after="0" w:line="420" w:lineRule="exact"/>
    </w:pPr>
    <w:rPr>
      <w:sz w:val="21"/>
      <w:szCs w:val="21"/>
    </w:rPr>
  </w:style>
  <w:style w:type="paragraph" w:customStyle="1" w:styleId="44">
    <w:name w:val="正文呀2"/>
    <w:basedOn w:val="45"/>
    <w:qFormat/>
    <w:uiPriority w:val="0"/>
    <w:pPr>
      <w:spacing w:line="420" w:lineRule="exact"/>
      <w:ind w:firstLine="200" w:firstLineChars="200"/>
    </w:pPr>
  </w:style>
  <w:style w:type="paragraph" w:customStyle="1" w:styleId="45">
    <w:name w:val="正文呀"/>
    <w:basedOn w:val="1"/>
    <w:qFormat/>
    <w:uiPriority w:val="0"/>
    <w:pPr>
      <w:spacing w:line="420" w:lineRule="exact"/>
      <w:ind w:firstLine="200" w:firstLineChars="200"/>
    </w:pPr>
    <w:rPr>
      <w:rFonts w:ascii="宋体"/>
      <w:szCs w:val="21"/>
    </w:rPr>
  </w:style>
  <w:style w:type="paragraph" w:customStyle="1" w:styleId="46">
    <w:name w:val="正文_1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47">
    <w:name w:val="正文小标题 Char"/>
    <w:basedOn w:val="48"/>
    <w:link w:val="43"/>
    <w:qFormat/>
    <w:uiPriority w:val="0"/>
    <w:rPr>
      <w:sz w:val="21"/>
      <w:szCs w:val="21"/>
    </w:rPr>
  </w:style>
  <w:style w:type="character" w:customStyle="1" w:styleId="48">
    <w:name w:val="标题 1 Char"/>
    <w:basedOn w:val="22"/>
    <w:link w:val="2"/>
    <w:qFormat/>
    <w:uiPriority w:val="0"/>
    <w:rPr>
      <w:b/>
      <w:bCs/>
      <w:kern w:val="44"/>
      <w:sz w:val="36"/>
      <w:szCs w:val="44"/>
    </w:rPr>
  </w:style>
  <w:style w:type="paragraph" w:styleId="4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1">
    <w:name w:val="正文呀2_0"/>
    <w:basedOn w:val="52"/>
    <w:qFormat/>
    <w:uiPriority w:val="0"/>
    <w:pPr>
      <w:spacing w:line="420" w:lineRule="exact"/>
      <w:ind w:firstLine="200" w:firstLineChars="200"/>
    </w:pPr>
    <w:rPr>
      <w:rFonts w:eastAsia="等线"/>
      <w:szCs w:val="21"/>
    </w:rPr>
  </w:style>
  <w:style w:type="paragraph" w:customStyle="1" w:styleId="52">
    <w:name w:val="正文呀_0"/>
    <w:basedOn w:val="32"/>
    <w:qFormat/>
    <w:uiPriority w:val="0"/>
    <w:pPr>
      <w:spacing w:line="420" w:lineRule="exact"/>
      <w:ind w:firstLine="200" w:firstLineChars="200"/>
    </w:pPr>
    <w:rPr>
      <w:rFonts w:ascii="宋体"/>
      <w:szCs w:val="21"/>
    </w:rPr>
  </w:style>
  <w:style w:type="paragraph" w:customStyle="1" w:styleId="53">
    <w:name w:val="标题 4_0"/>
    <w:basedOn w:val="32"/>
    <w:next w:val="32"/>
    <w:qFormat/>
    <w:uiPriority w:val="0"/>
    <w:pPr>
      <w:keepNext/>
      <w:keepLines/>
      <w:widowControl w:val="0"/>
      <w:spacing w:line="360" w:lineRule="auto"/>
      <w:outlineLvl w:val="3"/>
    </w:pPr>
    <w:rPr>
      <w:rFonts w:ascii="Arial" w:hAnsi="Arial"/>
      <w:b/>
      <w:bCs/>
      <w:kern w:val="0"/>
      <w:sz w:val="20"/>
      <w:szCs w:val="28"/>
    </w:rPr>
  </w:style>
  <w:style w:type="paragraph" w:customStyle="1" w:styleId="54">
    <w:name w:val="正文呀2_2"/>
    <w:basedOn w:val="55"/>
    <w:qFormat/>
    <w:uiPriority w:val="0"/>
    <w:pPr>
      <w:spacing w:line="420" w:lineRule="exact"/>
      <w:ind w:firstLine="200" w:firstLineChars="200"/>
    </w:pPr>
    <w:rPr>
      <w:rFonts w:ascii="等线" w:eastAsia="等线"/>
      <w:szCs w:val="21"/>
    </w:rPr>
  </w:style>
  <w:style w:type="paragraph" w:customStyle="1" w:styleId="55">
    <w:name w:val="正文呀_2"/>
    <w:basedOn w:val="50"/>
    <w:qFormat/>
    <w:uiPriority w:val="0"/>
    <w:pPr>
      <w:spacing w:line="420" w:lineRule="exact"/>
      <w:ind w:firstLine="200" w:firstLineChars="200"/>
    </w:pPr>
    <w:rPr>
      <w:rFonts w:ascii="宋体"/>
      <w:szCs w:val="21"/>
    </w:rPr>
  </w:style>
  <w:style w:type="paragraph" w:customStyle="1" w:styleId="56">
    <w:name w:val="正文_1_0_0"/>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23836</Words>
  <Characters>25615</Characters>
  <Lines>0</Lines>
  <Paragraphs>0</Paragraphs>
  <TotalTime>261</TotalTime>
  <ScaleCrop>false</ScaleCrop>
  <LinksUpToDate>false</LinksUpToDate>
  <CharactersWithSpaces>25945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2026-03-24T01:55:00Z</dcterms:created>
  <dc:creator>Admin</dc:creator>
  <cp:lastModifiedBy>Transformation</cp:lastModifiedBy>
  <dcterms:modified xsi:type="dcterms:W3CDTF">2026-07-07T01:52:04Z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eyJoZGlkIjoiMjM1ZTQ4MDQ1NThjZGExNDNkNTk3YmQ4ZjMzM2NkMDYiLCJ1c2VySWQiOiIxNjg4MDQzMDI3In0=</vt:lpwstr>
  </property>
  <property fmtid="{D5CDD505-2E9C-101B-9397-08002B2CF9AE}" pid="4" name="ICV">
    <vt:lpwstr>8D69DE3349BE4958AFADD0FD746C1C6E_13</vt:lpwstr>
  </property>
</Properties>
</file>