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CE3FD">
      <w:pPr>
        <w:tabs>
          <w:tab w:val="left" w:pos="7931"/>
        </w:tabs>
        <w:jc w:val="center"/>
        <w:rPr>
          <w:rFonts w:hint="eastAsia" w:ascii="华文新魏" w:eastAsia="华文新魏"/>
          <w:color w:val="auto"/>
          <w:spacing w:val="30"/>
          <w:sz w:val="52"/>
        </w:rPr>
      </w:pPr>
      <w:bookmarkStart w:id="156" w:name="_GoBack"/>
      <w:bookmarkEnd w:id="156"/>
      <w:r>
        <w:rPr>
          <w:color w:val="auto"/>
        </w:rPr>
        <w:pict>
          <v:shape id="_x0000_i1025" o:spt="75" alt="国泰标志" type="#_x0000_t75" style="height:75.75pt;width:81.4pt;" filled="f" o:preferrelative="t" stroked="f" coordsize="21600,21600">
            <v:path/>
            <v:fill on="f" focussize="0,0"/>
            <v:stroke on="f"/>
            <v:imagedata r:id="rId14" o:title="国泰标志"/>
            <o:lock v:ext="edit" aspectratio="t"/>
            <w10:wrap type="none"/>
            <w10:anchorlock/>
          </v:shape>
        </w:pict>
      </w:r>
      <w:r>
        <w:rPr>
          <w:rFonts w:hint="eastAsia" w:ascii="华文新魏" w:eastAsia="华文新魏"/>
          <w:color w:val="auto"/>
          <w:spacing w:val="30"/>
          <w:sz w:val="52"/>
        </w:rPr>
        <w:t xml:space="preserve"> </w:t>
      </w:r>
    </w:p>
    <w:p w14:paraId="12F2CDCD">
      <w:pPr>
        <w:pStyle w:val="26"/>
        <w:jc w:val="center"/>
        <w:rPr>
          <w:rFonts w:hint="eastAsia" w:ascii="黑体" w:hAnsi="黑体" w:eastAsia="黑体"/>
          <w:color w:val="auto"/>
          <w:spacing w:val="30"/>
          <w:kern w:val="52"/>
          <w:sz w:val="64"/>
          <w:szCs w:val="64"/>
          <w:highlight w:val="none"/>
          <w:lang w:eastAsia="zh-CN"/>
        </w:rPr>
      </w:pPr>
      <w:r>
        <w:rPr>
          <w:rFonts w:hint="eastAsia" w:ascii="黑体" w:hAnsi="黑体" w:eastAsia="黑体"/>
          <w:color w:val="auto"/>
          <w:spacing w:val="30"/>
          <w:kern w:val="52"/>
          <w:sz w:val="64"/>
          <w:szCs w:val="64"/>
          <w:highlight w:val="none"/>
          <w:lang w:eastAsia="zh-CN"/>
        </w:rPr>
        <w:t>广西国泰招标咨询有限公司</w:t>
      </w:r>
    </w:p>
    <w:p w14:paraId="522B16EA">
      <w:pPr>
        <w:pStyle w:val="26"/>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lang/>
        </w:rPr>
        <w:pict>
          <v:line id="Line 2" o:spid="_x0000_s1044" o:spt="20" style="position:absolute;left:0pt;margin-left:27pt;margin-top:7.8pt;height:0pt;width:432pt;z-index:251659264;mso-width-relative:page;mso-height-relative:page;" filled="f" stroked="t" coordsize="21600,21600">
            <v:path arrowok="t"/>
            <v:fill on="f" focussize="0,0"/>
            <v:stroke weight="1pt"/>
            <v:imagedata o:title=""/>
            <o:lock v:ext="edit" grouping="f" rotation="f" text="f" aspectratio="f"/>
          </v:line>
        </w:pict>
      </w:r>
    </w:p>
    <w:p w14:paraId="57AD66B0">
      <w:pPr>
        <w:tabs>
          <w:tab w:val="center" w:pos="4933"/>
          <w:tab w:val="left" w:pos="7938"/>
        </w:tabs>
        <w:snapToGrid w:val="0"/>
        <w:spacing w:before="120" w:beforeLines="50" w:line="360" w:lineRule="auto"/>
        <w:jc w:val="left"/>
        <w:rPr>
          <w:rFonts w:hint="eastAsia" w:ascii="黑体" w:hAnsi="黑体" w:eastAsia="黑体"/>
          <w:color w:val="auto"/>
          <w:sz w:val="84"/>
          <w:szCs w:val="84"/>
          <w:highlight w:val="none"/>
          <w:lang w:eastAsia="zh-CN"/>
        </w:rPr>
      </w:pPr>
      <w:r>
        <w:rPr>
          <w:rFonts w:hint="eastAsia" w:ascii="黑体" w:hAnsi="黑体" w:eastAsia="黑体"/>
          <w:color w:val="auto"/>
          <w:sz w:val="84"/>
          <w:szCs w:val="84"/>
          <w:highlight w:val="none"/>
          <w:lang w:eastAsia="zh-CN"/>
        </w:rPr>
        <w:tab/>
      </w:r>
      <w:r>
        <w:rPr>
          <w:rFonts w:hint="eastAsia" w:ascii="黑体" w:hAnsi="黑体" w:eastAsia="黑体"/>
          <w:color w:val="auto"/>
          <w:sz w:val="84"/>
          <w:szCs w:val="84"/>
          <w:highlight w:val="none"/>
        </w:rPr>
        <w:t>招标文件</w:t>
      </w:r>
      <w:r>
        <w:rPr>
          <w:rFonts w:hint="eastAsia" w:ascii="黑体" w:hAnsi="黑体" w:eastAsia="黑体"/>
          <w:color w:val="auto"/>
          <w:sz w:val="84"/>
          <w:szCs w:val="84"/>
          <w:highlight w:val="none"/>
          <w:lang w:eastAsia="zh-CN"/>
        </w:rPr>
        <w:tab/>
      </w:r>
    </w:p>
    <w:p w14:paraId="2B1C693C">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0993A5CD">
      <w:pPr>
        <w:pStyle w:val="26"/>
        <w:snapToGrid w:val="0"/>
        <w:spacing w:line="360" w:lineRule="auto"/>
        <w:ind w:firstLine="1977" w:firstLineChars="691"/>
        <w:rPr>
          <w:rFonts w:hint="eastAsia" w:ascii="仿宋_GB2312" w:hAnsi="宋体" w:eastAsia="仿宋_GB2312"/>
          <w:b/>
          <w:bCs/>
          <w:color w:val="auto"/>
          <w:w w:val="95"/>
          <w:sz w:val="30"/>
          <w:szCs w:val="30"/>
          <w:highlight w:val="none"/>
          <w:lang w:eastAsia="zh-CN"/>
        </w:rPr>
      </w:pPr>
    </w:p>
    <w:p w14:paraId="05704863">
      <w:pPr>
        <w:pStyle w:val="26"/>
        <w:snapToGrid w:val="0"/>
        <w:spacing w:line="360" w:lineRule="auto"/>
        <w:ind w:firstLine="1717" w:firstLineChars="500"/>
        <w:rPr>
          <w:rFonts w:hint="eastAsia" w:ascii="仿宋_GB2312" w:hAnsi="宋体" w:eastAsia="仿宋_GB2312"/>
          <w:b/>
          <w:bCs/>
          <w:color w:val="auto"/>
          <w:w w:val="95"/>
          <w:sz w:val="36"/>
          <w:szCs w:val="36"/>
          <w:highlight w:val="none"/>
          <w:lang w:eastAsia="zh-CN"/>
        </w:rPr>
      </w:pPr>
      <w:r>
        <w:rPr>
          <w:rFonts w:hint="eastAsia" w:ascii="仿宋_GB2312" w:hAnsi="宋体" w:eastAsia="仿宋_GB2312" w:cs="Times New Roman"/>
          <w:b/>
          <w:bCs/>
          <w:color w:val="auto"/>
          <w:w w:val="95"/>
          <w:sz w:val="36"/>
          <w:szCs w:val="36"/>
          <w:highlight w:val="none"/>
        </w:rPr>
        <w:t>项目名称：</w:t>
      </w:r>
      <w:r>
        <w:rPr>
          <w:rFonts w:hint="eastAsia" w:ascii="仿宋_GB2312" w:hAnsi="宋体" w:eastAsia="仿宋_GB2312" w:cs="Times New Roman"/>
          <w:b/>
          <w:bCs/>
          <w:color w:val="auto"/>
          <w:w w:val="95"/>
          <w:sz w:val="36"/>
          <w:szCs w:val="36"/>
          <w:highlight w:val="none"/>
          <w:lang w:val="en-US" w:eastAsia="zh-CN"/>
        </w:rPr>
        <w:t>X射线计算机体层摄影设备采购（重）</w:t>
      </w:r>
    </w:p>
    <w:p w14:paraId="65431E51">
      <w:pPr>
        <w:pStyle w:val="26"/>
        <w:snapToGrid w:val="0"/>
        <w:spacing w:line="360" w:lineRule="auto"/>
        <w:ind w:firstLine="1717" w:firstLineChars="500"/>
        <w:rPr>
          <w:rFonts w:hint="eastAsia" w:ascii="仿宋_GB2312" w:hAnsi="宋体" w:eastAsia="仿宋_GB2312" w:cs="Times New Roman"/>
          <w:b/>
          <w:bCs/>
          <w:color w:val="auto"/>
          <w:w w:val="95"/>
          <w:sz w:val="36"/>
          <w:szCs w:val="36"/>
          <w:highlight w:val="none"/>
          <w:lang w:eastAsia="zh-CN"/>
        </w:rPr>
      </w:pPr>
      <w:r>
        <w:rPr>
          <w:rFonts w:hint="eastAsia" w:ascii="仿宋_GB2312" w:hAnsi="宋体" w:eastAsia="仿宋_GB2312"/>
          <w:b/>
          <w:bCs/>
          <w:color w:val="auto"/>
          <w:w w:val="95"/>
          <w:sz w:val="36"/>
          <w:szCs w:val="36"/>
          <w:highlight w:val="none"/>
        </w:rPr>
        <w:t>项</w:t>
      </w:r>
      <w:r>
        <w:rPr>
          <w:rFonts w:hint="eastAsia" w:ascii="仿宋_GB2312" w:hAnsi="宋体" w:eastAsia="仿宋_GB2312" w:cs="Times New Roman"/>
          <w:b/>
          <w:bCs/>
          <w:color w:val="auto"/>
          <w:w w:val="95"/>
          <w:sz w:val="36"/>
          <w:szCs w:val="36"/>
          <w:highlight w:val="none"/>
        </w:rPr>
        <w:t>目</w:t>
      </w:r>
      <w:r>
        <w:rPr>
          <w:rFonts w:hint="eastAsia" w:ascii="仿宋_GB2312" w:hAnsi="宋体" w:eastAsia="仿宋_GB2312" w:cs="Times New Roman"/>
          <w:b/>
          <w:bCs/>
          <w:color w:val="auto"/>
          <w:w w:val="95"/>
          <w:sz w:val="36"/>
          <w:szCs w:val="36"/>
          <w:highlight w:val="none"/>
        </w:rPr>
        <w:t>编号：</w:t>
      </w:r>
      <w:r>
        <w:rPr>
          <w:rFonts w:hint="eastAsia" w:ascii="仿宋_GB2312" w:hAnsi="宋体" w:eastAsia="仿宋_GB2312" w:cs="Times New Roman"/>
          <w:b/>
          <w:bCs/>
          <w:color w:val="auto"/>
          <w:w w:val="95"/>
          <w:sz w:val="36"/>
          <w:szCs w:val="36"/>
          <w:highlight w:val="none"/>
          <w:lang w:eastAsia="zh-CN"/>
        </w:rPr>
        <w:t>YLZC2026-G1-230106-GTZB</w:t>
      </w:r>
    </w:p>
    <w:p w14:paraId="2148EE14">
      <w:pPr>
        <w:pStyle w:val="26"/>
        <w:snapToGrid w:val="0"/>
        <w:spacing w:line="360" w:lineRule="auto"/>
        <w:rPr>
          <w:rFonts w:hint="eastAsia" w:ascii="仿宋_GB2312" w:hAnsi="宋体" w:eastAsia="仿宋_GB2312"/>
          <w:b/>
          <w:bCs/>
          <w:color w:val="auto"/>
          <w:w w:val="95"/>
          <w:sz w:val="36"/>
          <w:szCs w:val="36"/>
          <w:highlight w:val="none"/>
          <w:lang w:eastAsia="zh-CN"/>
        </w:rPr>
      </w:pPr>
    </w:p>
    <w:p w14:paraId="69FD9DBC">
      <w:pPr>
        <w:pStyle w:val="26"/>
        <w:snapToGrid w:val="0"/>
        <w:spacing w:line="360" w:lineRule="auto"/>
        <w:ind w:firstLine="2404" w:firstLineChars="700"/>
        <w:rPr>
          <w:rFonts w:hint="eastAsia" w:ascii="仿宋_GB2312" w:hAnsi="宋体" w:eastAsia="仿宋_GB2312"/>
          <w:b/>
          <w:bCs/>
          <w:color w:val="auto"/>
          <w:w w:val="95"/>
          <w:sz w:val="36"/>
          <w:szCs w:val="36"/>
          <w:highlight w:val="none"/>
        </w:rPr>
      </w:pPr>
    </w:p>
    <w:p w14:paraId="23BE8655">
      <w:pPr>
        <w:pStyle w:val="26"/>
        <w:snapToGrid w:val="0"/>
        <w:spacing w:line="360" w:lineRule="auto"/>
        <w:ind w:firstLine="1717" w:firstLineChars="500"/>
        <w:rPr>
          <w:rFonts w:hint="eastAsia" w:ascii="仿宋_GB2312" w:hAnsi="宋体" w:eastAsia="仿宋_GB2312"/>
          <w:b/>
          <w:bCs/>
          <w:color w:val="auto"/>
          <w:w w:val="95"/>
          <w:sz w:val="36"/>
          <w:szCs w:val="36"/>
          <w:highlight w:val="none"/>
          <w:lang w:eastAsia="zh-CN"/>
        </w:rPr>
      </w:pPr>
      <w:r>
        <w:rPr>
          <w:rFonts w:hint="eastAsia" w:ascii="仿宋_GB2312" w:hAnsi="宋体" w:eastAsia="仿宋_GB2312"/>
          <w:b/>
          <w:bCs/>
          <w:color w:val="auto"/>
          <w:w w:val="95"/>
          <w:sz w:val="36"/>
          <w:szCs w:val="36"/>
          <w:highlight w:val="none"/>
        </w:rPr>
        <w:t xml:space="preserve">采 </w:t>
      </w:r>
      <w:r>
        <w:rPr>
          <w:rFonts w:hint="eastAsia" w:ascii="仿宋_GB2312" w:hAnsi="宋体" w:eastAsia="仿宋_GB2312"/>
          <w:b/>
          <w:bCs/>
          <w:color w:val="auto"/>
          <w:w w:val="95"/>
          <w:sz w:val="36"/>
          <w:szCs w:val="36"/>
          <w:highlight w:val="none"/>
          <w:lang w:val="en-US" w:eastAsia="zh-CN"/>
        </w:rPr>
        <w:t xml:space="preserve">  </w:t>
      </w:r>
      <w:r>
        <w:rPr>
          <w:rFonts w:hint="eastAsia" w:ascii="仿宋_GB2312" w:hAnsi="宋体" w:eastAsia="仿宋_GB2312"/>
          <w:b/>
          <w:bCs/>
          <w:color w:val="auto"/>
          <w:w w:val="95"/>
          <w:sz w:val="36"/>
          <w:szCs w:val="36"/>
          <w:highlight w:val="none"/>
        </w:rPr>
        <w:t xml:space="preserve">购 </w:t>
      </w:r>
      <w:r>
        <w:rPr>
          <w:rFonts w:hint="eastAsia" w:ascii="仿宋_GB2312" w:hAnsi="宋体" w:eastAsia="仿宋_GB2312"/>
          <w:b/>
          <w:bCs/>
          <w:color w:val="auto"/>
          <w:w w:val="95"/>
          <w:sz w:val="36"/>
          <w:szCs w:val="36"/>
          <w:highlight w:val="none"/>
          <w:lang w:val="en-US" w:eastAsia="zh-CN"/>
        </w:rPr>
        <w:t xml:space="preserve">  </w:t>
      </w:r>
      <w:r>
        <w:rPr>
          <w:rFonts w:hint="eastAsia" w:ascii="仿宋_GB2312" w:hAnsi="宋体" w:eastAsia="仿宋_GB2312"/>
          <w:b/>
          <w:bCs/>
          <w:color w:val="auto"/>
          <w:w w:val="95"/>
          <w:sz w:val="36"/>
          <w:szCs w:val="36"/>
          <w:highlight w:val="none"/>
        </w:rPr>
        <w:t>人：</w:t>
      </w:r>
      <w:r>
        <w:rPr>
          <w:rFonts w:hint="eastAsia" w:ascii="仿宋_GB2312" w:hAnsi="宋体" w:eastAsia="仿宋_GB2312"/>
          <w:b/>
          <w:bCs/>
          <w:color w:val="auto"/>
          <w:w w:val="95"/>
          <w:sz w:val="36"/>
          <w:szCs w:val="36"/>
          <w:highlight w:val="none"/>
          <w:lang w:eastAsia="zh-CN"/>
        </w:rPr>
        <w:t>博白县人民医院</w:t>
      </w:r>
    </w:p>
    <w:p w14:paraId="296B5FDD">
      <w:pPr>
        <w:pStyle w:val="26"/>
        <w:snapToGrid w:val="0"/>
        <w:spacing w:line="360" w:lineRule="auto"/>
        <w:ind w:firstLine="1717" w:firstLineChars="500"/>
        <w:rPr>
          <w:rFonts w:hint="eastAsia" w:ascii="仿宋_GB2312" w:hAnsi="宋体" w:eastAsia="仿宋_GB2312"/>
          <w:b/>
          <w:bCs/>
          <w:color w:val="auto"/>
          <w:w w:val="95"/>
          <w:sz w:val="36"/>
          <w:szCs w:val="36"/>
          <w:highlight w:val="none"/>
          <w:lang w:eastAsia="zh-CN"/>
        </w:rPr>
      </w:pPr>
      <w:r>
        <w:rPr>
          <w:rFonts w:hint="eastAsia" w:ascii="仿宋_GB2312" w:hAnsi="宋体" w:eastAsia="仿宋_GB2312"/>
          <w:b/>
          <w:bCs/>
          <w:color w:val="auto"/>
          <w:w w:val="95"/>
          <w:sz w:val="36"/>
          <w:szCs w:val="36"/>
          <w:highlight w:val="none"/>
          <w:lang w:eastAsia="zh-CN"/>
        </w:rPr>
        <w:t>招标代理</w:t>
      </w:r>
      <w:r>
        <w:rPr>
          <w:rFonts w:hint="eastAsia" w:ascii="仿宋_GB2312" w:hAnsi="宋体" w:eastAsia="仿宋_GB2312"/>
          <w:b/>
          <w:bCs/>
          <w:color w:val="auto"/>
          <w:w w:val="95"/>
          <w:sz w:val="36"/>
          <w:szCs w:val="36"/>
          <w:highlight w:val="none"/>
        </w:rPr>
        <w:t>机构：</w:t>
      </w:r>
      <w:r>
        <w:rPr>
          <w:rFonts w:hint="eastAsia" w:ascii="仿宋_GB2312" w:hAnsi="宋体" w:eastAsia="仿宋_GB2312"/>
          <w:b/>
          <w:bCs/>
          <w:color w:val="auto"/>
          <w:w w:val="95"/>
          <w:sz w:val="36"/>
          <w:szCs w:val="36"/>
          <w:highlight w:val="none"/>
          <w:lang w:eastAsia="zh-CN"/>
        </w:rPr>
        <w:t>广西国泰招标咨询有限公司</w:t>
      </w:r>
    </w:p>
    <w:p w14:paraId="4CDBFEA1">
      <w:pPr>
        <w:pStyle w:val="26"/>
        <w:snapToGrid w:val="0"/>
        <w:spacing w:line="360" w:lineRule="auto"/>
        <w:ind w:firstLine="1350" w:firstLineChars="393"/>
        <w:rPr>
          <w:rFonts w:hint="eastAsia" w:ascii="仿宋_GB2312" w:hAnsi="宋体" w:eastAsia="仿宋_GB2312"/>
          <w:b/>
          <w:bCs/>
          <w:color w:val="auto"/>
          <w:w w:val="95"/>
          <w:sz w:val="36"/>
          <w:szCs w:val="36"/>
          <w:highlight w:val="none"/>
          <w:lang w:eastAsia="zh-CN"/>
        </w:rPr>
      </w:pPr>
    </w:p>
    <w:p w14:paraId="7DDAE50C">
      <w:pPr>
        <w:pStyle w:val="26"/>
        <w:snapToGrid w:val="0"/>
        <w:spacing w:line="360" w:lineRule="auto"/>
        <w:jc w:val="center"/>
        <w:rPr>
          <w:rFonts w:hint="eastAsia"/>
          <w:color w:val="auto"/>
          <w:sz w:val="40"/>
          <w:highlight w:val="none"/>
        </w:rPr>
      </w:pPr>
      <w:r>
        <w:rPr>
          <w:rFonts w:hint="eastAsia" w:ascii="仿宋_GB2312" w:hAnsi="宋体" w:eastAsia="仿宋_GB2312"/>
          <w:b/>
          <w:bCs/>
          <w:color w:val="auto"/>
          <w:w w:val="95"/>
          <w:sz w:val="36"/>
          <w:szCs w:val="36"/>
          <w:highlight w:val="none"/>
          <w:lang w:eastAsia="zh-CN"/>
        </w:rPr>
        <w:t>2026年</w:t>
      </w:r>
      <w:r>
        <w:rPr>
          <w:rFonts w:hint="eastAsia" w:ascii="仿宋_GB2312" w:hAnsi="宋体" w:eastAsia="仿宋_GB2312"/>
          <w:b/>
          <w:bCs/>
          <w:color w:val="auto"/>
          <w:w w:val="95"/>
          <w:sz w:val="36"/>
          <w:szCs w:val="36"/>
          <w:highlight w:val="none"/>
          <w:lang w:val="en-US" w:eastAsia="zh-CN"/>
        </w:rPr>
        <w:t>6月</w:t>
      </w:r>
    </w:p>
    <w:p w14:paraId="6DAB1457">
      <w:pPr>
        <w:pStyle w:val="26"/>
        <w:spacing w:before="120" w:after="120" w:line="360" w:lineRule="auto"/>
        <w:jc w:val="center"/>
        <w:rPr>
          <w:rFonts w:hint="eastAsia" w:ascii="仿宋_GB2312" w:hAnsi="宋体" w:eastAsia="仿宋_GB2312"/>
          <w:color w:val="auto"/>
          <w:highlight w:val="none"/>
        </w:rPr>
        <w:sectPr>
          <w:pgSz w:w="11906" w:h="16838"/>
          <w:pgMar w:top="1440" w:right="1080" w:bottom="1134"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6E5840D8">
      <w:pPr>
        <w:pStyle w:val="28"/>
        <w:rPr>
          <w:rFonts w:hint="eastAsia"/>
          <w:color w:val="auto"/>
        </w:rPr>
      </w:pPr>
    </w:p>
    <w:p w14:paraId="5A1464B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5D1F342">
      <w:pPr>
        <w:pStyle w:val="35"/>
        <w:tabs>
          <w:tab w:val="right" w:leader="dot" w:pos="9746"/>
          <w:tab w:val="clear" w:pos="8398"/>
        </w:tabs>
        <w:rPr>
          <w:rFonts w:hint="eastAsia" w:ascii="宋体" w:hAnsi="宋体" w:eastAsia="宋体" w:cs="宋体"/>
          <w:color w:val="auto"/>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"1-2"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招标公告</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highlight w:val="none"/>
        </w:rPr>
        <w:fldChar w:fldCharType="end"/>
      </w:r>
    </w:p>
    <w:p w14:paraId="7F947B62">
      <w:pPr>
        <w:pStyle w:val="35"/>
        <w:tabs>
          <w:tab w:val="right" w:leader="dot" w:pos="9746"/>
          <w:tab w:val="clear" w:pos="8398"/>
        </w:tabs>
        <w:rPr>
          <w:rFonts w:hint="eastAsia" w:ascii="宋体" w:hAnsi="宋体" w:eastAsia="宋体" w:cs="宋体"/>
          <w:color w:val="auto"/>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_Toc4847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rPr>
        <w:tab/>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5</w:t>
      </w:r>
    </w:p>
    <w:p w14:paraId="47B69F74">
      <w:pPr>
        <w:pStyle w:val="35"/>
        <w:tabs>
          <w:tab w:val="right" w:leader="dot" w:pos="9746"/>
          <w:tab w:val="clear" w:pos="8398"/>
        </w:tabs>
        <w:rPr>
          <w:rFonts w:hint="default" w:ascii="宋体" w:hAnsi="宋体" w:eastAsia="宋体" w:cs="宋体"/>
          <w:color w:val="auto"/>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rPr>
        <w:tab/>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18</w:t>
      </w:r>
    </w:p>
    <w:p w14:paraId="3E89108E">
      <w:pPr>
        <w:pStyle w:val="35"/>
        <w:tabs>
          <w:tab w:val="right" w:leader="dot" w:pos="9746"/>
          <w:tab w:val="clear" w:pos="8398"/>
        </w:tabs>
        <w:rPr>
          <w:rFonts w:hint="default" w:ascii="宋体" w:hAnsi="宋体" w:eastAsia="宋体" w:cs="宋体"/>
          <w:color w:val="auto"/>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评标方法及评标标准</w:t>
      </w:r>
      <w:r>
        <w:rPr>
          <w:rFonts w:hint="eastAsia" w:ascii="宋体" w:hAnsi="宋体" w:eastAsia="宋体" w:cs="宋体"/>
          <w:color w:val="auto"/>
        </w:rPr>
        <w:tab/>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38</w:t>
      </w:r>
    </w:p>
    <w:p w14:paraId="27BD9F54">
      <w:pPr>
        <w:pStyle w:val="35"/>
        <w:tabs>
          <w:tab w:val="right" w:leader="dot" w:pos="9746"/>
          <w:tab w:val="clear" w:pos="8398"/>
        </w:tabs>
        <w:rPr>
          <w:rFonts w:hint="default" w:ascii="宋体" w:hAnsi="宋体" w:eastAsia="宋体" w:cs="宋体"/>
          <w:color w:val="auto"/>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rPr>
        <w:tab/>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49</w:t>
      </w:r>
    </w:p>
    <w:p w14:paraId="2B18497C">
      <w:pPr>
        <w:pStyle w:val="35"/>
        <w:tabs>
          <w:tab w:val="right" w:leader="dot" w:pos="9746"/>
          <w:tab w:val="clear" w:pos="8398"/>
        </w:tabs>
        <w:rPr>
          <w:rFonts w:hint="eastAsia" w:ascii="仿宋_GB2312" w:hAnsi="宋体" w:eastAsia="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rPr>
        <w:tab/>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eastAsia="宋体" w:cs="宋体"/>
          <w:color w:val="auto"/>
          <w:highlight w:val="none"/>
          <w:lang w:val="en-US" w:eastAsia="zh-CN"/>
        </w:rPr>
        <w:t>6</w:t>
      </w:r>
    </w:p>
    <w:p w14:paraId="0C2D0692">
      <w:pPr>
        <w:spacing w:before="120" w:beforeLines="50" w:line="480" w:lineRule="exact"/>
        <w:rPr>
          <w:rFonts w:hint="eastAsia" w:ascii="仿宋_GB2312" w:hAnsi="宋体" w:eastAsia="仿宋_GB2312"/>
          <w:color w:val="auto"/>
          <w:sz w:val="30"/>
          <w:highlight w:val="none"/>
        </w:rPr>
      </w:pPr>
    </w:p>
    <w:p w14:paraId="6723C3FE">
      <w:pPr>
        <w:rPr>
          <w:rFonts w:hint="eastAsia"/>
          <w:color w:val="auto"/>
          <w:highlight w:val="none"/>
        </w:rPr>
      </w:pPr>
    </w:p>
    <w:p w14:paraId="6C1FCD70">
      <w:pPr>
        <w:spacing w:before="120" w:beforeLines="50" w:line="480" w:lineRule="exact"/>
        <w:rPr>
          <w:rFonts w:hint="eastAsia" w:ascii="仿宋_GB2312" w:hAnsi="宋体" w:eastAsia="仿宋_GB2312"/>
          <w:color w:val="auto"/>
          <w:sz w:val="30"/>
          <w:highlight w:val="none"/>
        </w:rPr>
      </w:pPr>
    </w:p>
    <w:p w14:paraId="58DABC91">
      <w:pPr>
        <w:spacing w:before="120" w:beforeLines="50" w:line="480" w:lineRule="exact"/>
        <w:rPr>
          <w:rFonts w:hint="eastAsia" w:ascii="仿宋_GB2312" w:hAnsi="宋体" w:eastAsia="仿宋_GB2312"/>
          <w:color w:val="auto"/>
          <w:sz w:val="30"/>
          <w:highlight w:val="none"/>
        </w:rPr>
      </w:pPr>
    </w:p>
    <w:p w14:paraId="4568EF2D">
      <w:pPr>
        <w:pStyle w:val="18"/>
        <w:rPr>
          <w:rFonts w:hint="eastAsia" w:ascii="宋体" w:hAnsi="宋体" w:cs="宋体"/>
          <w:b/>
          <w:bCs/>
          <w:color w:val="auto"/>
          <w:highlight w:val="none"/>
        </w:rPr>
      </w:pPr>
      <w:bookmarkStart w:id="0" w:name="_Toc254970489"/>
      <w:bookmarkStart w:id="1" w:name="_Toc254970630"/>
    </w:p>
    <w:p w14:paraId="1A1A728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3" w:type="default"/>
          <w:pgSz w:w="11906" w:h="16838"/>
          <w:pgMar w:top="1440" w:right="1080" w:bottom="1134" w:left="1080" w:header="720" w:footer="720" w:gutter="0"/>
          <w:pgBorders w:offsetFrom="page">
            <w:top w:val="none" w:sz="0" w:space="0"/>
            <w:left w:val="none" w:sz="0" w:space="0"/>
            <w:bottom w:val="none" w:sz="0" w:space="0"/>
            <w:right w:val="none" w:sz="0" w:space="0"/>
          </w:pgBorders>
          <w:pgNumType w:fmt="decimal" w:start="1"/>
          <w:cols w:space="720" w:num="1"/>
          <w:docGrid w:type="lines" w:linePitch="331" w:charSpace="0"/>
        </w:sectPr>
      </w:pPr>
    </w:p>
    <w:p w14:paraId="3B5765D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90" w:lineRule="exact"/>
        <w:jc w:val="center"/>
        <w:textAlignment w:val="auto"/>
        <w:rPr>
          <w:rFonts w:hint="eastAsia"/>
          <w:color w:val="auto"/>
          <w:highlight w:val="none"/>
        </w:rPr>
      </w:pPr>
      <w:bookmarkStart w:id="2" w:name="_Toc20156"/>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6143B310">
      <w:pPr>
        <w:pStyle w:val="26"/>
        <w:pageBreakBefore w:val="0"/>
        <w:widowControl w:val="0"/>
        <w:kinsoku/>
        <w:wordWrap/>
        <w:overflowPunct/>
        <w:topLinePunct w:val="0"/>
        <w:bidi w:val="0"/>
        <w:snapToGrid/>
        <w:spacing w:line="490" w:lineRule="exact"/>
        <w:jc w:val="center"/>
        <w:textAlignment w:val="auto"/>
        <w:rPr>
          <w:rFonts w:hint="eastAsia" w:eastAsia="宋体"/>
          <w:b/>
          <w:color w:val="auto"/>
          <w:sz w:val="36"/>
          <w:szCs w:val="36"/>
          <w:highlight w:val="none"/>
          <w:lang w:eastAsia="zh-CN"/>
        </w:rPr>
      </w:pPr>
      <w:r>
        <w:rPr>
          <w:rFonts w:hint="eastAsia"/>
          <w:b/>
          <w:color w:val="auto"/>
          <w:sz w:val="36"/>
          <w:szCs w:val="36"/>
          <w:highlight w:val="none"/>
          <w:lang w:eastAsia="zh-CN"/>
        </w:rPr>
        <w:t>广西国泰招标咨询有限公司</w:t>
      </w:r>
    </w:p>
    <w:p w14:paraId="2577DB08">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90" w:lineRule="exact"/>
        <w:jc w:val="center"/>
        <w:textAlignment w:val="auto"/>
        <w:rPr>
          <w:rFonts w:hint="eastAsia" w:ascii="宋体" w:hAnsi="Courier New" w:eastAsia="宋体" w:cs="Times New Roman"/>
          <w:b/>
          <w:bCs w:val="0"/>
          <w:color w:val="auto"/>
          <w:kern w:val="2"/>
          <w:sz w:val="36"/>
          <w:szCs w:val="36"/>
          <w:highlight w:val="none"/>
          <w:lang w:eastAsia="zh-CN"/>
        </w:rPr>
      </w:pPr>
      <w:bookmarkStart w:id="5" w:name="_Toc15555"/>
      <w:r>
        <w:rPr>
          <w:rFonts w:hint="eastAsia" w:ascii="宋体" w:hAnsi="Courier New"/>
          <w:bCs w:val="0"/>
          <w:color w:val="auto"/>
          <w:kern w:val="2"/>
          <w:sz w:val="36"/>
          <w:szCs w:val="36"/>
          <w:highlight w:val="none"/>
          <w:lang w:eastAsia="zh-CN"/>
        </w:rPr>
        <w:t>X射线计算机体层摄影设备采购（重）</w:t>
      </w:r>
      <w:r>
        <w:rPr>
          <w:rFonts w:hint="eastAsia" w:ascii="宋体" w:hAnsi="Courier New"/>
          <w:bCs w:val="0"/>
          <w:color w:val="auto"/>
          <w:kern w:val="2"/>
          <w:sz w:val="36"/>
          <w:szCs w:val="36"/>
          <w:highlight w:val="none"/>
        </w:rPr>
        <w:t>（</w:t>
      </w:r>
      <w:r>
        <w:rPr>
          <w:rFonts w:hint="eastAsia" w:ascii="宋体" w:hAnsi="Courier New"/>
          <w:bCs w:val="0"/>
          <w:color w:val="auto"/>
          <w:kern w:val="2"/>
          <w:sz w:val="36"/>
          <w:szCs w:val="36"/>
          <w:highlight w:val="none"/>
          <w:lang w:eastAsia="zh-CN"/>
        </w:rPr>
        <w:t>项目</w:t>
      </w:r>
      <w:r>
        <w:rPr>
          <w:rFonts w:hint="eastAsia" w:ascii="宋体" w:hAnsi="Courier New" w:eastAsia="宋体" w:cs="Times New Roman"/>
          <w:b/>
          <w:bCs w:val="0"/>
          <w:color w:val="auto"/>
          <w:kern w:val="2"/>
          <w:sz w:val="36"/>
          <w:szCs w:val="36"/>
          <w:highlight w:val="none"/>
          <w:lang w:eastAsia="zh-CN"/>
        </w:rPr>
        <w:t>编号</w:t>
      </w:r>
      <w:r>
        <w:rPr>
          <w:rFonts w:hint="eastAsia" w:ascii="宋体" w:hAnsi="Courier New" w:eastAsia="宋体" w:cs="Times New Roman"/>
          <w:b/>
          <w:bCs w:val="0"/>
          <w:color w:val="auto"/>
          <w:kern w:val="2"/>
          <w:sz w:val="36"/>
          <w:szCs w:val="36"/>
          <w:highlight w:val="none"/>
          <w:lang w:val="en-US" w:eastAsia="zh-CN"/>
        </w:rPr>
        <w:t>:</w:t>
      </w:r>
      <w:r>
        <w:rPr>
          <w:rFonts w:hint="eastAsia" w:ascii="宋体" w:hAnsi="Courier New" w:eastAsia="宋体" w:cs="Times New Roman"/>
          <w:b/>
          <w:bCs w:val="0"/>
          <w:color w:val="auto"/>
          <w:kern w:val="2"/>
          <w:sz w:val="36"/>
          <w:szCs w:val="36"/>
          <w:highlight w:val="none"/>
          <w:lang w:eastAsia="zh-CN"/>
        </w:rPr>
        <w:t>YLZC2026-G1-230106-GTZB）</w:t>
      </w:r>
      <w:bookmarkEnd w:id="5"/>
    </w:p>
    <w:p w14:paraId="7826FE5D">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90" w:lineRule="exact"/>
        <w:jc w:val="center"/>
        <w:textAlignment w:val="auto"/>
        <w:rPr>
          <w:rFonts w:hint="eastAsia" w:ascii="宋体" w:hAnsi="宋体" w:eastAsia="宋体"/>
          <w:color w:val="auto"/>
          <w:szCs w:val="21"/>
          <w:highlight w:val="none"/>
          <w:lang w:eastAsia="zh-CN"/>
        </w:rPr>
      </w:pPr>
      <w:bookmarkStart w:id="6" w:name="_Toc24491"/>
      <w:r>
        <w:rPr>
          <w:rFonts w:hint="eastAsia" w:ascii="宋体" w:hAnsi="Courier New"/>
          <w:bCs w:val="0"/>
          <w:color w:val="auto"/>
          <w:kern w:val="2"/>
          <w:sz w:val="36"/>
          <w:szCs w:val="36"/>
          <w:highlight w:val="none"/>
        </w:rPr>
        <w:t>招标公告</w:t>
      </w:r>
      <w:bookmarkEnd w:id="6"/>
    </w:p>
    <w:p w14:paraId="1228194C">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26D097E8">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90" w:lineRule="exact"/>
        <w:ind w:firstLine="420" w:firstLineChars="200"/>
        <w:rPr>
          <w:rFonts w:hint="eastAsia" w:ascii="宋体" w:hAnsi="宋体" w:eastAsia="宋体"/>
          <w:color w:val="auto"/>
          <w:szCs w:val="21"/>
          <w:highlight w:val="none"/>
          <w:lang w:val="en-US" w:eastAsia="zh-CN"/>
        </w:rPr>
      </w:pPr>
      <w:r>
        <w:rPr>
          <w:rFonts w:hint="eastAsia" w:ascii="宋体" w:hAnsi="宋体" w:cs="Arial"/>
          <w:bCs/>
          <w:color w:val="auto"/>
          <w:szCs w:val="21"/>
          <w:highlight w:val="none"/>
          <w:lang w:eastAsia="zh-CN"/>
        </w:rPr>
        <w:t>X射线计算机体层摄影设备采购（重）</w:t>
      </w:r>
      <w:r>
        <w:rPr>
          <w:rFonts w:hint="eastAsia" w:ascii="宋体" w:hAnsi="宋体"/>
          <w:color w:val="auto"/>
          <w:szCs w:val="21"/>
          <w:highlight w:val="none"/>
        </w:rPr>
        <w:t>招标项目的潜在投标人应在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olor w:val="auto"/>
          <w:szCs w:val="21"/>
          <w:highlight w:val="none"/>
        </w:rPr>
        <w:t>）获取（下载）招标文件，并</w:t>
      </w:r>
      <w:r>
        <w:rPr>
          <w:rFonts w:hint="eastAsia" w:ascii="宋体" w:hAnsi="宋体" w:eastAsia="宋体" w:cs="Times New Roman"/>
          <w:color w:val="auto"/>
          <w:szCs w:val="21"/>
          <w:highlight w:val="none"/>
        </w:rPr>
        <w:t>于</w:t>
      </w:r>
      <w:r>
        <w:rPr>
          <w:rFonts w:hint="eastAsia" w:ascii="宋体" w:hAnsi="宋体" w:eastAsia="宋体" w:cs="Times New Roman"/>
          <w:color w:val="auto"/>
          <w:szCs w:val="21"/>
          <w:highlight w:val="none"/>
          <w:lang w:eastAsia="zh-CN"/>
        </w:rPr>
        <w:t>2026年</w:t>
      </w:r>
      <w:r>
        <w:rPr>
          <w:rFonts w:hint="eastAsia" w:ascii="宋体" w:hAnsi="宋体" w:eastAsia="宋体" w:cs="Times New Roman"/>
          <w:color w:val="auto"/>
          <w:szCs w:val="21"/>
          <w:highlight w:val="none"/>
          <w:lang w:val="en-US" w:eastAsia="zh-CN"/>
        </w:rPr>
        <w:t>6月26日</w:t>
      </w:r>
      <w:r>
        <w:rPr>
          <w:rFonts w:hint="eastAsia" w:ascii="宋体" w:hAnsi="宋体" w:eastAsia="宋体" w:cs="Times New Roman"/>
          <w:color w:val="auto"/>
          <w:szCs w:val="21"/>
          <w:highlight w:val="none"/>
          <w:lang w:eastAsia="zh-CN"/>
        </w:rPr>
        <w:t>9时</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0分</w:t>
      </w:r>
      <w:r>
        <w:rPr>
          <w:rFonts w:hint="eastAsia" w:ascii="宋体" w:hAnsi="宋体" w:eastAsia="宋体" w:cs="Times New Roman"/>
          <w:color w:val="auto"/>
          <w:szCs w:val="21"/>
          <w:highlight w:val="none"/>
        </w:rPr>
        <w:t>（北京时间）前递</w:t>
      </w:r>
      <w:r>
        <w:rPr>
          <w:rFonts w:hint="eastAsia" w:ascii="宋体" w:hAnsi="宋体"/>
          <w:bCs/>
          <w:color w:val="auto"/>
          <w:szCs w:val="21"/>
          <w:highlight w:val="none"/>
        </w:rPr>
        <w:t>交投标</w:t>
      </w:r>
      <w:r>
        <w:rPr>
          <w:rFonts w:ascii="宋体" w:hAnsi="宋体"/>
          <w:bCs/>
          <w:color w:val="auto"/>
          <w:szCs w:val="21"/>
          <w:highlight w:val="none"/>
        </w:rPr>
        <w:t>文件</w:t>
      </w:r>
      <w:r>
        <w:rPr>
          <w:rFonts w:hint="eastAsia" w:ascii="宋体" w:hAnsi="宋体"/>
          <w:bCs/>
          <w:color w:val="auto"/>
          <w:szCs w:val="21"/>
          <w:highlight w:val="none"/>
          <w:lang w:eastAsia="zh-CN"/>
        </w:rPr>
        <w:t>。</w:t>
      </w:r>
    </w:p>
    <w:p w14:paraId="0D3259FC">
      <w:pPr>
        <w:pageBreakBefore w:val="0"/>
        <w:kinsoku/>
        <w:wordWrap/>
        <w:overflowPunct/>
        <w:topLinePunct w:val="0"/>
        <w:bidi w:val="0"/>
        <w:spacing w:line="390" w:lineRule="exact"/>
        <w:rPr>
          <w:rFonts w:ascii="黑体" w:hAnsi="黑体" w:eastAsia="黑体"/>
          <w:b/>
          <w:bCs/>
          <w:color w:val="auto"/>
          <w:sz w:val="24"/>
          <w:highlight w:val="none"/>
        </w:rPr>
      </w:pPr>
      <w:bookmarkStart w:id="7" w:name="_Toc35393790"/>
      <w:bookmarkStart w:id="8" w:name="_Toc35393621"/>
      <w:bookmarkStart w:id="9" w:name="_Toc28359002"/>
      <w:bookmarkStart w:id="10" w:name="_Toc28359079"/>
      <w:bookmarkStart w:id="11" w:name="_Hlk24379207"/>
      <w:r>
        <w:rPr>
          <w:rFonts w:hint="eastAsia" w:ascii="黑体" w:hAnsi="黑体" w:eastAsia="黑体"/>
          <w:b/>
          <w:bCs/>
          <w:color w:val="auto"/>
          <w:sz w:val="24"/>
          <w:highlight w:val="none"/>
        </w:rPr>
        <w:t>一、项目基本情况</w:t>
      </w:r>
      <w:bookmarkEnd w:id="7"/>
      <w:bookmarkEnd w:id="8"/>
      <w:bookmarkEnd w:id="9"/>
      <w:bookmarkEnd w:id="10"/>
    </w:p>
    <w:p w14:paraId="7E5A2558">
      <w:pPr>
        <w:keepNext w:val="0"/>
        <w:keepLines w:val="0"/>
        <w:pageBreakBefore w:val="0"/>
        <w:kinsoku/>
        <w:wordWrap/>
        <w:overflowPunct/>
        <w:topLinePunct w:val="0"/>
        <w:autoSpaceDE/>
        <w:autoSpaceDN/>
        <w:bidi w:val="0"/>
        <w:spacing w:line="39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YLZC2026-G1-230106-GTZB</w:t>
      </w:r>
    </w:p>
    <w:p w14:paraId="4B6E8CFC">
      <w:pPr>
        <w:keepNext w:val="0"/>
        <w:keepLines w:val="0"/>
        <w:pageBreakBefore w:val="0"/>
        <w:kinsoku/>
        <w:wordWrap/>
        <w:overflowPunct/>
        <w:topLinePunct w:val="0"/>
        <w:autoSpaceDE/>
        <w:autoSpaceDN/>
        <w:bidi w:val="0"/>
        <w:spacing w:line="39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X射线计算机体层摄影设备采购（重）</w:t>
      </w:r>
    </w:p>
    <w:bookmarkEnd w:id="11"/>
    <w:p w14:paraId="4C2EA453">
      <w:pPr>
        <w:keepNext w:val="0"/>
        <w:keepLines w:val="0"/>
        <w:pageBreakBefore w:val="0"/>
        <w:kinsoku/>
        <w:wordWrap/>
        <w:overflowPunct/>
        <w:topLinePunct w:val="0"/>
        <w:autoSpaceDE/>
        <w:autoSpaceDN/>
        <w:bidi w:val="0"/>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800万元</w:t>
      </w:r>
    </w:p>
    <w:p w14:paraId="594FDC47">
      <w:pPr>
        <w:keepNext w:val="0"/>
        <w:keepLines w:val="0"/>
        <w:pageBreakBefore w:val="0"/>
        <w:kinsoku/>
        <w:wordWrap/>
        <w:overflowPunct/>
        <w:topLinePunct w:val="0"/>
        <w:autoSpaceDE/>
        <w:autoSpaceDN/>
        <w:bidi w:val="0"/>
        <w:spacing w:line="39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hAnsi="宋体" w:cs="宋体"/>
          <w:color w:val="auto"/>
          <w:szCs w:val="21"/>
        </w:rPr>
        <w:t>与预算金额一致</w:t>
      </w:r>
      <w:r>
        <w:rPr>
          <w:rFonts w:hint="eastAsia" w:ascii="宋体" w:hAnsi="宋体"/>
          <w:color w:val="auto"/>
          <w:lang w:eastAsia="zh-CN"/>
        </w:rPr>
        <w:t>。</w:t>
      </w:r>
    </w:p>
    <w:p w14:paraId="7F3E3E46">
      <w:pPr>
        <w:keepNext w:val="0"/>
        <w:keepLines w:val="0"/>
        <w:pageBreakBefore w:val="0"/>
        <w:kinsoku/>
        <w:wordWrap/>
        <w:overflowPunct/>
        <w:topLinePunct w:val="0"/>
        <w:autoSpaceDE/>
        <w:autoSpaceDN/>
        <w:bidi w:val="0"/>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50"/>
        <w:tblW w:w="9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681"/>
        <w:gridCol w:w="932"/>
        <w:gridCol w:w="6025"/>
      </w:tblGrid>
      <w:tr w14:paraId="0F50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320" w:type="dxa"/>
            <w:gridSpan w:val="4"/>
            <w:tcBorders>
              <w:top w:val="single" w:color="auto" w:sz="4" w:space="0"/>
              <w:left w:val="single" w:color="auto" w:sz="4" w:space="0"/>
              <w:bottom w:val="single" w:color="auto" w:sz="4" w:space="0"/>
              <w:right w:val="single" w:color="auto" w:sz="4" w:space="0"/>
            </w:tcBorders>
            <w:noWrap w:val="0"/>
            <w:vAlign w:val="center"/>
          </w:tcPr>
          <w:p w14:paraId="49253043">
            <w:pPr>
              <w:keepNext w:val="0"/>
              <w:keepLines w:val="0"/>
              <w:pageBreakBefore w:val="0"/>
              <w:widowControl w:val="0"/>
              <w:kinsoku/>
              <w:wordWrap/>
              <w:overflowPunct/>
              <w:topLinePunct w:val="0"/>
              <w:autoSpaceDE/>
              <w:autoSpaceDN/>
              <w:bidi w:val="0"/>
              <w:spacing w:line="39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分标；预算金额：</w:t>
            </w:r>
            <w:r>
              <w:rPr>
                <w:rFonts w:hint="eastAsia" w:ascii="宋体" w:hAnsi="宋体" w:eastAsia="宋体" w:cs="宋体"/>
                <w:color w:val="auto"/>
                <w:sz w:val="21"/>
                <w:szCs w:val="21"/>
                <w:highlight w:val="none"/>
                <w:lang w:val="en-US" w:eastAsia="zh-CN"/>
              </w:rPr>
              <w:t>800万元</w:t>
            </w:r>
          </w:p>
        </w:tc>
      </w:tr>
      <w:tr w14:paraId="62B43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4D1E22B3">
            <w:pPr>
              <w:keepNext w:val="0"/>
              <w:keepLines w:val="0"/>
              <w:pageBreakBefore w:val="0"/>
              <w:widowControl w:val="0"/>
              <w:kinsoku/>
              <w:wordWrap/>
              <w:overflowPunct/>
              <w:topLinePunct w:val="0"/>
              <w:autoSpaceDE/>
              <w:autoSpaceDN/>
              <w:bidi w:val="0"/>
              <w:snapToGrid w:val="0"/>
              <w:spacing w:line="39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26D2EB4">
            <w:pPr>
              <w:keepNext w:val="0"/>
              <w:keepLines w:val="0"/>
              <w:pageBreakBefore w:val="0"/>
              <w:widowControl w:val="0"/>
              <w:kinsoku/>
              <w:wordWrap/>
              <w:overflowPunct/>
              <w:topLinePunct w:val="0"/>
              <w:autoSpaceDE/>
              <w:autoSpaceDN/>
              <w:bidi w:val="0"/>
              <w:snapToGrid w:val="0"/>
              <w:spacing w:line="39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2C8DE3BC">
            <w:pPr>
              <w:keepNext w:val="0"/>
              <w:keepLines w:val="0"/>
              <w:pageBreakBefore w:val="0"/>
              <w:widowControl w:val="0"/>
              <w:kinsoku/>
              <w:wordWrap/>
              <w:overflowPunct/>
              <w:topLinePunct w:val="0"/>
              <w:autoSpaceDE/>
              <w:autoSpaceDN/>
              <w:bidi w:val="0"/>
              <w:snapToGrid w:val="0"/>
              <w:spacing w:line="39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2138D386">
            <w:pPr>
              <w:keepNext w:val="0"/>
              <w:keepLines w:val="0"/>
              <w:pageBreakBefore w:val="0"/>
              <w:widowControl w:val="0"/>
              <w:kinsoku/>
              <w:wordWrap/>
              <w:overflowPunct/>
              <w:topLinePunct w:val="0"/>
              <w:autoSpaceDE/>
              <w:autoSpaceDN/>
              <w:bidi w:val="0"/>
              <w:snapToGrid w:val="0"/>
              <w:spacing w:line="39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2BAEF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14:paraId="72B34951">
            <w:pPr>
              <w:keepNext w:val="0"/>
              <w:keepLines w:val="0"/>
              <w:pageBreakBefore w:val="0"/>
              <w:widowControl w:val="0"/>
              <w:kinsoku/>
              <w:wordWrap/>
              <w:overflowPunct/>
              <w:topLinePunct w:val="0"/>
              <w:autoSpaceDE/>
              <w:autoSpaceDN/>
              <w:bidi w:val="0"/>
              <w:snapToGrid w:val="0"/>
              <w:spacing w:line="39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FDE20C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Arial"/>
                <w:bCs/>
                <w:color w:val="auto"/>
                <w:szCs w:val="21"/>
                <w:highlight w:val="none"/>
                <w:lang w:eastAsia="zh-CN"/>
              </w:rPr>
              <w:t>X射线计算机体层摄影设备</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33B88B3B">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1套</w:t>
            </w:r>
          </w:p>
        </w:tc>
        <w:tc>
          <w:tcPr>
            <w:tcW w:w="6025" w:type="dxa"/>
            <w:tcBorders>
              <w:top w:val="single" w:color="auto" w:sz="4" w:space="0"/>
              <w:left w:val="single" w:color="auto" w:sz="4" w:space="0"/>
              <w:bottom w:val="single" w:color="auto" w:sz="4" w:space="0"/>
              <w:right w:val="single" w:color="auto" w:sz="4" w:space="0"/>
            </w:tcBorders>
            <w:noWrap w:val="0"/>
            <w:vAlign w:val="center"/>
          </w:tcPr>
          <w:p w14:paraId="4E737D1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1.要求</w:t>
            </w:r>
          </w:p>
          <w:p w14:paraId="6164D60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▲1.1单源探测器CT≥256排或双源CT≥2×96排。</w:t>
            </w:r>
          </w:p>
          <w:p w14:paraId="574E301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▲1.2螺旋扫描最大Z轴准直覆盖范围≥5.76cm。</w:t>
            </w:r>
          </w:p>
          <w:p w14:paraId="1E2569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r>
    </w:tbl>
    <w:p w14:paraId="6D03720F">
      <w:pPr>
        <w:keepNext w:val="0"/>
        <w:keepLines w:val="0"/>
        <w:pageBreakBefore w:val="0"/>
        <w:widowControl/>
        <w:shd w:val="clear" w:color="auto" w:fill="FFFFFF"/>
        <w:kinsoku/>
        <w:wordWrap/>
        <w:overflowPunct/>
        <w:topLinePunct w:val="0"/>
        <w:autoSpaceDE/>
        <w:autoSpaceDN/>
        <w:bidi w:val="0"/>
        <w:adjustRightInd w:val="0"/>
        <w:snapToGrid w:val="0"/>
        <w:spacing w:line="390" w:lineRule="exact"/>
        <w:ind w:firstLine="409" w:firstLineChars="195"/>
        <w:jc w:val="left"/>
        <w:rPr>
          <w:rFonts w:hint="eastAsia" w:ascii="Times New Roman" w:hAnsi="宋体" w:eastAsia="宋体" w:cs="宋体"/>
          <w:color w:val="auto"/>
          <w:szCs w:val="21"/>
          <w:lang w:eastAsia="zh-CN"/>
        </w:rPr>
      </w:pPr>
      <w:r>
        <w:rPr>
          <w:rFonts w:hint="eastAsia" w:ascii="宋体" w:hAnsi="宋体"/>
          <w:color w:val="auto"/>
          <w:szCs w:val="21"/>
          <w:highlight w:val="none"/>
        </w:rPr>
        <w:t>合同履</w:t>
      </w:r>
      <w:r>
        <w:rPr>
          <w:rFonts w:hint="eastAsia" w:ascii="宋体" w:hAnsi="宋体"/>
          <w:color w:val="auto"/>
          <w:szCs w:val="21"/>
          <w:highlight w:val="none"/>
          <w:lang w:eastAsia="zh-CN"/>
        </w:rPr>
        <w:t>约</w:t>
      </w:r>
      <w:r>
        <w:rPr>
          <w:rFonts w:hint="eastAsia" w:ascii="宋体" w:hAnsi="宋体"/>
          <w:color w:val="auto"/>
          <w:szCs w:val="21"/>
          <w:highlight w:val="none"/>
        </w:rPr>
        <w:t>期限：</w:t>
      </w:r>
      <w:r>
        <w:rPr>
          <w:rFonts w:hint="eastAsia" w:hAnsi="宋体" w:cs="宋体"/>
          <w:color w:val="auto"/>
          <w:szCs w:val="21"/>
          <w:lang w:eastAsia="zh-CN"/>
        </w:rPr>
        <w:t>自签订合同</w:t>
      </w:r>
      <w:r>
        <w:rPr>
          <w:rFonts w:hint="eastAsia" w:ascii="Times New Roman" w:hAnsi="宋体" w:eastAsia="宋体" w:cs="宋体"/>
          <w:color w:val="auto"/>
          <w:szCs w:val="21"/>
          <w:lang w:eastAsia="zh-CN"/>
        </w:rPr>
        <w:t>之日起30天（日历天）内交货。</w:t>
      </w:r>
    </w:p>
    <w:p w14:paraId="69C7DF6D">
      <w:pPr>
        <w:keepNext w:val="0"/>
        <w:keepLines w:val="0"/>
        <w:pageBreakBefore w:val="0"/>
        <w:kinsoku/>
        <w:wordWrap/>
        <w:overflowPunct/>
        <w:topLinePunct w:val="0"/>
        <w:autoSpaceDE/>
        <w:autoSpaceDN/>
        <w:bidi w:val="0"/>
        <w:spacing w:line="39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hint="eastAsia" w:ascii="宋体" w:hAnsi="宋体"/>
          <w:b/>
          <w:color w:val="auto"/>
          <w:szCs w:val="21"/>
          <w:highlight w:val="none"/>
          <w:lang w:eastAsia="zh-CN"/>
        </w:rPr>
        <w:t>不</w:t>
      </w:r>
      <w:r>
        <w:rPr>
          <w:rFonts w:hint="eastAsia" w:ascii="宋体" w:hAnsi="宋体"/>
          <w:b/>
          <w:color w:val="auto"/>
          <w:szCs w:val="21"/>
          <w:highlight w:val="none"/>
        </w:rPr>
        <w:t>接受联合体投标。</w:t>
      </w:r>
    </w:p>
    <w:p w14:paraId="560A7CCE">
      <w:pPr>
        <w:keepNext w:val="0"/>
        <w:keepLines w:val="0"/>
        <w:pageBreakBefore w:val="0"/>
        <w:kinsoku/>
        <w:wordWrap/>
        <w:overflowPunct/>
        <w:topLinePunct w:val="0"/>
        <w:autoSpaceDE/>
        <w:autoSpaceDN/>
        <w:bidi w:val="0"/>
        <w:spacing w:line="390" w:lineRule="exact"/>
        <w:rPr>
          <w:rFonts w:ascii="黑体" w:hAnsi="黑体" w:eastAsia="黑体"/>
          <w:b/>
          <w:bCs/>
          <w:color w:val="auto"/>
          <w:sz w:val="24"/>
          <w:highlight w:val="none"/>
        </w:rPr>
      </w:pPr>
      <w:bookmarkStart w:id="12" w:name="_Toc35393622"/>
      <w:bookmarkStart w:id="13" w:name="_Toc28359003"/>
      <w:bookmarkStart w:id="14" w:name="_Toc28359080"/>
      <w:bookmarkStart w:id="15" w:name="_Toc35393791"/>
      <w:r>
        <w:rPr>
          <w:rFonts w:hint="eastAsia" w:ascii="黑体" w:hAnsi="黑体" w:eastAsia="黑体"/>
          <w:b/>
          <w:bCs/>
          <w:color w:val="auto"/>
          <w:sz w:val="24"/>
          <w:highlight w:val="none"/>
        </w:rPr>
        <w:t>二、申请人的资格要求：</w:t>
      </w:r>
      <w:bookmarkEnd w:id="12"/>
      <w:bookmarkEnd w:id="13"/>
      <w:bookmarkEnd w:id="14"/>
      <w:bookmarkEnd w:id="15"/>
    </w:p>
    <w:p w14:paraId="7FDE78B0">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olor w:val="auto"/>
          <w:szCs w:val="21"/>
          <w:highlight w:val="none"/>
          <w:lang w:eastAsia="zh-CN"/>
        </w:rPr>
      </w:pPr>
      <w:bookmarkStart w:id="16" w:name="_Hlk51746371"/>
      <w:r>
        <w:rPr>
          <w:rFonts w:hint="eastAsia" w:ascii="宋体" w:hAnsi="宋体"/>
          <w:color w:val="auto"/>
          <w:szCs w:val="21"/>
          <w:highlight w:val="none"/>
        </w:rPr>
        <w:t>1、满足《中华人民共和国政府采购法》第二十二条规定</w:t>
      </w:r>
      <w:r>
        <w:rPr>
          <w:rFonts w:hint="eastAsia" w:ascii="宋体" w:hAnsi="宋体"/>
          <w:color w:val="auto"/>
          <w:szCs w:val="21"/>
          <w:highlight w:val="none"/>
          <w:lang w:eastAsia="zh-CN"/>
        </w:rPr>
        <w:t>。</w:t>
      </w:r>
    </w:p>
    <w:p w14:paraId="6519291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olor w:val="auto"/>
          <w:szCs w:val="21"/>
          <w:highlight w:val="none"/>
          <w:lang w:val="en-US" w:eastAsia="zh-CN"/>
        </w:rPr>
      </w:pPr>
      <w:bookmarkStart w:id="17" w:name="_Toc28359004"/>
      <w:bookmarkStart w:id="18" w:name="_Toc28359081"/>
      <w:r>
        <w:rPr>
          <w:rFonts w:ascii="宋体" w:hAnsi="宋体"/>
          <w:color w:val="auto"/>
          <w:szCs w:val="21"/>
          <w:highlight w:val="none"/>
        </w:rPr>
        <w:t>2</w:t>
      </w:r>
      <w:r>
        <w:rPr>
          <w:rFonts w:hint="eastAsia" w:ascii="宋体" w:hAnsi="宋体"/>
          <w:color w:val="auto"/>
          <w:szCs w:val="21"/>
          <w:highlight w:val="none"/>
        </w:rPr>
        <w:t>、落实政府采购政策需满足的资格</w:t>
      </w:r>
      <w:r>
        <w:rPr>
          <w:rFonts w:hint="eastAsia" w:ascii="宋体" w:hAnsi="宋体" w:eastAsia="宋体" w:cs="Times New Roman"/>
          <w:color w:val="auto"/>
          <w:szCs w:val="21"/>
          <w:highlight w:val="none"/>
        </w:rPr>
        <w:t>要求：</w:t>
      </w:r>
      <w:r>
        <w:rPr>
          <w:rFonts w:hint="eastAsia" w:ascii="宋体" w:hAnsi="宋体" w:eastAsia="宋体" w:cs="Times New Roman"/>
          <w:color w:val="auto"/>
          <w:szCs w:val="21"/>
          <w:highlight w:val="none"/>
          <w:lang w:val="en-US" w:eastAsia="zh-CN"/>
        </w:rPr>
        <w:t>无</w:t>
      </w:r>
      <w:r>
        <w:rPr>
          <w:rFonts w:hint="eastAsia" w:ascii="宋体" w:hAnsi="宋体" w:eastAsia="宋体" w:cs="Times New Roman"/>
          <w:color w:val="auto"/>
          <w:szCs w:val="21"/>
          <w:highlight w:val="none"/>
          <w:lang w:eastAsia="zh-CN"/>
        </w:rPr>
        <w:t>。</w:t>
      </w:r>
    </w:p>
    <w:p w14:paraId="0B80A353">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Cs w:val="21"/>
          <w:highlight w:val="none"/>
        </w:rPr>
        <w:t>3、本项目的特定资格要求：</w:t>
      </w:r>
      <w:bookmarkEnd w:id="16"/>
      <w:bookmarkStart w:id="19" w:name="_Toc35393792"/>
      <w:bookmarkStart w:id="20" w:name="_Toc35393623"/>
      <w:r>
        <w:rPr>
          <w:rFonts w:hint="default" w:ascii="Calibri" w:hAnsi="Calibri" w:eastAsia="宋体" w:cs="Calibri"/>
          <w:color w:val="auto"/>
          <w:szCs w:val="21"/>
          <w:highlight w:val="none"/>
          <w:lang w:eastAsia="zh-CN"/>
        </w:rPr>
        <w:t>①</w:t>
      </w:r>
      <w:r>
        <w:rPr>
          <w:rFonts w:hint="eastAsia" w:ascii="宋体" w:hAnsi="宋体" w:eastAsia="宋体" w:cs="宋体"/>
          <w:color w:val="auto"/>
          <w:sz w:val="21"/>
          <w:szCs w:val="21"/>
          <w:highlight w:val="none"/>
          <w:lang w:val="en-US" w:eastAsia="zh-CN"/>
        </w:rPr>
        <w:t>具有国家主管部门颁发的有效的医疗器械生产许可证，或按《医疗器械经营监督管理办法》（国家市场监督管理总局第54号令）医疗器械分类管理要求具有有效的医疗器械经营备案凭证或许可证的供</w:t>
      </w:r>
      <w:r>
        <w:rPr>
          <w:rFonts w:hint="eastAsia" w:ascii="宋体" w:hAnsi="宋体" w:eastAsia="宋体" w:cs="宋体"/>
          <w:color w:val="auto"/>
          <w:sz w:val="21"/>
          <w:szCs w:val="21"/>
          <w:highlight w:val="none"/>
          <w:lang w:val="en-US" w:eastAsia="zh-CN"/>
        </w:rPr>
        <w:t>应商；</w:t>
      </w:r>
      <w:r>
        <w:rPr>
          <w:rFonts w:hint="default"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供应商所投产品属于射线装置的，供应商为投标产品制造商的须具备有效的《辐射安全许可证》（许可种类和范围至少包含生产、销售）；供应商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p>
    <w:p w14:paraId="78348C6D">
      <w:pPr>
        <w:keepNext w:val="0"/>
        <w:keepLines w:val="0"/>
        <w:pageBreakBefore w:val="0"/>
        <w:kinsoku/>
        <w:wordWrap/>
        <w:overflowPunct/>
        <w:topLinePunct w:val="0"/>
        <w:autoSpaceDE/>
        <w:autoSpaceDN/>
        <w:bidi w:val="0"/>
        <w:adjustRightInd/>
        <w:spacing w:line="39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7"/>
      <w:bookmarkEnd w:id="18"/>
      <w:bookmarkEnd w:id="19"/>
      <w:bookmarkEnd w:id="20"/>
    </w:p>
    <w:p w14:paraId="2DF4D4E1">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lang w:eastAsia="zh-CN"/>
        </w:rPr>
        <w:t>公告发布之日起</w:t>
      </w:r>
      <w:r>
        <w:rPr>
          <w:rFonts w:hint="eastAsia" w:ascii="宋体" w:hAnsi="宋体" w:cs="Arial"/>
          <w:color w:val="auto"/>
          <w:szCs w:val="21"/>
          <w:highlight w:val="none"/>
        </w:rPr>
        <w:t>至</w:t>
      </w:r>
      <w:r>
        <w:rPr>
          <w:rFonts w:hint="eastAsia" w:ascii="宋体" w:hAnsi="宋体" w:cs="Arial"/>
          <w:color w:val="auto"/>
          <w:highlight w:val="none"/>
          <w:lang w:eastAsia="zh-CN"/>
        </w:rPr>
        <w:t>2026年</w:t>
      </w:r>
      <w:r>
        <w:rPr>
          <w:rFonts w:hint="eastAsia" w:ascii="宋体" w:hAnsi="宋体" w:cs="Arial"/>
          <w:color w:val="auto"/>
          <w:highlight w:val="none"/>
          <w:lang w:val="en-US" w:eastAsia="zh-CN"/>
        </w:rPr>
        <w:t>6月12日</w:t>
      </w:r>
      <w:r>
        <w:rPr>
          <w:rFonts w:hint="eastAsia" w:ascii="宋体" w:hAnsi="宋体" w:cs="Arial"/>
          <w:color w:val="auto"/>
          <w:szCs w:val="21"/>
          <w:highlight w:val="none"/>
        </w:rPr>
        <w:t>，每天</w:t>
      </w:r>
      <w:r>
        <w:rPr>
          <w:rFonts w:hint="eastAsia" w:ascii="宋体" w:hAnsi="宋体" w:cs="Arial"/>
          <w:color w:val="auto"/>
          <w:szCs w:val="21"/>
          <w:highlight w:val="none"/>
          <w:lang w:val="en-US" w:eastAsia="zh-CN"/>
        </w:rPr>
        <w:t>08</w:t>
      </w:r>
      <w:r>
        <w:rPr>
          <w:rFonts w:hint="eastAsia" w:ascii="宋体" w:hAnsi="宋体" w:cs="Arial"/>
          <w:color w:val="auto"/>
          <w:szCs w:val="21"/>
          <w:highlight w:val="none"/>
        </w:rPr>
        <w:t>:00-12:00；1</w:t>
      </w:r>
      <w:r>
        <w:rPr>
          <w:rFonts w:hint="eastAsia" w:ascii="宋体" w:hAnsi="宋体" w:cs="Arial"/>
          <w:color w:val="auto"/>
          <w:highlight w:val="none"/>
          <w:lang w:val="en-US" w:eastAsia="zh-CN"/>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18</w:t>
      </w:r>
      <w:r>
        <w:rPr>
          <w:rFonts w:hint="eastAsia" w:ascii="宋体" w:hAnsi="宋体" w:cs="Arial"/>
          <w:color w:val="auto"/>
          <w:szCs w:val="21"/>
          <w:highlight w:val="none"/>
        </w:rPr>
        <w:t>:</w:t>
      </w:r>
      <w:r>
        <w:rPr>
          <w:rFonts w:hint="eastAsia" w:ascii="宋体" w:hAnsi="宋体" w:cs="Arial"/>
          <w:color w:val="auto"/>
          <w:highlight w:val="none"/>
          <w:lang w:val="en-US" w:eastAsia="zh-CN"/>
        </w:rPr>
        <w:t>00</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6FDDFE51">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广西政府采购云平台线上获取（https://www.gcy.zfcg.gxzf.gov.cn/）</w:t>
      </w:r>
    </w:p>
    <w:p w14:paraId="0FB4D449">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bCs/>
          <w:color w:val="auto"/>
          <w:kern w:val="0"/>
          <w:szCs w:val="21"/>
          <w:highlight w:val="none"/>
        </w:rPr>
        <w:t>下载招标文件（操作路径：登录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-项目采购-获取</w:t>
      </w:r>
      <w:r>
        <w:rPr>
          <w:rFonts w:hint="eastAsia" w:ascii="宋体" w:hAnsi="宋体" w:cs="宋体"/>
          <w:bCs/>
          <w:color w:val="auto"/>
          <w:kern w:val="0"/>
          <w:szCs w:val="21"/>
          <w:highlight w:val="none"/>
          <w:lang w:eastAsia="zh-CN"/>
        </w:rPr>
        <w:t>招标</w:t>
      </w:r>
      <w:r>
        <w:rPr>
          <w:rFonts w:hint="eastAsia" w:ascii="宋体" w:hAnsi="宋体" w:cs="宋体"/>
          <w:bCs/>
          <w:color w:val="auto"/>
          <w:kern w:val="0"/>
          <w:szCs w:val="21"/>
          <w:highlight w:val="none"/>
        </w:rPr>
        <w:t>文件-找到本项目-点击“申请获取</w:t>
      </w:r>
      <w:r>
        <w:rPr>
          <w:rFonts w:hint="eastAsia" w:ascii="宋体" w:hAnsi="宋体" w:cs="宋体"/>
          <w:bCs/>
          <w:color w:val="auto"/>
          <w:kern w:val="0"/>
          <w:szCs w:val="21"/>
          <w:highlight w:val="none"/>
          <w:lang w:eastAsia="zh-CN"/>
        </w:rPr>
        <w:t>招标</w:t>
      </w:r>
      <w:r>
        <w:rPr>
          <w:rFonts w:hint="eastAsia" w:ascii="宋体" w:hAnsi="宋体" w:cs="宋体"/>
          <w:bCs/>
          <w:color w:val="auto"/>
          <w:kern w:val="0"/>
          <w:szCs w:val="21"/>
          <w:highlight w:val="none"/>
        </w:rPr>
        <w:t>文件”），电子投标文件制作需要基于</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获取的招标文件编制。</w:t>
      </w:r>
    </w:p>
    <w:p w14:paraId="4977736D">
      <w:pPr>
        <w:keepNext w:val="0"/>
        <w:keepLines w:val="0"/>
        <w:pageBreakBefore w:val="0"/>
        <w:kinsoku/>
        <w:wordWrap/>
        <w:overflowPunct/>
        <w:topLinePunct w:val="0"/>
        <w:autoSpaceDE/>
        <w:autoSpaceDN/>
        <w:bidi w:val="0"/>
        <w:adjustRightInd/>
        <w:spacing w:line="390" w:lineRule="exact"/>
        <w:ind w:firstLine="420" w:firstLineChars="200"/>
        <w:textAlignment w:val="auto"/>
        <w:rPr>
          <w:rFonts w:ascii="宋体" w:hAnsi="宋体" w:cs="宋体"/>
          <w:color w:val="auto"/>
          <w:szCs w:val="21"/>
          <w:highlight w:val="none"/>
        </w:rPr>
      </w:pPr>
      <w:r>
        <w:rPr>
          <w:rFonts w:hint="eastAsia" w:ascii="宋体" w:hAnsi="宋体" w:cs="宋体"/>
          <w:bCs/>
          <w:color w:val="auto"/>
          <w:kern w:val="0"/>
          <w:szCs w:val="21"/>
          <w:highlight w:val="none"/>
        </w:rPr>
        <w:t>售价：0</w:t>
      </w:r>
      <w:r>
        <w:rPr>
          <w:rFonts w:hint="eastAsia" w:ascii="宋体" w:hAnsi="宋体" w:cs="宋体"/>
          <w:bCs/>
          <w:color w:val="auto"/>
          <w:kern w:val="0"/>
          <w:szCs w:val="21"/>
          <w:highlight w:val="none"/>
          <w:lang w:val="en-US" w:eastAsia="zh-CN"/>
        </w:rPr>
        <w:t>.00</w:t>
      </w:r>
      <w:r>
        <w:rPr>
          <w:rFonts w:hint="eastAsia" w:ascii="宋体" w:hAnsi="宋体" w:cs="宋体"/>
          <w:bCs/>
          <w:color w:val="auto"/>
          <w:kern w:val="0"/>
          <w:szCs w:val="21"/>
          <w:highlight w:val="none"/>
        </w:rPr>
        <w:t>元。</w:t>
      </w:r>
    </w:p>
    <w:p w14:paraId="1660A916">
      <w:pPr>
        <w:keepNext w:val="0"/>
        <w:keepLines w:val="0"/>
        <w:pageBreakBefore w:val="0"/>
        <w:kinsoku/>
        <w:wordWrap/>
        <w:overflowPunct/>
        <w:topLinePunct w:val="0"/>
        <w:autoSpaceDE/>
        <w:autoSpaceDN/>
        <w:bidi w:val="0"/>
        <w:adjustRightInd/>
        <w:spacing w:line="390" w:lineRule="exact"/>
        <w:textAlignment w:val="auto"/>
        <w:rPr>
          <w:rFonts w:ascii="黑体" w:hAnsi="黑体" w:eastAsia="黑体"/>
          <w:b/>
          <w:bCs/>
          <w:color w:val="auto"/>
          <w:sz w:val="24"/>
          <w:highlight w:val="none"/>
        </w:rPr>
      </w:pPr>
      <w:bookmarkStart w:id="21" w:name="_Toc28359005"/>
      <w:bookmarkStart w:id="22" w:name="_Toc28359082"/>
      <w:bookmarkStart w:id="23" w:name="_Toc35393793"/>
      <w:bookmarkStart w:id="24" w:name="_Toc35393624"/>
      <w:r>
        <w:rPr>
          <w:rFonts w:hint="eastAsia" w:ascii="黑体" w:hAnsi="黑体" w:eastAsia="黑体"/>
          <w:b/>
          <w:bCs/>
          <w:color w:val="auto"/>
          <w:sz w:val="24"/>
          <w:highlight w:val="none"/>
        </w:rPr>
        <w:t>四、提交投标文件</w:t>
      </w:r>
      <w:bookmarkEnd w:id="21"/>
      <w:bookmarkEnd w:id="22"/>
      <w:r>
        <w:rPr>
          <w:rFonts w:hint="eastAsia" w:ascii="黑体" w:hAnsi="黑体" w:eastAsia="黑体"/>
          <w:b/>
          <w:bCs/>
          <w:color w:val="auto"/>
          <w:sz w:val="24"/>
          <w:highlight w:val="none"/>
        </w:rPr>
        <w:t>截止时间、开标时间和地点</w:t>
      </w:r>
      <w:bookmarkEnd w:id="23"/>
      <w:bookmarkEnd w:id="24"/>
    </w:p>
    <w:p w14:paraId="2502D566">
      <w:pPr>
        <w:keepNext w:val="0"/>
        <w:keepLines w:val="0"/>
        <w:pageBreakBefore w:val="0"/>
        <w:kinsoku/>
        <w:wordWrap/>
        <w:overflowPunct/>
        <w:topLinePunct w:val="0"/>
        <w:autoSpaceDE/>
        <w:autoSpaceDN/>
        <w:bidi w:val="0"/>
        <w:adjustRightInd/>
        <w:spacing w:line="390" w:lineRule="exact"/>
        <w:ind w:firstLine="420" w:firstLineChars="200"/>
        <w:textAlignment w:val="auto"/>
        <w:rPr>
          <w:rFonts w:ascii="宋体" w:hAnsi="宋体"/>
          <w:color w:val="auto"/>
          <w:szCs w:val="21"/>
          <w:highlight w:val="none"/>
        </w:rPr>
      </w:pPr>
      <w:bookmarkStart w:id="25" w:name="_Toc28359007"/>
      <w:bookmarkStart w:id="26" w:name="_Toc35393794"/>
      <w:bookmarkStart w:id="27" w:name="_Toc35393625"/>
      <w:bookmarkStart w:id="28" w:name="_Toc28359084"/>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6月26日</w:t>
      </w:r>
      <w:r>
        <w:rPr>
          <w:rFonts w:hint="eastAsia" w:ascii="宋体" w:hAnsi="宋体"/>
          <w:color w:val="auto"/>
          <w:szCs w:val="21"/>
          <w:highlight w:val="none"/>
          <w:lang w:eastAsia="zh-CN"/>
        </w:rPr>
        <w:t>9时</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分</w:t>
      </w:r>
      <w:r>
        <w:rPr>
          <w:rFonts w:hint="eastAsia" w:ascii="宋体" w:hAnsi="宋体"/>
          <w:color w:val="auto"/>
          <w:szCs w:val="21"/>
          <w:highlight w:val="none"/>
        </w:rPr>
        <w:t>（北京时间）</w:t>
      </w:r>
    </w:p>
    <w:p w14:paraId="2BE74E3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2、地点：本项目将在“政采云”平台电子开标大厅解密、开标</w:t>
      </w:r>
      <w:r>
        <w:rPr>
          <w:rFonts w:hint="eastAsia" w:ascii="宋体" w:hAnsi="宋体" w:eastAsia="宋体" w:cs="宋体"/>
          <w:color w:val="auto"/>
          <w:szCs w:val="21"/>
          <w:highlight w:val="none"/>
          <w:lang w:eastAsia="zh-CN" w:bidi="ar"/>
        </w:rPr>
        <w:t>。</w:t>
      </w:r>
    </w:p>
    <w:p w14:paraId="571EFB37">
      <w:pPr>
        <w:keepNext w:val="0"/>
        <w:keepLines w:val="0"/>
        <w:pageBreakBefore w:val="0"/>
        <w:kinsoku/>
        <w:wordWrap/>
        <w:overflowPunct/>
        <w:topLinePunct w:val="0"/>
        <w:autoSpaceDE/>
        <w:autoSpaceDN/>
        <w:bidi w:val="0"/>
        <w:adjustRightInd/>
        <w:spacing w:line="390" w:lineRule="exact"/>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5"/>
      <w:bookmarkEnd w:id="26"/>
      <w:bookmarkEnd w:id="27"/>
      <w:bookmarkEnd w:id="28"/>
    </w:p>
    <w:p w14:paraId="330155E3">
      <w:pPr>
        <w:keepNext w:val="0"/>
        <w:keepLines w:val="0"/>
        <w:pageBreakBefore w:val="0"/>
        <w:kinsoku/>
        <w:wordWrap/>
        <w:overflowPunct/>
        <w:topLinePunct w:val="0"/>
        <w:autoSpaceDE/>
        <w:autoSpaceDN/>
        <w:bidi w:val="0"/>
        <w:adjustRightInd/>
        <w:spacing w:line="39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E09A968">
      <w:pPr>
        <w:keepNext w:val="0"/>
        <w:keepLines w:val="0"/>
        <w:pageBreakBefore w:val="0"/>
        <w:kinsoku/>
        <w:wordWrap/>
        <w:overflowPunct/>
        <w:topLinePunct w:val="0"/>
        <w:autoSpaceDE/>
        <w:autoSpaceDN/>
        <w:bidi w:val="0"/>
        <w:adjustRightInd/>
        <w:spacing w:line="390" w:lineRule="exact"/>
        <w:textAlignment w:val="auto"/>
        <w:rPr>
          <w:rFonts w:ascii="黑体" w:hAnsi="黑体" w:eastAsia="黑体"/>
          <w:b/>
          <w:bCs/>
          <w:color w:val="auto"/>
          <w:sz w:val="24"/>
          <w:highlight w:val="none"/>
        </w:rPr>
      </w:pPr>
      <w:bookmarkStart w:id="29" w:name="_Toc35393626"/>
      <w:bookmarkStart w:id="30" w:name="_Toc35393795"/>
      <w:r>
        <w:rPr>
          <w:rFonts w:hint="eastAsia" w:ascii="黑体" w:hAnsi="黑体" w:eastAsia="黑体"/>
          <w:b/>
          <w:bCs/>
          <w:color w:val="auto"/>
          <w:sz w:val="24"/>
          <w:highlight w:val="none"/>
        </w:rPr>
        <w:t>六、其他补充事宜</w:t>
      </w:r>
      <w:bookmarkEnd w:id="29"/>
      <w:bookmarkEnd w:id="30"/>
    </w:p>
    <w:p w14:paraId="380315F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default" w:ascii="宋体" w:hAnsi="宋体" w:eastAsia="宋体" w:cs="宋体"/>
          <w:color w:val="auto"/>
          <w:kern w:val="0"/>
          <w:szCs w:val="21"/>
          <w:highlight w:val="none"/>
          <w:lang w:val="en-US"/>
        </w:rPr>
      </w:pPr>
      <w:bookmarkStart w:id="31" w:name="_Hlk37429674"/>
      <w:r>
        <w:rPr>
          <w:rFonts w:hint="eastAsia" w:ascii="宋体" w:hAnsi="宋体" w:cs="宋体"/>
          <w:color w:val="auto"/>
          <w:kern w:val="0"/>
          <w:szCs w:val="21"/>
          <w:highlight w:val="none"/>
        </w:rPr>
        <w:t>1、投标保</w:t>
      </w:r>
      <w:r>
        <w:rPr>
          <w:rFonts w:hint="eastAsia" w:ascii="宋体" w:hAnsi="宋体" w:eastAsia="宋体" w:cs="宋体"/>
          <w:color w:val="auto"/>
          <w:kern w:val="0"/>
          <w:szCs w:val="21"/>
          <w:highlight w:val="none"/>
        </w:rPr>
        <w:t>证金（人民币）：</w:t>
      </w:r>
      <w:r>
        <w:rPr>
          <w:rFonts w:hint="eastAsia" w:ascii="宋体" w:hAnsi="宋体" w:eastAsia="宋体" w:cs="宋体"/>
          <w:color w:val="auto"/>
          <w:kern w:val="0"/>
          <w:szCs w:val="21"/>
          <w:highlight w:val="none"/>
          <w:lang w:val="en-US" w:eastAsia="zh-CN"/>
        </w:rPr>
        <w:t>80000.00元。</w:t>
      </w:r>
    </w:p>
    <w:p w14:paraId="1714CB7B">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BCA2DD">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color w:val="auto"/>
          <w:kern w:val="0"/>
          <w:szCs w:val="21"/>
          <w:highlight w:val="none"/>
          <w:lang w:val="en-US" w:eastAsia="zh-CN"/>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、政府采购严重违法失信行为记录名单及其他不符合《中华人民共和国政府采购法》第二十二条规定条件的供应商，不得参与政府采购活动。</w:t>
      </w:r>
    </w:p>
    <w:p w14:paraId="2A5DD823">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4、网上查</w:t>
      </w:r>
      <w:r>
        <w:rPr>
          <w:rFonts w:hint="eastAsia" w:ascii="宋体" w:hAnsi="宋体" w:eastAsia="宋体" w:cs="宋体"/>
          <w:color w:val="auto"/>
          <w:kern w:val="0"/>
          <w:szCs w:val="21"/>
          <w:highlight w:val="none"/>
        </w:rPr>
        <w:t>询地址：中国政府采购网（www.ccgp.gov.cn）、</w:t>
      </w:r>
      <w:r>
        <w:rPr>
          <w:rFonts w:hint="eastAsia" w:ascii="宋体" w:hAnsi="宋体" w:eastAsia="宋体" w:cs="宋体"/>
          <w:color w:val="auto"/>
          <w:kern w:val="0"/>
          <w:szCs w:val="21"/>
          <w:highlight w:val="none"/>
          <w:lang w:eastAsia="zh-CN"/>
        </w:rPr>
        <w:t>广西壮族自治区政府采购网</w:t>
      </w:r>
      <w:r>
        <w:rPr>
          <w:rFonts w:hint="eastAsia" w:ascii="宋体" w:hAnsi="宋体" w:eastAsia="宋体" w:cs="宋体"/>
          <w:color w:val="auto"/>
          <w:kern w:val="0"/>
          <w:szCs w:val="21"/>
          <w:highlight w:val="none"/>
        </w:rPr>
        <w:t>（zfcg.gxzf.gov.cn）</w:t>
      </w:r>
      <w:r>
        <w:rPr>
          <w:rFonts w:hint="eastAsia" w:ascii="宋体" w:hAnsi="宋体" w:eastAsia="宋体" w:cs="宋体"/>
          <w:color w:val="auto"/>
          <w:kern w:val="0"/>
          <w:szCs w:val="21"/>
          <w:highlight w:val="none"/>
          <w:lang w:eastAsia="zh-CN"/>
        </w:rPr>
        <w:t>、全国</w:t>
      </w:r>
      <w:r>
        <w:rPr>
          <w:rFonts w:hint="eastAsia" w:ascii="宋体" w:hAnsi="宋体" w:eastAsia="宋体" w:cs="宋体"/>
          <w:color w:val="auto"/>
          <w:kern w:val="0"/>
          <w:szCs w:val="21"/>
          <w:highlight w:val="none"/>
          <w:lang w:val="en-US" w:eastAsia="zh-CN"/>
        </w:rPr>
        <w:t>公共资源交易平台（广西·博白）（ggzy.jgswj.gxzf.gov.cn）</w:t>
      </w:r>
      <w:r>
        <w:rPr>
          <w:rFonts w:hint="eastAsia" w:ascii="宋体" w:hAnsi="宋体" w:eastAsia="宋体" w:cs="宋体"/>
          <w:color w:val="auto"/>
          <w:kern w:val="0"/>
          <w:szCs w:val="21"/>
          <w:highlight w:val="none"/>
        </w:rPr>
        <w:t>。</w:t>
      </w:r>
    </w:p>
    <w:p w14:paraId="1D0BACEF">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29C44C67">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（1）政府采购促进</w:t>
      </w:r>
      <w:r>
        <w:rPr>
          <w:rFonts w:hint="eastAsia" w:ascii="宋体" w:hAnsi="宋体" w:eastAsia="宋体" w:cs="宋体"/>
          <w:color w:val="auto"/>
          <w:kern w:val="0"/>
          <w:szCs w:val="21"/>
          <w:highlight w:val="none"/>
        </w:rPr>
        <w:t>中小企业发展</w:t>
      </w:r>
      <w:r>
        <w:rPr>
          <w:rFonts w:hint="eastAsia" w:ascii="宋体" w:hAnsi="宋体"/>
          <w:color w:val="auto"/>
          <w:szCs w:val="21"/>
          <w:highlight w:val="none"/>
        </w:rPr>
        <w:t>。</w:t>
      </w:r>
    </w:p>
    <w:p w14:paraId="13ED5150">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34B718E4">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强制采购节能产品；优先采购节能产品、环境标志产品。</w:t>
      </w:r>
    </w:p>
    <w:p w14:paraId="73A773EB">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）政府采购促进残疾人就业政策。</w:t>
      </w:r>
    </w:p>
    <w:p w14:paraId="65267FAB">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）政府采购支持监狱企业发展。</w:t>
      </w:r>
    </w:p>
    <w:p w14:paraId="1C90CAFC">
      <w:pPr>
        <w:keepNext w:val="0"/>
        <w:keepLines w:val="0"/>
        <w:pageBreakBefore w:val="0"/>
        <w:widowControl/>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5D299203">
      <w:pPr>
        <w:keepNext w:val="0"/>
        <w:keepLines w:val="0"/>
        <w:pageBreakBefore w:val="0"/>
        <w:widowControl/>
        <w:kinsoku/>
        <w:wordWrap/>
        <w:overflowPunct/>
        <w:topLinePunct w:val="0"/>
        <w:autoSpaceDE/>
        <w:autoSpaceDN/>
        <w:bidi w:val="0"/>
        <w:adjustRightInd/>
        <w:spacing w:line="390" w:lineRule="exact"/>
        <w:ind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highlight w:val="none"/>
          <w:lang w:bidi="ar"/>
        </w:rPr>
        <w:t>实行在线电子投标，供应商应先安装“</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电子交易客户端”（请自行前往</w:t>
      </w:r>
      <w:r>
        <w:rPr>
          <w:rFonts w:hint="eastAsia" w:ascii="宋体" w:hAnsi="宋体" w:cs="宋体"/>
          <w:bCs/>
          <w:color w:val="auto"/>
          <w:kern w:val="0"/>
          <w:szCs w:val="21"/>
          <w:highlight w:val="none"/>
          <w:lang w:eastAsia="zh-CN"/>
        </w:rPr>
        <w:t>广西政府采购云平台</w:t>
      </w:r>
      <w:r>
        <w:rPr>
          <w:rFonts w:hint="eastAsia" w:ascii="宋体" w:hAnsi="宋体" w:cs="宋体"/>
          <w:color w:val="auto"/>
          <w:szCs w:val="21"/>
          <w:highlight w:val="none"/>
          <w:lang w:bidi="ar"/>
        </w:rPr>
        <w:t>进行下载），并按照本项目招标文件和</w:t>
      </w:r>
      <w:r>
        <w:rPr>
          <w:rFonts w:hint="eastAsia" w:ascii="宋体" w:hAnsi="宋体" w:cs="宋体"/>
          <w:bCs/>
          <w:color w:val="auto"/>
          <w:kern w:val="0"/>
          <w:szCs w:val="21"/>
          <w:highlight w:val="none"/>
          <w:lang w:eastAsia="zh-CN"/>
        </w:rPr>
        <w:t>广西政府采购云平台</w:t>
      </w:r>
      <w:r>
        <w:rPr>
          <w:rFonts w:hint="eastAsia" w:ascii="宋体" w:hAnsi="宋体" w:cs="宋体"/>
          <w:color w:val="auto"/>
          <w:szCs w:val="21"/>
          <w:highlight w:val="none"/>
          <w:lang w:bidi="ar"/>
        </w:rPr>
        <w:t>的要求编制、加密后在投标截止时间前通过网络上传至</w:t>
      </w:r>
      <w:r>
        <w:rPr>
          <w:rFonts w:hint="eastAsia" w:ascii="宋体" w:hAnsi="宋体" w:cs="宋体"/>
          <w:bCs/>
          <w:color w:val="auto"/>
          <w:kern w:val="0"/>
          <w:szCs w:val="21"/>
          <w:highlight w:val="none"/>
          <w:lang w:eastAsia="zh-CN"/>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eastAsia="宋体" w:cs="宋体"/>
          <w:b/>
          <w:color w:val="auto"/>
          <w:szCs w:val="21"/>
          <w:highlight w:val="none"/>
          <w:lang w:eastAsia="zh-CN" w:bidi="ar"/>
        </w:rPr>
        <w:t>广西政府采购云平台</w:t>
      </w:r>
      <w:r>
        <w:rPr>
          <w:rFonts w:hint="eastAsia" w:ascii="宋体" w:hAnsi="宋体" w:eastAsia="宋体" w:cs="宋体"/>
          <w:b/>
          <w:color w:val="auto"/>
          <w:szCs w:val="21"/>
          <w:highlight w:val="none"/>
          <w:lang w:bidi="ar"/>
        </w:rPr>
        <w:t>提</w:t>
      </w:r>
      <w:r>
        <w:rPr>
          <w:rFonts w:hint="eastAsia" w:ascii="宋体" w:hAnsi="宋体" w:cs="宋体"/>
          <w:b/>
          <w:color w:val="auto"/>
          <w:szCs w:val="21"/>
          <w:highlight w:val="none"/>
          <w:lang w:bidi="ar"/>
        </w:rPr>
        <w:t>交电子版投标文件时，请填写参加远程开标活动经办人联系方式。</w:t>
      </w:r>
    </w:p>
    <w:p w14:paraId="48190196">
      <w:pPr>
        <w:keepNext w:val="0"/>
        <w:keepLines w:val="0"/>
        <w:pageBreakBefore w:val="0"/>
        <w:widowControl/>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供应商应及时熟悉掌握电子标系统操作指南（见</w:t>
      </w:r>
      <w:r>
        <w:rPr>
          <w:rFonts w:hint="eastAsia" w:ascii="宋体" w:hAnsi="宋体" w:cs="宋体"/>
          <w:bCs/>
          <w:color w:val="auto"/>
          <w:kern w:val="0"/>
          <w:szCs w:val="21"/>
          <w:highlight w:val="none"/>
          <w:lang w:eastAsia="zh-CN"/>
        </w:rPr>
        <w:t>广西政府采购云平台</w:t>
      </w:r>
      <w:r>
        <w:rPr>
          <w:rFonts w:ascii="宋体" w:hAnsi="宋体" w:cs="宋体"/>
          <w:color w:val="auto"/>
          <w:szCs w:val="21"/>
          <w:highlight w:val="none"/>
          <w:lang w:bidi="ar"/>
        </w:rPr>
        <w:t>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rFonts w:ascii="宋体" w:hAnsi="宋体" w:cs="宋体"/>
          <w:color w:val="auto"/>
          <w:szCs w:val="21"/>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w:t>
      </w:r>
      <w:r>
        <w:rPr>
          <w:rFonts w:hint="eastAsia" w:ascii="宋体" w:hAnsi="宋体" w:cs="宋体"/>
          <w:bCs/>
          <w:color w:val="auto"/>
          <w:kern w:val="0"/>
          <w:szCs w:val="21"/>
          <w:highlight w:val="none"/>
          <w:lang w:eastAsia="zh-CN"/>
        </w:rPr>
        <w:t>广西政府采购云平台</w:t>
      </w:r>
      <w:r>
        <w:rPr>
          <w:rFonts w:ascii="宋体" w:hAnsi="宋体" w:cs="宋体"/>
          <w:color w:val="auto"/>
          <w:szCs w:val="21"/>
          <w:highlight w:val="none"/>
          <w:lang w:bidi="ar"/>
        </w:rPr>
        <w:t>CA证书办理操作指南）。</w:t>
      </w:r>
    </w:p>
    <w:p w14:paraId="1EBA066F">
      <w:pPr>
        <w:keepNext w:val="0"/>
        <w:keepLines w:val="0"/>
        <w:pageBreakBefore w:val="0"/>
        <w:widowControl/>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54CEE42">
      <w:pPr>
        <w:keepNext w:val="0"/>
        <w:keepLines w:val="0"/>
        <w:pageBreakBefore w:val="0"/>
        <w:widowControl/>
        <w:kinsoku/>
        <w:wordWrap/>
        <w:overflowPunct/>
        <w:topLinePunct w:val="0"/>
        <w:autoSpaceDE/>
        <w:autoSpaceDN/>
        <w:bidi w:val="0"/>
        <w:adjustRightInd/>
        <w:spacing w:line="39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39839099">
      <w:pPr>
        <w:keepNext w:val="0"/>
        <w:keepLines w:val="0"/>
        <w:pageBreakBefore w:val="0"/>
        <w:kinsoku/>
        <w:wordWrap/>
        <w:overflowPunct/>
        <w:topLinePunct w:val="0"/>
        <w:autoSpaceDE/>
        <w:autoSpaceDN/>
        <w:bidi w:val="0"/>
        <w:adjustRightInd/>
        <w:spacing w:line="39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
          <w:bCs/>
          <w:color w:val="auto"/>
          <w:szCs w:val="21"/>
          <w:highlight w:val="none"/>
          <w:lang w:eastAsia="zh-CN" w:bidi="ar"/>
        </w:rPr>
        <w:t>广西政府采购云平台</w:t>
      </w:r>
      <w:r>
        <w:rPr>
          <w:rFonts w:hint="eastAsia" w:ascii="宋体" w:hAnsi="宋体" w:cs="宋体"/>
          <w:b/>
          <w:bCs/>
          <w:color w:val="auto"/>
          <w:szCs w:val="21"/>
          <w:highlight w:val="none"/>
          <w:lang w:bidi="ar"/>
        </w:rPr>
        <w:t>将予以拒收。</w:t>
      </w:r>
    </w:p>
    <w:p w14:paraId="2C456482">
      <w:pPr>
        <w:keepNext w:val="0"/>
        <w:keepLines w:val="0"/>
        <w:pageBreakBefore w:val="0"/>
        <w:kinsoku/>
        <w:wordWrap/>
        <w:overflowPunct/>
        <w:topLinePunct w:val="0"/>
        <w:autoSpaceDE/>
        <w:autoSpaceDN/>
        <w:bidi w:val="0"/>
        <w:adjustRightInd/>
        <w:snapToGrid w:val="0"/>
        <w:spacing w:line="39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7、CA证书在线解密：供应商投标时，需携带制作投标文件时用来加密的有效数字证书（CA认证）登录</w:t>
      </w:r>
      <w:r>
        <w:rPr>
          <w:rFonts w:hint="eastAsia" w:ascii="宋体" w:hAnsi="宋体" w:cs="宋体"/>
          <w:bCs/>
          <w:color w:val="auto"/>
          <w:kern w:val="0"/>
          <w:szCs w:val="21"/>
          <w:highlight w:val="none"/>
          <w:lang w:eastAsia="zh-CN"/>
        </w:rPr>
        <w:t>广西政府采购云平台</w:t>
      </w:r>
      <w:r>
        <w:rPr>
          <w:rFonts w:hint="eastAsia" w:ascii="宋体" w:hAnsi="宋体" w:cs="宋体"/>
          <w:color w:val="auto"/>
          <w:kern w:val="0"/>
          <w:szCs w:val="21"/>
          <w:highlight w:val="none"/>
          <w:lang w:bidi="ar"/>
        </w:rPr>
        <w:t>电子开标大厅现场按规定时间对加密的投标文件进行解密，否则后果自负。</w:t>
      </w:r>
    </w:p>
    <w:p w14:paraId="62B0F328">
      <w:pPr>
        <w:keepNext w:val="0"/>
        <w:keepLines w:val="0"/>
        <w:pageBreakBefore w:val="0"/>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若对项目采购电子交易系统操作有疑问，可登录</w:t>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bCs/>
          <w:color w:val="auto"/>
          <w:kern w:val="0"/>
          <w:szCs w:val="21"/>
          <w:highlight w:val="none"/>
          <w:lang w:eastAsia="zh-CN"/>
        </w:rPr>
        <w:t>广西政府采购</w:t>
      </w:r>
      <w:r>
        <w:rPr>
          <w:rFonts w:hint="eastAsia" w:ascii="宋体" w:hAnsi="宋体" w:eastAsia="宋体" w:cs="宋体"/>
          <w:color w:val="auto"/>
          <w:kern w:val="0"/>
          <w:szCs w:val="21"/>
          <w:highlight w:val="none"/>
          <w:lang w:eastAsia="zh-CN"/>
        </w:rPr>
        <w:t>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w:t>
      </w:r>
      <w:r>
        <w:rPr>
          <w:rFonts w:hint="eastAsia" w:ascii="宋体" w:hAnsi="宋体" w:cs="宋体"/>
          <w:color w:val="auto"/>
          <w:kern w:val="0"/>
          <w:szCs w:val="21"/>
          <w:highlight w:val="none"/>
        </w:rPr>
        <w:t>线服务帮助。</w:t>
      </w:r>
    </w:p>
    <w:bookmarkEnd w:id="31"/>
    <w:p w14:paraId="7B693E42">
      <w:pPr>
        <w:pageBreakBefore w:val="0"/>
        <w:widowControl/>
        <w:kinsoku/>
        <w:wordWrap/>
        <w:overflowPunct/>
        <w:topLinePunct w:val="0"/>
        <w:bidi w:val="0"/>
        <w:spacing w:line="390" w:lineRule="exact"/>
        <w:ind w:firstLine="420" w:firstLineChars="200"/>
        <w:rPr>
          <w:rFonts w:hint="eastAsia"/>
          <w:color w:val="auto"/>
          <w:sz w:val="28"/>
          <w:szCs w:val="28"/>
          <w:lang w:val="en-US" w:eastAsia="zh-CN"/>
        </w:rPr>
      </w:pPr>
      <w:bookmarkStart w:id="32" w:name="_Toc35393796"/>
      <w:bookmarkStart w:id="33" w:name="_Toc28359085"/>
      <w:bookmarkStart w:id="34" w:name="_Toc35393627"/>
      <w:bookmarkStart w:id="35" w:name="_Toc28359008"/>
      <w:r>
        <w:rPr>
          <w:rFonts w:hint="eastAsia" w:ascii="宋体" w:hAnsi="宋体" w:eastAsia="宋体" w:cs="宋体"/>
          <w:color w:val="auto"/>
          <w:kern w:val="0"/>
          <w:szCs w:val="21"/>
          <w:highlight w:val="none"/>
          <w:lang w:val="en-US" w:eastAsia="zh-CN"/>
        </w:rPr>
        <w:t>9、评审方式：本项目采用远程异地评审。</w:t>
      </w:r>
    </w:p>
    <w:p w14:paraId="5200D6DA">
      <w:pPr>
        <w:keepNext w:val="0"/>
        <w:keepLines w:val="0"/>
        <w:pageBreakBefore w:val="0"/>
        <w:kinsoku/>
        <w:wordWrap/>
        <w:overflowPunct/>
        <w:topLinePunct w:val="0"/>
        <w:autoSpaceDE/>
        <w:autoSpaceDN/>
        <w:bidi w:val="0"/>
        <w:adjustRightInd/>
        <w:spacing w:line="390" w:lineRule="exact"/>
        <w:ind w:firstLine="482" w:firstLineChars="200"/>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7297CC0">
      <w:pPr>
        <w:keepNext w:val="0"/>
        <w:keepLines w:val="0"/>
        <w:pageBreakBefore w:val="0"/>
        <w:kinsoku/>
        <w:wordWrap/>
        <w:overflowPunct/>
        <w:topLinePunct w:val="0"/>
        <w:autoSpaceDE/>
        <w:autoSpaceDN/>
        <w:bidi w:val="0"/>
        <w:adjustRightInd/>
        <w:spacing w:line="390" w:lineRule="exact"/>
        <w:ind w:firstLine="567" w:firstLineChars="270"/>
        <w:jc w:val="left"/>
        <w:textAlignment w:val="auto"/>
        <w:rPr>
          <w:rFonts w:hint="eastAsia" w:ascii="宋体" w:hAnsi="宋体" w:cs="宋体"/>
          <w:color w:val="auto"/>
          <w:szCs w:val="21"/>
        </w:rPr>
      </w:pPr>
      <w:r>
        <w:rPr>
          <w:rFonts w:hint="eastAsia" w:ascii="宋体" w:hAnsi="宋体" w:cs="宋体"/>
          <w:color w:val="auto"/>
          <w:szCs w:val="21"/>
        </w:rPr>
        <w:t>1.采购人信息</w:t>
      </w:r>
    </w:p>
    <w:p w14:paraId="43B44742">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eastAsia" w:ascii="宋体" w:hAnsi="宋体" w:eastAsia="宋体"/>
          <w:color w:val="auto"/>
          <w:szCs w:val="21"/>
          <w:lang w:eastAsia="zh-CN"/>
        </w:rPr>
      </w:pPr>
      <w:bookmarkStart w:id="36" w:name="_Toc28359009"/>
      <w:bookmarkStart w:id="37" w:name="_Toc28359086"/>
      <w:r>
        <w:rPr>
          <w:rFonts w:hint="eastAsia" w:ascii="宋体" w:hAnsi="宋体"/>
          <w:color w:val="auto"/>
          <w:szCs w:val="21"/>
        </w:rPr>
        <w:t>名称：</w:t>
      </w:r>
      <w:r>
        <w:rPr>
          <w:rFonts w:hint="eastAsia" w:ascii="宋体" w:hAnsi="宋体"/>
          <w:color w:val="auto"/>
          <w:szCs w:val="21"/>
          <w:lang w:eastAsia="zh-CN"/>
        </w:rPr>
        <w:t>博白县人民医院</w:t>
      </w:r>
    </w:p>
    <w:p w14:paraId="159C51C6">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eastAsia" w:ascii="宋体" w:hAnsi="宋体" w:eastAsia="宋体"/>
          <w:color w:val="auto"/>
          <w:szCs w:val="21"/>
          <w:u w:val="none"/>
          <w:lang w:val="en-US" w:eastAsia="zh-CN"/>
        </w:rPr>
      </w:pPr>
      <w:r>
        <w:rPr>
          <w:rFonts w:hint="eastAsia" w:ascii="宋体" w:hAnsi="宋体"/>
          <w:color w:val="auto"/>
          <w:szCs w:val="21"/>
        </w:rPr>
        <w:t>地址</w:t>
      </w:r>
      <w:r>
        <w:rPr>
          <w:rFonts w:hint="eastAsia" w:ascii="宋体" w:hAnsi="宋体"/>
          <w:color w:val="auto"/>
          <w:szCs w:val="21"/>
          <w:u w:val="none"/>
        </w:rPr>
        <w:t>：博白县博白镇兴隆东路009号</w:t>
      </w:r>
    </w:p>
    <w:p w14:paraId="5008E0B9">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联系人：</w:t>
      </w:r>
      <w:r>
        <w:rPr>
          <w:rFonts w:hint="eastAsia" w:ascii="宋体" w:hAnsi="宋体" w:eastAsia="宋体" w:cs="Times New Roman"/>
          <w:color w:val="auto"/>
          <w:szCs w:val="21"/>
          <w:lang w:val="en-US" w:eastAsia="zh-CN"/>
        </w:rPr>
        <w:t>张伟</w:t>
      </w:r>
    </w:p>
    <w:p w14:paraId="6E86B3E7">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default" w:ascii="宋体" w:hAnsi="宋体" w:eastAsia="宋体" w:cs="Times New Roman"/>
          <w:color w:val="auto"/>
          <w:szCs w:val="21"/>
          <w:u w:val="none"/>
          <w:lang w:val="en-US" w:eastAsia="zh-CN"/>
        </w:rPr>
      </w:pPr>
      <w:r>
        <w:rPr>
          <w:rFonts w:hint="eastAsia" w:ascii="宋体" w:hAnsi="宋体" w:cs="宋体"/>
          <w:color w:val="auto"/>
          <w:szCs w:val="21"/>
        </w:rPr>
        <w:t>联系方</w:t>
      </w:r>
      <w:r>
        <w:rPr>
          <w:rFonts w:hint="eastAsia" w:ascii="宋体" w:hAnsi="宋体" w:eastAsia="宋体" w:cs="宋体"/>
          <w:color w:val="auto"/>
          <w:szCs w:val="21"/>
        </w:rPr>
        <w:t>式：</w:t>
      </w:r>
      <w:r>
        <w:rPr>
          <w:rFonts w:hint="eastAsia" w:ascii="宋体" w:hAnsi="宋体" w:eastAsia="宋体" w:cs="宋体"/>
          <w:color w:val="auto"/>
          <w:szCs w:val="21"/>
          <w:lang w:val="en-US" w:eastAsia="zh-CN"/>
        </w:rPr>
        <w:t>0775-8333572</w:t>
      </w:r>
    </w:p>
    <w:bookmarkEnd w:id="36"/>
    <w:bookmarkEnd w:id="37"/>
    <w:p w14:paraId="3E2BA742">
      <w:pPr>
        <w:keepNext w:val="0"/>
        <w:keepLines w:val="0"/>
        <w:pageBreakBefore w:val="0"/>
        <w:kinsoku/>
        <w:wordWrap/>
        <w:overflowPunct/>
        <w:topLinePunct w:val="0"/>
        <w:autoSpaceDE/>
        <w:autoSpaceDN/>
        <w:bidi w:val="0"/>
        <w:adjustRightInd/>
        <w:spacing w:line="390" w:lineRule="exact"/>
        <w:ind w:firstLine="567" w:firstLineChars="270"/>
        <w:jc w:val="left"/>
        <w:textAlignment w:val="auto"/>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eastAsia="zh-CN"/>
        </w:rPr>
        <w:t>招标代理</w:t>
      </w:r>
      <w:r>
        <w:rPr>
          <w:rFonts w:hint="eastAsia" w:ascii="宋体" w:hAnsi="宋体" w:cs="宋体"/>
          <w:color w:val="auto"/>
          <w:szCs w:val="21"/>
        </w:rPr>
        <w:t>机构信息</w:t>
      </w:r>
    </w:p>
    <w:p w14:paraId="67AE0D1F">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olor w:val="auto"/>
          <w:szCs w:val="21"/>
          <w:u w:val="none"/>
          <w:lang w:eastAsia="zh-CN"/>
        </w:rPr>
      </w:pPr>
      <w:r>
        <w:rPr>
          <w:rFonts w:hint="eastAsia" w:ascii="宋体" w:hAnsi="宋体"/>
          <w:color w:val="auto"/>
          <w:szCs w:val="21"/>
        </w:rPr>
        <w:t>名</w:t>
      </w:r>
      <w:r>
        <w:rPr>
          <w:rFonts w:hint="eastAsia" w:ascii="宋体" w:hAnsi="宋体"/>
          <w:color w:val="auto"/>
          <w:szCs w:val="21"/>
          <w:u w:val="none"/>
        </w:rPr>
        <w:t>称：</w:t>
      </w:r>
      <w:r>
        <w:rPr>
          <w:rFonts w:hint="eastAsia" w:ascii="宋体" w:hAnsi="宋体" w:cs="Arial"/>
          <w:color w:val="auto"/>
          <w:szCs w:val="21"/>
          <w:u w:val="none"/>
          <w:lang w:eastAsia="zh-CN"/>
        </w:rPr>
        <w:t>广西国泰招标咨询有限公司</w:t>
      </w:r>
    </w:p>
    <w:p w14:paraId="73751919">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default" w:ascii="宋体" w:hAnsi="宋体" w:eastAsia="宋体" w:cs="Times New Roman"/>
          <w:color w:val="auto"/>
          <w:szCs w:val="21"/>
          <w:u w:val="none"/>
          <w:lang w:val="en-US" w:eastAsia="zh-CN"/>
        </w:rPr>
      </w:pPr>
      <w:r>
        <w:rPr>
          <w:rFonts w:hint="eastAsia" w:ascii="宋体" w:hAnsi="宋体" w:eastAsia="宋体" w:cs="Times New Roman"/>
          <w:color w:val="auto"/>
          <w:szCs w:val="21"/>
          <w:u w:val="none"/>
        </w:rPr>
        <w:t>地址：</w:t>
      </w:r>
      <w:r>
        <w:rPr>
          <w:rFonts w:hint="eastAsia" w:ascii="宋体" w:hAnsi="宋体" w:eastAsia="宋体" w:cs="Times New Roman"/>
          <w:color w:val="auto"/>
          <w:szCs w:val="21"/>
          <w:u w:val="none"/>
          <w:lang w:val="en-US" w:eastAsia="zh-CN"/>
        </w:rPr>
        <w:t>广西南宁市民族大道 141 号中鼎万象东方大厦 D 区6楼 607室</w:t>
      </w:r>
    </w:p>
    <w:p w14:paraId="49B8D23B">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s="Times New Roman"/>
          <w:color w:val="auto"/>
          <w:szCs w:val="21"/>
          <w:u w:val="none"/>
          <w:lang w:eastAsia="zh-CN"/>
        </w:rPr>
      </w:pPr>
      <w:r>
        <w:rPr>
          <w:rFonts w:hint="eastAsia" w:ascii="宋体" w:hAnsi="宋体" w:eastAsia="宋体" w:cs="Times New Roman"/>
          <w:color w:val="auto"/>
          <w:szCs w:val="21"/>
          <w:u w:val="none"/>
        </w:rPr>
        <w:t>项目联系人</w:t>
      </w:r>
      <w:r>
        <w:rPr>
          <w:rFonts w:hint="eastAsia" w:ascii="宋体" w:hAnsi="宋体" w:eastAsia="宋体" w:cs="Times New Roman"/>
          <w:color w:val="auto"/>
          <w:szCs w:val="21"/>
          <w:u w:val="none"/>
        </w:rPr>
        <w:t>：</w:t>
      </w:r>
      <w:r>
        <w:rPr>
          <w:rFonts w:hint="eastAsia" w:ascii="宋体" w:hAnsi="宋体" w:eastAsia="宋体" w:cs="Times New Roman"/>
          <w:color w:val="auto"/>
          <w:szCs w:val="21"/>
          <w:u w:val="none"/>
          <w:lang w:val="en-US" w:eastAsia="zh-CN"/>
        </w:rPr>
        <w:t>丁华荣、文庆金</w:t>
      </w:r>
    </w:p>
    <w:p w14:paraId="36B4C6FB">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color w:val="auto"/>
          <w:szCs w:val="21"/>
          <w:u w:val="none"/>
          <w:lang w:val="en-US" w:eastAsia="zh-CN"/>
        </w:rPr>
      </w:pPr>
      <w:r>
        <w:rPr>
          <w:rFonts w:hint="eastAsia" w:ascii="宋体" w:hAnsi="宋体"/>
          <w:color w:val="auto"/>
          <w:szCs w:val="21"/>
          <w:lang w:eastAsia="zh-CN"/>
        </w:rPr>
        <w:t>联系方式</w:t>
      </w:r>
      <w:r>
        <w:rPr>
          <w:rFonts w:hint="eastAsia" w:ascii="宋体" w:hAnsi="宋体"/>
          <w:color w:val="auto"/>
          <w:szCs w:val="21"/>
          <w:u w:val="none"/>
        </w:rPr>
        <w:t>：</w:t>
      </w:r>
      <w:r>
        <w:rPr>
          <w:rFonts w:hint="eastAsia" w:ascii="宋体" w:hAnsi="宋体"/>
          <w:color w:val="auto"/>
          <w:szCs w:val="21"/>
          <w:u w:val="none"/>
          <w:lang w:val="en-US" w:eastAsia="zh-CN"/>
        </w:rPr>
        <w:t>0775-2699135</w:t>
      </w:r>
    </w:p>
    <w:p w14:paraId="7A8391BB">
      <w:pPr>
        <w:keepNext w:val="0"/>
        <w:keepLines w:val="0"/>
        <w:pageBreakBefore w:val="0"/>
        <w:numPr>
          <w:ilvl w:val="0"/>
          <w:numId w:val="3"/>
        </w:numPr>
        <w:kinsoku/>
        <w:wordWrap/>
        <w:overflowPunct/>
        <w:topLinePunct w:val="0"/>
        <w:autoSpaceDE/>
        <w:autoSpaceDN/>
        <w:bidi w:val="0"/>
        <w:adjustRightInd/>
        <w:spacing w:line="390" w:lineRule="exact"/>
        <w:ind w:firstLine="567" w:firstLineChars="270"/>
        <w:textAlignment w:val="auto"/>
        <w:rPr>
          <w:rFonts w:hint="eastAsia" w:ascii="宋体" w:hAnsi="宋体"/>
          <w:color w:val="auto"/>
          <w:szCs w:val="21"/>
          <w:u w:val="none"/>
          <w:lang w:val="en-US" w:eastAsia="zh-CN"/>
        </w:rPr>
      </w:pPr>
      <w:r>
        <w:rPr>
          <w:rFonts w:hint="eastAsia" w:ascii="宋体" w:hAnsi="宋体"/>
          <w:color w:val="auto"/>
          <w:szCs w:val="21"/>
          <w:u w:val="none"/>
          <w:lang w:val="en-US" w:eastAsia="zh-CN"/>
        </w:rPr>
        <w:t>监督部门</w:t>
      </w:r>
    </w:p>
    <w:p w14:paraId="18866EB1">
      <w:pPr>
        <w:pStyle w:val="26"/>
        <w:keepNext w:val="0"/>
        <w:keepLines w:val="0"/>
        <w:pageBreakBefore w:val="0"/>
        <w:kinsoku/>
        <w:wordWrap/>
        <w:overflowPunct/>
        <w:topLinePunct w:val="0"/>
        <w:autoSpaceDE/>
        <w:autoSpaceDN/>
        <w:bidi w:val="0"/>
        <w:adjustRightInd/>
        <w:spacing w:line="390" w:lineRule="exact"/>
        <w:ind w:firstLine="540" w:firstLineChars="270"/>
        <w:textAlignment w:val="auto"/>
        <w:rPr>
          <w:rFonts w:hint="default" w:ascii="宋体" w:hAnsi="宋体" w:eastAsia="宋体" w:cs="Times New Roman"/>
          <w:color w:val="auto"/>
          <w:sz w:val="21"/>
          <w:lang w:val="en-US" w:eastAsia="zh-CN"/>
        </w:rPr>
      </w:pPr>
      <w:r>
        <w:rPr>
          <w:rFonts w:hint="eastAsia" w:ascii="宋体" w:hAnsi="宋体"/>
          <w:color w:val="auto"/>
          <w:szCs w:val="21"/>
          <w:u w:val="none"/>
          <w:lang w:val="en-US" w:eastAsia="zh-CN"/>
        </w:rPr>
        <w:t xml:space="preserve">  </w:t>
      </w:r>
      <w:r>
        <w:rPr>
          <w:rFonts w:hint="default" w:ascii="宋体" w:hAnsi="宋体" w:eastAsia="宋体" w:cs="Times New Roman"/>
          <w:color w:val="auto"/>
          <w:sz w:val="21"/>
          <w:lang w:val="en-US" w:eastAsia="zh-CN"/>
        </w:rPr>
        <w:t>名称：</w:t>
      </w:r>
      <w:r>
        <w:rPr>
          <w:rFonts w:hint="eastAsia" w:ascii="宋体" w:hAnsi="宋体" w:eastAsia="宋体" w:cs="Times New Roman"/>
          <w:color w:val="auto"/>
          <w:sz w:val="21"/>
          <w:lang w:val="en-US" w:eastAsia="zh-CN"/>
        </w:rPr>
        <w:t>博白县</w:t>
      </w:r>
      <w:r>
        <w:rPr>
          <w:rFonts w:hint="default" w:ascii="宋体" w:hAnsi="宋体" w:eastAsia="宋体" w:cs="Times New Roman"/>
          <w:color w:val="auto"/>
          <w:sz w:val="21"/>
          <w:lang w:val="en-US" w:eastAsia="zh-CN"/>
        </w:rPr>
        <w:t xml:space="preserve">财政局 </w:t>
      </w:r>
    </w:p>
    <w:p w14:paraId="2D7D4B87">
      <w:pPr>
        <w:pStyle w:val="26"/>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s="Times New Roman"/>
          <w:color w:val="auto"/>
          <w:sz w:val="21"/>
          <w:lang w:val="en-US" w:eastAsia="zh-CN"/>
        </w:rPr>
      </w:pPr>
      <w:r>
        <w:rPr>
          <w:rFonts w:hint="default" w:ascii="宋体" w:hAnsi="宋体" w:eastAsia="宋体" w:cs="Times New Roman"/>
          <w:color w:val="auto"/>
          <w:sz w:val="21"/>
          <w:lang w:val="en-US" w:eastAsia="zh-CN"/>
        </w:rPr>
        <w:t>电话：0775-</w:t>
      </w:r>
      <w:r>
        <w:rPr>
          <w:rFonts w:hint="eastAsia" w:ascii="宋体" w:hAnsi="宋体" w:eastAsia="宋体" w:cs="Times New Roman"/>
          <w:color w:val="auto"/>
          <w:sz w:val="21"/>
          <w:lang w:val="en-US" w:eastAsia="zh-CN"/>
        </w:rPr>
        <w:t>8331612</w:t>
      </w:r>
    </w:p>
    <w:p w14:paraId="4925BDDF">
      <w:pPr>
        <w:pStyle w:val="26"/>
        <w:keepNext w:val="0"/>
        <w:keepLines w:val="0"/>
        <w:pageBreakBefore w:val="0"/>
        <w:kinsoku/>
        <w:wordWrap/>
        <w:overflowPunct/>
        <w:topLinePunct w:val="0"/>
        <w:autoSpaceDE/>
        <w:autoSpaceDN/>
        <w:bidi w:val="0"/>
        <w:adjustRightInd/>
        <w:spacing w:line="390" w:lineRule="exact"/>
        <w:ind w:firstLine="740" w:firstLineChars="370"/>
        <w:textAlignment w:val="auto"/>
        <w:rPr>
          <w:rFonts w:hint="eastAsia" w:ascii="宋体" w:hAnsi="宋体" w:cs="Arial"/>
          <w:color w:val="auto"/>
          <w:szCs w:val="21"/>
          <w:highlight w:val="none"/>
        </w:rPr>
      </w:pPr>
      <w:r>
        <w:rPr>
          <w:rFonts w:hint="eastAsia" w:ascii="宋体" w:hAnsi="宋体"/>
          <w:color w:val="auto"/>
          <w:szCs w:val="21"/>
          <w:highlight w:val="none"/>
          <w:u w:val="none"/>
        </w:rPr>
        <w:t>　</w:t>
      </w:r>
    </w:p>
    <w:p w14:paraId="76E781C1">
      <w:pPr>
        <w:pageBreakBefore w:val="0"/>
        <w:kinsoku/>
        <w:wordWrap/>
        <w:overflowPunct/>
        <w:topLinePunct w:val="0"/>
        <w:bidi w:val="0"/>
        <w:spacing w:line="390" w:lineRule="exact"/>
        <w:ind w:firstLine="6405" w:firstLineChars="3050"/>
        <w:rPr>
          <w:rFonts w:hint="eastAsia" w:ascii="宋体" w:hAnsi="宋体" w:eastAsia="宋体"/>
          <w:color w:val="auto"/>
          <w:szCs w:val="21"/>
          <w:highlight w:val="none"/>
          <w:lang w:eastAsia="zh-CN"/>
        </w:rPr>
      </w:pPr>
      <w:r>
        <w:rPr>
          <w:rFonts w:hint="eastAsia" w:ascii="宋体" w:hAnsi="宋体" w:cs="Arial"/>
          <w:color w:val="auto"/>
          <w:szCs w:val="21"/>
          <w:highlight w:val="none"/>
          <w:lang w:eastAsia="zh-CN"/>
        </w:rPr>
        <w:t>广西国泰招标咨询有限公司</w:t>
      </w:r>
    </w:p>
    <w:p w14:paraId="0EAC41C3">
      <w:pPr>
        <w:pageBreakBefore w:val="0"/>
        <w:kinsoku/>
        <w:wordWrap/>
        <w:overflowPunct/>
        <w:topLinePunct w:val="0"/>
        <w:bidi w:val="0"/>
        <w:snapToGrid w:val="0"/>
        <w:spacing w:line="390" w:lineRule="exact"/>
        <w:ind w:left="238"/>
        <w:rPr>
          <w:rFonts w:hint="eastAsia" w:ascii="宋体" w:hAnsi="宋体"/>
          <w:color w:val="auto"/>
          <w:highlight w:val="none"/>
        </w:rPr>
      </w:pPr>
      <w:r>
        <w:rPr>
          <w:rFonts w:hint="eastAsia"/>
          <w:color w:val="auto"/>
          <w:highlight w:val="none"/>
        </w:rPr>
        <w:t xml:space="preserve">                                                           </w:t>
      </w:r>
      <w:r>
        <w:rPr>
          <w:rFonts w:hint="eastAsia" w:ascii="宋体" w:hAnsi="宋体"/>
          <w:color w:val="auto"/>
          <w:highlight w:val="none"/>
        </w:rPr>
        <w:t xml:space="preserve">   </w:t>
      </w:r>
      <w:r>
        <w:rPr>
          <w:rFonts w:hint="eastAsia" w:ascii="宋体" w:hAnsi="宋体"/>
          <w:color w:val="auto"/>
          <w:highlight w:val="none"/>
          <w:lang w:eastAsia="zh-CN"/>
        </w:rPr>
        <w:t>2026年</w:t>
      </w:r>
      <w:r>
        <w:rPr>
          <w:rFonts w:hint="eastAsia" w:ascii="宋体" w:hAnsi="宋体"/>
          <w:color w:val="auto"/>
          <w:highlight w:val="none"/>
          <w:lang w:val="en-US" w:eastAsia="zh-CN"/>
        </w:rPr>
        <w:t>6月5</w:t>
      </w:r>
      <w:r>
        <w:rPr>
          <w:rFonts w:hint="eastAsia" w:ascii="宋体" w:hAnsi="宋体"/>
          <w:color w:val="auto"/>
          <w:highlight w:val="none"/>
        </w:rPr>
        <w:t>日</w:t>
      </w:r>
      <w:bookmarkStart w:id="38" w:name="_Toc4847"/>
    </w:p>
    <w:p w14:paraId="541C5A92">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highlight w:val="none"/>
        </w:rPr>
      </w:pPr>
      <w:r>
        <w:rPr>
          <w:rFonts w:hint="eastAsia"/>
          <w:color w:val="auto"/>
          <w:highlight w:val="none"/>
        </w:rPr>
        <w:t>第二章  采购需求</w:t>
      </w:r>
      <w:bookmarkEnd w:id="38"/>
    </w:p>
    <w:p w14:paraId="689A1B5F">
      <w:pPr>
        <w:keepNext w:val="0"/>
        <w:keepLines w:val="0"/>
        <w:pageBreakBefore w:val="0"/>
        <w:widowControl w:val="0"/>
        <w:tabs>
          <w:tab w:val="center" w:pos="4873"/>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bCs w:val="0"/>
          <w:color w:val="auto"/>
          <w:szCs w:val="21"/>
          <w:highlight w:val="none"/>
          <w:lang w:eastAsia="zh-CN"/>
        </w:rPr>
      </w:pPr>
      <w:bookmarkStart w:id="39" w:name="_Toc254970631"/>
      <w:bookmarkStart w:id="40" w:name="_Toc254970490"/>
      <w:r>
        <w:rPr>
          <w:rFonts w:hint="eastAsia" w:ascii="宋体" w:hAnsi="宋体" w:cs="宋体"/>
          <w:b/>
          <w:bCs w:val="0"/>
          <w:color w:val="auto"/>
          <w:szCs w:val="21"/>
          <w:highlight w:val="none"/>
        </w:rPr>
        <w:t>说明：</w:t>
      </w:r>
      <w:r>
        <w:rPr>
          <w:rFonts w:hint="eastAsia" w:ascii="宋体" w:hAnsi="宋体" w:eastAsia="宋体" w:cs="宋体"/>
          <w:b/>
          <w:bCs w:val="0"/>
          <w:color w:val="auto"/>
          <w:szCs w:val="21"/>
          <w:highlight w:val="none"/>
          <w:lang w:eastAsia="zh-CN"/>
        </w:rPr>
        <w:tab/>
      </w:r>
    </w:p>
    <w:p w14:paraId="1F779E1C">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default"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en-US" w:eastAsia="zh-CN"/>
        </w:rPr>
        <w:t>、</w:t>
      </w:r>
      <w:r>
        <w:rPr>
          <w:rFonts w:hint="default" w:ascii="宋体" w:hAnsi="宋体" w:eastAsia="宋体" w:cs="宋体"/>
          <w:b/>
          <w:bCs w:val="0"/>
          <w:color w:val="auto"/>
          <w:szCs w:val="21"/>
          <w:highlight w:val="none"/>
          <w:lang w:val="en-US" w:eastAsia="zh-CN"/>
        </w:rPr>
        <w:t>为落实政府采购政策需满足的要求</w:t>
      </w:r>
    </w:p>
    <w:p w14:paraId="0F85D1A2">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default" w:ascii="宋体" w:hAnsi="宋体" w:eastAsia="宋体" w:cs="宋体"/>
          <w:b/>
          <w:bCs w:val="0"/>
          <w:color w:val="auto"/>
          <w:szCs w:val="21"/>
          <w:highlight w:val="none"/>
          <w:lang w:val="en-US" w:eastAsia="zh-CN"/>
        </w:rPr>
        <w:t>本招标文件所称中小企业必须符合《政府采购促进中小企业发展管理办法》的规定。</w:t>
      </w:r>
      <w:r>
        <w:rPr>
          <w:rFonts w:hint="eastAsia" w:ascii="宋体" w:hAnsi="宋体" w:eastAsia="宋体" w:cs="宋体"/>
          <w:b/>
          <w:bCs w:val="0"/>
          <w:color w:val="auto"/>
          <w:szCs w:val="21"/>
          <w:highlight w:val="none"/>
          <w:lang w:val="en-US" w:eastAsia="zh-CN"/>
        </w:rPr>
        <w:t>（不专门面向中小企业时除外）</w:t>
      </w:r>
    </w:p>
    <w:p w14:paraId="29CEB9A1">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default"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en-US" w:eastAsia="zh-CN"/>
        </w:rPr>
        <w:t>、</w:t>
      </w:r>
      <w:r>
        <w:rPr>
          <w:rFonts w:hint="default" w:ascii="宋体" w:hAnsi="宋体" w:eastAsia="宋体" w:cs="宋体"/>
          <w:b/>
          <w:bCs w:val="0"/>
          <w:color w:val="auto"/>
          <w:szCs w:val="21"/>
          <w:highlight w:val="none"/>
          <w:lang w:val="en-US" w:eastAsia="zh-CN"/>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否则按无效投标处理。如本项目包含的货物属于品目清单内非标注“★”的产品时，应优先采购，具体详见“第四章 评标方法及评标准”。</w:t>
      </w:r>
    </w:p>
    <w:p w14:paraId="1483336F">
      <w:pPr>
        <w:keepNext w:val="0"/>
        <w:keepLines w:val="0"/>
        <w:pageBreakBefore w:val="0"/>
        <w:widowControl w:val="0"/>
        <w:numPr>
          <w:ilvl w:val="0"/>
          <w:numId w:val="0"/>
        </w:numPr>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3、</w:t>
      </w:r>
      <w:r>
        <w:rPr>
          <w:rFonts w:hint="default" w:ascii="宋体" w:hAnsi="宋体" w:eastAsia="宋体" w:cs="宋体"/>
          <w:b/>
          <w:bCs w:val="0"/>
          <w:color w:val="auto"/>
          <w:szCs w:val="21"/>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446F81">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4、</w:t>
      </w:r>
      <w:r>
        <w:rPr>
          <w:rFonts w:hint="default" w:ascii="宋体" w:hAnsi="宋体" w:eastAsia="宋体" w:cs="宋体"/>
          <w:b/>
          <w:bCs w:val="0"/>
          <w:color w:val="auto"/>
          <w:szCs w:val="21"/>
          <w:highlight w:val="none"/>
          <w:lang w:val="en-US" w:eastAsia="zh-CN"/>
        </w:rPr>
        <w:t>“实质性要求”是指招标文件中已经指明不满足则投标无效的条款，或者不能负偏离的条款，或者采购需求中带“▲”的条</w:t>
      </w:r>
      <w:r>
        <w:rPr>
          <w:rFonts w:hint="default" w:ascii="宋体" w:hAnsi="宋体" w:eastAsia="宋体" w:cs="宋体"/>
          <w:b/>
          <w:bCs w:val="0"/>
          <w:color w:val="auto"/>
          <w:szCs w:val="21"/>
          <w:highlight w:val="none"/>
          <w:lang w:val="en-US" w:eastAsia="zh-CN"/>
        </w:rPr>
        <w:t>款。</w:t>
      </w:r>
      <w:r>
        <w:rPr>
          <w:rFonts w:hint="eastAsia" w:ascii="宋体" w:hAnsi="宋体" w:eastAsia="宋体" w:cs="宋体"/>
          <w:b/>
          <w:bCs w:val="0"/>
          <w:color w:val="auto"/>
          <w:szCs w:val="21"/>
          <w:highlight w:val="none"/>
          <w:lang w:val="en-US" w:eastAsia="zh-CN"/>
        </w:rPr>
        <w:t>(带“</w:t>
      </w:r>
      <w:r>
        <w:rPr>
          <w:rFonts w:hint="eastAsia" w:ascii="宋体" w:hAnsi="宋体" w:eastAsia="宋体" w:cs="宋体"/>
          <w:b/>
          <w:bCs/>
          <w:color w:val="auto"/>
          <w:sz w:val="21"/>
          <w:szCs w:val="21"/>
        </w:rPr>
        <w:t>◆</w:t>
      </w:r>
      <w:r>
        <w:rPr>
          <w:rFonts w:hint="eastAsia" w:ascii="宋体" w:hAnsi="宋体" w:eastAsia="宋体" w:cs="宋体"/>
          <w:b/>
          <w:bCs w:val="0"/>
          <w:color w:val="auto"/>
          <w:szCs w:val="21"/>
          <w:highlight w:val="none"/>
          <w:lang w:val="en-US" w:eastAsia="zh-CN"/>
        </w:rPr>
        <w:t>”为产品主要技术参数，允许负偏离。）</w:t>
      </w:r>
    </w:p>
    <w:p w14:paraId="50DFC22E">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5、</w:t>
      </w:r>
      <w:r>
        <w:rPr>
          <w:rFonts w:hint="default" w:ascii="宋体" w:hAnsi="宋体" w:eastAsia="宋体" w:cs="宋体"/>
          <w:b/>
          <w:bCs w:val="0"/>
          <w:color w:val="auto"/>
          <w:szCs w:val="21"/>
          <w:highlight w:val="none"/>
          <w:lang w:val="en-US" w:eastAsia="zh-CN"/>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DF1A446">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6、</w:t>
      </w:r>
      <w:r>
        <w:rPr>
          <w:rFonts w:hint="default" w:ascii="宋体" w:hAnsi="宋体" w:eastAsia="宋体" w:cs="宋体"/>
          <w:b/>
          <w:bCs w:val="0"/>
          <w:color w:val="auto"/>
          <w:szCs w:val="21"/>
          <w:highlight w:val="none"/>
          <w:lang w:val="en-US" w:eastAsia="zh-CN"/>
        </w:rPr>
        <w:t>投标人应根据自身实际情况如实响应招标文件，不得仅将招标文件内容简单复制粘贴作为投标响应，还应当提供相关证明材料，否则将作无效响应处理（定制采购不适用本条款）。对于重要技术条款或技术参数应当在投标文件中提供技术支持资料，技术支持资料以招标文件中规定的形式为准，否则将视为无效技术支持资料。</w:t>
      </w:r>
    </w:p>
    <w:p w14:paraId="2074CC33">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7、</w:t>
      </w:r>
      <w:r>
        <w:rPr>
          <w:rFonts w:hint="default" w:ascii="宋体" w:hAnsi="宋体" w:eastAsia="宋体" w:cs="宋体"/>
          <w:b/>
          <w:bCs w:val="0"/>
          <w:color w:val="auto"/>
          <w:szCs w:val="21"/>
          <w:highlight w:val="none"/>
          <w:lang w:val="en-US" w:eastAsia="zh-CN"/>
        </w:rPr>
        <w:t>投标人必须自行为其投标产品侵犯他人的知识产权或者专利成果的行为承担相应法律责任。</w:t>
      </w:r>
    </w:p>
    <w:p w14:paraId="01E93760">
      <w:pPr>
        <w:keepNext w:val="0"/>
        <w:keepLines w:val="0"/>
        <w:pageBreakBefore w:val="0"/>
        <w:widowControl w:val="0"/>
        <w:tabs>
          <w:tab w:val="center" w:pos="4873"/>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8、以下设备名称为日常习惯通俗称谓，投标人投标时可以备注设备的专业称谓。</w:t>
      </w:r>
    </w:p>
    <w:p w14:paraId="2B5D3431">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b/>
          <w:color w:val="auto"/>
          <w:szCs w:val="21"/>
          <w:highlight w:val="none"/>
        </w:rPr>
      </w:pP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 xml:space="preserve">分标    </w:t>
      </w:r>
    </w:p>
    <w:bookmarkEnd w:id="39"/>
    <w:bookmarkEnd w:id="40"/>
    <w:tbl>
      <w:tblPr>
        <w:tblStyle w:val="50"/>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922"/>
        <w:gridCol w:w="697"/>
        <w:gridCol w:w="1018"/>
        <w:gridCol w:w="782"/>
        <w:gridCol w:w="5672"/>
      </w:tblGrid>
      <w:tr w14:paraId="04DF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021C135E">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922" w:type="dxa"/>
            <w:noWrap w:val="0"/>
            <w:vAlign w:val="center"/>
          </w:tcPr>
          <w:p w14:paraId="6E52106F">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标的的</w:t>
            </w:r>
          </w:p>
          <w:p w14:paraId="3A71EDD7">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名称</w:t>
            </w:r>
          </w:p>
        </w:tc>
        <w:tc>
          <w:tcPr>
            <w:tcW w:w="697" w:type="dxa"/>
            <w:noWrap w:val="0"/>
            <w:vAlign w:val="center"/>
          </w:tcPr>
          <w:p w14:paraId="4B99BB5F">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数量及单位</w:t>
            </w:r>
          </w:p>
        </w:tc>
        <w:tc>
          <w:tcPr>
            <w:tcW w:w="1018" w:type="dxa"/>
            <w:noWrap w:val="0"/>
            <w:vAlign w:val="center"/>
          </w:tcPr>
          <w:p w14:paraId="1F282E73">
            <w:pPr>
              <w:spacing w:line="400" w:lineRule="atLeast"/>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预算单价</w:t>
            </w:r>
            <w:r>
              <w:rPr>
                <w:rFonts w:hint="eastAsia" w:ascii="宋体" w:hAnsi="宋体" w:cs="宋体"/>
                <w:b/>
                <w:bCs/>
                <w:color w:val="auto"/>
                <w:sz w:val="21"/>
                <w:szCs w:val="21"/>
                <w:lang w:val="en-US" w:eastAsia="zh-CN"/>
              </w:rPr>
              <w:t>/万元</w:t>
            </w:r>
          </w:p>
        </w:tc>
        <w:tc>
          <w:tcPr>
            <w:tcW w:w="782" w:type="dxa"/>
            <w:noWrap w:val="0"/>
            <w:vAlign w:val="center"/>
          </w:tcPr>
          <w:p w14:paraId="3D510CBB">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所属</w:t>
            </w:r>
          </w:p>
          <w:p w14:paraId="75433088">
            <w:pPr>
              <w:spacing w:line="400" w:lineRule="atLeast"/>
              <w:jc w:val="center"/>
              <w:rPr>
                <w:rFonts w:ascii="宋体" w:hAnsi="宋体" w:cs="宋体"/>
                <w:b/>
                <w:bCs/>
                <w:color w:val="auto"/>
                <w:sz w:val="21"/>
                <w:szCs w:val="21"/>
              </w:rPr>
            </w:pPr>
            <w:r>
              <w:rPr>
                <w:rFonts w:hint="eastAsia" w:ascii="宋体" w:hAnsi="宋体" w:cs="宋体"/>
                <w:b/>
                <w:bCs/>
                <w:color w:val="auto"/>
                <w:sz w:val="21"/>
                <w:szCs w:val="21"/>
              </w:rPr>
              <w:t>行业</w:t>
            </w:r>
          </w:p>
        </w:tc>
        <w:tc>
          <w:tcPr>
            <w:tcW w:w="5672" w:type="dxa"/>
            <w:noWrap w:val="0"/>
            <w:vAlign w:val="center"/>
          </w:tcPr>
          <w:p w14:paraId="707AB276">
            <w:pPr>
              <w:spacing w:line="400" w:lineRule="atLeast"/>
              <w:jc w:val="center"/>
              <w:rPr>
                <w:rFonts w:ascii="宋体" w:hAnsi="宋体" w:cs="宋体"/>
                <w:b/>
                <w:bCs/>
                <w:color w:val="auto"/>
                <w:sz w:val="21"/>
                <w:szCs w:val="21"/>
              </w:rPr>
            </w:pPr>
            <w:r>
              <w:rPr>
                <w:rFonts w:hint="eastAsia" w:ascii="宋体" w:hAnsi="宋体"/>
                <w:b/>
                <w:bCs/>
                <w:color w:val="auto"/>
                <w:szCs w:val="21"/>
              </w:rPr>
              <w:t>功能目标、服务内容及技术要求</w:t>
            </w:r>
          </w:p>
        </w:tc>
      </w:tr>
      <w:tr w14:paraId="00445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549" w:type="dxa"/>
            <w:noWrap w:val="0"/>
            <w:vAlign w:val="center"/>
          </w:tcPr>
          <w:p w14:paraId="5A73B92D">
            <w:pPr>
              <w:spacing w:line="400" w:lineRule="atLeast"/>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p>
        </w:tc>
        <w:tc>
          <w:tcPr>
            <w:tcW w:w="922" w:type="dxa"/>
            <w:noWrap w:val="0"/>
            <w:vAlign w:val="center"/>
          </w:tcPr>
          <w:p w14:paraId="3C51632E">
            <w:pPr>
              <w:keepNext w:val="0"/>
              <w:keepLines w:val="0"/>
              <w:widowControl/>
              <w:suppressLineNumbers w:val="0"/>
              <w:jc w:val="left"/>
              <w:textAlignment w:val="center"/>
              <w:rPr>
                <w:rFonts w:hint="eastAsia" w:ascii="宋体" w:hAnsi="宋体" w:cs="宋体"/>
                <w:b w:val="0"/>
                <w:bCs w:val="0"/>
                <w:color w:val="auto"/>
                <w:sz w:val="21"/>
                <w:szCs w:val="21"/>
              </w:rPr>
            </w:pPr>
            <w:r>
              <w:rPr>
                <w:rFonts w:hint="eastAsia" w:ascii="宋体" w:hAnsi="宋体" w:cs="宋体"/>
                <w:b w:val="0"/>
                <w:bCs w:val="0"/>
                <w:color w:val="auto"/>
                <w:sz w:val="21"/>
                <w:szCs w:val="21"/>
                <w:lang w:eastAsia="zh-CN"/>
              </w:rPr>
              <w:t>X射线计算机体层摄影设备</w:t>
            </w:r>
          </w:p>
        </w:tc>
        <w:tc>
          <w:tcPr>
            <w:tcW w:w="697" w:type="dxa"/>
            <w:noWrap w:val="0"/>
            <w:vAlign w:val="center"/>
          </w:tcPr>
          <w:p w14:paraId="3796683B">
            <w:pPr>
              <w:keepNext w:val="0"/>
              <w:keepLines w:val="0"/>
              <w:widowControl/>
              <w:suppressLineNumbers w:val="0"/>
              <w:jc w:val="center"/>
              <w:textAlignment w:val="center"/>
              <w:rPr>
                <w:rFonts w:hint="eastAsia" w:ascii="宋体" w:hAnsi="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1套</w:t>
            </w:r>
          </w:p>
        </w:tc>
        <w:tc>
          <w:tcPr>
            <w:tcW w:w="1018" w:type="dxa"/>
            <w:noWrap w:val="0"/>
            <w:vAlign w:val="center"/>
          </w:tcPr>
          <w:p w14:paraId="3BE02979">
            <w:pPr>
              <w:spacing w:line="400" w:lineRule="atLeast"/>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800</w:t>
            </w:r>
          </w:p>
        </w:tc>
        <w:tc>
          <w:tcPr>
            <w:tcW w:w="782" w:type="dxa"/>
            <w:noWrap w:val="0"/>
            <w:vAlign w:val="center"/>
          </w:tcPr>
          <w:p w14:paraId="7C8D97C1">
            <w:pPr>
              <w:spacing w:line="400" w:lineRule="atLeast"/>
              <w:jc w:val="center"/>
              <w:rPr>
                <w:rFonts w:hint="eastAsia" w:ascii="宋体" w:hAnsi="宋体" w:cs="宋体"/>
                <w:b w:val="0"/>
                <w:bCs w:val="0"/>
                <w:color w:val="auto"/>
                <w:sz w:val="21"/>
                <w:szCs w:val="21"/>
              </w:rPr>
            </w:pPr>
            <w:r>
              <w:rPr>
                <w:rFonts w:hint="eastAsia" w:ascii="宋体" w:hAnsi="宋体" w:cs="宋体"/>
                <w:b w:val="0"/>
                <w:bCs w:val="0"/>
                <w:color w:val="auto"/>
                <w:sz w:val="21"/>
                <w:szCs w:val="21"/>
                <w:lang w:val="en-US" w:eastAsia="zh-CN"/>
              </w:rPr>
              <w:t>工业</w:t>
            </w:r>
          </w:p>
        </w:tc>
        <w:tc>
          <w:tcPr>
            <w:tcW w:w="5672" w:type="dxa"/>
            <w:noWrap w:val="0"/>
            <w:vAlign w:val="center"/>
          </w:tcPr>
          <w:p w14:paraId="5DBD75C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1.要求</w:t>
            </w:r>
          </w:p>
          <w:p w14:paraId="15ECA15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▲1.1单源探测器CT≥256排或双源CT≥2×96排。</w:t>
            </w:r>
          </w:p>
          <w:p w14:paraId="2B7D88B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▲1.2螺旋扫描最大Z轴准直覆盖范围≥5.76cm。</w:t>
            </w:r>
          </w:p>
          <w:p w14:paraId="0463A16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▲1.3最快机架扫描速度（非等效）：单源宽体探测器≥256排，＜320排且转速≤0.24s；或单源宽体探测器≥320排且转速≤0.28s，或双源、双层CT转速≤0.27s。</w:t>
            </w:r>
          </w:p>
          <w:p w14:paraId="0CA360E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1.4设备稳定性：设备厂商具备CT核心部件（包含但不限于CT球管、高压发生器、探测器）自主生产能力</w:t>
            </w:r>
            <w:r>
              <w:rPr>
                <w:rFonts w:hint="eastAsia" w:ascii="宋体" w:hAnsi="宋体" w:eastAsia="宋体" w:cs="宋体"/>
                <w:color w:val="0000FF"/>
                <w:sz w:val="21"/>
                <w:szCs w:val="21"/>
                <w:highlight w:val="none"/>
                <w:lang w:val="en-US" w:eastAsia="zh-CN"/>
              </w:rPr>
              <w:t>。</w:t>
            </w:r>
          </w:p>
          <w:p w14:paraId="3932052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2.机架系统</w:t>
            </w:r>
          </w:p>
          <w:p w14:paraId="6AAC40A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▲2.1机架孔径（含机架外壳）≥78cm。</w:t>
            </w:r>
          </w:p>
          <w:p w14:paraId="22CB4FE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2.2焦点到等中心点距离≥60cm。</w:t>
            </w:r>
          </w:p>
          <w:p w14:paraId="7F9015B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2.3焦点到探测器距离≥110cm。</w:t>
            </w:r>
          </w:p>
          <w:p w14:paraId="2595A5B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2.4低压滑环：具备。</w:t>
            </w:r>
          </w:p>
          <w:p w14:paraId="51C8DAA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2.5机架内部冷却方式：风冷或水冷。</w:t>
            </w:r>
          </w:p>
          <w:p w14:paraId="62859D4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2.6机架控制面板数量≥4个。</w:t>
            </w:r>
          </w:p>
          <w:p w14:paraId="02D681C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2.7具备视觉呼吸导航系统。</w:t>
            </w:r>
          </w:p>
          <w:p w14:paraId="2A70827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2.8具备机架正面内置病人信息显示装置。</w:t>
            </w:r>
          </w:p>
          <w:p w14:paraId="58DBC8B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2.9机架电磁直接驱动技术：具备。</w:t>
            </w:r>
          </w:p>
          <w:p w14:paraId="08229C1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2.10机架物理倾斜角度（非数字倾角）≥±30°。</w:t>
            </w:r>
          </w:p>
          <w:p w14:paraId="179CB9A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2.11床旁提供患者信息、扫描床位置、扫描时间的显示。</w:t>
            </w:r>
          </w:p>
          <w:p w14:paraId="1158C65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3.球管和高压系统</w:t>
            </w:r>
          </w:p>
          <w:p w14:paraId="7B0AAA7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高压发生器最大实际功率（非等效）：单源宽体探测器大于等于256排且小于320排高压发生器功率≥103kW；或单源探测器排数≥320排且高压发生器功率≥100kW；或双源、双层探测器≥2×96排，且高压发生器总功率≥120kW。</w:t>
            </w:r>
          </w:p>
          <w:p w14:paraId="27BB107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3.2最大输出管电压≥140kV。</w:t>
            </w:r>
          </w:p>
          <w:p w14:paraId="3D5E080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3.3最小输出管电压≤70kV。</w:t>
            </w:r>
          </w:p>
          <w:p w14:paraId="300045E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3.4输出管电压档位≥6档。</w:t>
            </w:r>
          </w:p>
          <w:p w14:paraId="133E7BD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3.5单个球管阳极热容量≥30MHU。</w:t>
            </w:r>
          </w:p>
          <w:p w14:paraId="5D99826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sz w:val="21"/>
                <w:szCs w:val="21"/>
                <w:highlight w:val="none"/>
                <w:lang w:val="en-US" w:eastAsia="zh-CN"/>
              </w:rPr>
              <w:t>3.6球管具备液态金属轴承技术。</w:t>
            </w:r>
          </w:p>
          <w:p w14:paraId="661415A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3.7最小焦点尺寸≤0.4mm×0.8mm。</w:t>
            </w:r>
          </w:p>
          <w:p w14:paraId="0A06D9F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3.8管电流最小增幅≤1mA，最低输出管电流≤10mA。</w:t>
            </w:r>
          </w:p>
          <w:p w14:paraId="4A0D884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▲3.9单个球管最高输出管电流（非等效）≥830mA。</w:t>
            </w:r>
          </w:p>
          <w:p w14:paraId="251A2A9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3.10球管焦点个数≥3个。</w:t>
            </w:r>
          </w:p>
          <w:p w14:paraId="33570DA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3.11球管冷却方式：风冷或液冷。</w:t>
            </w:r>
          </w:p>
          <w:p w14:paraId="0F91585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3.12球管靶面最大散热率≥1690kHU/min。</w:t>
            </w:r>
          </w:p>
          <w:p w14:paraId="7705EC0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4.探测器</w:t>
            </w:r>
          </w:p>
          <w:p w14:paraId="6BBABAD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4.1探测器在等中心线物理覆盖的Z轴宽度：单源宽体CT≥16cm，或双源CT探测器≥5.76cm，或双层探测器CT≥8cm。</w:t>
            </w:r>
          </w:p>
          <w:p w14:paraId="52C0A6B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4.2每排探测器单元物理厚度：≤0.6mm。</w:t>
            </w:r>
          </w:p>
          <w:p w14:paraId="4A1933B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4.3每排探测器数据采集有效物理个数：≥864个。</w:t>
            </w:r>
          </w:p>
          <w:p w14:paraId="54E4377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 探测器总单元个数：≥221000个。</w:t>
            </w:r>
          </w:p>
          <w:p w14:paraId="565DCEF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4.5具备3D防散射栅格</w:t>
            </w:r>
          </w:p>
          <w:p w14:paraId="791B1D8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4.6探测器数据采集系统电子噪声≤1个光子。</w:t>
            </w:r>
          </w:p>
          <w:p w14:paraId="6E81D4A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5.扫描床系统</w:t>
            </w:r>
          </w:p>
          <w:p w14:paraId="079EB6F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5.1扫描床水平移动范围≥2200mm。</w:t>
            </w:r>
          </w:p>
          <w:p w14:paraId="4CBB83E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5.2最大可扫描范围（轴扫时）≥2000mm。</w:t>
            </w:r>
          </w:p>
          <w:p w14:paraId="5A2796A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5.3扫描床最大承重≥300KG。</w:t>
            </w:r>
          </w:p>
          <w:p w14:paraId="31E624D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5.4水平定位精度≤±0.25mm。</w:t>
            </w:r>
          </w:p>
          <w:p w14:paraId="1E8992A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5.5扫描床垂直升降可低至≤48cm。</w:t>
            </w:r>
          </w:p>
          <w:p w14:paraId="77D930A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5.6扫描床垂直升降最高点≥95cm。</w:t>
            </w:r>
          </w:p>
          <w:p w14:paraId="465DC4B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5.7扫描床最大可扫描范围（螺旋时）≥2000mm。</w:t>
            </w:r>
          </w:p>
          <w:p w14:paraId="1172941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sz w:val="21"/>
                <w:szCs w:val="21"/>
                <w:highlight w:val="none"/>
                <w:lang w:val="en-US" w:eastAsia="zh-CN"/>
              </w:rPr>
              <w:t>5.8扫描床最大水平移动速度≥400mm/秒。</w:t>
            </w:r>
          </w:p>
          <w:p w14:paraId="01D3773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5.9具备扫描床控制脚踏开关和扫描控制盒，可以控制床的升降和水平移动。</w:t>
            </w:r>
          </w:p>
          <w:p w14:paraId="78133CB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5.10最大垂直升降速度≥55mm/s。</w:t>
            </w:r>
          </w:p>
          <w:p w14:paraId="4ACADAF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5.11一体化扫描床点滴架，方便打点滴患者的CT检查：提供。</w:t>
            </w:r>
          </w:p>
          <w:p w14:paraId="5FAE634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5.12一体化集成生理信号门控单元，无需外接心电监测设备：提供。</w:t>
            </w:r>
          </w:p>
          <w:p w14:paraId="6E40BE5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6.主控制台及重建计算机系统</w:t>
            </w:r>
          </w:p>
          <w:p w14:paraId="06762E7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6.1主控台计算机CPU≥8核。</w:t>
            </w:r>
          </w:p>
          <w:p w14:paraId="146DC44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6.2主控台计算机内存≥32GB。</w:t>
            </w:r>
          </w:p>
          <w:p w14:paraId="1A8C21E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6.3主控台硬盘容量≥4TB。</w:t>
            </w:r>
          </w:p>
          <w:p w14:paraId="30DBA9C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6.4主控台计算机操作系统：Windows 7及以上。</w:t>
            </w:r>
          </w:p>
          <w:p w14:paraId="46F995B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6.5重建计算机CPU≥32核。</w:t>
            </w:r>
          </w:p>
          <w:p w14:paraId="218797A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6.6重建计算机内存≥96 GB。</w:t>
            </w:r>
          </w:p>
          <w:p w14:paraId="6DE3785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6.7显示器尺寸≥24英寸。</w:t>
            </w:r>
          </w:p>
          <w:p w14:paraId="3A7AAD9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6.8提供DICOM 3.0接口，支持DICOM 格式数据的传输、接收、打印、归档、查询。</w:t>
            </w:r>
          </w:p>
          <w:p w14:paraId="0ABFF11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7.扫描和重建参数</w:t>
            </w:r>
          </w:p>
          <w:p w14:paraId="62F58B2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sz w:val="21"/>
                <w:szCs w:val="21"/>
                <w:highlight w:val="none"/>
                <w:lang w:val="en-US" w:eastAsia="zh-CN"/>
              </w:rPr>
              <w:t>7.1.单圈轴扫最大Z轴覆盖范围≥16cm。</w:t>
            </w:r>
          </w:p>
          <w:p w14:paraId="5C9583A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7.2.单圈轴扫采集层数≥512层。</w:t>
            </w:r>
          </w:p>
          <w:p w14:paraId="1AE2A45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7.3.轴扫最快扫描速度（360°，非等效）≤0.28s。</w:t>
            </w:r>
          </w:p>
          <w:p w14:paraId="1CB2C4F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7.4.螺旋扫描最大Z轴准直覆盖范围≥5.76cm。</w:t>
            </w:r>
          </w:p>
          <w:p w14:paraId="3393A62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7.5.单次螺旋连续扫描时间≥120s。</w:t>
            </w:r>
          </w:p>
          <w:p w14:paraId="77BABD6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7.6.螺旋扫描最大螺距≥2。</w:t>
            </w:r>
          </w:p>
          <w:p w14:paraId="7D8EF23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7.7.螺旋扫描最快机架速度（360°，非等效）≤0.28s。</w:t>
            </w:r>
          </w:p>
          <w:p w14:paraId="79BA469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7.8.提供轴扫和螺旋融合扫描功能。</w:t>
            </w:r>
          </w:p>
          <w:p w14:paraId="2230503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7.9.提供门控和非门控融合扫描功能。</w:t>
            </w:r>
          </w:p>
          <w:p w14:paraId="2FC5746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7.10.最薄扫描图像层厚（探测器使用范围≥5.76cm）≤0.6mm。</w:t>
            </w:r>
          </w:p>
          <w:p w14:paraId="39CC8A3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7.11.最大扫描FOV≥50cm。</w:t>
            </w:r>
          </w:p>
          <w:p w14:paraId="40B3EFF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7.12.双能量扫描最大FOV≥50cm。</w:t>
            </w:r>
          </w:p>
          <w:p w14:paraId="0E6DE8C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7.13.重建FOV范围≥50cm。</w:t>
            </w:r>
          </w:p>
          <w:p w14:paraId="2FA1D17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7.14.最大扩展重建FOV≥60cm。</w:t>
            </w:r>
          </w:p>
          <w:p w14:paraId="271EE6A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7.15.最大图像重建矩阵（非显示矩阵）≥1024×1024。</w:t>
            </w:r>
          </w:p>
          <w:p w14:paraId="790D787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7.16.图像显示矩阵≥1024×1024。</w:t>
            </w:r>
          </w:p>
          <w:p w14:paraId="4BF1902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7.17.最小CT值（非扩展）≤-1000HU。</w:t>
            </w:r>
          </w:p>
          <w:p w14:paraId="7CE23ED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7.18.最大CT值（非扩展）≥8000HU。</w:t>
            </w:r>
          </w:p>
          <w:p w14:paraId="6FD126C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7.19.图像重建速度≥80幅/秒。</w:t>
            </w:r>
          </w:p>
          <w:p w14:paraId="3BC5E07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7.20.具备宽体散射伪影校正算法。</w:t>
            </w:r>
          </w:p>
          <w:p w14:paraId="280A21F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7.21.具备宽体锥束重建算法。</w:t>
            </w:r>
          </w:p>
          <w:p w14:paraId="16D3B50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7.22.具备单能扫描去金属伪影算法。</w:t>
            </w:r>
          </w:p>
          <w:p w14:paraId="179575B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7.23无需动床最大能谱扫描范围≥8cm。</w:t>
            </w:r>
          </w:p>
          <w:p w14:paraId="6A3C5A3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8.图像质量</w:t>
            </w:r>
          </w:p>
          <w:p w14:paraId="045A719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8.1高对比度空间分辨率≤0.23mm。</w:t>
            </w:r>
          </w:p>
          <w:p w14:paraId="58598EB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8.2低对比度分辨率</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"mailto:2mm@0.3%≤22mGy" </w:instrText>
            </w:r>
            <w:r>
              <w:rPr>
                <w:rFonts w:hint="eastAsia" w:ascii="宋体" w:hAnsi="宋体" w:eastAsia="宋体" w:cs="宋体"/>
                <w:sz w:val="21"/>
                <w:szCs w:val="21"/>
                <w:highlight w:val="none"/>
                <w:lang w:val="en-US" w:eastAsia="zh-CN"/>
              </w:rPr>
              <w:fldChar w:fldCharType="separate"/>
            </w:r>
            <w:r>
              <w:rPr>
                <w:rStyle w:val="62"/>
                <w:rFonts w:hint="eastAsia" w:ascii="宋体" w:hAnsi="宋体" w:eastAsia="宋体" w:cs="宋体"/>
                <w:sz w:val="21"/>
                <w:szCs w:val="21"/>
                <w:highlight w:val="none"/>
                <w:lang w:val="en-US" w:eastAsia="zh-CN"/>
              </w:rPr>
              <w:t>2mm@0.3%≤22mGy</w:t>
            </w:r>
            <w:r>
              <w:rPr>
                <w:rFonts w:hint="eastAsia" w:ascii="宋体" w:hAnsi="宋体" w:eastAsia="宋体" w:cs="宋体"/>
                <w:sz w:val="21"/>
                <w:szCs w:val="21"/>
                <w:highlight w:val="none"/>
                <w:lang w:val="en-US" w:eastAsia="zh-CN"/>
              </w:rPr>
              <w:fldChar w:fldCharType="end"/>
            </w:r>
            <w:r>
              <w:rPr>
                <w:rFonts w:hint="eastAsia" w:ascii="宋体" w:hAnsi="宋体" w:eastAsia="宋体" w:cs="宋体"/>
                <w:sz w:val="21"/>
                <w:szCs w:val="21"/>
                <w:highlight w:val="none"/>
                <w:lang w:val="en-US" w:eastAsia="zh-CN"/>
              </w:rPr>
              <w:t>。</w:t>
            </w:r>
          </w:p>
          <w:p w14:paraId="5A35EB3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9.剂量控制系统</w:t>
            </w:r>
          </w:p>
          <w:p w14:paraId="2B86A76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9.1.扫描剂量预估：提供。</w:t>
            </w:r>
          </w:p>
          <w:p w14:paraId="298D9A1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9.2.结构化剂量报告：提供。</w:t>
            </w:r>
          </w:p>
          <w:p w14:paraId="7CE944D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9.3.剂量监控和预警：提供。</w:t>
            </w:r>
          </w:p>
          <w:p w14:paraId="2971EE2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9.4.实时定位像：提供。</w:t>
            </w:r>
          </w:p>
          <w:p w14:paraId="35BFE48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9.5.3D智能管电流调制：提供。</w:t>
            </w:r>
          </w:p>
          <w:p w14:paraId="0D3AFEC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9.6.70kV低剂量扫描模式：提供。</w:t>
            </w:r>
          </w:p>
          <w:p w14:paraId="206F6B4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9.7.60kV超低剂量扫描模式：提供。</w:t>
            </w:r>
          </w:p>
          <w:p w14:paraId="3BD2118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9.8.10mA肺部超低剂量扫描技术：提供。</w:t>
            </w:r>
          </w:p>
          <w:p w14:paraId="731DD07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9.9.自动管电压推荐：提供。</w:t>
            </w:r>
          </w:p>
          <w:p w14:paraId="23D335F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9.10.根据扫描部位和患者体型，提供不同扫描FOV≥3种。</w:t>
            </w:r>
          </w:p>
          <w:p w14:paraId="6C6A63D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9.11.出厂儿童协议：提供。</w:t>
            </w:r>
          </w:p>
          <w:p w14:paraId="22D4F76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10.临床应用软件系统</w:t>
            </w:r>
          </w:p>
          <w:p w14:paraId="220E97E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10.1.多平面重建（MPR）：提供。</w:t>
            </w:r>
          </w:p>
          <w:p w14:paraId="3ECD13F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10.2.最大密度投影（MIP）：提供。</w:t>
            </w:r>
          </w:p>
          <w:p w14:paraId="55907EB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10.3.最小密度投影（MinP）：提供。</w:t>
            </w:r>
          </w:p>
          <w:p w14:paraId="22463F3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10.4.曲面重建（CPR）：提供。</w:t>
            </w:r>
          </w:p>
          <w:p w14:paraId="76E9F17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10.5.容积三维重建（VR）：提供。</w:t>
            </w:r>
          </w:p>
          <w:p w14:paraId="6088753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10.6.区域生长：提供。</w:t>
            </w:r>
          </w:p>
          <w:p w14:paraId="2408EA0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10.7.表面重建（SSD）：提供。</w:t>
            </w:r>
          </w:p>
          <w:p w14:paraId="0698B341">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10.8.提供多种容积三维重建模板：提供。</w:t>
            </w:r>
          </w:p>
          <w:p w14:paraId="75026F2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10.9.三维仿真内窥镜显示功能：提供。</w:t>
            </w:r>
          </w:p>
          <w:p w14:paraId="411D947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10.10.图像剪影功能：提供。</w:t>
            </w:r>
          </w:p>
          <w:p w14:paraId="5FD6405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10.11.电影模式图像浏览功能：提供。</w:t>
            </w:r>
          </w:p>
          <w:p w14:paraId="1E20246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10.12.组织裁剪功能：提供。</w:t>
            </w:r>
          </w:p>
          <w:p w14:paraId="7BED593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10.13.可随扫描曝光进行实时MPR图像预览：提供。</w:t>
            </w:r>
          </w:p>
          <w:p w14:paraId="4D3A420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10.14.可随扫描曝光进行实时VR图像预览：提供。</w:t>
            </w:r>
          </w:p>
          <w:p w14:paraId="06C2A08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10.15.多期增强扫描技术：提供。</w:t>
            </w:r>
          </w:p>
          <w:p w14:paraId="477F559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10.16.CTA血管造影技术：提供。</w:t>
            </w:r>
          </w:p>
          <w:p w14:paraId="702F471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10.17.CTU尿路造影技术：提供。</w:t>
            </w:r>
          </w:p>
          <w:p w14:paraId="44B2F3F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10.18.造影剂自动跟踪技术：提供。</w:t>
            </w:r>
          </w:p>
          <w:p w14:paraId="57F27E7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10.19.小剂量团注跟踪测试技术：提供。</w:t>
            </w:r>
          </w:p>
          <w:p w14:paraId="04DDD28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10.20.脑出血测量技术：提供。</w:t>
            </w:r>
          </w:p>
          <w:p w14:paraId="6C2289E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10.21.脑容积测量技术：提供。</w:t>
            </w:r>
          </w:p>
          <w:p w14:paraId="415D0F8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11.原厂图像后处理工作站</w:t>
            </w:r>
          </w:p>
          <w:p w14:paraId="1928763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11.1.计算机CPU≥8核。</w:t>
            </w:r>
          </w:p>
          <w:p w14:paraId="3BE2095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11.2.计算机内存≥64GB。</w:t>
            </w:r>
          </w:p>
          <w:p w14:paraId="6A38C28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11.3.硬盘容量≥1TB。</w:t>
            </w:r>
          </w:p>
          <w:p w14:paraId="2432EF0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11.4.操作系统：Windows 10或以上。</w:t>
            </w:r>
          </w:p>
          <w:p w14:paraId="64329E7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11.5.显示器尺寸≥24英寸。</w:t>
            </w:r>
          </w:p>
          <w:p w14:paraId="5D6DA99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11.6.显示器分辨率≥1920×1200</w:t>
            </w:r>
          </w:p>
          <w:p w14:paraId="38B3873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12.心血管成像及高级后处理系统</w:t>
            </w:r>
          </w:p>
          <w:p w14:paraId="0A405CE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12.1.心脏扫描与图像重建技术：提供。</w:t>
            </w:r>
          </w:p>
          <w:p w14:paraId="0B692D7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12.1.1.心电门控技术及门控装置：提供；</w:t>
            </w:r>
          </w:p>
          <w:p w14:paraId="49608B09">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12.1.2.床旁心电图显示：提供；</w:t>
            </w:r>
          </w:p>
          <w:p w14:paraId="4B9E165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12.1.3.主控台心电图显示：提供；</w:t>
            </w:r>
          </w:p>
          <w:p w14:paraId="2D6B210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12.1.4.单心动周期冠脉成像技术：提供；</w:t>
            </w:r>
          </w:p>
          <w:p w14:paraId="4A4313B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12.1.5.单心动周期心功能成像技术：提供；</w:t>
            </w:r>
          </w:p>
          <w:p w14:paraId="490D769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12.1.6.胸痛三联一站式成像技术：提供；</w:t>
            </w:r>
          </w:p>
          <w:p w14:paraId="74B7A1F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12.1.7.TAVI一站式成像技术：提供；</w:t>
            </w:r>
          </w:p>
          <w:p w14:paraId="21DE479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12.1.8.心脑联合一站式成像技术：提供；</w:t>
            </w:r>
          </w:p>
          <w:p w14:paraId="1B4C99D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12.1.9.前瞻式门控轴扫成像：提供；</w:t>
            </w:r>
          </w:p>
          <w:p w14:paraId="2B65DF9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12.1.10.心脏扫描自动时相技术，根据病人心率不同自动选择曝光时相：提供；</w:t>
            </w:r>
          </w:p>
          <w:p w14:paraId="26C3932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12.1.11.回顾式螺旋扫描：提供；</w:t>
            </w:r>
          </w:p>
          <w:p w14:paraId="2333825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12.1.12.心脏扫描自动螺距技术，根据病人心率不同自动选择螺距：提供；</w:t>
            </w:r>
          </w:p>
          <w:p w14:paraId="2D3CD82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12.1.13.自动心律不齐检测和曝光调整：提供；</w:t>
            </w:r>
          </w:p>
          <w:p w14:paraId="4CE6690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12.1.14.ECG自动管电流调制：提供；</w:t>
            </w:r>
          </w:p>
          <w:p w14:paraId="29724ED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12.1.15.图像预览功能，依据某一解剖层面重建0-100%时相数据，挑选最佳时相进行全心脏图像重建，事先无需重建全心脏数据：提供；</w:t>
            </w:r>
          </w:p>
          <w:p w14:paraId="269B063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12.1.16.最佳时相自动重建功能，心脏扫描结束后自动重建最佳舒张期、收缩期图像，无需人为选择期相：提供；</w:t>
            </w:r>
          </w:p>
          <w:p w14:paraId="61238CC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12.1.17.冠脉运动伪影校正技术：提供；</w:t>
            </w:r>
          </w:p>
          <w:p w14:paraId="02D896E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12.1.18.针对房颤、室早等不同心律不齐，提供心电编辑软件：提供。</w:t>
            </w:r>
          </w:p>
          <w:p w14:paraId="395E026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12.2.心血管高级后处理软件包：提供。</w:t>
            </w:r>
          </w:p>
          <w:p w14:paraId="3B6F567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12.2.1.冠脉分析支持多期相数据加载：提供；</w:t>
            </w:r>
          </w:p>
          <w:p w14:paraId="6C57551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12.2.2.心脏自动分割：提供；</w:t>
            </w:r>
          </w:p>
          <w:p w14:paraId="7E8C151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12.2.3.腔室自动分割：提供；</w:t>
            </w:r>
          </w:p>
          <w:p w14:paraId="60B5EDCD">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12.2.4.冠脉自动分割：提供；</w:t>
            </w:r>
          </w:p>
          <w:p w14:paraId="303FD0C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12.2.5.中心线自动提取：提供；</w:t>
            </w:r>
          </w:p>
          <w:p w14:paraId="13CB133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12.2.6.中心线自动命名：提供；</w:t>
            </w:r>
          </w:p>
          <w:p w14:paraId="6E198E7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12.2.7.中心线编辑：提供；</w:t>
            </w:r>
          </w:p>
          <w:p w14:paraId="46A6EB9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12.2.8.区域增长（血管，软组织）：提供；</w:t>
            </w:r>
          </w:p>
          <w:p w14:paraId="5BF4848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12.2.9.单点冠脉半自动提取：提供；</w:t>
            </w:r>
          </w:p>
          <w:p w14:paraId="2461BEDB">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12.2.10.多点冠脉半自动提取：提供；</w:t>
            </w:r>
          </w:p>
          <w:p w14:paraId="0F9C2AB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12.2.11.手动编辑：裁剪、橡皮擦：提供；</w:t>
            </w:r>
          </w:p>
          <w:p w14:paraId="3982B03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12.2.12.狭窄近端远端距离测量 ：提供；</w:t>
            </w:r>
          </w:p>
          <w:p w14:paraId="478FD3A7">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12.2.13.管径轮廓编辑：提供；</w:t>
            </w:r>
          </w:p>
          <w:p w14:paraId="0AB6F91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12.2.14.狭窄参数计算（直径、截面积、长度、狭窄程度）：提供；</w:t>
            </w:r>
          </w:p>
          <w:p w14:paraId="3D66B2A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12.2.15.斑块半自动提取：提供；</w:t>
            </w:r>
          </w:p>
          <w:p w14:paraId="0643E2E0">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12.2.16.斑块成分分析（钙化、纤维、脂质）：提供；</w:t>
            </w:r>
          </w:p>
          <w:p w14:paraId="124B7F4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12.2.17.斑块结果编辑：提供；</w:t>
            </w:r>
          </w:p>
          <w:p w14:paraId="1BEAE32E">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12.2.18.斑块参数统计：提供；</w:t>
            </w:r>
          </w:p>
          <w:p w14:paraId="5C1CB00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12.2.19.虚拟血管内超声显示：提供；</w:t>
            </w:r>
          </w:p>
          <w:p w14:paraId="534B605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12.2.20.心功能分析支持多期相数据加载及查看：提供；</w:t>
            </w:r>
          </w:p>
          <w:p w14:paraId="3BD8BA6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12.2.21.瓣膜快速定位（二尖瓣，三尖瓣，主动脉瓣）：提供；</w:t>
            </w:r>
          </w:p>
          <w:p w14:paraId="630A9A8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12.2.22.腔室结果编辑：提供；</w:t>
            </w:r>
          </w:p>
          <w:p w14:paraId="0CC482E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12.2.23.长短轴编辑：提供；</w:t>
            </w:r>
          </w:p>
          <w:p w14:paraId="7FD44C64">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12.2.24.支持心室参数计算：包括左右心室ED/ES容积，每搏净流量，射血分数，心输出量，心脏指数；</w:t>
            </w:r>
          </w:p>
          <w:p w14:paraId="323484BC">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12.2.25.支持心房参数计算：包括左右心房容积，总排空体积，被动排空容积，主动排空容积，总排空分数，主动排空分数，被动排空分数；</w:t>
            </w:r>
          </w:p>
          <w:p w14:paraId="3EB7DE0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12.2.26.自动标记心肌：提供；</w:t>
            </w:r>
          </w:p>
          <w:p w14:paraId="0BE8FFE3">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12.2.27.牛眼图显示室壁运动位移、厚度：提供；</w:t>
            </w:r>
          </w:p>
          <w:p w14:paraId="6386E7B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12.2.28.电影播放心脏多时相运动：提供；</w:t>
            </w:r>
          </w:p>
          <w:p w14:paraId="111A8AEF">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12.2.29.标记并以伪彩区分钙化点：提供；</w:t>
            </w:r>
          </w:p>
          <w:p w14:paraId="28EB1978">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12.2.30.钙化点修改，支持用户确认或重命名钙化点：提供；</w:t>
            </w:r>
          </w:p>
          <w:p w14:paraId="61561F1A">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12.2.31.支持钙化点增加：提供；</w:t>
            </w:r>
          </w:p>
          <w:p w14:paraId="52C1B07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12.2.32.以质量积分计算钙化积分：提供；</w:t>
            </w:r>
          </w:p>
          <w:p w14:paraId="428529D2">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12.2.33.以agatston积分计算钙化积分：提供；</w:t>
            </w:r>
          </w:p>
          <w:p w14:paraId="712A4C0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12.2.34.以体积积分计算钙化积分：提供；</w:t>
            </w:r>
          </w:p>
          <w:p w14:paraId="72CEA796">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12.2.35.支持快速保存功能，用户可以一键式的将冠脉VR MPR等截图按预设进行保存：提供；</w:t>
            </w:r>
          </w:p>
          <w:p w14:paraId="7A8E7915">
            <w:pPr>
              <w:pStyle w:val="97"/>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12.2.36.高级后处理结果一键发送到结构化报告：提供。</w:t>
            </w:r>
          </w:p>
        </w:tc>
      </w:tr>
      <w:tr w14:paraId="57C7E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48D8E95D">
            <w:pPr>
              <w:spacing w:line="400" w:lineRule="atLeast"/>
              <w:rPr>
                <w:rFonts w:ascii="宋体" w:hAnsi="宋体"/>
                <w:b w:val="0"/>
                <w:bCs w:val="0"/>
                <w:color w:val="auto"/>
                <w:sz w:val="21"/>
                <w:szCs w:val="21"/>
              </w:rPr>
            </w:pPr>
            <w:r>
              <w:rPr>
                <w:rFonts w:hint="default" w:ascii="宋体" w:hAnsi="宋体" w:eastAsia="宋体" w:cs="宋体"/>
                <w:b w:val="0"/>
                <w:bCs w:val="0"/>
                <w:color w:val="auto"/>
                <w:sz w:val="21"/>
                <w:szCs w:val="21"/>
                <w:highlight w:val="none"/>
                <w:lang w:val="en-US" w:eastAsia="zh-CN"/>
              </w:rPr>
              <w:t>▲</w:t>
            </w:r>
            <w:r>
              <w:rPr>
                <w:rFonts w:hint="eastAsia" w:ascii="宋体" w:hAnsi="宋体"/>
                <w:b/>
                <w:bCs/>
                <w:color w:val="auto"/>
                <w:sz w:val="21"/>
                <w:szCs w:val="21"/>
              </w:rPr>
              <w:t>一、商务要求</w:t>
            </w:r>
          </w:p>
        </w:tc>
      </w:tr>
      <w:tr w14:paraId="699AB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1143DA12">
            <w:pPr>
              <w:spacing w:line="400" w:lineRule="atLeast"/>
              <w:jc w:val="center"/>
              <w:rPr>
                <w:rFonts w:ascii="宋体" w:hAnsi="宋体"/>
                <w:b w:val="0"/>
                <w:bCs w:val="0"/>
                <w:color w:val="auto"/>
                <w:sz w:val="21"/>
                <w:szCs w:val="21"/>
              </w:rPr>
            </w:pPr>
            <w:r>
              <w:rPr>
                <w:rFonts w:hint="eastAsia" w:ascii="宋体" w:hAnsi="宋体"/>
                <w:b w:val="0"/>
                <w:bCs w:val="0"/>
                <w:color w:val="auto"/>
                <w:sz w:val="21"/>
                <w:szCs w:val="21"/>
              </w:rPr>
              <w:t>合同签订时间</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25A56F71">
            <w:pPr>
              <w:spacing w:line="400" w:lineRule="atLeast"/>
              <w:rPr>
                <w:rFonts w:ascii="宋体" w:hAnsi="宋体"/>
                <w:b w:val="0"/>
                <w:bCs w:val="0"/>
                <w:color w:val="auto"/>
                <w:sz w:val="21"/>
                <w:szCs w:val="21"/>
              </w:rPr>
            </w:pPr>
            <w:bookmarkStart w:id="41" w:name="_Toc118384921"/>
            <w:r>
              <w:rPr>
                <w:rFonts w:hint="eastAsia" w:ascii="宋体" w:hAnsi="宋体"/>
                <w:b w:val="0"/>
                <w:bCs w:val="0"/>
                <w:color w:val="auto"/>
                <w:sz w:val="21"/>
                <w:szCs w:val="21"/>
              </w:rPr>
              <w:t>自</w:t>
            </w:r>
            <w:r>
              <w:rPr>
                <w:rFonts w:hint="eastAsia" w:ascii="宋体" w:hAnsi="宋体"/>
                <w:b w:val="0"/>
                <w:bCs w:val="0"/>
                <w:color w:val="auto"/>
                <w:sz w:val="21"/>
                <w:szCs w:val="21"/>
                <w:lang w:eastAsia="zh-CN"/>
              </w:rPr>
              <w:t>中标</w:t>
            </w:r>
            <w:r>
              <w:rPr>
                <w:rFonts w:hint="eastAsia" w:ascii="宋体" w:hAnsi="宋体"/>
                <w:b w:val="0"/>
                <w:bCs w:val="0"/>
                <w:color w:val="auto"/>
                <w:sz w:val="21"/>
                <w:szCs w:val="21"/>
              </w:rPr>
              <w:t>通知书发出之日起</w:t>
            </w:r>
            <w:r>
              <w:rPr>
                <w:rFonts w:hint="eastAsia" w:ascii="宋体" w:hAnsi="宋体"/>
                <w:b w:val="0"/>
                <w:bCs w:val="0"/>
                <w:color w:val="auto"/>
                <w:sz w:val="21"/>
                <w:szCs w:val="21"/>
                <w:u w:val="single"/>
              </w:rPr>
              <w:t xml:space="preserve"> 25 </w:t>
            </w:r>
            <w:r>
              <w:rPr>
                <w:rFonts w:hint="eastAsia" w:ascii="宋体" w:hAnsi="宋体"/>
                <w:b w:val="0"/>
                <w:bCs w:val="0"/>
                <w:color w:val="auto"/>
                <w:sz w:val="21"/>
                <w:szCs w:val="21"/>
              </w:rPr>
              <w:t>日内。</w:t>
            </w:r>
            <w:bookmarkEnd w:id="41"/>
          </w:p>
        </w:tc>
      </w:tr>
      <w:tr w14:paraId="3447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67C4A345">
            <w:pPr>
              <w:spacing w:line="400" w:lineRule="atLeast"/>
              <w:jc w:val="center"/>
              <w:rPr>
                <w:rFonts w:ascii="宋体" w:hAnsi="宋体"/>
                <w:b w:val="0"/>
                <w:bCs w:val="0"/>
                <w:color w:val="auto"/>
                <w:sz w:val="21"/>
                <w:szCs w:val="21"/>
              </w:rPr>
            </w:pPr>
            <w:r>
              <w:rPr>
                <w:rFonts w:hint="eastAsia" w:ascii="宋体" w:hAnsi="宋体" w:cs="宋体"/>
                <w:b w:val="0"/>
                <w:bCs w:val="0"/>
                <w:color w:val="auto"/>
                <w:sz w:val="21"/>
                <w:szCs w:val="21"/>
              </w:rPr>
              <w:t>合同履行期限和地点</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06E75AE7">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合同履行期限：</w:t>
            </w:r>
            <w:r>
              <w:rPr>
                <w:rFonts w:hint="eastAsia" w:hAnsi="宋体" w:cs="宋体"/>
                <w:b w:val="0"/>
                <w:bCs w:val="0"/>
                <w:color w:val="auto"/>
                <w:sz w:val="21"/>
                <w:szCs w:val="21"/>
                <w:lang w:eastAsia="zh-CN"/>
              </w:rPr>
              <w:t>自签订合同之日起30天（日历天）内交货。</w:t>
            </w:r>
          </w:p>
          <w:p w14:paraId="7B58CB88">
            <w:pPr>
              <w:spacing w:line="400" w:lineRule="atLeast"/>
              <w:rPr>
                <w:rFonts w:ascii="宋体" w:hAnsi="宋体"/>
                <w:b w:val="0"/>
                <w:bCs w:val="0"/>
                <w:color w:val="auto"/>
                <w:sz w:val="21"/>
                <w:szCs w:val="21"/>
              </w:rPr>
            </w:pPr>
            <w:r>
              <w:rPr>
                <w:rFonts w:hint="eastAsia" w:ascii="宋体" w:hAnsi="宋体"/>
                <w:b w:val="0"/>
                <w:bCs w:val="0"/>
                <w:color w:val="auto"/>
                <w:sz w:val="21"/>
                <w:szCs w:val="21"/>
              </w:rPr>
              <w:t>交货地点：</w:t>
            </w:r>
            <w:r>
              <w:rPr>
                <w:rFonts w:hint="eastAsia" w:ascii="宋体" w:hAnsi="宋体"/>
                <w:b w:val="0"/>
                <w:bCs w:val="0"/>
                <w:color w:val="auto"/>
                <w:sz w:val="21"/>
                <w:szCs w:val="21"/>
                <w:lang w:eastAsia="zh-CN"/>
              </w:rPr>
              <w:t>博白县人民医院，</w:t>
            </w:r>
            <w:r>
              <w:rPr>
                <w:rFonts w:hint="eastAsia" w:ascii="宋体" w:hAnsi="宋体"/>
                <w:b w:val="0"/>
                <w:bCs w:val="0"/>
                <w:color w:val="auto"/>
                <w:sz w:val="21"/>
                <w:szCs w:val="21"/>
                <w:lang w:val="en-US" w:eastAsia="zh-CN"/>
              </w:rPr>
              <w:t>采购人</w:t>
            </w:r>
            <w:r>
              <w:rPr>
                <w:rFonts w:hint="eastAsia" w:ascii="宋体" w:hAnsi="宋体"/>
                <w:b w:val="0"/>
                <w:bCs w:val="0"/>
                <w:color w:val="auto"/>
                <w:sz w:val="21"/>
                <w:szCs w:val="21"/>
              </w:rPr>
              <w:t>指</w:t>
            </w:r>
            <w:r>
              <w:rPr>
                <w:rFonts w:hint="eastAsia" w:ascii="宋体" w:hAnsi="宋体" w:eastAsia="宋体" w:cs="Times New Roman"/>
                <w:b w:val="0"/>
                <w:bCs w:val="0"/>
                <w:color w:val="auto"/>
                <w:sz w:val="21"/>
                <w:szCs w:val="21"/>
                <w:lang w:val="en-US" w:eastAsia="zh-CN"/>
              </w:rPr>
              <w:t>定地点（博白县博白镇兴隆东路009号）。</w:t>
            </w:r>
          </w:p>
        </w:tc>
      </w:tr>
      <w:tr w14:paraId="040D3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63F4A034">
            <w:pPr>
              <w:spacing w:line="400" w:lineRule="atLeast"/>
              <w:jc w:val="center"/>
              <w:rPr>
                <w:rFonts w:ascii="宋体" w:hAnsi="宋体"/>
                <w:b w:val="0"/>
                <w:bCs w:val="0"/>
                <w:color w:val="auto"/>
                <w:sz w:val="21"/>
                <w:szCs w:val="21"/>
              </w:rPr>
            </w:pPr>
            <w:r>
              <w:rPr>
                <w:rFonts w:hint="eastAsia" w:ascii="宋体" w:hAnsi="宋体"/>
                <w:b w:val="0"/>
                <w:bCs w:val="0"/>
                <w:color w:val="auto"/>
                <w:sz w:val="21"/>
                <w:szCs w:val="21"/>
              </w:rPr>
              <w:t>质保期</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6A8E0669">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质保期≥1年(自最终验收合格之日算)。</w:t>
            </w:r>
          </w:p>
          <w:p w14:paraId="4221B6EC">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2、质保期内：因设备本身的质量问题发生故障， 中标人负责免费修理和更换零部件。对达不到使用要求者，经双方协商，可以更换设备，由中标人承担所发生的全部费用。</w:t>
            </w:r>
          </w:p>
          <w:p w14:paraId="0A78A5FC">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3、质保期外：中标人对设备出现的质量问题负责帮助采购人处理解决。维修不收取维修费，仅收取材料费。质保期内定期检修和校准。</w:t>
            </w:r>
          </w:p>
        </w:tc>
      </w:tr>
      <w:tr w14:paraId="5CD98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2E6F900E">
            <w:pPr>
              <w:spacing w:line="400" w:lineRule="atLeast"/>
              <w:jc w:val="center"/>
              <w:rPr>
                <w:rFonts w:ascii="宋体" w:hAnsi="宋体"/>
                <w:b w:val="0"/>
                <w:bCs w:val="0"/>
                <w:color w:val="auto"/>
                <w:sz w:val="21"/>
                <w:szCs w:val="21"/>
              </w:rPr>
            </w:pPr>
            <w:r>
              <w:rPr>
                <w:rFonts w:hint="eastAsia" w:ascii="宋体" w:hAnsi="宋体"/>
                <w:b w:val="0"/>
                <w:bCs w:val="0"/>
                <w:color w:val="auto"/>
                <w:sz w:val="21"/>
                <w:szCs w:val="21"/>
              </w:rPr>
              <w:t>付款条件（进度和方式）</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5B29D22B">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1.第一期：预付款为合同金额的30%；签订合同后，采购人收到中标供应商开具合法有效的合同款30%等额发票后，30个工作日内，向中标供应商支付预付款；</w:t>
            </w:r>
          </w:p>
          <w:p w14:paraId="3B0581BB">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2.第二期：所有货物交货安装调试完毕并验收合格，双方签署验收报告后，采购人收到中标供应商开具合法有效的合同款70%等额发票后，60个工作日内，支付至合同款的100%。</w:t>
            </w:r>
          </w:p>
          <w:p w14:paraId="3C89AB5B">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3.中标供应商未开具合法有效的等额发票的，采购人有权不支付合同款。</w:t>
            </w:r>
          </w:p>
          <w:p w14:paraId="6ABAC847">
            <w:pPr>
              <w:spacing w:line="400" w:lineRule="atLeast"/>
              <w:rPr>
                <w:rFonts w:hint="eastAsia" w:ascii="宋体" w:hAnsi="宋体" w:eastAsia="宋体" w:cs="Times New Roman"/>
                <w:b w:val="0"/>
                <w:bCs w:val="0"/>
                <w:color w:val="auto"/>
                <w:sz w:val="21"/>
                <w:szCs w:val="21"/>
              </w:rPr>
            </w:pPr>
            <w:r>
              <w:rPr>
                <w:rFonts w:hint="eastAsia" w:ascii="宋体" w:hAnsi="宋体" w:eastAsia="宋体" w:cs="Times New Roman"/>
                <w:b/>
                <w:bCs/>
                <w:color w:val="auto"/>
                <w:sz w:val="21"/>
                <w:szCs w:val="21"/>
                <w:lang w:val="en-US" w:eastAsia="zh-CN"/>
              </w:rPr>
              <w:t>备注：如果中标人为中小企业则按《保障中小企业款项支付条例》执行。</w:t>
            </w:r>
          </w:p>
        </w:tc>
      </w:tr>
      <w:tr w14:paraId="4EBA1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447DAB8B">
            <w:pPr>
              <w:spacing w:line="400" w:lineRule="atLeast"/>
              <w:jc w:val="center"/>
              <w:rPr>
                <w:rFonts w:ascii="宋体" w:hAnsi="宋体"/>
                <w:b w:val="0"/>
                <w:bCs w:val="0"/>
                <w:color w:val="auto"/>
                <w:sz w:val="21"/>
                <w:szCs w:val="21"/>
              </w:rPr>
            </w:pPr>
            <w:r>
              <w:rPr>
                <w:rFonts w:hint="eastAsia" w:ascii="宋体" w:hAnsi="宋体"/>
                <w:b w:val="0"/>
                <w:bCs w:val="0"/>
                <w:color w:val="auto"/>
                <w:sz w:val="21"/>
                <w:szCs w:val="21"/>
              </w:rPr>
              <w:t>售后服务</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06278762">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1</w:t>
            </w:r>
            <w:r>
              <w:rPr>
                <w:rFonts w:hint="eastAsia" w:ascii="宋体" w:hAnsi="宋体"/>
                <w:b w:val="0"/>
                <w:bCs w:val="0"/>
                <w:color w:val="auto"/>
                <w:sz w:val="21"/>
                <w:szCs w:val="21"/>
                <w:lang w:eastAsia="zh-CN"/>
              </w:rPr>
              <w:t>、</w:t>
            </w:r>
            <w:r>
              <w:rPr>
                <w:rFonts w:hint="eastAsia" w:ascii="宋体" w:hAnsi="宋体"/>
                <w:b w:val="0"/>
                <w:bCs w:val="0"/>
                <w:color w:val="auto"/>
                <w:sz w:val="21"/>
                <w:szCs w:val="21"/>
              </w:rPr>
              <w:t>按国家有关产品“三包”规定执行“三包”，质量保修期除特别注明外，设备使用</w:t>
            </w:r>
            <w:r>
              <w:rPr>
                <w:rFonts w:hint="eastAsia" w:ascii="宋体" w:hAnsi="宋体" w:eastAsia="宋体" w:cs="Times New Roman"/>
                <w:b w:val="0"/>
                <w:bCs w:val="0"/>
                <w:color w:val="auto"/>
                <w:sz w:val="21"/>
                <w:szCs w:val="21"/>
              </w:rPr>
              <w:t>年限≥</w:t>
            </w:r>
            <w:r>
              <w:rPr>
                <w:rFonts w:hint="eastAsia" w:ascii="宋体" w:hAnsi="宋体" w:eastAsia="宋体" w:cs="Times New Roman"/>
                <w:b w:val="0"/>
                <w:bCs w:val="0"/>
                <w:color w:val="auto"/>
                <w:sz w:val="21"/>
                <w:szCs w:val="21"/>
                <w:lang w:val="en-US" w:eastAsia="zh-CN"/>
              </w:rPr>
              <w:t>10</w:t>
            </w:r>
            <w:r>
              <w:rPr>
                <w:rFonts w:hint="eastAsia" w:ascii="宋体" w:hAnsi="宋体" w:eastAsia="宋体" w:cs="Times New Roman"/>
                <w:b w:val="0"/>
                <w:bCs w:val="0"/>
                <w:color w:val="auto"/>
                <w:sz w:val="21"/>
                <w:szCs w:val="21"/>
              </w:rPr>
              <w:t>年（</w:t>
            </w:r>
            <w:r>
              <w:rPr>
                <w:rFonts w:hint="eastAsia" w:ascii="宋体" w:hAnsi="宋体"/>
                <w:b w:val="0"/>
                <w:bCs w:val="0"/>
                <w:color w:val="auto"/>
                <w:sz w:val="21"/>
                <w:szCs w:val="21"/>
              </w:rPr>
              <w:t>设备的生产日期和合同签订的时间间隔不大于6个月）。</w:t>
            </w:r>
            <w:r>
              <w:rPr>
                <w:rFonts w:hint="eastAsia" w:ascii="宋体" w:hAnsi="宋体" w:eastAsia="宋体" w:cs="Times New Roman"/>
                <w:b w:val="0"/>
                <w:bCs w:val="0"/>
                <w:color w:val="auto"/>
                <w:sz w:val="21"/>
                <w:szCs w:val="21"/>
              </w:rPr>
              <w:t>质量</w:t>
            </w:r>
            <w:r>
              <w:rPr>
                <w:rFonts w:hint="eastAsia" w:ascii="宋体" w:hAnsi="宋体"/>
                <w:b w:val="0"/>
                <w:bCs w:val="0"/>
                <w:color w:val="auto"/>
                <w:sz w:val="21"/>
                <w:szCs w:val="21"/>
              </w:rPr>
              <w:t>保修期内负责免费上门维修及更换配件。超过保修期的机器设备，提供免费上门维修服务，维修时只收部件成本费。(在质保期内，中标人需对本次采购设备的易损件准备一定数量的备品备件，如发生设备故障，确保所有相关的备品备件在 72 小时内提供更换)。</w:t>
            </w:r>
          </w:p>
          <w:p w14:paraId="196D1396">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2</w:t>
            </w:r>
            <w:r>
              <w:rPr>
                <w:rFonts w:hint="eastAsia" w:ascii="宋体" w:hAnsi="宋体"/>
                <w:b w:val="0"/>
                <w:bCs w:val="0"/>
                <w:color w:val="auto"/>
                <w:sz w:val="21"/>
                <w:szCs w:val="21"/>
                <w:lang w:eastAsia="zh-CN"/>
              </w:rPr>
              <w:t>、中标</w:t>
            </w:r>
            <w:r>
              <w:rPr>
                <w:rFonts w:hint="eastAsia" w:ascii="宋体" w:hAnsi="宋体"/>
                <w:b w:val="0"/>
                <w:bCs w:val="0"/>
                <w:color w:val="auto"/>
                <w:sz w:val="21"/>
                <w:szCs w:val="21"/>
              </w:rPr>
              <w:t>供应商负责送货上门，安装调试。从通过验收即日起质量保证期限内所有由于质量问题导致的硬件产品故障以免费保修、免费人工及免费更换备件标准上门服务，并提供终身维护；提供完整的操作维修手册1套。</w:t>
            </w:r>
          </w:p>
          <w:p w14:paraId="70F8DC44">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3</w:t>
            </w:r>
            <w:r>
              <w:rPr>
                <w:rFonts w:hint="eastAsia" w:ascii="宋体" w:hAnsi="宋体"/>
                <w:b w:val="0"/>
                <w:bCs w:val="0"/>
                <w:color w:val="auto"/>
                <w:sz w:val="21"/>
                <w:szCs w:val="21"/>
                <w:lang w:eastAsia="zh-CN"/>
              </w:rPr>
              <w:t>、</w:t>
            </w:r>
            <w:r>
              <w:rPr>
                <w:rFonts w:hint="eastAsia" w:ascii="宋体" w:hAnsi="宋体"/>
                <w:b w:val="0"/>
                <w:bCs w:val="0"/>
                <w:color w:val="auto"/>
                <w:sz w:val="21"/>
                <w:szCs w:val="21"/>
              </w:rPr>
              <w:t>必须是全新、原装的，未使用过的产品。供应商须负责提供现场应用和维护培训服务。</w:t>
            </w:r>
          </w:p>
          <w:p w14:paraId="13E45C26">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4</w:t>
            </w:r>
            <w:r>
              <w:rPr>
                <w:rFonts w:hint="eastAsia" w:ascii="宋体" w:hAnsi="宋体"/>
                <w:b w:val="0"/>
                <w:bCs w:val="0"/>
                <w:color w:val="auto"/>
                <w:sz w:val="21"/>
                <w:szCs w:val="21"/>
                <w:lang w:eastAsia="zh-CN"/>
              </w:rPr>
              <w:t>、</w:t>
            </w:r>
            <w:r>
              <w:rPr>
                <w:rFonts w:hint="eastAsia" w:ascii="宋体" w:hAnsi="宋体"/>
                <w:b w:val="0"/>
                <w:bCs w:val="0"/>
                <w:color w:val="auto"/>
                <w:sz w:val="21"/>
                <w:szCs w:val="21"/>
              </w:rPr>
              <w:t>提供7×24小时的技术支持服务。如发生质量问题或故障，成交供应商接到采购人通知后2小时内响应，需要到现场处理时12小时内到达，一般质量问题处理时限不超过12小时，重大质量问题处理时限不超过48小时。</w:t>
            </w:r>
          </w:p>
          <w:p w14:paraId="04013729">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5</w:t>
            </w:r>
            <w:r>
              <w:rPr>
                <w:rFonts w:hint="eastAsia" w:ascii="宋体" w:hAnsi="宋体"/>
                <w:b w:val="0"/>
                <w:bCs w:val="0"/>
                <w:color w:val="auto"/>
                <w:sz w:val="21"/>
                <w:szCs w:val="21"/>
                <w:lang w:eastAsia="zh-CN"/>
              </w:rPr>
              <w:t>、</w:t>
            </w:r>
            <w:r>
              <w:rPr>
                <w:rFonts w:hint="eastAsia" w:ascii="宋体" w:hAnsi="宋体"/>
                <w:b w:val="0"/>
                <w:bCs w:val="0"/>
                <w:color w:val="auto"/>
                <w:sz w:val="21"/>
                <w:szCs w:val="21"/>
                <w:lang w:val="en-US" w:eastAsia="zh-CN"/>
              </w:rPr>
              <w:t>中标</w:t>
            </w:r>
            <w:r>
              <w:rPr>
                <w:rFonts w:hint="eastAsia" w:ascii="宋体" w:hAnsi="宋体"/>
                <w:b w:val="0"/>
                <w:bCs w:val="0"/>
                <w:color w:val="auto"/>
                <w:sz w:val="21"/>
                <w:szCs w:val="21"/>
              </w:rPr>
              <w:t>供应商所竞产品，在质量保修期如有质量监督部门要求对产品进行检测、检验时，必须派出厂方代表协助检查，无论产品有无质量问题，</w:t>
            </w:r>
            <w:r>
              <w:rPr>
                <w:rFonts w:hint="eastAsia" w:ascii="宋体" w:hAnsi="宋体"/>
                <w:b w:val="0"/>
                <w:bCs w:val="0"/>
                <w:color w:val="auto"/>
                <w:sz w:val="21"/>
                <w:szCs w:val="21"/>
                <w:lang w:val="en-US" w:eastAsia="zh-CN"/>
              </w:rPr>
              <w:t>中标</w:t>
            </w:r>
            <w:r>
              <w:rPr>
                <w:rFonts w:hint="eastAsia" w:ascii="宋体" w:hAnsi="宋体"/>
                <w:b w:val="0"/>
                <w:bCs w:val="0"/>
                <w:color w:val="auto"/>
                <w:sz w:val="21"/>
                <w:szCs w:val="21"/>
              </w:rPr>
              <w:t>供应商均应承担全部费用及相应的责任。</w:t>
            </w:r>
          </w:p>
          <w:p w14:paraId="453C099F">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6</w:t>
            </w:r>
            <w:r>
              <w:rPr>
                <w:rFonts w:hint="eastAsia" w:ascii="宋体" w:hAnsi="宋体"/>
                <w:b w:val="0"/>
                <w:bCs w:val="0"/>
                <w:color w:val="auto"/>
                <w:sz w:val="21"/>
                <w:szCs w:val="21"/>
                <w:lang w:eastAsia="zh-CN"/>
              </w:rPr>
              <w:t>、</w:t>
            </w:r>
            <w:r>
              <w:rPr>
                <w:rFonts w:hint="eastAsia" w:ascii="宋体" w:hAnsi="宋体"/>
                <w:b w:val="0"/>
                <w:bCs w:val="0"/>
                <w:color w:val="auto"/>
                <w:sz w:val="21"/>
                <w:szCs w:val="21"/>
              </w:rPr>
              <w:t>供应商为采购人提供</w:t>
            </w:r>
            <w:r>
              <w:rPr>
                <w:rFonts w:hint="eastAsia" w:ascii="宋体" w:hAnsi="宋体"/>
                <w:b w:val="0"/>
                <w:bCs w:val="0"/>
                <w:color w:val="auto"/>
                <w:sz w:val="21"/>
                <w:szCs w:val="21"/>
                <w:lang w:val="en-US" w:eastAsia="zh-CN"/>
              </w:rPr>
              <w:t>不少</w:t>
            </w:r>
            <w:r>
              <w:rPr>
                <w:rFonts w:hint="eastAsia" w:ascii="宋体" w:hAnsi="宋体"/>
                <w:b w:val="0"/>
                <w:bCs w:val="0"/>
                <w:color w:val="auto"/>
                <w:sz w:val="21"/>
                <w:szCs w:val="21"/>
              </w:rPr>
              <w:t>2次现场培训，培训对象包含设备操作人员、维修人员的操作及维护培训，采购人使用人员至少1人，保证使用人员正常操作设备的各种功能。主要内容应为设备的基本结构、性能、主要部件的构造及原理，日常使用操作、保养与管理，常见故障的排除，紧急情况的处理等，能达到熟练使用设备及进行日常维护的水平。</w:t>
            </w:r>
          </w:p>
          <w:p w14:paraId="5C232F86">
            <w:pPr>
              <w:spacing w:line="400" w:lineRule="atLeast"/>
              <w:rPr>
                <w:rFonts w:hint="eastAsia" w:ascii="宋体" w:hAnsi="宋体"/>
                <w:b w:val="0"/>
                <w:bCs w:val="0"/>
                <w:color w:val="auto"/>
                <w:sz w:val="21"/>
                <w:szCs w:val="21"/>
              </w:rPr>
            </w:pPr>
            <w:r>
              <w:rPr>
                <w:rFonts w:hint="eastAsia" w:ascii="宋体" w:hAnsi="宋体"/>
                <w:b w:val="0"/>
                <w:bCs w:val="0"/>
                <w:color w:val="auto"/>
                <w:sz w:val="21"/>
                <w:szCs w:val="21"/>
              </w:rPr>
              <w:t>7</w:t>
            </w:r>
            <w:r>
              <w:rPr>
                <w:rFonts w:hint="eastAsia" w:ascii="宋体" w:hAnsi="宋体"/>
                <w:b w:val="0"/>
                <w:bCs w:val="0"/>
                <w:color w:val="auto"/>
                <w:sz w:val="21"/>
                <w:szCs w:val="21"/>
                <w:lang w:eastAsia="zh-CN"/>
              </w:rPr>
              <w:t>、</w:t>
            </w:r>
            <w:r>
              <w:rPr>
                <w:rFonts w:hint="eastAsia" w:ascii="宋体" w:hAnsi="宋体"/>
                <w:b w:val="0"/>
                <w:bCs w:val="0"/>
                <w:color w:val="auto"/>
                <w:sz w:val="21"/>
                <w:szCs w:val="21"/>
              </w:rPr>
              <w:t>本项目的技术支持水平包括但不限于：电话技术服务、现场技术服务、定期巡查服务、技术升级服务等。</w:t>
            </w:r>
          </w:p>
          <w:p w14:paraId="175DF18B">
            <w:pPr>
              <w:spacing w:line="400" w:lineRule="atLeast"/>
              <w:rPr>
                <w:rFonts w:hint="eastAsia" w:ascii="宋体" w:hAnsi="宋体" w:eastAsia="宋体" w:cs="Times New Roman"/>
                <w:b w:val="0"/>
                <w:bCs w:val="0"/>
                <w:color w:val="auto"/>
                <w:sz w:val="21"/>
                <w:szCs w:val="21"/>
              </w:rPr>
            </w:pPr>
            <w:r>
              <w:rPr>
                <w:rFonts w:hint="eastAsia" w:ascii="宋体" w:hAnsi="宋体"/>
                <w:b w:val="0"/>
                <w:bCs w:val="0"/>
                <w:color w:val="auto"/>
                <w:sz w:val="21"/>
                <w:szCs w:val="21"/>
              </w:rPr>
              <w:t>8</w:t>
            </w:r>
            <w:r>
              <w:rPr>
                <w:rFonts w:hint="eastAsia" w:ascii="宋体" w:hAnsi="宋体"/>
                <w:b w:val="0"/>
                <w:bCs w:val="0"/>
                <w:color w:val="auto"/>
                <w:sz w:val="21"/>
                <w:szCs w:val="21"/>
                <w:lang w:eastAsia="zh-CN"/>
              </w:rPr>
              <w:t>、</w:t>
            </w:r>
            <w:r>
              <w:rPr>
                <w:rFonts w:hint="eastAsia" w:ascii="宋体" w:hAnsi="宋体"/>
                <w:b w:val="0"/>
                <w:bCs w:val="0"/>
                <w:color w:val="auto"/>
                <w:sz w:val="21"/>
                <w:szCs w:val="21"/>
              </w:rPr>
              <w:t>若采购人要求采购的设备需要接口开发，</w:t>
            </w:r>
            <w:r>
              <w:rPr>
                <w:rFonts w:hint="eastAsia" w:ascii="宋体" w:hAnsi="宋体"/>
                <w:b w:val="0"/>
                <w:bCs w:val="0"/>
                <w:color w:val="auto"/>
                <w:sz w:val="21"/>
                <w:szCs w:val="21"/>
                <w:lang w:eastAsia="zh-CN"/>
              </w:rPr>
              <w:t>中标</w:t>
            </w:r>
            <w:r>
              <w:rPr>
                <w:rFonts w:hint="eastAsia" w:ascii="宋体" w:hAnsi="宋体"/>
                <w:b w:val="0"/>
                <w:bCs w:val="0"/>
                <w:color w:val="auto"/>
                <w:sz w:val="21"/>
                <w:szCs w:val="21"/>
              </w:rPr>
              <w:t>供应商必须完成设备与采购人院内信息系统的接口</w:t>
            </w:r>
            <w:r>
              <w:rPr>
                <w:rFonts w:hint="eastAsia" w:ascii="宋体" w:hAnsi="宋体" w:eastAsia="宋体" w:cs="Times New Roman"/>
                <w:b w:val="0"/>
                <w:bCs w:val="0"/>
                <w:color w:val="auto"/>
                <w:sz w:val="21"/>
                <w:szCs w:val="21"/>
              </w:rPr>
              <w:t>开发，如His、Lis、PACS等。</w:t>
            </w:r>
          </w:p>
          <w:p w14:paraId="4EED87A9">
            <w:pPr>
              <w:spacing w:line="400" w:lineRule="atLeast"/>
              <w:rPr>
                <w:rFonts w:hint="eastAsia" w:ascii="宋体" w:hAnsi="宋体"/>
                <w:b w:val="0"/>
                <w:bCs w:val="0"/>
                <w:color w:val="auto"/>
                <w:sz w:val="21"/>
                <w:szCs w:val="21"/>
                <w:lang w:eastAsia="zh-CN"/>
              </w:rPr>
            </w:pPr>
            <w:r>
              <w:rPr>
                <w:rFonts w:hint="eastAsia" w:ascii="宋体" w:hAnsi="宋体"/>
                <w:b w:val="0"/>
                <w:bCs w:val="0"/>
                <w:color w:val="auto"/>
                <w:sz w:val="21"/>
                <w:szCs w:val="21"/>
              </w:rPr>
              <w:t>9</w:t>
            </w:r>
            <w:r>
              <w:rPr>
                <w:rFonts w:hint="eastAsia" w:ascii="宋体" w:hAnsi="宋体"/>
                <w:b w:val="0"/>
                <w:bCs w:val="0"/>
                <w:color w:val="auto"/>
                <w:sz w:val="21"/>
                <w:szCs w:val="21"/>
                <w:lang w:eastAsia="zh-CN"/>
              </w:rPr>
              <w:t>、</w:t>
            </w:r>
            <w:r>
              <w:rPr>
                <w:rFonts w:hint="default" w:ascii="宋体" w:hAnsi="宋体" w:eastAsia="宋体" w:cs="宋体"/>
                <w:color w:val="auto"/>
                <w:sz w:val="21"/>
                <w:szCs w:val="21"/>
                <w:highlight w:val="none"/>
                <w:lang w:val="en-US" w:eastAsia="zh-CN"/>
              </w:rPr>
              <w:t>超过质保期后厂家无条件开放第三方维修维保服务或提供相关维修密钥。</w:t>
            </w:r>
          </w:p>
          <w:p w14:paraId="7EE2B553">
            <w:pPr>
              <w:spacing w:line="400" w:lineRule="atLeast"/>
              <w:rPr>
                <w:rFonts w:hint="default"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10、</w:t>
            </w:r>
            <w:r>
              <w:rPr>
                <w:rFonts w:hint="eastAsia" w:ascii="宋体" w:hAnsi="宋体"/>
                <w:b w:val="0"/>
                <w:bCs w:val="0"/>
                <w:color w:val="auto"/>
                <w:sz w:val="21"/>
                <w:szCs w:val="21"/>
              </w:rPr>
              <w:t>其余按厂家承诺进行。</w:t>
            </w:r>
          </w:p>
        </w:tc>
      </w:tr>
      <w:tr w14:paraId="396E4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9"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08042E88">
            <w:pPr>
              <w:spacing w:line="400" w:lineRule="atLeast"/>
              <w:jc w:val="center"/>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报价要求</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1C8800DF">
            <w:pPr>
              <w:spacing w:line="400" w:lineRule="exact"/>
              <w:rPr>
                <w:b w:val="0"/>
                <w:bCs w:val="0"/>
                <w:color w:val="auto"/>
                <w:sz w:val="21"/>
                <w:szCs w:val="21"/>
              </w:rPr>
            </w:pPr>
            <w:r>
              <w:rPr>
                <w:rFonts w:hint="eastAsia" w:ascii="宋体" w:hAnsi="宋体" w:cs="宋体"/>
                <w:b/>
                <w:bCs/>
                <w:color w:val="auto"/>
                <w:szCs w:val="21"/>
                <w:highlight w:val="none"/>
              </w:rPr>
              <w:t>投标</w:t>
            </w:r>
            <w:r>
              <w:rPr>
                <w:rFonts w:hint="eastAsia"/>
                <w:b/>
                <w:bCs/>
                <w:color w:val="auto"/>
                <w:highlight w:val="none"/>
              </w:rPr>
              <w:t>报价</w:t>
            </w:r>
            <w:r>
              <w:rPr>
                <w:rFonts w:hint="eastAsia" w:ascii="宋体" w:hAnsi="宋体"/>
                <w:b/>
                <w:bCs/>
                <w:color w:val="auto"/>
                <w:szCs w:val="21"/>
                <w:highlight w:val="none"/>
              </w:rPr>
              <w:t>是履行合同的最终价格</w:t>
            </w:r>
            <w:r>
              <w:rPr>
                <w:rFonts w:hint="eastAsia" w:ascii="宋体" w:hAnsi="宋体"/>
                <w:color w:val="auto"/>
                <w:szCs w:val="21"/>
                <w:highlight w:val="none"/>
              </w:rPr>
              <w:t>，</w:t>
            </w:r>
            <w:r>
              <w:rPr>
                <w:rFonts w:hint="eastAsia" w:ascii="宋体" w:hAnsi="宋体" w:cs="宋体"/>
                <w:color w:val="auto"/>
                <w:szCs w:val="21"/>
                <w:highlight w:val="none"/>
              </w:rPr>
              <w:t>该报价包含货物、货物标准附件、备品备件、专用工具、设备安装辅材、施工辅材、包装、运输、装卸（包含高空制作安装费、吊车租赁等）、保险、货到就位的各种费用以及安装、调试、产品质保期内维护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合同履行过程中，采购人不再支付合同以外的其他费用。供应商负责工人人身、设备安全责任，验收前，设备丢失自行负责。（采购需求另有约定的，从其约定）</w:t>
            </w:r>
          </w:p>
        </w:tc>
      </w:tr>
      <w:tr w14:paraId="5E06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44E1BFEE">
            <w:pPr>
              <w:spacing w:line="400" w:lineRule="atLeast"/>
              <w:jc w:val="center"/>
              <w:rPr>
                <w:rFonts w:hint="eastAsia" w:ascii="宋体" w:hAnsi="宋体" w:eastAsia="宋体" w:cs="Times New Roman"/>
                <w:b w:val="0"/>
                <w:bCs w:val="0"/>
                <w:color w:val="auto"/>
                <w:sz w:val="21"/>
                <w:szCs w:val="21"/>
                <w:lang w:eastAsia="zh-CN"/>
              </w:rPr>
            </w:pPr>
            <w:r>
              <w:rPr>
                <w:rFonts w:hint="eastAsia" w:ascii="宋体" w:hAnsi="宋体" w:eastAsia="宋体" w:cs="Times New Roman"/>
                <w:b w:val="0"/>
                <w:bCs w:val="0"/>
                <w:color w:val="auto"/>
                <w:sz w:val="21"/>
                <w:szCs w:val="21"/>
              </w:rPr>
              <w:t>验收</w:t>
            </w:r>
            <w:r>
              <w:rPr>
                <w:rFonts w:hint="eastAsia" w:ascii="宋体" w:hAnsi="宋体" w:eastAsia="宋体" w:cs="Times New Roman"/>
                <w:b w:val="0"/>
                <w:bCs w:val="0"/>
                <w:color w:val="auto"/>
                <w:sz w:val="21"/>
                <w:szCs w:val="21"/>
                <w:lang w:eastAsia="zh-CN"/>
              </w:rPr>
              <w:t>标准</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34BB2B11">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1、验收过程中所产生的一切费用均由中标人承担。</w:t>
            </w:r>
          </w:p>
          <w:p w14:paraId="5B19D259">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2、产品到达现场后，中标人应在招标单位人员在场情况下当面开箱，共同清点、检查外观，作出开箱记录，双方签字确认。中标人应保证货物到达招标人所在地完好无损，如有缺漏、</w:t>
            </w:r>
            <w:r>
              <w:rPr>
                <w:rFonts w:hint="eastAsia" w:ascii="宋体" w:hAnsi="宋体" w:eastAsia="宋体" w:cs="Times New Roman"/>
                <w:b w:val="0"/>
                <w:bCs w:val="0"/>
                <w:color w:val="auto"/>
                <w:sz w:val="21"/>
                <w:szCs w:val="21"/>
                <w:lang w:val="en-US" w:eastAsia="zh-CN"/>
              </w:rPr>
              <w:t>损坏，由中标人负责调换、补齐或赔偿。</w:t>
            </w:r>
          </w:p>
          <w:p w14:paraId="53BFE09D">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3、产品或服务在安装调试并试运行符合要求后，由采购单位组织成立的验收小组按照采购合同规定的技术、服务、功能、安全标准组织对供应商履约情况进行验收，作出验收结论性意见，并出具采购项目验收书。采购项目的验收，必须严格按照合同与补充合同的约定进行，不得增加合同与补充合同内容规定以外的新的验收内容或标准。验收过程，中标供应商必须到场配合，招标代理机构派代表全程参与验收，验收合格后三方签署验收合格资料。</w:t>
            </w:r>
          </w:p>
          <w:p w14:paraId="0CCEB8DD">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4、中标人提供的货物或服务未达到招标文件规定的要求，且对招标人造成损失的，由中标人承担一切责任，并赔偿所造成的损失。</w:t>
            </w:r>
          </w:p>
          <w:p w14:paraId="6D929271">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5、招标人需要制造商对中标人交付的产品或服务（包括质量、参数等）进行确认的，制造商应予以配合并出具书面意见，相关配合事项由中标人与制造商协调。</w:t>
            </w:r>
          </w:p>
          <w:p w14:paraId="3040B99E">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6、</w:t>
            </w:r>
            <w:r>
              <w:rPr>
                <w:rFonts w:hint="eastAsia" w:ascii="宋体" w:hAnsi="宋体" w:eastAsia="宋体" w:cs="Times New Roman"/>
                <w:b w:val="0"/>
                <w:bCs w:val="0"/>
                <w:color w:val="auto"/>
                <w:sz w:val="21"/>
                <w:szCs w:val="21"/>
                <w:lang w:val="en-US" w:eastAsia="zh-CN"/>
              </w:rPr>
              <w:t>中标人在验收时需附上设备有效的医疗器械注册证复印件。（如涉及2</w:t>
            </w:r>
            <w:r>
              <w:rPr>
                <w:rFonts w:hint="eastAsia" w:ascii="宋体" w:hAnsi="宋体" w:eastAsia="宋体" w:cs="Times New Roman"/>
                <w:b w:val="0"/>
                <w:bCs w:val="0"/>
                <w:color w:val="auto"/>
                <w:sz w:val="21"/>
                <w:szCs w:val="21"/>
                <w:lang w:val="en-US" w:eastAsia="zh-CN"/>
              </w:rPr>
              <w:t>类、3类医疗器械时必须提供，1类医疗器械如有请提供，不涉及医疗器械不提供。）</w:t>
            </w:r>
          </w:p>
          <w:p w14:paraId="2C9CE1D0">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7、产品包装材料归招标人所有。</w:t>
            </w:r>
          </w:p>
          <w:p w14:paraId="14B0FD3E">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 xml:space="preserve">8、其他未尽事宜应参照《关于印发广西壮族自治区政府采购项目履约验收管理办法的通知》[桂财采〔2015〕22 号]以及《财政部关于进一步加强政府采购需求和履约验收管理的指导意见》[财库〔2016〕205 号]规定执行。 </w:t>
            </w:r>
          </w:p>
        </w:tc>
      </w:tr>
      <w:tr w14:paraId="4802C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7F8553E0">
            <w:pPr>
              <w:spacing w:line="400" w:lineRule="atLeast"/>
              <w:jc w:val="center"/>
              <w:rPr>
                <w:rFonts w:hint="eastAsia" w:ascii="宋体" w:hAnsi="宋体" w:eastAsia="宋体"/>
                <w:b w:val="0"/>
                <w:bCs w:val="0"/>
                <w:color w:val="auto"/>
                <w:sz w:val="21"/>
                <w:szCs w:val="21"/>
                <w:lang w:eastAsia="zh-CN"/>
              </w:rPr>
            </w:pPr>
            <w:r>
              <w:rPr>
                <w:rFonts w:hint="eastAsia" w:ascii="宋体" w:hAnsi="宋体" w:eastAsia="宋体" w:cs="Times New Roman"/>
                <w:b w:val="0"/>
                <w:bCs w:val="0"/>
                <w:color w:val="auto"/>
                <w:sz w:val="21"/>
                <w:szCs w:val="21"/>
                <w:lang w:eastAsia="zh-CN"/>
              </w:rPr>
              <w:t>其它要求</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7E8E7185">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1、招标人保留对所采购的所有设备的系统运行检验的权利。如中标人不具备实施本项目的技术能力和服务能力，虚假应标的，招标单位有权不予验收，可解除双方的供货合同，并且保留追究中标人虚假应标的法律责任。</w:t>
            </w:r>
          </w:p>
          <w:p w14:paraId="55B202DB">
            <w:pPr>
              <w:spacing w:line="360" w:lineRule="exact"/>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2、采购需求中</w:t>
            </w:r>
            <w:r>
              <w:rPr>
                <w:rFonts w:hint="eastAsia" w:ascii="宋体" w:hAnsi="宋体" w:eastAsia="宋体" w:cs="Times New Roman"/>
                <w:b/>
                <w:bCs/>
                <w:color w:val="auto"/>
                <w:sz w:val="21"/>
                <w:szCs w:val="21"/>
                <w:lang w:val="en-US" w:eastAsia="zh-CN"/>
              </w:rPr>
              <w:t>的“</w:t>
            </w:r>
            <w:r>
              <w:rPr>
                <w:rFonts w:hint="eastAsia" w:ascii="宋体" w:hAnsi="宋体"/>
                <w:b/>
                <w:bCs/>
                <w:color w:val="auto"/>
                <w:szCs w:val="21"/>
              </w:rPr>
              <w:t>功能目标、服务内容及技术要求</w:t>
            </w:r>
            <w:r>
              <w:rPr>
                <w:rFonts w:hint="eastAsia" w:ascii="宋体" w:hAnsi="宋体" w:eastAsia="宋体" w:cs="Times New Roman"/>
                <w:b/>
                <w:bCs/>
                <w:color w:val="auto"/>
                <w:sz w:val="21"/>
                <w:szCs w:val="21"/>
                <w:lang w:val="en-US" w:eastAsia="zh-CN"/>
              </w:rPr>
              <w:t>”（包含附件）中标注“▲”为本次项目实质性要求，不允许负偏离，必须提供相应的佐证材料（可以是厂家出具的</w:t>
            </w:r>
            <w:r>
              <w:rPr>
                <w:rFonts w:hint="eastAsia" w:hAnsi="宋体" w:eastAsia="宋体" w:cs="宋体"/>
                <w:b/>
                <w:bCs/>
                <w:color w:val="auto"/>
                <w:sz w:val="21"/>
                <w:szCs w:val="21"/>
                <w:lang w:eastAsia="zh-CN"/>
              </w:rPr>
              <w:t>产品技术白皮书</w:t>
            </w:r>
            <w:r>
              <w:rPr>
                <w:rFonts w:hint="eastAsia" w:hAnsi="宋体" w:cs="宋体"/>
                <w:b/>
                <w:bCs/>
                <w:color w:val="auto"/>
                <w:sz w:val="21"/>
                <w:szCs w:val="21"/>
              </w:rPr>
              <w:t>或含有技术参数的宣传彩页或第三方检测机构出具的</w:t>
            </w:r>
            <w:r>
              <w:rPr>
                <w:rFonts w:hint="eastAsia" w:hAnsi="宋体" w:cs="宋体"/>
                <w:b/>
                <w:bCs/>
                <w:color w:val="auto"/>
                <w:sz w:val="21"/>
                <w:szCs w:val="21"/>
                <w:lang w:val="en-US" w:eastAsia="zh-CN"/>
              </w:rPr>
              <w:t>完整有效的</w:t>
            </w:r>
            <w:r>
              <w:rPr>
                <w:rFonts w:hint="eastAsia" w:hAnsi="宋体" w:cs="宋体"/>
                <w:b/>
                <w:bCs/>
                <w:color w:val="auto"/>
                <w:sz w:val="21"/>
                <w:szCs w:val="21"/>
              </w:rPr>
              <w:t>检验报告复印件</w:t>
            </w:r>
            <w:r>
              <w:rPr>
                <w:rFonts w:hint="eastAsia" w:ascii="宋体" w:hAnsi="宋体" w:eastAsia="宋体" w:cs="Times New Roman"/>
                <w:b/>
                <w:bCs/>
                <w:color w:val="auto"/>
                <w:sz w:val="21"/>
                <w:szCs w:val="21"/>
                <w:lang w:val="en-US" w:eastAsia="zh-CN"/>
              </w:rPr>
              <w:t>）且该证明材料必需包含全部投标产品所有标注“▲”的技术参数，同时，在提供的佐证材料中圈出或标注出证明材料中的所有标注“▲”的技术参数，以方便评审。加盖供应商公章，否则投标文件按无效响应处理。当技术要求偏离表响应参数与厂家出具的</w:t>
            </w:r>
            <w:r>
              <w:rPr>
                <w:rFonts w:hint="eastAsia" w:hAnsi="宋体" w:eastAsia="宋体" w:cs="宋体"/>
                <w:b/>
                <w:bCs/>
                <w:color w:val="auto"/>
                <w:sz w:val="21"/>
                <w:szCs w:val="21"/>
                <w:lang w:eastAsia="zh-CN"/>
              </w:rPr>
              <w:t>产品技术白皮书</w:t>
            </w:r>
            <w:r>
              <w:rPr>
                <w:rFonts w:hint="eastAsia" w:hAnsi="宋体" w:cs="宋体"/>
                <w:b/>
                <w:bCs/>
                <w:color w:val="auto"/>
                <w:sz w:val="21"/>
                <w:szCs w:val="21"/>
              </w:rPr>
              <w:t>或含有技术参数的宣传彩页或第三方检测机构出具的</w:t>
            </w:r>
            <w:r>
              <w:rPr>
                <w:rFonts w:hint="eastAsia" w:hAnsi="宋体" w:cs="宋体"/>
                <w:b/>
                <w:bCs/>
                <w:color w:val="auto"/>
                <w:sz w:val="21"/>
                <w:szCs w:val="21"/>
                <w:lang w:val="en-US" w:eastAsia="zh-CN"/>
              </w:rPr>
              <w:t>完整有效的</w:t>
            </w:r>
            <w:r>
              <w:rPr>
                <w:rFonts w:hint="eastAsia" w:hAnsi="宋体" w:cs="宋体"/>
                <w:b/>
                <w:bCs/>
                <w:color w:val="auto"/>
                <w:sz w:val="21"/>
                <w:szCs w:val="21"/>
              </w:rPr>
              <w:t>检验报告</w:t>
            </w:r>
            <w:r>
              <w:rPr>
                <w:rFonts w:hint="eastAsia" w:ascii="宋体" w:hAnsi="宋体" w:eastAsia="宋体" w:cs="Times New Roman"/>
                <w:b/>
                <w:bCs/>
                <w:color w:val="auto"/>
                <w:sz w:val="21"/>
                <w:szCs w:val="21"/>
                <w:lang w:val="en-US" w:eastAsia="zh-CN"/>
              </w:rPr>
              <w:t>不符的，以后者为准。</w:t>
            </w:r>
          </w:p>
          <w:p w14:paraId="73D5796E">
            <w:pPr>
              <w:spacing w:line="360" w:lineRule="exac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lang w:val="en-US" w:eastAsia="zh-CN"/>
              </w:rPr>
              <w:t>3、招标人不接受任何形式的馈赠。</w:t>
            </w:r>
          </w:p>
        </w:tc>
      </w:tr>
      <w:tr w14:paraId="6E791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6CAD96A9">
            <w:pPr>
              <w:spacing w:line="360" w:lineRule="auto"/>
              <w:rPr>
                <w:rFonts w:hint="eastAsia" w:ascii="宋体" w:hAnsi="宋体" w:eastAsia="宋体" w:cs="Times New Roman"/>
                <w:b w:val="0"/>
                <w:bCs w:val="0"/>
                <w:color w:val="auto"/>
                <w:sz w:val="21"/>
                <w:szCs w:val="21"/>
                <w:lang w:eastAsia="zh-CN"/>
              </w:rPr>
            </w:pPr>
            <w:r>
              <w:rPr>
                <w:rFonts w:hint="eastAsia" w:ascii="宋体" w:hAnsi="宋体"/>
                <w:b w:val="0"/>
                <w:bCs w:val="0"/>
                <w:color w:val="auto"/>
                <w:sz w:val="21"/>
                <w:szCs w:val="21"/>
              </w:rPr>
              <w:t>▲</w:t>
            </w:r>
            <w:r>
              <w:rPr>
                <w:rFonts w:hint="eastAsia" w:ascii="宋体" w:hAnsi="宋体"/>
                <w:b/>
                <w:bCs/>
                <w:color w:val="auto"/>
                <w:sz w:val="21"/>
                <w:szCs w:val="21"/>
                <w:lang w:eastAsia="zh-CN"/>
              </w:rPr>
              <w:t>二</w:t>
            </w:r>
            <w:r>
              <w:rPr>
                <w:rFonts w:hint="eastAsia" w:ascii="宋体" w:hAnsi="宋体"/>
                <w:b/>
                <w:bCs/>
                <w:color w:val="auto"/>
                <w:sz w:val="21"/>
                <w:szCs w:val="21"/>
              </w:rPr>
              <w:t>、</w:t>
            </w:r>
            <w:r>
              <w:rPr>
                <w:rFonts w:hint="eastAsia" w:ascii="宋体" w:hAnsi="宋体" w:eastAsia="宋体" w:cs="Times New Roman"/>
                <w:b/>
                <w:bCs/>
                <w:color w:val="auto"/>
                <w:sz w:val="21"/>
                <w:szCs w:val="21"/>
                <w:lang w:eastAsia="zh-CN"/>
              </w:rPr>
              <w:t>核心产品</w:t>
            </w:r>
          </w:p>
        </w:tc>
      </w:tr>
      <w:tr w14:paraId="0614F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471" w:type="dxa"/>
            <w:gridSpan w:val="2"/>
            <w:tcBorders>
              <w:top w:val="single" w:color="auto" w:sz="4" w:space="0"/>
              <w:left w:val="single" w:color="auto" w:sz="4" w:space="0"/>
              <w:bottom w:val="single" w:color="auto" w:sz="4" w:space="0"/>
              <w:right w:val="single" w:color="auto" w:sz="4" w:space="0"/>
            </w:tcBorders>
            <w:noWrap w:val="0"/>
            <w:vAlign w:val="center"/>
          </w:tcPr>
          <w:p w14:paraId="5A41432F">
            <w:pPr>
              <w:spacing w:line="360" w:lineRule="exact"/>
              <w:jc w:val="center"/>
              <w:rPr>
                <w:rFonts w:hint="eastAsia" w:ascii="宋体" w:hAnsi="宋体"/>
                <w:b w:val="0"/>
                <w:bCs w:val="0"/>
                <w:color w:val="auto"/>
                <w:sz w:val="21"/>
                <w:szCs w:val="21"/>
              </w:rPr>
            </w:pPr>
            <w:r>
              <w:rPr>
                <w:rFonts w:hint="eastAsia" w:ascii="宋体" w:hAnsi="宋体"/>
                <w:b w:val="0"/>
                <w:bCs w:val="0"/>
                <w:color w:val="auto"/>
                <w:sz w:val="21"/>
                <w:szCs w:val="21"/>
                <w:lang w:eastAsia="zh-CN"/>
              </w:rPr>
              <w:t>说明</w:t>
            </w:r>
          </w:p>
        </w:tc>
        <w:tc>
          <w:tcPr>
            <w:tcW w:w="8169" w:type="dxa"/>
            <w:gridSpan w:val="4"/>
            <w:tcBorders>
              <w:top w:val="single" w:color="auto" w:sz="4" w:space="0"/>
              <w:left w:val="single" w:color="auto" w:sz="4" w:space="0"/>
              <w:bottom w:val="single" w:color="auto" w:sz="4" w:space="0"/>
              <w:right w:val="single" w:color="auto" w:sz="4" w:space="0"/>
            </w:tcBorders>
            <w:noWrap w:val="0"/>
            <w:vAlign w:val="center"/>
          </w:tcPr>
          <w:p w14:paraId="5EF1B184">
            <w:pPr>
              <w:spacing w:line="360" w:lineRule="exact"/>
              <w:ind w:firstLine="411" w:firstLineChars="196"/>
              <w:rPr>
                <w:rFonts w:hint="eastAsia" w:ascii="宋体" w:hAnsi="宋体" w:eastAsia="宋体"/>
                <w:b w:val="0"/>
                <w:bCs w:val="0"/>
                <w:color w:val="auto"/>
                <w:sz w:val="21"/>
                <w:szCs w:val="21"/>
                <w:lang w:eastAsia="zh-CN"/>
              </w:rPr>
            </w:pPr>
            <w:r>
              <w:rPr>
                <w:rFonts w:hint="eastAsia" w:ascii="宋体" w:hAnsi="宋体"/>
                <w:b w:val="0"/>
                <w:bCs w:val="0"/>
                <w:color w:val="auto"/>
                <w:sz w:val="21"/>
                <w:szCs w:val="21"/>
              </w:rPr>
              <w:t>核心产品：</w:t>
            </w:r>
            <w:r>
              <w:rPr>
                <w:rFonts w:hint="eastAsia" w:ascii="宋体" w:hAnsi="宋体" w:cs="宋体"/>
                <w:b/>
                <w:color w:val="auto"/>
                <w:szCs w:val="21"/>
                <w:highlight w:val="none"/>
                <w:u w:val="single"/>
              </w:rPr>
              <w:t xml:space="preserve">     /       </w:t>
            </w:r>
            <w:r>
              <w:rPr>
                <w:rFonts w:hint="eastAsia" w:ascii="宋体" w:hAnsi="宋体"/>
                <w:color w:val="auto"/>
                <w:szCs w:val="21"/>
                <w:highlight w:val="none"/>
              </w:rPr>
              <w:t>。</w:t>
            </w:r>
          </w:p>
          <w:p w14:paraId="210D9844">
            <w:pPr>
              <w:spacing w:line="360" w:lineRule="exact"/>
              <w:ind w:firstLine="411" w:firstLineChars="196"/>
              <w:rPr>
                <w:rFonts w:hint="eastAsia" w:ascii="宋体" w:hAnsi="宋体"/>
                <w:b w:val="0"/>
                <w:bCs w:val="0"/>
                <w:color w:val="auto"/>
                <w:sz w:val="21"/>
                <w:szCs w:val="21"/>
              </w:rPr>
            </w:pPr>
            <w:r>
              <w:rPr>
                <w:rFonts w:hint="eastAsia" w:ascii="宋体" w:hAnsi="宋体"/>
                <w:b w:val="0"/>
                <w:bCs w:val="0"/>
                <w:color w:val="auto"/>
                <w:sz w:val="21"/>
                <w:szCs w:val="21"/>
              </w:rPr>
              <w:t>提供相同品牌产品的不同供应商参加单一产品的同一合同项下的政府采购活动的（或非单一产品采购项目中，多家供应商提供的核心产品品牌相同的），取其中质量和服务均能满足</w:t>
            </w:r>
            <w:r>
              <w:rPr>
                <w:rFonts w:hint="eastAsia" w:ascii="宋体" w:hAnsi="宋体"/>
                <w:b w:val="0"/>
                <w:bCs w:val="0"/>
                <w:color w:val="auto"/>
                <w:sz w:val="21"/>
                <w:szCs w:val="21"/>
                <w:lang w:eastAsia="zh-CN"/>
              </w:rPr>
              <w:t>招标文件</w:t>
            </w:r>
            <w:r>
              <w:rPr>
                <w:rFonts w:hint="eastAsia" w:ascii="宋体" w:hAnsi="宋体"/>
                <w:b w:val="0"/>
                <w:bCs w:val="0"/>
                <w:color w:val="auto"/>
                <w:sz w:val="21"/>
                <w:szCs w:val="21"/>
              </w:rPr>
              <w:t>实质性响应要求且最后</w:t>
            </w:r>
            <w:r>
              <w:rPr>
                <w:rFonts w:hint="eastAsia" w:ascii="宋体" w:hAnsi="宋体"/>
                <w:b w:val="0"/>
                <w:bCs w:val="0"/>
                <w:color w:val="auto"/>
                <w:sz w:val="21"/>
                <w:szCs w:val="21"/>
                <w:lang w:eastAsia="zh-CN"/>
              </w:rPr>
              <w:t>投标</w:t>
            </w:r>
            <w:r>
              <w:rPr>
                <w:rFonts w:hint="eastAsia" w:ascii="宋体" w:hAnsi="宋体"/>
                <w:b w:val="0"/>
                <w:bCs w:val="0"/>
                <w:color w:val="auto"/>
                <w:sz w:val="21"/>
                <w:szCs w:val="21"/>
              </w:rPr>
              <w:t>总报价最低的供应商参加评审；最后报价相同时，则由采购人自主选择确定一家供应商参加评审，其他</w:t>
            </w:r>
            <w:r>
              <w:rPr>
                <w:rFonts w:hint="eastAsia" w:ascii="宋体" w:hAnsi="宋体"/>
                <w:b w:val="0"/>
                <w:bCs w:val="0"/>
                <w:color w:val="auto"/>
                <w:sz w:val="21"/>
                <w:szCs w:val="21"/>
                <w:lang w:eastAsia="zh-CN"/>
              </w:rPr>
              <w:t>投标</w:t>
            </w:r>
            <w:r>
              <w:rPr>
                <w:rFonts w:hint="eastAsia" w:ascii="宋体" w:hAnsi="宋体"/>
                <w:b w:val="0"/>
                <w:bCs w:val="0"/>
                <w:color w:val="auto"/>
                <w:sz w:val="21"/>
                <w:szCs w:val="21"/>
              </w:rPr>
              <w:t>无效。</w:t>
            </w:r>
          </w:p>
        </w:tc>
      </w:tr>
      <w:tr w14:paraId="05EB1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600C578D">
            <w:pPr>
              <w:spacing w:line="360" w:lineRule="auto"/>
              <w:rPr>
                <w:rFonts w:hint="eastAsia" w:ascii="宋体" w:hAnsi="宋体" w:eastAsia="宋体"/>
                <w:b w:val="0"/>
                <w:bCs w:val="0"/>
                <w:color w:val="auto"/>
                <w:sz w:val="21"/>
                <w:szCs w:val="21"/>
                <w:lang w:eastAsia="zh-CN"/>
              </w:rPr>
            </w:pPr>
            <w:r>
              <w:rPr>
                <w:rFonts w:hint="eastAsia" w:ascii="宋体" w:hAnsi="宋体"/>
                <w:b w:val="0"/>
                <w:bCs w:val="0"/>
                <w:color w:val="auto"/>
                <w:sz w:val="21"/>
                <w:szCs w:val="21"/>
              </w:rPr>
              <w:t>▲</w:t>
            </w:r>
            <w:r>
              <w:rPr>
                <w:rFonts w:hint="eastAsia" w:ascii="宋体" w:hAnsi="宋体" w:eastAsia="宋体" w:cs="Times New Roman"/>
                <w:b/>
                <w:bCs/>
                <w:color w:val="auto"/>
                <w:sz w:val="21"/>
                <w:szCs w:val="21"/>
                <w:lang w:eastAsia="zh-CN"/>
              </w:rPr>
              <w:t>三、</w:t>
            </w:r>
            <w:r>
              <w:rPr>
                <w:rFonts w:hint="eastAsia" w:ascii="宋体" w:hAnsi="宋体" w:eastAsia="宋体" w:cs="Times New Roman"/>
                <w:b/>
                <w:bCs/>
                <w:color w:val="auto"/>
                <w:sz w:val="21"/>
                <w:szCs w:val="21"/>
              </w:rPr>
              <w:t>进口</w:t>
            </w:r>
            <w:r>
              <w:rPr>
                <w:rFonts w:hint="eastAsia" w:ascii="宋体" w:hAnsi="宋体"/>
                <w:b/>
                <w:bCs/>
                <w:color w:val="auto"/>
                <w:sz w:val="21"/>
                <w:szCs w:val="21"/>
              </w:rPr>
              <w:t>产品说明</w:t>
            </w:r>
          </w:p>
        </w:tc>
      </w:tr>
      <w:tr w14:paraId="5A14C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40" w:type="dxa"/>
            <w:gridSpan w:val="6"/>
            <w:tcBorders>
              <w:top w:val="single" w:color="auto" w:sz="4" w:space="0"/>
              <w:left w:val="single" w:color="auto" w:sz="4" w:space="0"/>
              <w:bottom w:val="single" w:color="auto" w:sz="4" w:space="0"/>
              <w:right w:val="single" w:color="auto" w:sz="4" w:space="0"/>
            </w:tcBorders>
            <w:noWrap w:val="0"/>
            <w:vAlign w:val="center"/>
          </w:tcPr>
          <w:p w14:paraId="496CEF0C">
            <w:pPr>
              <w:spacing w:line="360" w:lineRule="auto"/>
              <w:rPr>
                <w:rFonts w:hint="eastAsia" w:ascii="宋体" w:hAnsi="宋体" w:eastAsia="宋体" w:cs="Times New Roman"/>
                <w:b w:val="0"/>
                <w:bCs w:val="0"/>
                <w:color w:val="auto"/>
                <w:sz w:val="21"/>
                <w:szCs w:val="21"/>
                <w:lang w:eastAsia="zh-CN"/>
              </w:rPr>
            </w:pPr>
            <w:r>
              <w:rPr>
                <w:rFonts w:hint="eastAsia"/>
                <w:b w:val="0"/>
                <w:bCs w:val="0"/>
                <w:color w:val="auto"/>
                <w:sz w:val="21"/>
                <w:szCs w:val="21"/>
              </w:rPr>
              <w:t>本项目货物不接受进口产品</w:t>
            </w:r>
            <w:r>
              <w:rPr>
                <w:rFonts w:hint="eastAsia"/>
                <w:b w:val="0"/>
                <w:bCs w:val="0"/>
                <w:color w:val="auto"/>
                <w:sz w:val="21"/>
                <w:szCs w:val="21"/>
                <w:lang w:eastAsia="zh-CN"/>
              </w:rPr>
              <w:t>投标</w:t>
            </w:r>
            <w:r>
              <w:rPr>
                <w:rFonts w:hint="eastAsia"/>
                <w:b w:val="0"/>
                <w:bCs w:val="0"/>
                <w:color w:val="auto"/>
                <w:sz w:val="21"/>
                <w:szCs w:val="21"/>
              </w:rPr>
              <w:t>（</w:t>
            </w:r>
            <w:r>
              <w:rPr>
                <w:rFonts w:hint="eastAsia" w:hAnsi="宋体"/>
                <w:b w:val="0"/>
                <w:bCs w:val="0"/>
                <w:color w:val="auto"/>
                <w:sz w:val="21"/>
                <w:szCs w:val="21"/>
              </w:rPr>
              <w:t>即通过中国海关报关验放进入中国境内且产自关境外的产品</w:t>
            </w:r>
            <w:r>
              <w:rPr>
                <w:rFonts w:hint="eastAsia"/>
                <w:b w:val="0"/>
                <w:bCs w:val="0"/>
                <w:color w:val="auto"/>
                <w:sz w:val="21"/>
                <w:szCs w:val="21"/>
              </w:rPr>
              <w:t>），如有此类产品参与</w:t>
            </w:r>
            <w:r>
              <w:rPr>
                <w:rFonts w:hint="eastAsia"/>
                <w:b w:val="0"/>
                <w:bCs w:val="0"/>
                <w:color w:val="auto"/>
                <w:sz w:val="21"/>
                <w:szCs w:val="21"/>
                <w:lang w:eastAsia="zh-CN"/>
              </w:rPr>
              <w:t>投标</w:t>
            </w:r>
            <w:r>
              <w:rPr>
                <w:rFonts w:hint="eastAsia"/>
                <w:b w:val="0"/>
                <w:bCs w:val="0"/>
                <w:color w:val="auto"/>
                <w:sz w:val="21"/>
                <w:szCs w:val="21"/>
              </w:rPr>
              <w:t>的，</w:t>
            </w:r>
            <w:r>
              <w:rPr>
                <w:rFonts w:hint="eastAsia"/>
                <w:b w:val="0"/>
                <w:bCs w:val="0"/>
                <w:color w:val="auto"/>
                <w:sz w:val="21"/>
                <w:szCs w:val="21"/>
                <w:lang w:eastAsia="zh-CN"/>
              </w:rPr>
              <w:t>投标文件</w:t>
            </w:r>
            <w:r>
              <w:rPr>
                <w:rFonts w:hint="eastAsia"/>
                <w:b w:val="0"/>
                <w:bCs w:val="0"/>
                <w:color w:val="auto"/>
                <w:sz w:val="21"/>
                <w:szCs w:val="21"/>
              </w:rPr>
              <w:t>按无效响应处理。</w:t>
            </w:r>
          </w:p>
        </w:tc>
      </w:tr>
    </w:tbl>
    <w:p w14:paraId="16880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Arial Unicode MS" w:hAnsi="Arial Unicode MS" w:eastAsia="Arial Unicode MS" w:cs="Arial Unicode MS"/>
          <w:color w:val="auto"/>
          <w:sz w:val="32"/>
          <w:szCs w:val="32"/>
          <w:highlight w:val="none"/>
        </w:rPr>
        <w:sectPr>
          <w:footerReference r:id="rId4" w:type="default"/>
          <w:pgSz w:w="11906" w:h="16838"/>
          <w:pgMar w:top="1134" w:right="1304" w:bottom="1134" w:left="1304"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49FF018B">
      <w:pPr>
        <w:spacing w:line="528" w:lineRule="exact"/>
        <w:ind w:firstLine="800" w:firstLineChars="200"/>
        <w:jc w:val="both"/>
        <w:rPr>
          <w:rFonts w:hint="eastAsia"/>
          <w:color w:val="auto"/>
        </w:rPr>
      </w:pPr>
      <w:bookmarkStart w:id="42" w:name="_Toc16642"/>
      <w:r>
        <w:rPr>
          <w:rFonts w:hint="eastAsia" w:ascii="Arial Unicode MS" w:hAnsi="Arial Unicode MS" w:eastAsia="Arial Unicode MS" w:cs="Arial Unicode MS"/>
          <w:color w:val="auto"/>
          <w:sz w:val="40"/>
          <w:szCs w:val="40"/>
          <w:lang w:val="en-US" w:eastAsia="zh-CN"/>
        </w:rPr>
        <w:t xml:space="preserve">       </w:t>
      </w:r>
      <w:r>
        <w:rPr>
          <w:rFonts w:hint="eastAsia" w:ascii="Arial Unicode MS" w:hAnsi="Arial Unicode MS" w:eastAsia="Arial Unicode MS" w:cs="Arial Unicode MS"/>
          <w:color w:val="auto"/>
          <w:sz w:val="40"/>
          <w:szCs w:val="40"/>
        </w:rPr>
        <w:t>节能产品政府采购品目清单</w:t>
      </w:r>
    </w:p>
    <w:p w14:paraId="6AAD240E">
      <w:pPr>
        <w:pStyle w:val="32"/>
        <w:rPr>
          <w:rFonts w:hint="eastAsia"/>
          <w:color w:val="auto"/>
        </w:rPr>
      </w:pPr>
    </w:p>
    <w:tbl>
      <w:tblPr>
        <w:tblStyle w:val="50"/>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6C403144">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noWrap w:val="0"/>
            <w:vAlign w:val="top"/>
          </w:tcPr>
          <w:p w14:paraId="24DB701C">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noWrap w:val="0"/>
            <w:vAlign w:val="center"/>
          </w:tcPr>
          <w:p w14:paraId="6C02C76A">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335" w:type="dxa"/>
            <w:tcBorders>
              <w:top w:val="single" w:color="000000" w:sz="8" w:space="0"/>
              <w:left w:val="nil"/>
              <w:bottom w:val="single" w:color="000000" w:sz="8" w:space="0"/>
              <w:right w:val="single" w:color="000000" w:sz="8" w:space="0"/>
            </w:tcBorders>
            <w:noWrap w:val="0"/>
            <w:vAlign w:val="center"/>
          </w:tcPr>
          <w:p w14:paraId="39523AF3">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06E4B2EB">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19E7E74">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38ACF1FD">
            <w:pPr>
              <w:widowControl/>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14:paraId="6269EB5A">
            <w:pPr>
              <w:widowControl/>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14:paraId="331F6CF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7B986D7C">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4C9A78E9">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537E121">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EA72C30">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20FAF4B0">
            <w:pPr>
              <w:widowControl/>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14:paraId="3AA741E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267E0140">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0926E722">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AA383E7">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448516E">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0D844978">
            <w:pPr>
              <w:widowControl/>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14:paraId="5F0A23D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E3EB2AF">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2C1269E">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7E594D99">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751DBDF">
            <w:pPr>
              <w:widowControl/>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1B30A22B">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14:paraId="478B2827">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335" w:type="dxa"/>
            <w:tcBorders>
              <w:top w:val="nil"/>
              <w:left w:val="nil"/>
              <w:bottom w:val="single" w:color="000000" w:sz="8" w:space="0"/>
              <w:right w:val="single" w:color="000000" w:sz="8" w:space="0"/>
            </w:tcBorders>
            <w:noWrap w:val="0"/>
            <w:vAlign w:val="center"/>
          </w:tcPr>
          <w:p w14:paraId="7D8B366E">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24014A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49D828D">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15C9151">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59C55A2">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6ACB9F59">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335" w:type="dxa"/>
            <w:tcBorders>
              <w:top w:val="nil"/>
              <w:left w:val="nil"/>
              <w:bottom w:val="single" w:color="000000" w:sz="8" w:space="0"/>
              <w:right w:val="single" w:color="000000" w:sz="8" w:space="0"/>
            </w:tcBorders>
            <w:noWrap w:val="0"/>
            <w:vAlign w:val="center"/>
          </w:tcPr>
          <w:p w14:paraId="3BFF43EE">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4315FE9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A477289">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42DE834">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B2891AB">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063FAE78">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335" w:type="dxa"/>
            <w:tcBorders>
              <w:top w:val="nil"/>
              <w:left w:val="nil"/>
              <w:bottom w:val="single" w:color="000000" w:sz="8" w:space="0"/>
              <w:right w:val="single" w:color="000000" w:sz="8" w:space="0"/>
            </w:tcBorders>
            <w:noWrap w:val="0"/>
            <w:vAlign w:val="center"/>
          </w:tcPr>
          <w:p w14:paraId="14133656">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B1BD8C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3C544F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1BAB564">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64BCCB92">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14:paraId="0403BB30">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335" w:type="dxa"/>
            <w:tcBorders>
              <w:top w:val="nil"/>
              <w:left w:val="nil"/>
              <w:bottom w:val="single" w:color="000000" w:sz="8" w:space="0"/>
              <w:right w:val="single" w:color="000000" w:sz="8" w:space="0"/>
            </w:tcBorders>
            <w:noWrap w:val="0"/>
            <w:vAlign w:val="center"/>
          </w:tcPr>
          <w:p w14:paraId="4220880B">
            <w:pPr>
              <w:widowControl/>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4E7627D7">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49DB8C7">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4F86B73">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23D68F0">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14:paraId="6CE39768">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335" w:type="dxa"/>
            <w:tcBorders>
              <w:top w:val="nil"/>
              <w:left w:val="nil"/>
              <w:bottom w:val="single" w:color="000000" w:sz="8" w:space="0"/>
              <w:right w:val="single" w:color="000000" w:sz="8" w:space="0"/>
            </w:tcBorders>
            <w:noWrap w:val="0"/>
            <w:vAlign w:val="center"/>
          </w:tcPr>
          <w:p w14:paraId="53CFCA0A">
            <w:pPr>
              <w:widowControl/>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35A4969D">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5DFA62F4">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41" w:type="dxa"/>
            <w:tcBorders>
              <w:top w:val="nil"/>
              <w:left w:val="nil"/>
              <w:bottom w:val="single" w:color="000000" w:sz="8" w:space="0"/>
              <w:right w:val="single" w:color="000000" w:sz="8" w:space="0"/>
            </w:tcBorders>
            <w:noWrap w:val="0"/>
            <w:vAlign w:val="center"/>
          </w:tcPr>
          <w:p w14:paraId="44739F35">
            <w:pPr>
              <w:widowControl/>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14:paraId="5D3D01B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6B88419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2D109126">
            <w:pPr>
              <w:widowControl/>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52ED03EF">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265737C0">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41" w:type="dxa"/>
            <w:tcBorders>
              <w:top w:val="nil"/>
              <w:left w:val="nil"/>
              <w:bottom w:val="single" w:color="000000" w:sz="8" w:space="0"/>
              <w:right w:val="single" w:color="000000" w:sz="8" w:space="0"/>
            </w:tcBorders>
            <w:noWrap w:val="0"/>
            <w:vAlign w:val="center"/>
          </w:tcPr>
          <w:p w14:paraId="0DE309B2">
            <w:pPr>
              <w:widowControl/>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14:paraId="103BD27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4C7E50A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60386BD8">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42C39F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38B96981">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41" w:type="dxa"/>
            <w:tcBorders>
              <w:top w:val="nil"/>
              <w:left w:val="nil"/>
              <w:bottom w:val="single" w:color="000000" w:sz="8" w:space="0"/>
              <w:right w:val="single" w:color="000000" w:sz="8" w:space="0"/>
            </w:tcBorders>
            <w:noWrap w:val="0"/>
            <w:vAlign w:val="center"/>
          </w:tcPr>
          <w:p w14:paraId="666342AC">
            <w:pPr>
              <w:widowControl/>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516" w:type="dxa"/>
            <w:tcBorders>
              <w:top w:val="nil"/>
              <w:left w:val="nil"/>
              <w:bottom w:val="single" w:color="000000" w:sz="8" w:space="0"/>
              <w:right w:val="single" w:color="000000" w:sz="8" w:space="0"/>
            </w:tcBorders>
            <w:noWrap w:val="0"/>
            <w:vAlign w:val="center"/>
          </w:tcPr>
          <w:p w14:paraId="218A29DC">
            <w:pPr>
              <w:widowControl/>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14:paraId="71E18EB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DC3C788">
            <w:pPr>
              <w:widowControl/>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1381EDC8">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7CAC3807">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4E310E28">
            <w:pPr>
              <w:widowControl/>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43E27D9C">
            <w:pPr>
              <w:widowControl/>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14:paraId="757652EF">
            <w:pPr>
              <w:widowControl/>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335" w:type="dxa"/>
            <w:tcBorders>
              <w:top w:val="nil"/>
              <w:left w:val="nil"/>
              <w:bottom w:val="single" w:color="000000" w:sz="8" w:space="0"/>
              <w:right w:val="single" w:color="000000" w:sz="8" w:space="0"/>
            </w:tcBorders>
            <w:noWrap w:val="0"/>
            <w:vAlign w:val="center"/>
          </w:tcPr>
          <w:p w14:paraId="1851FC1B">
            <w:pPr>
              <w:widowControl/>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3D963E34">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822CAAE">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C349E1A">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BC6903C">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0ADDB195">
            <w:pPr>
              <w:widowControl/>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335" w:type="dxa"/>
            <w:tcBorders>
              <w:top w:val="nil"/>
              <w:left w:val="nil"/>
              <w:bottom w:val="single" w:color="000000" w:sz="8" w:space="0"/>
              <w:right w:val="single" w:color="000000" w:sz="8" w:space="0"/>
            </w:tcBorders>
            <w:noWrap w:val="0"/>
            <w:vAlign w:val="center"/>
          </w:tcPr>
          <w:p w14:paraId="4E469F8D">
            <w:pPr>
              <w:widowControl/>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47609DE7">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BB98C7C">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1593771">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3035696">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54D47FD1">
            <w:pPr>
              <w:widowControl/>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335" w:type="dxa"/>
            <w:tcBorders>
              <w:top w:val="nil"/>
              <w:left w:val="nil"/>
              <w:bottom w:val="single" w:color="000000" w:sz="8" w:space="0"/>
              <w:right w:val="single" w:color="000000" w:sz="8" w:space="0"/>
            </w:tcBorders>
            <w:noWrap w:val="0"/>
            <w:vAlign w:val="center"/>
          </w:tcPr>
          <w:p w14:paraId="5C548FD7">
            <w:pPr>
              <w:widowControl/>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A1E90A4">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5703CC6">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C60E388">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84CF0D8">
            <w:pPr>
              <w:widowControl/>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14:paraId="194B18C1">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335" w:type="dxa"/>
            <w:tcBorders>
              <w:top w:val="nil"/>
              <w:left w:val="nil"/>
              <w:bottom w:val="single" w:color="000000" w:sz="8" w:space="0"/>
              <w:right w:val="single" w:color="000000" w:sz="8" w:space="0"/>
            </w:tcBorders>
            <w:noWrap w:val="0"/>
            <w:vAlign w:val="center"/>
          </w:tcPr>
          <w:p w14:paraId="3F2F93BD">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286EF6C">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F619628">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FBDEEF2">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DBECFB8">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420BD88D">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335" w:type="dxa"/>
            <w:tcBorders>
              <w:top w:val="nil"/>
              <w:left w:val="nil"/>
              <w:bottom w:val="single" w:color="000000" w:sz="8" w:space="0"/>
              <w:right w:val="single" w:color="000000" w:sz="8" w:space="0"/>
            </w:tcBorders>
            <w:noWrap w:val="0"/>
            <w:vAlign w:val="center"/>
          </w:tcPr>
          <w:p w14:paraId="05BE0768">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25A88B45">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ADCA50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D587211">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3FE2CBE9">
            <w:pPr>
              <w:widowControl/>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14:paraId="73D7BC48">
            <w:pPr>
              <w:widowControl/>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335" w:type="dxa"/>
            <w:tcBorders>
              <w:top w:val="nil"/>
              <w:left w:val="nil"/>
              <w:bottom w:val="single" w:color="000000" w:sz="8" w:space="0"/>
              <w:right w:val="single" w:color="000000" w:sz="8" w:space="0"/>
            </w:tcBorders>
            <w:noWrap w:val="0"/>
            <w:vAlign w:val="center"/>
          </w:tcPr>
          <w:p w14:paraId="2291823F">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30CB89F5">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E0A04B8">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4B31C0D">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6DF501C4">
            <w:pPr>
              <w:widowControl/>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14:paraId="5FAAB0CA">
            <w:pPr>
              <w:widowControl/>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335" w:type="dxa"/>
            <w:tcBorders>
              <w:top w:val="nil"/>
              <w:left w:val="nil"/>
              <w:bottom w:val="single" w:color="000000" w:sz="8" w:space="0"/>
              <w:right w:val="single" w:color="000000" w:sz="8" w:space="0"/>
            </w:tcBorders>
            <w:noWrap w:val="0"/>
            <w:vAlign w:val="center"/>
          </w:tcPr>
          <w:p w14:paraId="00671011">
            <w:pPr>
              <w:widowControl/>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073EBF2E">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E2A7A72">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41" w:type="dxa"/>
            <w:tcBorders>
              <w:top w:val="nil"/>
              <w:left w:val="nil"/>
              <w:bottom w:val="single" w:color="000000" w:sz="8" w:space="0"/>
              <w:right w:val="single" w:color="000000" w:sz="8" w:space="0"/>
            </w:tcBorders>
            <w:noWrap w:val="0"/>
            <w:vAlign w:val="center"/>
          </w:tcPr>
          <w:p w14:paraId="77877FE8">
            <w:pPr>
              <w:widowControl/>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14:paraId="62C022B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19059F9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20F0AC1">
            <w:pPr>
              <w:widowControl/>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DFF8FD7">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18CC973A">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41" w:type="dxa"/>
            <w:tcBorders>
              <w:top w:val="nil"/>
              <w:left w:val="nil"/>
              <w:bottom w:val="single" w:color="000000" w:sz="8" w:space="0"/>
              <w:right w:val="single" w:color="000000" w:sz="8" w:space="0"/>
            </w:tcBorders>
            <w:noWrap w:val="0"/>
            <w:vAlign w:val="center"/>
          </w:tcPr>
          <w:p w14:paraId="36FB5973">
            <w:pPr>
              <w:widowControl/>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14:paraId="56F35258">
            <w:pPr>
              <w:widowControl/>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14:paraId="16D355E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C039951">
            <w:pPr>
              <w:widowControl/>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7987CF69">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24C69587">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41" w:type="dxa"/>
            <w:tcBorders>
              <w:top w:val="nil"/>
              <w:left w:val="nil"/>
              <w:bottom w:val="single" w:color="000000" w:sz="8" w:space="0"/>
              <w:right w:val="single" w:color="000000" w:sz="8" w:space="0"/>
            </w:tcBorders>
            <w:noWrap w:val="0"/>
            <w:vAlign w:val="center"/>
          </w:tcPr>
          <w:p w14:paraId="75FC4DA8">
            <w:pPr>
              <w:widowControl/>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14:paraId="3509EF9A">
            <w:pPr>
              <w:widowControl/>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14:paraId="384F02C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C9686E0">
            <w:pPr>
              <w:widowControl/>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6C2B0552">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75A8263">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BDAAA1E">
            <w:pPr>
              <w:widowControl/>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14:paraId="759FE0A0">
            <w:pPr>
              <w:widowControl/>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14:paraId="6EA7D90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3513D203">
            <w:pPr>
              <w:widowControl/>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7E3E2577">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B035FB7">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888CBBE">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43F19558">
            <w:pPr>
              <w:widowControl/>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14:paraId="62A4133B">
            <w:pPr>
              <w:widowControl/>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335" w:type="dxa"/>
            <w:tcBorders>
              <w:top w:val="nil"/>
              <w:left w:val="nil"/>
              <w:bottom w:val="single" w:color="000000" w:sz="8" w:space="0"/>
              <w:right w:val="single" w:color="000000" w:sz="8" w:space="0"/>
            </w:tcBorders>
            <w:noWrap w:val="0"/>
            <w:vAlign w:val="center"/>
          </w:tcPr>
          <w:p w14:paraId="7D6629EF">
            <w:pPr>
              <w:widowControl/>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6AD42B23">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CCB499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0240599">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4B61948">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71D185B3">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335" w:type="dxa"/>
            <w:tcBorders>
              <w:top w:val="nil"/>
              <w:left w:val="nil"/>
              <w:bottom w:val="single" w:color="000000" w:sz="8" w:space="0"/>
              <w:right w:val="single" w:color="000000" w:sz="8" w:space="0"/>
            </w:tcBorders>
            <w:noWrap w:val="0"/>
            <w:vAlign w:val="center"/>
          </w:tcPr>
          <w:p w14:paraId="2A1C1DBB">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4942996">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B855C3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66B70A5A">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0224A31">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4016FF45">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335" w:type="dxa"/>
            <w:tcBorders>
              <w:top w:val="nil"/>
              <w:left w:val="nil"/>
              <w:bottom w:val="single" w:color="000000" w:sz="8" w:space="0"/>
              <w:right w:val="single" w:color="000000" w:sz="8" w:space="0"/>
            </w:tcBorders>
            <w:noWrap w:val="0"/>
            <w:vAlign w:val="center"/>
          </w:tcPr>
          <w:p w14:paraId="72F81C98">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0229CB9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F44190A">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04E44203">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0071F2E1">
            <w:pPr>
              <w:widowControl/>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14:paraId="6C3AA7B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7D371AA3">
            <w:pPr>
              <w:widowControl/>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523AF4A6">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3B2AE21">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1EBE274">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39F96271">
            <w:pPr>
              <w:widowControl/>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14:paraId="589B3F9D">
            <w:pPr>
              <w:widowControl/>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335" w:type="dxa"/>
            <w:tcBorders>
              <w:top w:val="nil"/>
              <w:left w:val="nil"/>
              <w:bottom w:val="single" w:color="000000" w:sz="8" w:space="0"/>
              <w:right w:val="single" w:color="000000" w:sz="8" w:space="0"/>
            </w:tcBorders>
            <w:noWrap w:val="0"/>
            <w:vAlign w:val="center"/>
          </w:tcPr>
          <w:p w14:paraId="703474F1">
            <w:pPr>
              <w:widowControl/>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5377428C">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1CB4B0E">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EE4AB05">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D769E0C">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490FFA86">
            <w:pPr>
              <w:widowControl/>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335" w:type="dxa"/>
            <w:tcBorders>
              <w:top w:val="nil"/>
              <w:left w:val="nil"/>
              <w:bottom w:val="single" w:color="000000" w:sz="8" w:space="0"/>
              <w:right w:val="single" w:color="000000" w:sz="8" w:space="0"/>
            </w:tcBorders>
            <w:noWrap w:val="0"/>
            <w:vAlign w:val="center"/>
          </w:tcPr>
          <w:p w14:paraId="5D7B33DD">
            <w:pPr>
              <w:widowControl/>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5E16585">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9140873">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A987288">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5823361">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288D97B7">
            <w:pPr>
              <w:widowControl/>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335" w:type="dxa"/>
            <w:tcBorders>
              <w:top w:val="nil"/>
              <w:left w:val="nil"/>
              <w:bottom w:val="single" w:color="000000" w:sz="8" w:space="0"/>
              <w:right w:val="single" w:color="000000" w:sz="8" w:space="0"/>
            </w:tcBorders>
            <w:noWrap w:val="0"/>
            <w:vAlign w:val="center"/>
          </w:tcPr>
          <w:p w14:paraId="1604E21E">
            <w:pPr>
              <w:widowControl/>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4D0C07A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C2FDE7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1FB98CDC">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B4CAA70">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noWrap w:val="0"/>
            <w:vAlign w:val="center"/>
          </w:tcPr>
          <w:p w14:paraId="08CBDCC6">
            <w:pPr>
              <w:widowControl/>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335" w:type="dxa"/>
            <w:tcBorders>
              <w:top w:val="nil"/>
              <w:left w:val="nil"/>
              <w:bottom w:val="single" w:color="000000" w:sz="8" w:space="0"/>
              <w:right w:val="single" w:color="000000" w:sz="8" w:space="0"/>
            </w:tcBorders>
            <w:noWrap w:val="0"/>
            <w:vAlign w:val="center"/>
          </w:tcPr>
          <w:p w14:paraId="18FD3BE0">
            <w:pPr>
              <w:widowControl/>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11B3D579">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285FDCE">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6C07C1E3">
            <w:pPr>
              <w:widowControl/>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14:paraId="447DF58E">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14:paraId="4E772FE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3789A1AD">
            <w:pPr>
              <w:widowControl/>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36F51716">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EEC101C">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2142D040">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73009A5">
            <w:pPr>
              <w:widowControl/>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14:paraId="1EAF43EF">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CDDBBE6">
            <w:pPr>
              <w:widowControl/>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3ED1924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CFDD3C6">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4C7E512E">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314C4DFF">
            <w:pPr>
              <w:widowControl/>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12" w:type="dxa"/>
            <w:tcBorders>
              <w:top w:val="nil"/>
              <w:left w:val="nil"/>
              <w:bottom w:val="single" w:color="000000" w:sz="8" w:space="0"/>
              <w:right w:val="single" w:color="000000" w:sz="8" w:space="0"/>
            </w:tcBorders>
            <w:noWrap w:val="0"/>
            <w:vAlign w:val="center"/>
          </w:tcPr>
          <w:p w14:paraId="7EA3DAF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2622E7C">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1F0374B1">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FB68AE5">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54D141BD">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7E738F08">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375D0EF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415437E8">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0B303A20">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noWrap w:val="0"/>
            <w:vAlign w:val="center"/>
          </w:tcPr>
          <w:p w14:paraId="2EEF271A">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41" w:type="dxa"/>
            <w:tcBorders>
              <w:top w:val="nil"/>
              <w:left w:val="nil"/>
              <w:bottom w:val="single" w:color="000000" w:sz="8" w:space="0"/>
              <w:right w:val="single" w:color="000000" w:sz="8" w:space="0"/>
            </w:tcBorders>
            <w:noWrap w:val="0"/>
            <w:vAlign w:val="center"/>
          </w:tcPr>
          <w:p w14:paraId="084A195C">
            <w:pPr>
              <w:widowControl/>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14:paraId="01A518AC">
            <w:pPr>
              <w:widowControl/>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14:paraId="77E07B4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7D4408F5">
            <w:pPr>
              <w:widowControl/>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13F7275">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noWrap w:val="0"/>
            <w:vAlign w:val="center"/>
          </w:tcPr>
          <w:p w14:paraId="56D631A5">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41" w:type="dxa"/>
            <w:tcBorders>
              <w:top w:val="nil"/>
              <w:left w:val="nil"/>
              <w:bottom w:val="single" w:color="000000" w:sz="8" w:space="0"/>
              <w:right w:val="single" w:color="000000" w:sz="8" w:space="0"/>
            </w:tcBorders>
            <w:noWrap w:val="0"/>
            <w:vAlign w:val="center"/>
          </w:tcPr>
          <w:p w14:paraId="7D27A960">
            <w:pPr>
              <w:widowControl/>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14:paraId="4217F619">
            <w:pPr>
              <w:widowControl/>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14:paraId="148AEED9">
            <w:pPr>
              <w:widowControl/>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335" w:type="dxa"/>
            <w:tcBorders>
              <w:top w:val="nil"/>
              <w:left w:val="nil"/>
              <w:bottom w:val="single" w:color="000000" w:sz="8" w:space="0"/>
              <w:right w:val="single" w:color="000000" w:sz="8" w:space="0"/>
            </w:tcBorders>
            <w:noWrap w:val="0"/>
            <w:vAlign w:val="center"/>
          </w:tcPr>
          <w:p w14:paraId="4EDD1061">
            <w:pPr>
              <w:widowControl/>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6D6BABB">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5CF08B6D">
            <w:pPr>
              <w:widowControl/>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41" w:type="dxa"/>
            <w:tcBorders>
              <w:top w:val="nil"/>
              <w:left w:val="nil"/>
              <w:bottom w:val="single" w:color="000000" w:sz="8" w:space="0"/>
              <w:right w:val="single" w:color="000000" w:sz="8" w:space="0"/>
            </w:tcBorders>
            <w:noWrap w:val="0"/>
            <w:vAlign w:val="center"/>
          </w:tcPr>
          <w:p w14:paraId="3931F6F0">
            <w:pPr>
              <w:widowControl/>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14:paraId="04692122">
            <w:pPr>
              <w:widowControl/>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14:paraId="655697B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7CE12F1">
            <w:pPr>
              <w:widowControl/>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649BD578">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6DF63150">
            <w:pPr>
              <w:widowControl/>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41" w:type="dxa"/>
            <w:vMerge w:val="restart"/>
            <w:tcBorders>
              <w:top w:val="nil"/>
              <w:left w:val="single" w:color="000000" w:sz="8" w:space="0"/>
              <w:bottom w:val="single" w:color="000000" w:sz="8" w:space="0"/>
              <w:right w:val="single" w:color="000000" w:sz="8" w:space="0"/>
            </w:tcBorders>
            <w:noWrap w:val="0"/>
            <w:vAlign w:val="center"/>
          </w:tcPr>
          <w:p w14:paraId="747B3F90">
            <w:pPr>
              <w:widowControl/>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14:paraId="30DC68F0">
            <w:pPr>
              <w:widowControl/>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12" w:type="dxa"/>
            <w:tcBorders>
              <w:top w:val="nil"/>
              <w:left w:val="nil"/>
              <w:bottom w:val="single" w:color="000000" w:sz="8" w:space="0"/>
              <w:right w:val="single" w:color="000000" w:sz="8" w:space="0"/>
            </w:tcBorders>
            <w:noWrap w:val="0"/>
            <w:vAlign w:val="center"/>
          </w:tcPr>
          <w:p w14:paraId="6971FED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82DF01A">
            <w:pPr>
              <w:widowControl/>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11572159">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66DA5D7">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3A57C406">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053BBB28">
            <w:pPr>
              <w:widowControl/>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12" w:type="dxa"/>
            <w:tcBorders>
              <w:top w:val="nil"/>
              <w:left w:val="nil"/>
              <w:bottom w:val="single" w:color="000000" w:sz="8" w:space="0"/>
              <w:right w:val="single" w:color="000000" w:sz="8" w:space="0"/>
            </w:tcBorders>
            <w:noWrap w:val="0"/>
            <w:vAlign w:val="center"/>
          </w:tcPr>
          <w:p w14:paraId="2104D9F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BEF8B0A">
            <w:pPr>
              <w:widowControl/>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27D3BD7D">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43DD794">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noWrap w:val="0"/>
            <w:vAlign w:val="center"/>
          </w:tcPr>
          <w:p w14:paraId="7CF6E3AB">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noWrap w:val="0"/>
            <w:vAlign w:val="center"/>
          </w:tcPr>
          <w:p w14:paraId="5D37F1B5">
            <w:pPr>
              <w:widowControl/>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12" w:type="dxa"/>
            <w:tcBorders>
              <w:top w:val="nil"/>
              <w:left w:val="nil"/>
              <w:bottom w:val="single" w:color="000000" w:sz="8" w:space="0"/>
              <w:right w:val="single" w:color="000000" w:sz="8" w:space="0"/>
            </w:tcBorders>
            <w:noWrap w:val="0"/>
            <w:vAlign w:val="center"/>
          </w:tcPr>
          <w:p w14:paraId="55E43F8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57B66A90">
            <w:pPr>
              <w:widowControl/>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55A6DB60">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noWrap w:val="0"/>
            <w:vAlign w:val="center"/>
          </w:tcPr>
          <w:p w14:paraId="301BFD33">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41" w:type="dxa"/>
            <w:tcBorders>
              <w:top w:val="nil"/>
              <w:left w:val="nil"/>
              <w:bottom w:val="single" w:color="000000" w:sz="8" w:space="0"/>
              <w:right w:val="single" w:color="000000" w:sz="8" w:space="0"/>
            </w:tcBorders>
            <w:noWrap w:val="0"/>
            <w:vAlign w:val="center"/>
          </w:tcPr>
          <w:p w14:paraId="77FC4890">
            <w:pPr>
              <w:widowControl/>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14:paraId="04005D1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6D69697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65239559">
            <w:pPr>
              <w:widowControl/>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786C8451">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noWrap w:val="0"/>
            <w:vAlign w:val="center"/>
          </w:tcPr>
          <w:p w14:paraId="5D3090C1">
            <w:pPr>
              <w:widowControl/>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41" w:type="dxa"/>
            <w:tcBorders>
              <w:top w:val="nil"/>
              <w:left w:val="nil"/>
              <w:bottom w:val="single" w:color="000000" w:sz="8" w:space="0"/>
              <w:right w:val="single" w:color="000000" w:sz="8" w:space="0"/>
            </w:tcBorders>
            <w:noWrap w:val="0"/>
            <w:vAlign w:val="center"/>
          </w:tcPr>
          <w:p w14:paraId="44FFC066">
            <w:pPr>
              <w:widowControl/>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14:paraId="3038C6F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33F721D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202CF18A">
            <w:pPr>
              <w:widowControl/>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7F38F740">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noWrap w:val="0"/>
            <w:vAlign w:val="center"/>
          </w:tcPr>
          <w:p w14:paraId="7C69AF48">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41" w:type="dxa"/>
            <w:tcBorders>
              <w:top w:val="nil"/>
              <w:left w:val="nil"/>
              <w:bottom w:val="single" w:color="000000" w:sz="8" w:space="0"/>
              <w:right w:val="single" w:color="000000" w:sz="8" w:space="0"/>
            </w:tcBorders>
            <w:noWrap w:val="0"/>
            <w:vAlign w:val="center"/>
          </w:tcPr>
          <w:p w14:paraId="5104B295">
            <w:pPr>
              <w:widowControl/>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14:paraId="1CDB8DD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noWrap w:val="0"/>
            <w:vAlign w:val="center"/>
          </w:tcPr>
          <w:p w14:paraId="49939C4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noWrap w:val="0"/>
            <w:vAlign w:val="center"/>
          </w:tcPr>
          <w:p w14:paraId="1FD05044">
            <w:pPr>
              <w:widowControl/>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7F03B5CD">
      <w:pPr>
        <w:pStyle w:val="2"/>
        <w:spacing w:line="300" w:lineRule="atLeast"/>
        <w:rPr>
          <w:rFonts w:hint="eastAsia"/>
          <w:color w:val="auto"/>
          <w:sz w:val="21"/>
          <w:szCs w:val="21"/>
        </w:rPr>
      </w:pPr>
      <w:r>
        <w:rPr>
          <w:rFonts w:hint="eastAsia"/>
          <w:color w:val="auto"/>
          <w:sz w:val="21"/>
          <w:szCs w:val="21"/>
        </w:rPr>
        <w:t>注：1.节能产品认证应依据相关国家标准的最新版本，依据国家标准中二级能效（水效）指标。</w:t>
      </w:r>
    </w:p>
    <w:p w14:paraId="2BCBF298">
      <w:pPr>
        <w:pStyle w:val="2"/>
        <w:numPr>
          <w:ilvl w:val="0"/>
          <w:numId w:val="4"/>
        </w:numPr>
        <w:spacing w:line="300" w:lineRule="atLeast"/>
        <w:rPr>
          <w:rFonts w:hint="eastAsia"/>
          <w:color w:val="auto"/>
          <w:sz w:val="21"/>
          <w:szCs w:val="21"/>
        </w:rPr>
      </w:pPr>
      <w:r>
        <w:rPr>
          <w:rFonts w:hint="eastAsia"/>
          <w:color w:val="auto"/>
          <w:sz w:val="21"/>
          <w:szCs w:val="21"/>
        </w:rPr>
        <w:t>以“★”标注的为政府强制采购产品。</w:t>
      </w:r>
    </w:p>
    <w:p w14:paraId="425F4C44">
      <w:pPr>
        <w:rPr>
          <w:rFonts w:hint="eastAsia"/>
          <w:color w:val="auto"/>
        </w:rPr>
      </w:pPr>
    </w:p>
    <w:p w14:paraId="3F96F950">
      <w:pPr>
        <w:pStyle w:val="32"/>
        <w:rPr>
          <w:rFonts w:hint="eastAsia"/>
          <w:color w:val="auto"/>
        </w:rPr>
      </w:pPr>
    </w:p>
    <w:p w14:paraId="63C8497B">
      <w:pPr>
        <w:pStyle w:val="32"/>
        <w:rPr>
          <w:rFonts w:hint="eastAsia"/>
          <w:color w:val="auto"/>
        </w:rPr>
      </w:pPr>
    </w:p>
    <w:p w14:paraId="0DB33727">
      <w:pPr>
        <w:pStyle w:val="32"/>
        <w:rPr>
          <w:rFonts w:hint="eastAsia"/>
          <w:color w:val="auto"/>
        </w:rPr>
      </w:pPr>
    </w:p>
    <w:p w14:paraId="233BB2E8">
      <w:pPr>
        <w:pStyle w:val="32"/>
        <w:rPr>
          <w:rFonts w:hint="eastAsia"/>
          <w:color w:val="auto"/>
        </w:rPr>
      </w:pPr>
    </w:p>
    <w:p w14:paraId="481518AE">
      <w:pPr>
        <w:pStyle w:val="32"/>
        <w:rPr>
          <w:rFonts w:hint="eastAsia"/>
          <w:color w:val="auto"/>
        </w:rPr>
      </w:pPr>
    </w:p>
    <w:p w14:paraId="63D0C3EC">
      <w:pPr>
        <w:pStyle w:val="32"/>
        <w:rPr>
          <w:rFonts w:hint="eastAsia"/>
          <w:color w:val="auto"/>
        </w:rPr>
      </w:pPr>
    </w:p>
    <w:p w14:paraId="5AFF8302">
      <w:pPr>
        <w:pStyle w:val="32"/>
        <w:rPr>
          <w:rFonts w:hint="eastAsia"/>
          <w:color w:val="auto"/>
        </w:rPr>
      </w:pPr>
    </w:p>
    <w:p w14:paraId="7DD8703F">
      <w:pPr>
        <w:pStyle w:val="32"/>
        <w:rPr>
          <w:rFonts w:hint="eastAsia"/>
          <w:color w:val="auto"/>
        </w:rPr>
      </w:pPr>
    </w:p>
    <w:p w14:paraId="4B789CA3">
      <w:pPr>
        <w:pStyle w:val="32"/>
        <w:rPr>
          <w:rFonts w:hint="eastAsia"/>
          <w:color w:val="auto"/>
        </w:rPr>
      </w:pPr>
    </w:p>
    <w:p w14:paraId="224CE71E">
      <w:pPr>
        <w:pStyle w:val="32"/>
        <w:rPr>
          <w:rFonts w:hint="eastAsia"/>
          <w:color w:val="auto"/>
        </w:rPr>
      </w:pPr>
    </w:p>
    <w:p w14:paraId="40E22D0F">
      <w:pPr>
        <w:pStyle w:val="32"/>
        <w:rPr>
          <w:rFonts w:hint="eastAsia"/>
          <w:color w:val="auto"/>
        </w:rPr>
      </w:pPr>
    </w:p>
    <w:p w14:paraId="5B77A164">
      <w:pPr>
        <w:pStyle w:val="32"/>
        <w:rPr>
          <w:rFonts w:hint="eastAsia"/>
          <w:color w:val="auto"/>
        </w:rPr>
      </w:pPr>
    </w:p>
    <w:p w14:paraId="59F948BC">
      <w:pPr>
        <w:pStyle w:val="32"/>
        <w:rPr>
          <w:rFonts w:hint="eastAsia"/>
          <w:color w:val="auto"/>
        </w:rPr>
      </w:pPr>
    </w:p>
    <w:p w14:paraId="1F88EA7B">
      <w:pPr>
        <w:pStyle w:val="32"/>
        <w:rPr>
          <w:rFonts w:hint="eastAsia"/>
          <w:color w:val="auto"/>
        </w:rPr>
      </w:pPr>
    </w:p>
    <w:p w14:paraId="064F622C">
      <w:pPr>
        <w:pStyle w:val="32"/>
        <w:rPr>
          <w:rFonts w:hint="eastAsia"/>
          <w:color w:val="auto"/>
        </w:rPr>
      </w:pPr>
    </w:p>
    <w:p w14:paraId="239150F5">
      <w:pPr>
        <w:pStyle w:val="32"/>
        <w:rPr>
          <w:rFonts w:hint="eastAsia"/>
          <w:color w:val="auto"/>
        </w:rPr>
      </w:pPr>
    </w:p>
    <w:p w14:paraId="5D0FA410">
      <w:pPr>
        <w:pStyle w:val="32"/>
        <w:rPr>
          <w:rFonts w:hint="eastAsia"/>
          <w:color w:val="auto"/>
        </w:rPr>
      </w:pPr>
    </w:p>
    <w:p w14:paraId="6FEE2351">
      <w:pPr>
        <w:pStyle w:val="32"/>
        <w:rPr>
          <w:rFonts w:hint="eastAsia"/>
          <w:color w:val="auto"/>
        </w:rPr>
      </w:pPr>
    </w:p>
    <w:p w14:paraId="42BD6A1D">
      <w:pPr>
        <w:pStyle w:val="32"/>
        <w:rPr>
          <w:rFonts w:hint="eastAsia"/>
          <w:color w:val="auto"/>
        </w:rPr>
      </w:pPr>
    </w:p>
    <w:p w14:paraId="43010F47">
      <w:pPr>
        <w:pStyle w:val="32"/>
        <w:rPr>
          <w:rFonts w:hint="eastAsia"/>
          <w:color w:val="auto"/>
        </w:rPr>
      </w:pPr>
    </w:p>
    <w:p w14:paraId="42A4BE8F">
      <w:pPr>
        <w:pStyle w:val="32"/>
        <w:rPr>
          <w:rFonts w:hint="eastAsia"/>
          <w:color w:val="auto"/>
        </w:rPr>
      </w:pPr>
    </w:p>
    <w:p w14:paraId="2EF3C1C1">
      <w:pPr>
        <w:pStyle w:val="32"/>
        <w:rPr>
          <w:rFonts w:hint="eastAsia"/>
          <w:color w:val="auto"/>
        </w:rPr>
      </w:pPr>
    </w:p>
    <w:p w14:paraId="674F7501">
      <w:pPr>
        <w:pStyle w:val="32"/>
        <w:rPr>
          <w:rFonts w:hint="eastAsia"/>
          <w:color w:val="auto"/>
        </w:rPr>
      </w:pPr>
    </w:p>
    <w:p w14:paraId="6B17593D">
      <w:pPr>
        <w:pStyle w:val="32"/>
        <w:rPr>
          <w:rFonts w:hint="eastAsia"/>
          <w:color w:val="auto"/>
        </w:rPr>
      </w:pPr>
    </w:p>
    <w:p w14:paraId="1FE38E5A">
      <w:pPr>
        <w:pStyle w:val="32"/>
        <w:rPr>
          <w:rFonts w:hint="eastAsia"/>
          <w:color w:val="auto"/>
        </w:rPr>
      </w:pPr>
    </w:p>
    <w:p w14:paraId="2E9A2FB4">
      <w:pPr>
        <w:pStyle w:val="32"/>
        <w:rPr>
          <w:rFonts w:hint="eastAsia"/>
          <w:color w:val="auto"/>
        </w:rPr>
      </w:pPr>
    </w:p>
    <w:p w14:paraId="7AD3D515">
      <w:pPr>
        <w:pStyle w:val="32"/>
        <w:rPr>
          <w:rFonts w:hint="eastAsia"/>
          <w:color w:val="auto"/>
        </w:rPr>
      </w:pPr>
    </w:p>
    <w:p w14:paraId="669593AD">
      <w:pPr>
        <w:pStyle w:val="32"/>
        <w:rPr>
          <w:rFonts w:hint="eastAsia"/>
          <w:color w:val="auto"/>
        </w:rPr>
      </w:pPr>
    </w:p>
    <w:p w14:paraId="3C9A7059">
      <w:pPr>
        <w:pStyle w:val="32"/>
        <w:rPr>
          <w:rFonts w:hint="eastAsia"/>
          <w:color w:val="auto"/>
        </w:rPr>
      </w:pPr>
    </w:p>
    <w:p w14:paraId="18EC5F67">
      <w:pPr>
        <w:pStyle w:val="32"/>
        <w:rPr>
          <w:rFonts w:hint="eastAsia"/>
          <w:color w:val="auto"/>
        </w:rPr>
      </w:pPr>
    </w:p>
    <w:p w14:paraId="4816C270">
      <w:pPr>
        <w:pStyle w:val="32"/>
        <w:rPr>
          <w:rFonts w:hint="eastAsia"/>
          <w:color w:val="auto"/>
        </w:rPr>
      </w:pPr>
    </w:p>
    <w:p w14:paraId="45188F3D">
      <w:pPr>
        <w:pStyle w:val="32"/>
        <w:rPr>
          <w:rFonts w:hint="eastAsia"/>
          <w:color w:val="auto"/>
        </w:rPr>
      </w:pPr>
    </w:p>
    <w:p w14:paraId="504735F8">
      <w:pPr>
        <w:pStyle w:val="32"/>
        <w:rPr>
          <w:rFonts w:hint="eastAsia"/>
          <w:color w:val="auto"/>
        </w:rPr>
      </w:pPr>
    </w:p>
    <w:p w14:paraId="78D046C0">
      <w:pPr>
        <w:pStyle w:val="32"/>
        <w:rPr>
          <w:rFonts w:hint="eastAsia"/>
          <w:color w:val="auto"/>
        </w:rPr>
      </w:pPr>
    </w:p>
    <w:p w14:paraId="415AD1DB">
      <w:pPr>
        <w:pStyle w:val="32"/>
        <w:rPr>
          <w:rFonts w:hint="eastAsia"/>
          <w:color w:val="auto"/>
        </w:rPr>
      </w:pPr>
    </w:p>
    <w:p w14:paraId="162B648C">
      <w:pPr>
        <w:pStyle w:val="32"/>
        <w:rPr>
          <w:rFonts w:hint="eastAsia"/>
          <w:color w:val="auto"/>
        </w:rPr>
      </w:pPr>
    </w:p>
    <w:p w14:paraId="6D7D1A61">
      <w:pPr>
        <w:pStyle w:val="32"/>
        <w:rPr>
          <w:rFonts w:hint="eastAsia"/>
          <w:color w:val="auto"/>
        </w:rPr>
      </w:pPr>
    </w:p>
    <w:p w14:paraId="0DEE1D14">
      <w:pPr>
        <w:pStyle w:val="32"/>
        <w:rPr>
          <w:rFonts w:hint="eastAsia"/>
          <w:color w:val="auto"/>
        </w:rPr>
      </w:pPr>
    </w:p>
    <w:p w14:paraId="2D784371">
      <w:pPr>
        <w:pStyle w:val="32"/>
        <w:rPr>
          <w:rFonts w:hint="eastAsia"/>
          <w:color w:val="auto"/>
        </w:rPr>
      </w:pPr>
    </w:p>
    <w:p w14:paraId="1AA537C7">
      <w:pPr>
        <w:pStyle w:val="32"/>
        <w:rPr>
          <w:rFonts w:hint="eastAsia"/>
          <w:color w:val="auto"/>
        </w:rPr>
      </w:pPr>
    </w:p>
    <w:p w14:paraId="3F5FED58">
      <w:pPr>
        <w:pStyle w:val="32"/>
        <w:rPr>
          <w:rFonts w:hint="eastAsia"/>
          <w:color w:val="auto"/>
        </w:rPr>
      </w:pPr>
    </w:p>
    <w:p w14:paraId="6ADEF6FC">
      <w:pPr>
        <w:pStyle w:val="32"/>
        <w:rPr>
          <w:rFonts w:hint="eastAsia"/>
          <w:color w:val="auto"/>
        </w:rPr>
      </w:pPr>
    </w:p>
    <w:p w14:paraId="0815EAD9">
      <w:pPr>
        <w:pStyle w:val="32"/>
        <w:rPr>
          <w:rFonts w:hint="eastAsia"/>
          <w:color w:val="auto"/>
        </w:rPr>
      </w:pPr>
    </w:p>
    <w:p w14:paraId="1CC4590F">
      <w:pPr>
        <w:pStyle w:val="32"/>
        <w:rPr>
          <w:rFonts w:hint="eastAsia"/>
          <w:color w:val="auto"/>
        </w:rPr>
      </w:pPr>
    </w:p>
    <w:p w14:paraId="108F9057">
      <w:pPr>
        <w:pStyle w:val="32"/>
        <w:rPr>
          <w:rFonts w:hint="eastAsia"/>
          <w:color w:val="auto"/>
        </w:rPr>
      </w:pPr>
    </w:p>
    <w:p w14:paraId="5A6FC571">
      <w:pPr>
        <w:pStyle w:val="32"/>
        <w:rPr>
          <w:rFonts w:hint="eastAsia"/>
          <w:color w:val="auto"/>
        </w:rPr>
      </w:pPr>
    </w:p>
    <w:p w14:paraId="11D6A924">
      <w:pPr>
        <w:pStyle w:val="32"/>
        <w:rPr>
          <w:rFonts w:hint="eastAsia"/>
          <w:color w:val="auto"/>
        </w:rPr>
      </w:pPr>
    </w:p>
    <w:p w14:paraId="3C301F40">
      <w:pPr>
        <w:pStyle w:val="32"/>
        <w:rPr>
          <w:rFonts w:hint="eastAsia"/>
          <w:color w:val="auto"/>
        </w:rPr>
      </w:pPr>
    </w:p>
    <w:p w14:paraId="600687FC">
      <w:pPr>
        <w:pStyle w:val="32"/>
        <w:rPr>
          <w:rFonts w:hint="eastAsia"/>
          <w:color w:val="auto"/>
        </w:rPr>
      </w:pPr>
    </w:p>
    <w:p w14:paraId="6B841948">
      <w:pPr>
        <w:pStyle w:val="32"/>
        <w:rPr>
          <w:rFonts w:hint="eastAsia"/>
          <w:color w:val="auto"/>
        </w:rPr>
      </w:pPr>
    </w:p>
    <w:p w14:paraId="6FAE331B">
      <w:pPr>
        <w:pStyle w:val="32"/>
        <w:rPr>
          <w:rFonts w:hint="eastAsia"/>
          <w:color w:val="auto"/>
        </w:rPr>
      </w:pPr>
    </w:p>
    <w:p w14:paraId="4690FE85">
      <w:pPr>
        <w:pStyle w:val="32"/>
        <w:rPr>
          <w:rFonts w:hint="eastAsia"/>
          <w:color w:val="auto"/>
        </w:rPr>
      </w:pPr>
    </w:p>
    <w:p w14:paraId="2D8F2E1B">
      <w:pPr>
        <w:pStyle w:val="32"/>
        <w:rPr>
          <w:rFonts w:hint="eastAsia"/>
          <w:color w:val="auto"/>
        </w:rPr>
      </w:pPr>
    </w:p>
    <w:p w14:paraId="5E9B722D">
      <w:pPr>
        <w:pStyle w:val="32"/>
        <w:rPr>
          <w:rFonts w:hint="eastAsia"/>
          <w:color w:val="auto"/>
        </w:rPr>
      </w:pPr>
    </w:p>
    <w:p w14:paraId="4E1ABCF8">
      <w:pPr>
        <w:pStyle w:val="32"/>
        <w:rPr>
          <w:rFonts w:hint="eastAsia"/>
          <w:color w:val="auto"/>
        </w:rPr>
      </w:pPr>
    </w:p>
    <w:p w14:paraId="294BF850">
      <w:pPr>
        <w:pStyle w:val="2"/>
        <w:keepNext/>
        <w:keepLines/>
        <w:pageBreakBefore w:val="0"/>
        <w:widowControl w:val="0"/>
        <w:kinsoku/>
        <w:wordWrap/>
        <w:overflowPunct/>
        <w:topLinePunct w:val="0"/>
        <w:autoSpaceDE/>
        <w:autoSpaceDN/>
        <w:bidi w:val="0"/>
        <w:adjustRightInd/>
        <w:snapToGrid/>
        <w:spacing w:line="640" w:lineRule="exact"/>
        <w:ind w:firstLine="2650" w:firstLineChars="600"/>
        <w:jc w:val="both"/>
        <w:textAlignment w:val="auto"/>
        <w:rPr>
          <w:rFonts w:hint="eastAsia"/>
          <w:color w:val="auto"/>
          <w:highlight w:val="none"/>
        </w:rPr>
      </w:pPr>
      <w:r>
        <w:rPr>
          <w:rFonts w:hint="eastAsia"/>
          <w:color w:val="auto"/>
          <w:highlight w:val="none"/>
        </w:rPr>
        <w:t>第三章  投标人须知</w:t>
      </w:r>
      <w:bookmarkEnd w:id="42"/>
    </w:p>
    <w:p w14:paraId="61D80068">
      <w:pPr>
        <w:jc w:val="center"/>
        <w:rPr>
          <w:rFonts w:hint="eastAsia"/>
          <w:b/>
          <w:bCs/>
          <w:color w:val="auto"/>
          <w:sz w:val="36"/>
          <w:szCs w:val="36"/>
          <w:highlight w:val="none"/>
        </w:rPr>
      </w:pPr>
      <w:bookmarkStart w:id="43" w:name="_Toc254970667"/>
      <w:bookmarkStart w:id="44" w:name="_Toc254970526"/>
      <w:r>
        <w:rPr>
          <w:rFonts w:hint="eastAsia"/>
          <w:b/>
          <w:bCs/>
          <w:color w:val="auto"/>
          <w:sz w:val="36"/>
          <w:szCs w:val="36"/>
          <w:highlight w:val="none"/>
        </w:rPr>
        <w:t>投标人须知前附表</w:t>
      </w:r>
      <w:bookmarkEnd w:id="43"/>
      <w:bookmarkEnd w:id="44"/>
    </w:p>
    <w:tbl>
      <w:tblPr>
        <w:tblStyle w:val="50"/>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0E2C9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C36B6E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B1A352F">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1E6DE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044F73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F950E82">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0CDAF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4452239">
            <w:pPr>
              <w:spacing w:line="400" w:lineRule="exact"/>
              <w:jc w:val="center"/>
              <w:rPr>
                <w:rFonts w:ascii="宋体" w:hAnsi="宋体"/>
                <w:color w:val="auto"/>
                <w:szCs w:val="21"/>
                <w:highlight w:val="none"/>
              </w:rPr>
            </w:pPr>
            <w:bookmarkStart w:id="45" w:name="_5"/>
            <w:bookmarkEnd w:id="45"/>
            <w:bookmarkStart w:id="46" w:name="_9.2"/>
            <w:bookmarkEnd w:id="46"/>
            <w:bookmarkStart w:id="47" w:name="_8.1"/>
            <w:bookmarkEnd w:id="47"/>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6759197">
            <w:pPr>
              <w:pStyle w:val="18"/>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04B56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92ADB8E">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B755720">
            <w:pPr>
              <w:autoSpaceDE w:val="0"/>
              <w:autoSpaceDN w:val="0"/>
              <w:snapToGrid w:val="0"/>
              <w:spacing w:line="400" w:lineRule="exact"/>
              <w:textAlignment w:val="bottom"/>
              <w:rPr>
                <w:rFonts w:hint="eastAsia" w:ascii="宋体" w:hAnsi="宋体"/>
                <w:color w:val="auto"/>
                <w:szCs w:val="21"/>
                <w:highlight w:val="none"/>
              </w:rPr>
            </w:pPr>
            <w:bookmarkStart w:id="48" w:name="_Hlk54105293"/>
            <w:r>
              <w:rPr>
                <w:rFonts w:hint="eastAsia" w:ascii="宋体" w:hAnsi="宋体"/>
                <w:color w:val="auto"/>
                <w:szCs w:val="21"/>
                <w:highlight w:val="none"/>
              </w:rPr>
              <w:t>如接受联合体投标，</w:t>
            </w:r>
            <w:bookmarkEnd w:id="48"/>
            <w:r>
              <w:rPr>
                <w:rFonts w:hint="eastAsia" w:ascii="宋体" w:hAnsi="宋体"/>
                <w:color w:val="auto"/>
                <w:szCs w:val="21"/>
                <w:highlight w:val="none"/>
              </w:rPr>
              <w:t>联合体投标要求如下：</w:t>
            </w:r>
          </w:p>
          <w:p w14:paraId="4190A53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283D91B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700806C5">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319E638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5E9AA23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r>
              <w:rPr>
                <w:rFonts w:hint="eastAsia" w:ascii="宋体" w:hAnsi="宋体"/>
                <w:color w:val="auto"/>
                <w:szCs w:val="21"/>
                <w:highlight w:val="none"/>
              </w:rPr>
              <w:tab/>
            </w:r>
            <w:r>
              <w:rPr>
                <w:rFonts w:hint="eastAsia" w:ascii="宋体" w:hAnsi="宋体"/>
                <w:color w:val="auto"/>
                <w:szCs w:val="21"/>
                <w:highlight w:val="none"/>
              </w:rPr>
              <w:tab/>
            </w:r>
          </w:p>
          <w:p w14:paraId="3BEDD5F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ab/>
            </w:r>
          </w:p>
          <w:p w14:paraId="026CBBC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6B160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13BCA2B">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31D7AF">
            <w:pPr>
              <w:pStyle w:val="18"/>
              <w:spacing w:line="400" w:lineRule="exact"/>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 xml:space="preserve">☑不允许分包 </w:t>
            </w:r>
          </w:p>
          <w:p w14:paraId="46AEC8D4">
            <w:pPr>
              <w:pStyle w:val="18"/>
              <w:spacing w:line="400" w:lineRule="exact"/>
              <w:rPr>
                <w:rFonts w:hint="eastAsia" w:ascii="宋体" w:hAnsi="宋体"/>
                <w:color w:val="auto"/>
                <w:szCs w:val="21"/>
                <w:highlight w:val="none"/>
                <w:u w:val="single"/>
                <w:lang w:val="en-US" w:eastAsia="zh-CN"/>
              </w:rPr>
            </w:pPr>
            <w:r>
              <w:rPr>
                <w:rFonts w:hint="eastAsia" w:ascii="宋体" w:hAnsi="宋体"/>
                <w:color w:val="auto"/>
                <w:szCs w:val="21"/>
                <w:highlight w:val="none"/>
                <w:u w:val="none"/>
                <w:lang w:val="en-US" w:eastAsia="zh-CN"/>
              </w:rPr>
              <w:t>□</w:t>
            </w:r>
            <w:r>
              <w:rPr>
                <w:rFonts w:hint="eastAsia" w:ascii="宋体" w:hAnsi="宋体"/>
                <w:color w:val="auto"/>
                <w:szCs w:val="21"/>
                <w:highlight w:val="none"/>
                <w:u w:val="none"/>
                <w:lang w:val="en-US" w:eastAsia="zh-CN"/>
              </w:rPr>
              <w:t xml:space="preserve">允许分包 </w:t>
            </w:r>
          </w:p>
        </w:tc>
      </w:tr>
      <w:tr w14:paraId="21250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32CEC87">
            <w:pPr>
              <w:spacing w:line="400" w:lineRule="exact"/>
              <w:jc w:val="center"/>
              <w:rPr>
                <w:rFonts w:hint="eastAsia" w:ascii="宋体" w:hAnsi="宋体"/>
                <w:color w:val="auto"/>
                <w:szCs w:val="21"/>
                <w:highlight w:val="none"/>
              </w:rPr>
            </w:pPr>
            <w:r>
              <w:rPr>
                <w:rFonts w:hint="eastAsia" w:ascii="宋体" w:hAnsi="宋体"/>
                <w:color w:val="auto"/>
                <w:szCs w:val="21"/>
                <w:highlight w:val="none"/>
              </w:rPr>
              <w:t>8.1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1ADA191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采用综合评分法的采购项目，提供相同品牌产品（非单一产品采购项目的，指核心产品）的不同投标人评审得分相同时，按照下列方式确定一个投标人获得中标人推荐资格：按</w:t>
            </w:r>
            <w:r>
              <w:rPr>
                <w:rFonts w:ascii="宋体" w:hAnsi="宋体"/>
                <w:color w:val="auto"/>
                <w:szCs w:val="21"/>
                <w:highlight w:val="none"/>
              </w:rPr>
              <w:t>投标报价低</w:t>
            </w:r>
            <w:r>
              <w:rPr>
                <w:rFonts w:hint="eastAsia" w:ascii="宋体" w:hAnsi="宋体"/>
                <w:color w:val="auto"/>
                <w:szCs w:val="21"/>
                <w:highlight w:val="none"/>
              </w:rPr>
              <w:t>的原则确定，</w:t>
            </w:r>
            <w:r>
              <w:rPr>
                <w:rFonts w:ascii="宋体" w:hAnsi="宋体"/>
                <w:color w:val="auto"/>
                <w:szCs w:val="21"/>
                <w:highlight w:val="none"/>
              </w:rPr>
              <w:t>投标报价相同的</w:t>
            </w:r>
            <w:r>
              <w:rPr>
                <w:rFonts w:hint="eastAsia" w:ascii="宋体" w:hAnsi="宋体"/>
                <w:color w:val="auto"/>
                <w:szCs w:val="21"/>
                <w:highlight w:val="none"/>
              </w:rPr>
              <w:t>按综合评分中</w:t>
            </w:r>
            <w:r>
              <w:rPr>
                <w:rFonts w:hint="eastAsia" w:ascii="宋体" w:hAnsi="宋体" w:eastAsia="宋体" w:cs="Times New Roman"/>
                <w:color w:val="auto"/>
                <w:szCs w:val="21"/>
                <w:highlight w:val="none"/>
                <w:lang w:eastAsia="zh-CN"/>
              </w:rPr>
              <w:t>货物性能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项目实施方案、</w:t>
            </w:r>
            <w:r>
              <w:rPr>
                <w:rFonts w:hint="eastAsia" w:ascii="宋体" w:hAnsi="宋体" w:eastAsia="宋体" w:cs="Times New Roman"/>
                <w:color w:val="auto"/>
                <w:szCs w:val="21"/>
                <w:highlight w:val="none"/>
              </w:rPr>
              <w:t>售后服务</w:t>
            </w:r>
            <w:r>
              <w:rPr>
                <w:rFonts w:hint="eastAsia" w:ascii="宋体" w:hAnsi="宋体" w:eastAsia="宋体" w:cs="Times New Roman"/>
                <w:color w:val="auto"/>
                <w:szCs w:val="21"/>
                <w:highlight w:val="none"/>
                <w:lang w:eastAsia="zh-CN"/>
              </w:rPr>
              <w:t>方案</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信誉及业绩</w:t>
            </w:r>
            <w:r>
              <w:rPr>
                <w:rFonts w:hint="eastAsia" w:ascii="宋体" w:hAnsi="宋体" w:eastAsia="宋体" w:cs="Times New Roman"/>
                <w:color w:val="auto"/>
                <w:szCs w:val="21"/>
                <w:highlight w:val="none"/>
              </w:rPr>
              <w:t>、政策功能得分高低依次</w:t>
            </w:r>
            <w:r>
              <w:rPr>
                <w:rFonts w:hint="eastAsia" w:ascii="宋体" w:hAnsi="宋体"/>
                <w:color w:val="auto"/>
                <w:szCs w:val="21"/>
                <w:highlight w:val="none"/>
              </w:rPr>
              <w:t>确定。</w:t>
            </w:r>
          </w:p>
        </w:tc>
      </w:tr>
      <w:tr w14:paraId="1FBD6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3AD473EB">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E2DCC7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00B1B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09A52102">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8D8639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736A0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noWrap w:val="0"/>
            <w:vAlign w:val="center"/>
          </w:tcPr>
          <w:p w14:paraId="45342537">
            <w:pPr>
              <w:spacing w:line="400" w:lineRule="exact"/>
              <w:jc w:val="center"/>
              <w:rPr>
                <w:rFonts w:hint="eastAsia" w:ascii="宋体" w:hAnsi="宋体"/>
                <w:color w:val="auto"/>
                <w:szCs w:val="21"/>
                <w:highlight w:val="none"/>
              </w:rPr>
            </w:pPr>
            <w:bookmarkStart w:id="49" w:name="_13.1"/>
            <w:bookmarkEnd w:id="49"/>
            <w:r>
              <w:rPr>
                <w:rFonts w:hint="eastAsia" w:ascii="宋体" w:hAnsi="宋体"/>
                <w:color w:val="auto"/>
                <w:szCs w:val="21"/>
                <w:highlight w:val="none"/>
              </w:rPr>
              <w:t>13.</w:t>
            </w:r>
            <w:bookmarkStart w:id="50" w:name="_Hlt19632543"/>
            <w:r>
              <w:rPr>
                <w:rFonts w:hint="eastAsia" w:ascii="宋体" w:hAnsi="宋体"/>
                <w:color w:val="auto"/>
                <w:szCs w:val="21"/>
                <w:highlight w:val="none"/>
              </w:rPr>
              <w:t>1</w:t>
            </w:r>
            <w:bookmarkEnd w:id="50"/>
          </w:p>
        </w:tc>
        <w:tc>
          <w:tcPr>
            <w:tcW w:w="8708" w:type="dxa"/>
            <w:tcBorders>
              <w:top w:val="single" w:color="auto" w:sz="4" w:space="0"/>
              <w:left w:val="single" w:color="auto" w:sz="4" w:space="0"/>
              <w:bottom w:val="single" w:color="auto" w:sz="4" w:space="0"/>
              <w:right w:val="single" w:color="auto" w:sz="4" w:space="0"/>
            </w:tcBorders>
            <w:noWrap w:val="0"/>
            <w:vAlign w:val="center"/>
          </w:tcPr>
          <w:p w14:paraId="12206A95">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7E04DC74">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354E93B3">
            <w:pPr>
              <w:tabs>
                <w:tab w:val="left" w:pos="459"/>
              </w:tabs>
              <w:snapToGrid w:val="0"/>
              <w:spacing w:line="400" w:lineRule="exact"/>
              <w:jc w:val="left"/>
              <w:rPr>
                <w:rFonts w:hint="eastAsia" w:ascii="宋体" w:hAnsi="宋体"/>
                <w:color w:val="auto"/>
                <w:szCs w:val="21"/>
                <w:highlight w:val="none"/>
              </w:rPr>
            </w:pPr>
            <w:bookmarkStart w:id="51" w:name="_Hlk71299233"/>
            <w:r>
              <w:rPr>
                <w:rFonts w:hint="eastAsia" w:ascii="宋体" w:hAnsi="宋体"/>
                <w:color w:val="auto"/>
                <w:szCs w:val="21"/>
                <w:highlight w:val="none"/>
              </w:rPr>
              <w:t>2、开标一览表</w:t>
            </w:r>
            <w:bookmarkEnd w:id="51"/>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53E71E2">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《关于符合本国产品标准的声明函》或者财政部会同有关部门规定的有关证明文件； (供应商根据自身响应情况出具);</w:t>
            </w:r>
          </w:p>
          <w:p w14:paraId="04C79021">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供应商享受中小企业扶持政策的材料(供应商根据自身响应情况，提供以下任意一项材料以证明自身可享受中小企业扶持政策):</w:t>
            </w:r>
          </w:p>
          <w:p w14:paraId="20A401E4">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(1)《中小企业声明函》(格式后附);</w:t>
            </w:r>
          </w:p>
          <w:p w14:paraId="084632C1">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(2)《残疾人福利性单位声明函》(格式后附);</w:t>
            </w:r>
          </w:p>
          <w:p w14:paraId="62AD7D31">
            <w:pPr>
              <w:tabs>
                <w:tab w:val="left" w:pos="459"/>
              </w:tabs>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(3)省级以上监狱管理局、戒毒管理局(含新疆生产建设兵团)出具的属于监狱企</w:t>
            </w:r>
            <w:r>
              <w:rPr>
                <w:rFonts w:hint="eastAsia" w:ascii="宋体" w:hAnsi="宋体"/>
                <w:color w:val="auto"/>
                <w:szCs w:val="21"/>
                <w:highlight w:val="none"/>
                <w:lang w:eastAsia="zh-CN"/>
              </w:rPr>
              <w:t>。</w:t>
            </w:r>
          </w:p>
          <w:p w14:paraId="739A8328">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、投标人针对报价需要说明的其他文件和说明（格式自拟）。</w:t>
            </w:r>
          </w:p>
          <w:p w14:paraId="5C9B3B7E">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70B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95" w:type="dxa"/>
            <w:vMerge w:val="continue"/>
            <w:tcBorders>
              <w:left w:val="single" w:color="auto" w:sz="4" w:space="0"/>
              <w:right w:val="single" w:color="auto" w:sz="4" w:space="0"/>
            </w:tcBorders>
            <w:noWrap w:val="0"/>
            <w:vAlign w:val="center"/>
          </w:tcPr>
          <w:p w14:paraId="79CF15B4">
            <w:pPr>
              <w:spacing w:line="400" w:lineRule="exact"/>
              <w:rPr>
                <w:rFonts w:hint="eastAsia" w:ascii="宋体" w:hAnsi="宋体"/>
                <w:color w:val="auto"/>
                <w:szCs w:val="21"/>
                <w:highlight w:val="none"/>
              </w:rPr>
            </w:pPr>
            <w:bookmarkStart w:id="52" w:name="_13.2"/>
            <w:bookmarkEnd w:id="52"/>
          </w:p>
        </w:tc>
        <w:tc>
          <w:tcPr>
            <w:tcW w:w="8708" w:type="dxa"/>
            <w:tcBorders>
              <w:top w:val="single" w:color="auto" w:sz="4" w:space="0"/>
              <w:left w:val="single" w:color="auto" w:sz="4" w:space="0"/>
              <w:bottom w:val="single" w:color="auto" w:sz="4" w:space="0"/>
              <w:right w:val="single" w:color="auto" w:sz="4" w:space="0"/>
            </w:tcBorders>
            <w:noWrap w:val="0"/>
            <w:vAlign w:val="center"/>
          </w:tcPr>
          <w:p w14:paraId="4A536D64">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0791C70B">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（必须提供，否则按无效</w:t>
            </w:r>
            <w:r>
              <w:rPr>
                <w:rFonts w:hint="eastAsia" w:ascii="宋体" w:hAnsi="宋体"/>
                <w:b/>
                <w:color w:val="auto"/>
                <w:szCs w:val="21"/>
                <w:highlight w:val="none"/>
                <w:lang w:eastAsia="zh-CN"/>
              </w:rPr>
              <w:t>投标</w:t>
            </w:r>
            <w:r>
              <w:rPr>
                <w:rFonts w:hint="eastAsia" w:ascii="宋体" w:hAnsi="宋体"/>
                <w:b/>
                <w:color w:val="auto"/>
                <w:szCs w:val="21"/>
                <w:highlight w:val="none"/>
              </w:rPr>
              <w:t>处理</w:t>
            </w:r>
            <w:r>
              <w:rPr>
                <w:rFonts w:ascii="宋体" w:hAnsi="宋体"/>
                <w:b/>
                <w:color w:val="auto"/>
                <w:szCs w:val="21"/>
                <w:highlight w:val="none"/>
              </w:rPr>
              <w:t>）</w:t>
            </w:r>
          </w:p>
          <w:p w14:paraId="63B4D2EA">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2025年11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开标截止时间前</w:t>
            </w:r>
            <w:r>
              <w:rPr>
                <w:rFonts w:hint="eastAsia" w:ascii="宋体" w:hAnsi="宋体" w:cs="宋体"/>
                <w:color w:val="auto"/>
                <w:szCs w:val="21"/>
                <w:highlight w:val="none"/>
              </w:rPr>
              <w:t>内</w:t>
            </w:r>
            <w:r>
              <w:rPr>
                <w:rFonts w:hint="eastAsia" w:ascii="宋体" w:hAnsi="宋体" w:cs="宋体"/>
                <w:color w:val="auto"/>
                <w:szCs w:val="21"/>
                <w:highlight w:val="none"/>
                <w:lang w:eastAsia="zh-CN"/>
              </w:rPr>
              <w:t>任意一个月</w:t>
            </w:r>
            <w:r>
              <w:rPr>
                <w:rFonts w:hint="eastAsia" w:ascii="宋体" w:hAnsi="宋体" w:cs="宋体"/>
                <w:color w:val="auto"/>
                <w:szCs w:val="21"/>
                <w:highlight w:val="none"/>
              </w:rPr>
              <w:t>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521F6A95">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lang w:val="en-US" w:eastAsia="zh-CN"/>
              </w:rPr>
              <w:t>2025年11</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开标截止时间前</w:t>
            </w:r>
            <w:r>
              <w:rPr>
                <w:rFonts w:hint="eastAsia" w:ascii="宋体" w:hAnsi="宋体" w:cs="宋体"/>
                <w:color w:val="auto"/>
                <w:szCs w:val="21"/>
                <w:highlight w:val="none"/>
                <w:lang w:eastAsia="zh-CN"/>
              </w:rPr>
              <w:t>内任意一个月</w:t>
            </w:r>
            <w:r>
              <w:rPr>
                <w:rFonts w:hint="eastAsia" w:ascii="宋体" w:hAnsi="宋体" w:cs="宋体"/>
                <w:color w:val="auto"/>
                <w:szCs w:val="21"/>
                <w:highlight w:val="none"/>
              </w:rPr>
              <w:t>的依法缴纳社会保障资金的缴费凭证（</w:t>
            </w:r>
            <w:r>
              <w:rPr>
                <w:rFonts w:hint="eastAsia" w:ascii="宋体" w:hAnsi="宋体" w:cs="宋体"/>
                <w:color w:val="auto"/>
                <w:szCs w:val="21"/>
                <w:highlight w:val="none"/>
                <w:lang w:eastAsia="zh-CN"/>
              </w:rPr>
              <w:t>完税证明</w:t>
            </w:r>
            <w:r>
              <w:rPr>
                <w:rFonts w:hint="eastAsia" w:ascii="宋体" w:hAnsi="宋体" w:cs="宋体"/>
                <w:color w:val="auto"/>
                <w:szCs w:val="21"/>
                <w:highlight w:val="none"/>
              </w:rPr>
              <w:t>或者社会保险</w:t>
            </w:r>
            <w:r>
              <w:rPr>
                <w:rFonts w:hint="eastAsia" w:ascii="宋体" w:hAnsi="宋体" w:cs="宋体"/>
                <w:color w:val="auto"/>
                <w:szCs w:val="21"/>
                <w:highlight w:val="none"/>
                <w:lang w:eastAsia="zh-CN"/>
              </w:rPr>
              <w:t>缴费证明</w:t>
            </w:r>
            <w:r>
              <w:rPr>
                <w:rFonts w:hint="eastAsia" w:ascii="宋体" w:hAnsi="宋体" w:cs="宋体"/>
                <w:color w:val="auto"/>
                <w:szCs w:val="21"/>
                <w:highlight w:val="none"/>
              </w:rPr>
              <w:t>）复印件；依法不需要缴纳社会保障资金的供应商，必须提供相应文件证明不需要缴纳社会保障资金。从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42C1753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lang w:val="en-US" w:eastAsia="zh-CN"/>
              </w:rPr>
              <w:t>2024年度或2025年度</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77F25C1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08DF3570">
            <w:pPr>
              <w:autoSpaceDE w:val="0"/>
              <w:autoSpaceDN w:val="0"/>
              <w:snapToGrid w:val="0"/>
              <w:spacing w:line="400" w:lineRule="exact"/>
              <w:textAlignment w:val="bottom"/>
              <w:rPr>
                <w:rFonts w:hint="eastAsia" w:ascii="宋体" w:hAnsi="宋体" w:eastAsia="宋体" w:cs="宋体"/>
                <w:b/>
                <w:bCs/>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szCs w:val="21"/>
                <w:highlight w:val="none"/>
              </w:rPr>
              <w:t>投标声明（格式后附）；</w:t>
            </w:r>
            <w:r>
              <w:rPr>
                <w:rFonts w:hint="eastAsia" w:ascii="宋体" w:hAnsi="宋体" w:eastAsia="宋体" w:cs="宋体"/>
                <w:b/>
                <w:bCs/>
                <w:color w:val="auto"/>
                <w:szCs w:val="21"/>
                <w:highlight w:val="none"/>
              </w:rPr>
              <w:t>（必须提供，否则按无效投标处理）</w:t>
            </w:r>
          </w:p>
          <w:p w14:paraId="3BAC3C61">
            <w:pPr>
              <w:autoSpaceDE w:val="0"/>
              <w:autoSpaceDN w:val="0"/>
              <w:snapToGrid w:val="0"/>
              <w:spacing w:line="400" w:lineRule="exact"/>
              <w:textAlignment w:val="bottom"/>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本项目的特定资格要求：</w:t>
            </w:r>
            <w:r>
              <w:rPr>
                <w:rFonts w:hint="default" w:ascii="Calibri" w:hAnsi="Calibri" w:eastAsia="宋体" w:cs="Calibri"/>
                <w:color w:val="auto"/>
                <w:szCs w:val="21"/>
                <w:highlight w:val="none"/>
                <w:lang w:eastAsia="zh-CN"/>
              </w:rPr>
              <w:t>①</w:t>
            </w:r>
            <w:r>
              <w:rPr>
                <w:rFonts w:hint="eastAsia" w:ascii="宋体" w:hAnsi="宋体" w:eastAsia="宋体" w:cs="宋体"/>
                <w:color w:val="auto"/>
                <w:sz w:val="21"/>
                <w:szCs w:val="21"/>
                <w:highlight w:val="none"/>
                <w:lang w:val="en-US" w:eastAsia="zh-CN"/>
              </w:rPr>
              <w:t>具有国家主管部门颁发的有效的医疗器械生产许可证，或按《医疗器械经营监督管理办法》（国家市场监督管理总局第54号令）医疗器械分类管理要求具有有效的医疗器械经营备案凭证或许可证的供应商；</w:t>
            </w:r>
            <w:r>
              <w:rPr>
                <w:rFonts w:hint="default"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供应商所投产品属于射线装置的，供应商为投标产品制造商的须具备有效的《辐射安全许可证》（许可种类和范围至少包含生产、销售）；供应商为投标产品经销商的须具备有效的《辐射安全许可证》（许可种类和范围至少包含销售）（依据《放射性同位素与射线装置安全许可管理办法》第二条在中华人民共和国境内生产、销售、使用放射性同位素与射线装置的单位，应当依照本办法的规定，取得辐射安全许可证。）。</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val="en-US" w:eastAsia="zh-CN"/>
              </w:rPr>
              <w:t>证书复印件</w:t>
            </w:r>
            <w:r>
              <w:rPr>
                <w:rFonts w:hint="eastAsia" w:ascii="宋体" w:hAnsi="宋体" w:eastAsia="宋体" w:cs="宋体"/>
                <w:b/>
                <w:bCs/>
                <w:color w:val="auto"/>
                <w:szCs w:val="21"/>
                <w:highlight w:val="none"/>
              </w:rPr>
              <w:t>，否则按无效</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处理）</w:t>
            </w:r>
          </w:p>
          <w:p w14:paraId="20D93493">
            <w:pPr>
              <w:autoSpaceDE w:val="0"/>
              <w:autoSpaceDN w:val="0"/>
              <w:snapToGrid w:val="0"/>
              <w:spacing w:line="400" w:lineRule="exact"/>
              <w:textAlignment w:val="bottom"/>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产品属第一类医疗器械产品的，投标文件中须按《医疗器械注册与备案管理办法》（国家市场监督管理总局令第47号）提供该设备在负责药品监督管理的部门提交备案资料证明材料复印件加盖投标人电子签章；投标产品属第二、三类医疗器械产品的，投标文件中须按《医疗器械注册与备案管理办法》（国家市场监督管理总局令第47号）提供该设备有效的药品监督管理部门出具的医疗器械注册证复印件</w:t>
            </w:r>
            <w:r>
              <w:rPr>
                <w:rFonts w:hint="eastAsia" w:ascii="宋体" w:hAnsi="宋体" w:eastAsia="宋体" w:cs="宋体"/>
                <w:b/>
                <w:bCs/>
                <w:color w:val="auto"/>
                <w:szCs w:val="21"/>
                <w:highlight w:val="none"/>
              </w:rPr>
              <w:t>（必须提供，否则按无效</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处理）</w:t>
            </w:r>
          </w:p>
          <w:p w14:paraId="56342170">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除招标</w:t>
            </w:r>
            <w:r>
              <w:rPr>
                <w:rFonts w:hint="eastAsia" w:ascii="宋体" w:hAnsi="宋体" w:eastAsia="宋体" w:cs="宋体"/>
                <w:color w:val="auto"/>
                <w:szCs w:val="21"/>
                <w:highlight w:val="none"/>
              </w:rPr>
              <w:t>文件规定必须提供以外，供应商认为需要提供的其他证明材料</w:t>
            </w:r>
            <w:r>
              <w:rPr>
                <w:rFonts w:hint="eastAsia" w:ascii="宋体" w:hAnsi="宋体" w:eastAsia="宋体" w:cs="宋体"/>
                <w:color w:val="auto"/>
                <w:szCs w:val="21"/>
                <w:highlight w:val="none"/>
                <w:lang w:eastAsia="zh-CN"/>
              </w:rPr>
              <w:t>。（如有）</w:t>
            </w:r>
          </w:p>
          <w:p w14:paraId="7625F705">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2806A1C0">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B023393">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12346DC0">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737B03D">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CE8E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0" w:hRule="atLeast"/>
          <w:jc w:val="center"/>
        </w:trPr>
        <w:tc>
          <w:tcPr>
            <w:tcW w:w="895" w:type="dxa"/>
            <w:vMerge w:val="continue"/>
            <w:tcBorders>
              <w:left w:val="single" w:color="auto" w:sz="4" w:space="0"/>
              <w:right w:val="single" w:color="auto" w:sz="4" w:space="0"/>
            </w:tcBorders>
            <w:noWrap w:val="0"/>
            <w:vAlign w:val="center"/>
          </w:tcPr>
          <w:p w14:paraId="6FEECEE8">
            <w:pPr>
              <w:spacing w:line="400" w:lineRule="exact"/>
              <w:rPr>
                <w:rFonts w:hint="eastAsia" w:ascii="宋体" w:hAnsi="宋体"/>
                <w:color w:val="auto"/>
                <w:szCs w:val="21"/>
                <w:highlight w:val="none"/>
              </w:rPr>
            </w:pPr>
            <w:bookmarkStart w:id="53" w:name="_13.3"/>
            <w:bookmarkEnd w:id="53"/>
          </w:p>
        </w:tc>
        <w:tc>
          <w:tcPr>
            <w:tcW w:w="8708" w:type="dxa"/>
            <w:tcBorders>
              <w:top w:val="single" w:color="auto" w:sz="4" w:space="0"/>
              <w:left w:val="single" w:color="auto" w:sz="4" w:space="0"/>
              <w:bottom w:val="single" w:color="auto" w:sz="4" w:space="0"/>
              <w:right w:val="single" w:color="auto" w:sz="4" w:space="0"/>
            </w:tcBorders>
            <w:noWrap w:val="0"/>
            <w:vAlign w:val="center"/>
          </w:tcPr>
          <w:p w14:paraId="6ACB162B">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533DC31E">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61D33F">
            <w:pPr>
              <w:snapToGrid w:val="0"/>
              <w:spacing w:line="400" w:lineRule="exact"/>
              <w:jc w:val="left"/>
              <w:rPr>
                <w:rFonts w:hint="eastAsia" w:ascii="宋体" w:hAnsi="宋体" w:cs="宋体"/>
                <w:color w:val="auto"/>
                <w:szCs w:val="21"/>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、法定代表人身份证明及法定代表人有效身份证正反面复印件（格式后附）；</w:t>
            </w:r>
            <w:r>
              <w:rPr>
                <w:rFonts w:hint="eastAsia" w:ascii="宋体" w:hAnsi="宋体"/>
                <w:color w:val="auto"/>
                <w:szCs w:val="21"/>
              </w:rPr>
              <w:t>（</w:t>
            </w:r>
            <w:r>
              <w:rPr>
                <w:rFonts w:hint="eastAsia" w:ascii="宋体" w:hAnsi="宋体" w:cs="宋体"/>
                <w:b/>
                <w:bCs/>
                <w:color w:val="auto"/>
                <w:szCs w:val="21"/>
              </w:rPr>
              <w:t>自然人</w:t>
            </w:r>
            <w:r>
              <w:rPr>
                <w:rFonts w:hint="eastAsia" w:ascii="宋体" w:hAnsi="宋体" w:cs="宋体"/>
                <w:b/>
                <w:bCs/>
                <w:color w:val="auto"/>
                <w:szCs w:val="21"/>
                <w:lang w:eastAsia="zh-CN"/>
              </w:rPr>
              <w:t>参加时，只需要提供身份证复印件，</w:t>
            </w:r>
            <w:r>
              <w:rPr>
                <w:rFonts w:hint="eastAsia" w:ascii="宋体" w:hAnsi="宋体"/>
                <w:b/>
                <w:color w:val="auto"/>
                <w:szCs w:val="21"/>
              </w:rPr>
              <w:t>必须提供，否则按无效</w:t>
            </w:r>
            <w:r>
              <w:rPr>
                <w:rFonts w:hint="eastAsia" w:ascii="宋体" w:hAnsi="宋体"/>
                <w:b/>
                <w:color w:val="auto"/>
                <w:szCs w:val="21"/>
                <w:lang w:eastAsia="zh-CN"/>
              </w:rPr>
              <w:t>投标</w:t>
            </w:r>
            <w:r>
              <w:rPr>
                <w:rFonts w:hint="eastAsia" w:ascii="宋体" w:hAnsi="宋体"/>
                <w:b/>
                <w:color w:val="auto"/>
                <w:szCs w:val="21"/>
              </w:rPr>
              <w:t>处理</w:t>
            </w:r>
            <w:r>
              <w:rPr>
                <w:rFonts w:hint="eastAsia" w:ascii="宋体" w:hAnsi="宋体"/>
                <w:color w:val="auto"/>
                <w:szCs w:val="21"/>
              </w:rPr>
              <w:t>）</w:t>
            </w:r>
          </w:p>
          <w:p w14:paraId="3E549B77">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398EB0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color w:val="auto"/>
                <w:szCs w:val="21"/>
                <w:lang w:eastAsia="zh-CN"/>
              </w:rPr>
              <w:t>投标保证金提交凭证；</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5A4B78F">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49AE96">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rPr>
              <w:t>售后服务</w:t>
            </w:r>
            <w:r>
              <w:rPr>
                <w:rFonts w:hint="eastAsia" w:ascii="宋体" w:hAnsi="宋体"/>
                <w:color w:val="auto"/>
                <w:szCs w:val="21"/>
                <w:highlight w:val="none"/>
                <w:lang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DC7AB6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rPr>
              <w:t>投标人情况介绍（格式自拟）；</w:t>
            </w:r>
          </w:p>
          <w:p w14:paraId="66F241F4">
            <w:pPr>
              <w:snapToGrid w:val="0"/>
              <w:spacing w:line="400" w:lineRule="exact"/>
              <w:jc w:val="left"/>
              <w:rPr>
                <w:rFonts w:hint="eastAsia" w:ascii="宋体" w:hAnsi="宋体" w:eastAsia="宋体" w:cs="宋体"/>
                <w:b/>
                <w:bCs/>
                <w:color w:val="auto"/>
                <w:sz w:val="21"/>
                <w:szCs w:val="21"/>
                <w:lang w:val="en-US" w:eastAsia="zh-CN"/>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投标人根据“第二章 采购需求”及“第四章 评标方法及评标标准”提供有关证明材料</w:t>
            </w:r>
            <w:r>
              <w:rPr>
                <w:rFonts w:hint="eastAsia" w:ascii="宋体" w:hAnsi="宋体"/>
                <w:b/>
                <w:bCs/>
                <w:color w:val="auto"/>
                <w:szCs w:val="21"/>
                <w:highlight w:val="none"/>
                <w:lang w:eastAsia="zh-CN"/>
              </w:rPr>
              <w:t>（</w:t>
            </w:r>
            <w:r>
              <w:rPr>
                <w:rFonts w:hint="eastAsia" w:ascii="宋体" w:hAnsi="宋体"/>
                <w:color w:val="auto"/>
                <w:szCs w:val="21"/>
                <w:highlight w:val="none"/>
                <w:lang w:val="en-US" w:eastAsia="zh-CN"/>
              </w:rPr>
              <w:t>如有要求“必须提供，</w:t>
            </w:r>
            <w:r>
              <w:rPr>
                <w:rFonts w:hint="eastAsia" w:ascii="宋体" w:hAnsi="宋体" w:eastAsia="宋体" w:cs="宋体"/>
                <w:b w:val="0"/>
                <w:bCs w:val="0"/>
                <w:color w:val="auto"/>
                <w:sz w:val="21"/>
                <w:szCs w:val="21"/>
                <w:lang w:val="en-US" w:eastAsia="zh-CN"/>
              </w:rPr>
              <w:t>否则投标无效”的</w:t>
            </w:r>
            <w:r>
              <w:rPr>
                <w:rFonts w:hint="eastAsia" w:ascii="宋体" w:hAnsi="宋体" w:eastAsia="宋体" w:cs="宋体"/>
                <w:b/>
                <w:bCs/>
                <w:color w:val="auto"/>
                <w:sz w:val="21"/>
                <w:szCs w:val="21"/>
                <w:lang w:val="en-US" w:eastAsia="zh-CN"/>
              </w:rPr>
              <w:t>，则必须提供。）</w:t>
            </w:r>
          </w:p>
          <w:p w14:paraId="3AEB3B3D">
            <w:pPr>
              <w:snapToGrid w:val="0"/>
              <w:spacing w:line="400" w:lineRule="exact"/>
              <w:jc w:val="left"/>
              <w:rPr>
                <w:rFonts w:hint="eastAsia" w:ascii="宋体" w:hAnsi="宋体"/>
                <w:b/>
                <w:bCs/>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除招标文件规定必须提供以外，投标人认为需要提供的其他证明材料（格式自拟）。</w:t>
            </w:r>
          </w:p>
          <w:p w14:paraId="7EFAF97B">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5562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noWrap w:val="0"/>
            <w:vAlign w:val="center"/>
          </w:tcPr>
          <w:p w14:paraId="006BDEDF">
            <w:pPr>
              <w:spacing w:line="400" w:lineRule="exact"/>
              <w:rPr>
                <w:rFonts w:hint="eastAsia" w:ascii="宋体" w:hAnsi="宋体"/>
                <w:color w:val="auto"/>
                <w:szCs w:val="21"/>
                <w:highlight w:val="none"/>
              </w:rPr>
            </w:pPr>
            <w:bookmarkStart w:id="54" w:name="_13.4"/>
            <w:bookmarkEnd w:id="54"/>
          </w:p>
        </w:tc>
        <w:tc>
          <w:tcPr>
            <w:tcW w:w="8708" w:type="dxa"/>
            <w:tcBorders>
              <w:top w:val="single" w:color="auto" w:sz="4" w:space="0"/>
              <w:left w:val="single" w:color="auto" w:sz="4" w:space="0"/>
              <w:bottom w:val="single" w:color="auto" w:sz="4" w:space="0"/>
              <w:right w:val="single" w:color="auto" w:sz="4" w:space="0"/>
            </w:tcBorders>
            <w:noWrap w:val="0"/>
            <w:vAlign w:val="center"/>
          </w:tcPr>
          <w:p w14:paraId="36344F39">
            <w:pPr>
              <w:snapToGrid w:val="0"/>
              <w:spacing w:line="400" w:lineRule="exact"/>
              <w:jc w:val="left"/>
              <w:rPr>
                <w:rFonts w:hint="eastAsia" w:ascii="宋体" w:hAnsi="宋体"/>
                <w:color w:val="auto"/>
                <w:szCs w:val="21"/>
                <w:highlight w:val="none"/>
              </w:rPr>
            </w:pPr>
            <w:r>
              <w:rPr>
                <w:rFonts w:hint="eastAsia" w:ascii="宋体" w:hAnsi="宋体" w:cs="Courier New"/>
                <w:b/>
                <w:color w:val="auto"/>
                <w:szCs w:val="21"/>
                <w:highlight w:val="none"/>
              </w:rPr>
              <w:t>技术文件：</w:t>
            </w:r>
          </w:p>
          <w:p w14:paraId="1BB03E50">
            <w:pPr>
              <w:snapToGrid w:val="0"/>
              <w:spacing w:line="400" w:lineRule="exact"/>
              <w:jc w:val="left"/>
              <w:rPr>
                <w:rFonts w:hint="eastAsia" w:ascii="宋体" w:hAnsi="宋体"/>
                <w:color w:val="auto"/>
                <w:szCs w:val="21"/>
              </w:rPr>
            </w:pPr>
            <w:r>
              <w:rPr>
                <w:rFonts w:hint="eastAsia" w:ascii="宋体" w:hAnsi="宋体"/>
                <w:color w:val="auto"/>
                <w:szCs w:val="21"/>
              </w:rPr>
              <w:t>1、设备性能配置清单（格式后附）；</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4EDF81EB">
            <w:pPr>
              <w:snapToGrid w:val="0"/>
              <w:spacing w:line="400" w:lineRule="exact"/>
              <w:jc w:val="left"/>
              <w:rPr>
                <w:rFonts w:hint="eastAsia" w:ascii="宋体" w:hAnsi="宋体"/>
                <w:color w:val="auto"/>
                <w:szCs w:val="21"/>
              </w:rPr>
            </w:pPr>
            <w:r>
              <w:rPr>
                <w:rFonts w:hint="eastAsia" w:ascii="宋体" w:hAnsi="宋体"/>
                <w:color w:val="auto"/>
                <w:szCs w:val="21"/>
              </w:rPr>
              <w:t>2、技术要求偏离表（格式后附）；（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7F49664E">
            <w:pPr>
              <w:snapToGrid w:val="0"/>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3、项目实施人员一览表（格式后附）；</w:t>
            </w:r>
          </w:p>
          <w:p w14:paraId="4A86A49E">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w:t>
            </w:r>
            <w:r>
              <w:rPr>
                <w:rFonts w:hint="eastAsia" w:ascii="Times New Roman" w:hAnsi="Times New Roman" w:eastAsia="宋体" w:cs="Arial"/>
                <w:color w:val="auto"/>
                <w:szCs w:val="21"/>
              </w:rPr>
              <w:t>项目实施方案（格式自拟）；</w:t>
            </w:r>
          </w:p>
          <w:p w14:paraId="0DC0544A">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、对本项目系统总体要求的理解。包括：功能说明、性能指标及设备选型说明（质量、性能、价格、外观、体积等方面进行比较和选择的理由及过程，格式自拟）；</w:t>
            </w:r>
          </w:p>
          <w:p w14:paraId="31E69785">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、产品出厂标准、质量检测报告[其中有精度要求的仪器设备类政府采购项目，应当要求投标人提供精度数据（</w:t>
            </w:r>
            <w:r>
              <w:rPr>
                <w:color w:val="auto"/>
              </w:rPr>
              <w:t>国家认可的有资质的第三方检测机构出具的检测报告复印件</w:t>
            </w:r>
            <w:r>
              <w:rPr>
                <w:rFonts w:hint="eastAsia" w:ascii="宋体" w:hAnsi="宋体"/>
                <w:color w:val="auto"/>
                <w:szCs w:val="21"/>
              </w:rPr>
              <w:t>或者由采购人在投标前组织的实测获得）]；</w:t>
            </w:r>
          </w:p>
          <w:p w14:paraId="423DC076">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、优惠条件：投标人承诺给予招标人的各种优惠条件，包括售后服务、备品备件、专用耗材等方面的优惠；投标人不得给予赠品或者与采购无关的其他商品、服务；</w:t>
            </w:r>
          </w:p>
          <w:p w14:paraId="34785EE8">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、投标人对本项目的合理化建议和改进措施（格式自拟）；</w:t>
            </w:r>
          </w:p>
          <w:p w14:paraId="55AE1010">
            <w:pPr>
              <w:snapToGrid w:val="0"/>
              <w:spacing w:line="400" w:lineRule="exact"/>
              <w:jc w:val="left"/>
              <w:rPr>
                <w:rFonts w:hint="eastAsia" w:ascii="宋体" w:hAnsi="宋体"/>
                <w:bCs/>
                <w:color w:val="auto"/>
                <w:szCs w:val="21"/>
                <w:highlight w:val="none"/>
              </w:rPr>
            </w:pPr>
            <w:r>
              <w:rPr>
                <w:rFonts w:hint="eastAsia" w:ascii="宋体" w:hAnsi="宋体"/>
                <w:color w:val="auto"/>
                <w:szCs w:val="21"/>
                <w:lang w:val="en-US" w:eastAsia="zh-CN"/>
              </w:rPr>
              <w:t>9</w:t>
            </w:r>
            <w:r>
              <w:rPr>
                <w:rFonts w:hint="eastAsia" w:ascii="宋体" w:hAnsi="宋体"/>
                <w:color w:val="auto"/>
                <w:szCs w:val="21"/>
              </w:rPr>
              <w:t>、除招标文件规定必须提供以外，投标人需要说明的其他文件和说明（格式自拟）。</w:t>
            </w:r>
          </w:p>
          <w:p w14:paraId="512D4B54">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B5FC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306EB1C">
            <w:pPr>
              <w:spacing w:line="400" w:lineRule="exact"/>
              <w:jc w:val="center"/>
              <w:rPr>
                <w:rFonts w:hint="eastAsia" w:ascii="宋体" w:hAnsi="宋体"/>
                <w:color w:val="auto"/>
                <w:szCs w:val="21"/>
                <w:highlight w:val="none"/>
              </w:rPr>
            </w:pPr>
            <w:bookmarkStart w:id="55" w:name="_13.5"/>
            <w:bookmarkEnd w:id="55"/>
            <w:bookmarkStart w:id="56" w:name="_16.2"/>
            <w:bookmarkEnd w:id="56"/>
            <w:r>
              <w:rPr>
                <w:rFonts w:hint="eastAsia" w:ascii="宋体" w:hAnsi="宋体"/>
                <w:color w:val="auto"/>
                <w:szCs w:val="21"/>
                <w:highlight w:val="none"/>
              </w:rPr>
              <w:t>16</w:t>
            </w:r>
            <w:bookmarkStart w:id="57" w:name="_Hlt19693759"/>
            <w:bookmarkStart w:id="58" w:name="_Hlt19693758"/>
            <w:bookmarkStart w:id="59" w:name="_Hlt19194067"/>
            <w:bookmarkStart w:id="60" w:name="_Hlt19194066"/>
            <w:r>
              <w:rPr>
                <w:rFonts w:hint="eastAsia" w:ascii="宋体" w:hAnsi="宋体"/>
                <w:color w:val="auto"/>
                <w:szCs w:val="21"/>
                <w:highlight w:val="none"/>
              </w:rPr>
              <w:t>.</w:t>
            </w:r>
            <w:bookmarkEnd w:id="57"/>
            <w:bookmarkEnd w:id="58"/>
            <w:bookmarkEnd w:id="59"/>
            <w:bookmarkEnd w:id="60"/>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57078F0">
            <w:pPr>
              <w:snapToGrid w:val="0"/>
              <w:spacing w:line="400" w:lineRule="exact"/>
              <w:jc w:val="left"/>
              <w:rPr>
                <w:rFonts w:hint="eastAsia" w:ascii="宋体" w:hAnsi="宋体"/>
                <w:b/>
                <w:color w:val="auto"/>
                <w:szCs w:val="21"/>
                <w:highlight w:val="none"/>
              </w:rPr>
            </w:pPr>
            <w:r>
              <w:rPr>
                <w:rFonts w:hint="eastAsia" w:ascii="宋体" w:hAnsi="宋体" w:eastAsia="宋体" w:cs="Times New Roman"/>
                <w:color w:val="auto"/>
                <w:szCs w:val="21"/>
                <w:highlight w:val="none"/>
                <w:lang w:val="en-US" w:eastAsia="zh-CN"/>
              </w:rPr>
              <w:t xml:space="preserve">投标报价是履行合同的最终价格，包括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 </w:t>
            </w:r>
          </w:p>
        </w:tc>
      </w:tr>
      <w:tr w14:paraId="6FFD9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0DEB3D1">
            <w:pPr>
              <w:spacing w:line="400" w:lineRule="exact"/>
              <w:jc w:val="center"/>
              <w:rPr>
                <w:rFonts w:hint="eastAsia" w:ascii="宋体" w:hAnsi="宋体"/>
                <w:color w:val="auto"/>
                <w:szCs w:val="21"/>
                <w:highlight w:val="none"/>
              </w:rPr>
            </w:pPr>
            <w:bookmarkStart w:id="61" w:name="_17.1"/>
            <w:bookmarkEnd w:id="61"/>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E0BC5E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投标有效期：投标截止之日起</w:t>
            </w:r>
            <w:r>
              <w:rPr>
                <w:rFonts w:hint="eastAsia" w:ascii="宋体" w:hAnsi="宋体"/>
                <w:color w:val="auto"/>
                <w:szCs w:val="21"/>
                <w:highlight w:val="none"/>
                <w:lang w:val="en-US" w:eastAsia="zh-CN"/>
              </w:rPr>
              <w:t>120</w:t>
            </w:r>
            <w:r>
              <w:rPr>
                <w:rFonts w:hint="eastAsia" w:ascii="宋体" w:hAnsi="宋体"/>
                <w:color w:val="auto"/>
                <w:szCs w:val="21"/>
                <w:highlight w:val="none"/>
              </w:rPr>
              <w:t>天内。</w:t>
            </w:r>
          </w:p>
        </w:tc>
      </w:tr>
      <w:tr w14:paraId="2ADC6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35B309D">
            <w:pPr>
              <w:spacing w:line="400" w:lineRule="exact"/>
              <w:jc w:val="center"/>
              <w:rPr>
                <w:rFonts w:hint="eastAsia" w:ascii="宋体" w:hAnsi="宋体"/>
                <w:color w:val="auto"/>
                <w:szCs w:val="21"/>
                <w:highlight w:val="none"/>
              </w:rPr>
            </w:pPr>
            <w:bookmarkStart w:id="62" w:name="_18"/>
            <w:bookmarkEnd w:id="62"/>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266E5A8">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□本项目不收取投标保证金。 </w:t>
            </w:r>
          </w:p>
          <w:p w14:paraId="066BEF3B">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☑本项目收取投标保证金，具体规定如下： </w:t>
            </w:r>
          </w:p>
          <w:p w14:paraId="5A1DFAEE">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投标保证金人民币</w:t>
            </w:r>
            <w:r>
              <w:rPr>
                <w:rFonts w:hint="eastAsia" w:ascii="宋体" w:hAnsi="宋体" w:eastAsia="宋体" w:cs="宋体"/>
                <w:color w:val="auto"/>
                <w:szCs w:val="21"/>
                <w:u w:val="single"/>
                <w:lang w:val="en-US" w:eastAsia="zh-CN"/>
              </w:rPr>
              <w:t>80000.00</w:t>
            </w:r>
            <w:r>
              <w:rPr>
                <w:rFonts w:hint="eastAsia" w:ascii="宋体" w:hAnsi="宋体" w:eastAsia="宋体" w:cs="宋体"/>
                <w:color w:val="auto"/>
                <w:szCs w:val="21"/>
                <w:lang w:val="en-US" w:eastAsia="zh-CN"/>
              </w:rPr>
              <w:t>元。</w:t>
            </w:r>
            <w:r>
              <w:rPr>
                <w:rFonts w:hint="eastAsia" w:ascii="宋体" w:hAnsi="宋体" w:eastAsia="宋体" w:cs="宋体"/>
                <w:color w:val="auto"/>
                <w:szCs w:val="21"/>
                <w:lang w:val="en-US" w:eastAsia="zh-CN"/>
              </w:rPr>
              <w:t xml:space="preserve"> </w:t>
            </w:r>
          </w:p>
          <w:p w14:paraId="0F978CAC">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投标保证金的交纳方式：银行转账、支票、汇票、本票或者银行、保险机构出具的保函（包 </w:t>
            </w:r>
          </w:p>
          <w:p w14:paraId="4AFFB99C">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含电子保函），禁止采用现钞方式。采用银行转账方式的，在</w:t>
            </w:r>
            <w:r>
              <w:rPr>
                <w:rFonts w:hint="eastAsia" w:ascii="宋体" w:hAnsi="宋体" w:eastAsia="宋体" w:cs="宋体"/>
                <w:color w:val="auto"/>
                <w:szCs w:val="21"/>
                <w:lang w:eastAsia="zh-CN"/>
              </w:rPr>
              <w:t>投标文件</w:t>
            </w:r>
            <w:r>
              <w:rPr>
                <w:rFonts w:hint="eastAsia" w:ascii="宋体" w:hAnsi="宋体" w:cs="宋体"/>
                <w:color w:val="auto"/>
                <w:szCs w:val="21"/>
              </w:rPr>
              <w:t>提交截止时间</w:t>
            </w:r>
            <w:r>
              <w:rPr>
                <w:rFonts w:hint="eastAsia" w:ascii="宋体" w:hAnsi="宋体" w:eastAsia="宋体" w:cs="宋体"/>
                <w:color w:val="auto"/>
                <w:szCs w:val="21"/>
                <w:lang w:val="en-US" w:eastAsia="zh-CN"/>
              </w:rPr>
              <w:t>前从投标人账户交至指定账户并且到账（开户名称：广西国泰招标咨询有限公司玉林分公司，开户银行：农业银行玉林金玉路支行，银行账号：20410801040003746）；采用支票、汇票、本票或者保函等方式的，在</w:t>
            </w:r>
            <w:r>
              <w:rPr>
                <w:rFonts w:hint="eastAsia" w:ascii="宋体" w:hAnsi="宋体" w:eastAsia="宋体" w:cs="宋体"/>
                <w:color w:val="auto"/>
                <w:szCs w:val="21"/>
                <w:lang w:eastAsia="zh-CN"/>
              </w:rPr>
              <w:t>投标文件</w:t>
            </w:r>
            <w:r>
              <w:rPr>
                <w:rFonts w:hint="eastAsia" w:ascii="宋体" w:hAnsi="宋体" w:cs="宋体"/>
                <w:color w:val="auto"/>
                <w:szCs w:val="21"/>
              </w:rPr>
              <w:t>提交截止时间</w:t>
            </w:r>
            <w:r>
              <w:rPr>
                <w:rFonts w:hint="eastAsia" w:ascii="宋体" w:hAnsi="宋体" w:eastAsia="宋体" w:cs="宋体"/>
                <w:color w:val="auto"/>
                <w:szCs w:val="21"/>
                <w:lang w:val="en-US" w:eastAsia="zh-CN"/>
              </w:rPr>
              <w:t>前，投标人必须递交单独密封的支票、汇票、本票或者保函原件。</w:t>
            </w:r>
            <w:r>
              <w:rPr>
                <w:rFonts w:hint="eastAsia" w:ascii="宋体" w:hAnsi="宋体" w:eastAsia="宋体" w:cs="宋体"/>
                <w:b/>
                <w:bCs/>
                <w:color w:val="auto"/>
                <w:szCs w:val="21"/>
                <w:lang w:val="en-US" w:eastAsia="zh-CN"/>
              </w:rPr>
              <w:t>否则视为无效投标保证金。</w:t>
            </w:r>
            <w:r>
              <w:rPr>
                <w:rFonts w:hint="eastAsia" w:ascii="宋体" w:hAnsi="宋体" w:eastAsia="宋体" w:cs="宋体"/>
                <w:color w:val="auto"/>
                <w:szCs w:val="21"/>
                <w:lang w:val="en-US" w:eastAsia="zh-CN"/>
              </w:rPr>
              <w:t xml:space="preserve"> </w:t>
            </w:r>
          </w:p>
          <w:p w14:paraId="1B0C0754">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相关要求： </w:t>
            </w:r>
          </w:p>
          <w:p w14:paraId="5950FE35">
            <w:pPr>
              <w:spacing w:line="360" w:lineRule="auto"/>
              <w:rPr>
                <w:rFonts w:hint="eastAsia" w:ascii="宋体" w:hAnsi="宋体" w:eastAsia="宋体" w:cs="宋体"/>
                <w:b/>
                <w:bCs/>
                <w:color w:val="auto"/>
                <w:szCs w:val="21"/>
              </w:rPr>
            </w:pPr>
            <w:r>
              <w:rPr>
                <w:rFonts w:hint="eastAsia" w:ascii="宋体" w:hAnsi="宋体" w:eastAsia="宋体" w:cs="宋体"/>
                <w:color w:val="auto"/>
                <w:szCs w:val="21"/>
                <w:lang w:val="en-US" w:eastAsia="zh-CN"/>
              </w:rPr>
              <w:t>1.投标保证金采用银行转账交纳方式，在</w:t>
            </w:r>
            <w:r>
              <w:rPr>
                <w:rFonts w:hint="eastAsia" w:ascii="宋体" w:hAnsi="宋体" w:eastAsia="宋体" w:cs="宋体"/>
                <w:color w:val="auto"/>
                <w:szCs w:val="21"/>
                <w:lang w:eastAsia="zh-CN"/>
              </w:rPr>
              <w:t>投标文件</w:t>
            </w:r>
            <w:r>
              <w:rPr>
                <w:rFonts w:hint="eastAsia" w:ascii="宋体" w:hAnsi="宋体" w:cs="宋体"/>
                <w:color w:val="auto"/>
                <w:szCs w:val="21"/>
              </w:rPr>
              <w:t>提交截止时间</w:t>
            </w:r>
            <w:r>
              <w:rPr>
                <w:rFonts w:hint="eastAsia" w:ascii="宋体" w:hAnsi="宋体" w:eastAsia="宋体" w:cs="宋体"/>
                <w:color w:val="auto"/>
                <w:szCs w:val="21"/>
                <w:lang w:val="en-US" w:eastAsia="zh-CN"/>
              </w:rPr>
              <w:t>前交至指定账户并且到账，投标人应将银行转账底单的复印件作为投标保证金提交凭证，放置于商务及技术文件中，</w:t>
            </w:r>
            <w:r>
              <w:rPr>
                <w:rFonts w:hint="eastAsia" w:ascii="宋体" w:hAnsi="宋体" w:eastAsia="宋体" w:cs="宋体"/>
                <w:b/>
                <w:bCs/>
                <w:color w:val="auto"/>
                <w:szCs w:val="21"/>
                <w:lang w:val="en-US" w:eastAsia="zh-CN"/>
              </w:rPr>
              <w:t xml:space="preserve">否则投标无效。 </w:t>
            </w:r>
          </w:p>
          <w:p w14:paraId="7F70A639">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2.投标保证金采用支票、汇票、本票或者银行、保险机构出具的保函（包含电子保函）交纳 </w:t>
            </w:r>
          </w:p>
          <w:p w14:paraId="2F92F55E">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方式的，投标人应将支票、汇票、本票或者银行、保险机构出具的保函（包含电子保函）作为投标保证金提交凭证，放置于商务及技术文件中，</w:t>
            </w:r>
            <w:r>
              <w:rPr>
                <w:rFonts w:hint="eastAsia" w:ascii="宋体" w:hAnsi="宋体" w:eastAsia="宋体" w:cs="宋体"/>
                <w:b/>
                <w:bCs/>
                <w:color w:val="auto"/>
                <w:szCs w:val="21"/>
                <w:lang w:val="en-US" w:eastAsia="zh-CN"/>
              </w:rPr>
              <w:t>否则投标无效</w:t>
            </w:r>
            <w:r>
              <w:rPr>
                <w:rFonts w:hint="eastAsia" w:ascii="宋体" w:hAnsi="宋体" w:eastAsia="宋体" w:cs="宋体"/>
                <w:color w:val="auto"/>
                <w:szCs w:val="21"/>
                <w:lang w:val="en-US" w:eastAsia="zh-CN"/>
              </w:rPr>
              <w:t xml:space="preserve">。 </w:t>
            </w:r>
          </w:p>
          <w:p w14:paraId="59E3E205">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3.投标人为联合体的，可以由联合体中的一方或者多方共同交纳投标保证金，其交纳的保证 </w:t>
            </w:r>
          </w:p>
          <w:p w14:paraId="6E3958A5">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金对联合体各方均具有约束力。 </w:t>
            </w:r>
          </w:p>
          <w:p w14:paraId="4F111EDF">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备注： </w:t>
            </w:r>
          </w:p>
          <w:p w14:paraId="0BEF77D5">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 投标保证金在</w:t>
            </w:r>
            <w:r>
              <w:rPr>
                <w:rFonts w:hint="eastAsia" w:ascii="宋体" w:hAnsi="宋体" w:eastAsia="宋体" w:cs="宋体"/>
                <w:b/>
                <w:bCs/>
                <w:color w:val="auto"/>
                <w:szCs w:val="21"/>
                <w:lang w:eastAsia="zh-CN"/>
              </w:rPr>
              <w:t>投标文件</w:t>
            </w:r>
            <w:r>
              <w:rPr>
                <w:rFonts w:hint="eastAsia" w:ascii="宋体" w:hAnsi="宋体" w:cs="宋体"/>
                <w:b/>
                <w:bCs/>
                <w:color w:val="auto"/>
                <w:szCs w:val="21"/>
              </w:rPr>
              <w:t>提交截止时间</w:t>
            </w:r>
            <w:r>
              <w:rPr>
                <w:rFonts w:hint="eastAsia" w:ascii="宋体" w:hAnsi="宋体" w:eastAsia="宋体" w:cs="宋体"/>
                <w:b/>
                <w:bCs/>
                <w:color w:val="auto"/>
                <w:szCs w:val="21"/>
                <w:lang w:val="en-US" w:eastAsia="zh-CN"/>
              </w:rPr>
              <w:t xml:space="preserve">后提交的，或者不按规定交纳方式交纳的，或者未足额交纳的（包含保函额度不足的），视为无效投标保证金。 </w:t>
            </w:r>
          </w:p>
          <w:p w14:paraId="669BB3A5">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2.投标人采用现钞方式或者从个人账户（自然人投标除外）转出的投标保证金，视为无效竞 </w:t>
            </w:r>
          </w:p>
          <w:p w14:paraId="2DE4F25F">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标保证金。 </w:t>
            </w:r>
          </w:p>
          <w:p w14:paraId="70929099">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3.支票、汇票或者本票出现无效或者背书情形的，视为无效投标保证金。 </w:t>
            </w:r>
          </w:p>
          <w:p w14:paraId="2CEFD47C">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4.保函有效期低于投标有效期的，视为无效投标保证金。 </w:t>
            </w:r>
          </w:p>
          <w:p w14:paraId="10E17D63">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eastAsia="宋体" w:cs="宋体"/>
                <w:b/>
                <w:bCs/>
                <w:color w:val="auto"/>
                <w:szCs w:val="21"/>
                <w:lang w:val="en-US" w:eastAsia="zh-CN"/>
              </w:rPr>
              <w:t xml:space="preserve">5.采用银行、保险机构出具保函的，必须为无条件保函，否则视为无效投标保证金。 </w:t>
            </w:r>
          </w:p>
        </w:tc>
      </w:tr>
      <w:tr w14:paraId="2BB30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5FFD028">
            <w:pPr>
              <w:spacing w:line="400" w:lineRule="exact"/>
              <w:jc w:val="center"/>
              <w:rPr>
                <w:rFonts w:hint="eastAsia" w:ascii="宋体" w:hAnsi="宋体"/>
                <w:color w:val="auto"/>
                <w:szCs w:val="21"/>
                <w:highlight w:val="none"/>
              </w:rPr>
            </w:pPr>
            <w:bookmarkStart w:id="63" w:name="_19.2"/>
            <w:bookmarkEnd w:id="63"/>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88D0E22">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的要求编制、加密、上传。</w:t>
            </w:r>
          </w:p>
        </w:tc>
      </w:tr>
      <w:tr w14:paraId="7C12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7E351DE">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A5F705B">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的要求进行加密，并在规定时间内解密，否则，由此产生的后果由投标人自行负责。</w:t>
            </w:r>
          </w:p>
        </w:tc>
      </w:tr>
      <w:tr w14:paraId="0BC65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2AA93DB">
            <w:pPr>
              <w:spacing w:line="400" w:lineRule="exact"/>
              <w:jc w:val="center"/>
              <w:rPr>
                <w:rFonts w:hint="eastAsia" w:ascii="宋体" w:hAnsi="宋体"/>
                <w:color w:val="auto"/>
                <w:szCs w:val="21"/>
                <w:highlight w:val="none"/>
              </w:rPr>
            </w:pPr>
            <w:bookmarkStart w:id="64" w:name="_21.1"/>
            <w:bookmarkEnd w:id="64"/>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1DBF399">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27799D9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5B7C0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F8F8C29">
            <w:pPr>
              <w:spacing w:line="400" w:lineRule="exact"/>
              <w:jc w:val="center"/>
              <w:rPr>
                <w:rFonts w:hint="eastAsia" w:ascii="宋体" w:hAnsi="宋体"/>
                <w:color w:val="auto"/>
                <w:szCs w:val="21"/>
                <w:highlight w:val="none"/>
              </w:rPr>
            </w:pPr>
            <w:bookmarkStart w:id="65" w:name="_23"/>
            <w:bookmarkEnd w:id="65"/>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BBB15A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539795D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B3B0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D6B6777">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AB104B8">
            <w:pPr>
              <w:autoSpaceDE w:val="0"/>
              <w:autoSpaceDN w:val="0"/>
              <w:adjustRightInd w:val="0"/>
              <w:spacing w:line="440" w:lineRule="exact"/>
              <w:rPr>
                <w:rFonts w:hint="eastAsia" w:ascii="宋体" w:hAnsi="宋体"/>
                <w:color w:val="auto"/>
                <w:szCs w:val="21"/>
                <w:highlight w:val="none"/>
              </w:rPr>
            </w:pP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按开标时间自动提取所有投标文件。</w:t>
            </w: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机构依托</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0E209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D9C06DF">
            <w:pPr>
              <w:spacing w:line="400" w:lineRule="exact"/>
              <w:jc w:val="center"/>
              <w:rPr>
                <w:rFonts w:hint="eastAsia" w:ascii="宋体" w:hAnsi="宋体"/>
                <w:color w:val="auto"/>
                <w:szCs w:val="21"/>
                <w:highlight w:val="none"/>
              </w:rPr>
            </w:pPr>
            <w:bookmarkStart w:id="66" w:name="_25.3"/>
            <w:bookmarkEnd w:id="66"/>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171BA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w:t>
            </w:r>
            <w:r>
              <w:rPr>
                <w:rFonts w:hint="eastAsia" w:ascii="宋体" w:hAnsi="宋体"/>
                <w:color w:val="auto"/>
                <w:szCs w:val="21"/>
                <w:highlight w:val="none"/>
                <w:lang w:eastAsia="zh-CN"/>
              </w:rPr>
              <w:t>招标代理</w:t>
            </w:r>
            <w:r>
              <w:rPr>
                <w:rFonts w:hint="eastAsia" w:ascii="宋体" w:hAnsi="宋体"/>
                <w:color w:val="auto"/>
                <w:szCs w:val="21"/>
                <w:highlight w:val="none"/>
              </w:rPr>
              <w:t>机构在资格审查结束前，对投标人进行信用查询。</w:t>
            </w:r>
          </w:p>
          <w:p w14:paraId="782584F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rFonts w:ascii="宋体" w:hAnsi="宋体"/>
                <w:color w:val="auto"/>
                <w:szCs w:val="21"/>
                <w:highlight w:val="none"/>
              </w:rPr>
              <w:fldChar w:fldCharType="begin"/>
            </w:r>
            <w:r>
              <w:rPr>
                <w:rFonts w:ascii="宋体" w:hAnsi="宋体"/>
                <w:color w:val="auto"/>
                <w:szCs w:val="21"/>
                <w:highlight w:val="none"/>
              </w:rPr>
              <w:instrText xml:space="preserve"> HYPERLINK "http://www.ccgp.gov.cn" </w:instrText>
            </w:r>
            <w:r>
              <w:rPr>
                <w:rFonts w:ascii="宋体" w:hAnsi="宋体"/>
                <w:color w:val="auto"/>
                <w:szCs w:val="21"/>
                <w:highlight w:val="none"/>
              </w:rPr>
              <w:fldChar w:fldCharType="separate"/>
            </w:r>
            <w:r>
              <w:rPr>
                <w:rStyle w:val="62"/>
                <w:rFonts w:ascii="宋体" w:hAnsi="宋体"/>
                <w:color w:val="auto"/>
                <w:szCs w:val="21"/>
                <w:highlight w:val="none"/>
              </w:rPr>
              <w:t>www.ccgp.gov.cn</w:t>
            </w:r>
            <w:r>
              <w:rPr>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66C6657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3785630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650FB27D">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w:t>
            </w:r>
            <w:r>
              <w:rPr>
                <w:rFonts w:hint="eastAsia" w:ascii="宋体" w:hAnsi="宋体" w:cs="宋体"/>
                <w:color w:val="auto"/>
                <w:szCs w:val="21"/>
                <w:highlight w:val="none"/>
                <w:lang w:val="en-US" w:eastAsia="zh-CN" w:bidi="ar"/>
              </w:rPr>
              <w:t>重大税收违法失信主体</w:t>
            </w:r>
            <w:r>
              <w:rPr>
                <w:rFonts w:hint="eastAsia" w:ascii="宋体" w:hAnsi="宋体" w:cs="宋体"/>
                <w:color w:val="auto"/>
                <w:szCs w:val="21"/>
                <w:highlight w:val="none"/>
                <w:lang w:bidi="ar"/>
              </w:rPr>
              <w:t>、政府采购严重违法失信行为记录名单及其他不符合《中华人民共和国政府采购法》第二十二条规定条件的供应商，不得参与政府采购活动。</w:t>
            </w:r>
          </w:p>
        </w:tc>
      </w:tr>
      <w:tr w14:paraId="7B513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9E3AA8A">
            <w:pPr>
              <w:spacing w:line="400" w:lineRule="exact"/>
              <w:jc w:val="center"/>
              <w:rPr>
                <w:rFonts w:hint="eastAsia" w:ascii="宋体" w:hAnsi="宋体"/>
                <w:color w:val="auto"/>
                <w:szCs w:val="21"/>
                <w:highlight w:val="none"/>
              </w:rPr>
            </w:pPr>
            <w:bookmarkStart w:id="67" w:name="_26"/>
            <w:bookmarkEnd w:id="67"/>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CABBD5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评标委员会的人数：5人</w:t>
            </w:r>
            <w:r>
              <w:rPr>
                <w:rFonts w:hint="eastAsia" w:hAnsi="宋体"/>
                <w:color w:val="auto"/>
                <w:highlight w:val="none"/>
              </w:rPr>
              <w:t>。</w:t>
            </w:r>
          </w:p>
        </w:tc>
      </w:tr>
      <w:tr w14:paraId="71442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5773278">
            <w:pPr>
              <w:spacing w:line="400" w:lineRule="exact"/>
              <w:jc w:val="center"/>
              <w:rPr>
                <w:rFonts w:hint="eastAsia" w:ascii="宋体" w:hAnsi="宋体"/>
                <w:color w:val="auto"/>
                <w:szCs w:val="21"/>
                <w:highlight w:val="none"/>
              </w:rPr>
            </w:pPr>
            <w:bookmarkStart w:id="68" w:name="_28.3"/>
            <w:bookmarkEnd w:id="68"/>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44F310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6E1FF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572A2DB3">
            <w:pPr>
              <w:spacing w:line="400" w:lineRule="exact"/>
              <w:jc w:val="center"/>
              <w:rPr>
                <w:rFonts w:hint="eastAsia" w:ascii="宋体" w:hAnsi="宋体"/>
                <w:color w:val="auto"/>
                <w:szCs w:val="21"/>
                <w:highlight w:val="none"/>
              </w:rPr>
            </w:pPr>
            <w:bookmarkStart w:id="69" w:name="_29.2.2（2）"/>
            <w:bookmarkEnd w:id="69"/>
            <w:r>
              <w:rPr>
                <w:rFonts w:hint="eastAsia" w:hAnsi="宋体"/>
                <w:b/>
                <w:bCs/>
                <w:color w:val="auto"/>
                <w:highlight w:val="none"/>
              </w:rPr>
              <w:t>▲</w:t>
            </w:r>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noWrap w:val="0"/>
            <w:vAlign w:val="center"/>
          </w:tcPr>
          <w:p w14:paraId="52A1D21B">
            <w:pPr>
              <w:snapToGrid w:val="0"/>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商务要求评审中允许负偏离的条款数为</w:t>
            </w:r>
            <w:r>
              <w:rPr>
                <w:rFonts w:hint="eastAsia" w:ascii="Times New Roman" w:hAnsi="Times New Roman" w:eastAsia="宋体" w:cs="Times New Roman"/>
                <w:b/>
                <w:bCs/>
                <w:color w:val="auto"/>
                <w:lang w:val="en-US" w:eastAsia="zh-CN"/>
              </w:rPr>
              <w:fldChar w:fldCharType="begin"/>
            </w:r>
            <w:r>
              <w:rPr>
                <w:rFonts w:hint="eastAsia" w:ascii="Times New Roman" w:hAnsi="Times New Roman" w:eastAsia="宋体" w:cs="Times New Roman"/>
                <w:b/>
                <w:bCs/>
                <w:color w:val="auto"/>
                <w:lang w:val="en-US" w:eastAsia="zh-CN"/>
              </w:rPr>
              <w:instrText xml:space="preserve"> eq \o\ac(□,</w:instrText>
            </w:r>
            <w:r>
              <w:rPr>
                <w:rFonts w:hint="eastAsia" w:ascii="Times New Roman" w:hAnsi="Times New Roman" w:eastAsia="宋体" w:cs="Times New Roman"/>
                <w:b/>
                <w:bCs/>
                <w:color w:val="auto"/>
                <w:position w:val="2"/>
                <w:sz w:val="13"/>
                <w:lang w:val="en-US" w:eastAsia="zh-CN"/>
              </w:rPr>
              <w:instrText xml:space="preserve">√</w:instrText>
            </w:r>
            <w:r>
              <w:rPr>
                <w:rFonts w:hint="eastAsia" w:ascii="Times New Roman" w:hAnsi="Times New Roman" w:eastAsia="宋体" w:cs="Times New Roman"/>
                <w:b/>
                <w:bCs/>
                <w:color w:val="auto"/>
                <w:lang w:val="en-US" w:eastAsia="zh-CN"/>
              </w:rPr>
              <w:instrText xml:space="preserve">)</w:instrText>
            </w:r>
            <w:r>
              <w:rPr>
                <w:rFonts w:hint="eastAsia" w:ascii="Times New Roman" w:hAnsi="Times New Roman" w:eastAsia="宋体" w:cs="Times New Roman"/>
                <w:b/>
                <w:bCs/>
                <w:color w:val="auto"/>
                <w:lang w:val="en-US" w:eastAsia="zh-CN"/>
              </w:rPr>
              <w:fldChar w:fldCharType="end"/>
            </w:r>
            <w:r>
              <w:rPr>
                <w:rFonts w:hint="eastAsia" w:ascii="Times New Roman" w:hAnsi="Times New Roman" w:eastAsia="宋体" w:cs="Times New Roman"/>
                <w:b/>
                <w:bCs/>
                <w:color w:val="auto"/>
                <w:lang w:val="en-US" w:eastAsia="zh-CN"/>
              </w:rPr>
              <w:t xml:space="preserve"> </w:t>
            </w:r>
            <w:r>
              <w:rPr>
                <w:rFonts w:hint="eastAsia" w:ascii="Times New Roman" w:hAnsi="Times New Roman" w:eastAsia="宋体" w:cs="Times New Roman"/>
                <w:color w:val="auto"/>
                <w:u w:val="single"/>
                <w:lang w:val="en-US" w:eastAsia="zh-CN"/>
              </w:rPr>
              <w:t xml:space="preserve"> 0 </w:t>
            </w:r>
            <w:r>
              <w:rPr>
                <w:rFonts w:hint="eastAsia" w:ascii="Times New Roman" w:hAnsi="Times New Roman" w:eastAsia="宋体" w:cs="Times New Roman"/>
                <w:color w:val="auto"/>
                <w:lang w:val="en-US" w:eastAsia="zh-CN"/>
              </w:rPr>
              <w:t xml:space="preserve">项 </w:t>
            </w:r>
            <w:r>
              <w:rPr>
                <w:rFonts w:hint="eastAsia" w:ascii="Times New Roman" w:hAnsi="Times New Roman" w:eastAsia="宋体" w:cs="Times New Roman"/>
                <w:color w:val="auto"/>
                <w:lang w:val="en-US" w:eastAsia="zh-CN"/>
              </w:rPr>
              <w:fldChar w:fldCharType="begin"/>
            </w:r>
            <w:r>
              <w:rPr>
                <w:rFonts w:hint="eastAsia" w:ascii="Times New Roman" w:hAnsi="Times New Roman" w:eastAsia="宋体" w:cs="Times New Roman"/>
                <w:color w:val="auto"/>
                <w:lang w:val="en-US" w:eastAsia="zh-CN"/>
              </w:rPr>
              <w:instrText xml:space="preserve"> eq \o\ac(□)</w:instrText>
            </w:r>
            <w:r>
              <w:rPr>
                <w:rFonts w:hint="eastAsia" w:ascii="Times New Roman" w:hAnsi="Times New Roman" w:eastAsia="宋体" w:cs="Times New Roman"/>
                <w:color w:val="auto"/>
                <w:lang w:val="en-US" w:eastAsia="zh-CN"/>
              </w:rPr>
              <w:fldChar w:fldCharType="end"/>
            </w:r>
            <w:r>
              <w:rPr>
                <w:rFonts w:hint="eastAsia" w:ascii="Times New Roman" w:hAnsi="Times New Roman" w:eastAsia="宋体" w:cs="Times New Roman"/>
                <w:color w:val="auto"/>
                <w:lang w:val="en-US" w:eastAsia="zh-CN"/>
              </w:rPr>
              <w:t>无限制（勾选）</w:t>
            </w:r>
          </w:p>
          <w:p w14:paraId="5513867B">
            <w:pPr>
              <w:snapToGrid w:val="0"/>
              <w:spacing w:line="400" w:lineRule="exact"/>
              <w:rPr>
                <w:rFonts w:hint="default" w:ascii="宋体" w:hAnsi="宋体" w:eastAsia="宋体" w:cs="Times New Roman"/>
                <w:color w:val="auto"/>
                <w:szCs w:val="21"/>
                <w:highlight w:val="none"/>
                <w:lang w:val="en-US" w:eastAsia="zh-CN"/>
              </w:rPr>
            </w:pPr>
            <w:r>
              <w:rPr>
                <w:rFonts w:hint="eastAsia" w:ascii="Times New Roman" w:hAnsi="Times New Roman" w:eastAsia="宋体" w:cs="Times New Roman"/>
                <w:color w:val="auto"/>
                <w:lang w:val="en-US" w:eastAsia="zh-CN"/>
              </w:rPr>
              <w:t>技术要求评审中允许负偏离的条款数为</w:t>
            </w:r>
            <w:r>
              <w:rPr>
                <w:rFonts w:hint="eastAsia" w:ascii="Times New Roman" w:hAnsi="Times New Roman" w:eastAsia="宋体" w:cs="Times New Roman"/>
                <w:b/>
                <w:bCs/>
                <w:color w:val="auto"/>
                <w:lang w:val="en-US" w:eastAsia="zh-CN"/>
              </w:rPr>
              <w:fldChar w:fldCharType="begin"/>
            </w:r>
            <w:r>
              <w:rPr>
                <w:rFonts w:hint="eastAsia" w:ascii="Times New Roman" w:hAnsi="Times New Roman" w:eastAsia="宋体" w:cs="Times New Roman"/>
                <w:b/>
                <w:bCs/>
                <w:color w:val="auto"/>
                <w:lang w:val="en-US" w:eastAsia="zh-CN"/>
              </w:rPr>
              <w:instrText xml:space="preserve"> eq \o\ac(□,</w:instrText>
            </w:r>
            <w:r>
              <w:rPr>
                <w:rFonts w:hint="eastAsia" w:ascii="Times New Roman" w:hAnsi="Times New Roman" w:eastAsia="宋体" w:cs="Times New Roman"/>
                <w:b/>
                <w:bCs/>
                <w:color w:val="auto"/>
                <w:position w:val="2"/>
                <w:sz w:val="13"/>
                <w:lang w:val="en-US" w:eastAsia="zh-CN"/>
              </w:rPr>
              <w:instrText xml:space="preserve">√</w:instrText>
            </w:r>
            <w:r>
              <w:rPr>
                <w:rFonts w:hint="eastAsia" w:ascii="Times New Roman" w:hAnsi="Times New Roman" w:eastAsia="宋体" w:cs="Times New Roman"/>
                <w:b/>
                <w:bCs/>
                <w:color w:val="auto"/>
                <w:lang w:val="en-US" w:eastAsia="zh-CN"/>
              </w:rPr>
              <w:instrText xml:space="preserve">)</w:instrText>
            </w:r>
            <w:r>
              <w:rPr>
                <w:rFonts w:hint="eastAsia" w:ascii="Times New Roman" w:hAnsi="Times New Roman" w:eastAsia="宋体" w:cs="Times New Roman"/>
                <w:b/>
                <w:bCs/>
                <w:color w:val="auto"/>
                <w:lang w:val="en-US" w:eastAsia="zh-CN"/>
              </w:rPr>
              <w:fldChar w:fldCharType="end"/>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u w:val="single"/>
                <w:lang w:val="en-US" w:eastAsia="zh-CN"/>
              </w:rPr>
              <w:t xml:space="preserve"> 6 </w:t>
            </w:r>
            <w:r>
              <w:rPr>
                <w:rFonts w:hint="eastAsia" w:ascii="Times New Roman" w:hAnsi="Times New Roman" w:eastAsia="宋体" w:cs="Times New Roman"/>
                <w:color w:val="auto"/>
                <w:lang w:val="en-US" w:eastAsia="zh-CN"/>
              </w:rPr>
              <w:t xml:space="preserve">项 </w:t>
            </w:r>
            <w:r>
              <w:rPr>
                <w:rFonts w:hint="eastAsia" w:ascii="Times New Roman" w:hAnsi="Times New Roman" w:eastAsia="宋体" w:cs="Times New Roman"/>
                <w:b/>
                <w:bCs/>
                <w:color w:val="auto"/>
                <w:lang w:val="en-US" w:eastAsia="zh-CN"/>
              </w:rPr>
              <w:fldChar w:fldCharType="begin"/>
            </w:r>
            <w:r>
              <w:rPr>
                <w:rFonts w:hint="eastAsia" w:ascii="Times New Roman" w:hAnsi="Times New Roman" w:eastAsia="宋体" w:cs="Times New Roman"/>
                <w:b/>
                <w:bCs/>
                <w:color w:val="auto"/>
                <w:lang w:val="en-US" w:eastAsia="zh-CN"/>
              </w:rPr>
              <w:instrText xml:space="preserve"> eq \o\ac(□)</w:instrText>
            </w:r>
            <w:r>
              <w:rPr>
                <w:rFonts w:hint="eastAsia" w:ascii="Times New Roman" w:hAnsi="Times New Roman" w:eastAsia="宋体" w:cs="Times New Roman"/>
                <w:b/>
                <w:bCs/>
                <w:color w:val="auto"/>
                <w:lang w:val="en-US" w:eastAsia="zh-CN"/>
              </w:rPr>
              <w:fldChar w:fldCharType="end"/>
            </w:r>
            <w:r>
              <w:rPr>
                <w:rFonts w:hint="eastAsia" w:ascii="Times New Roman" w:hAnsi="Times New Roman" w:eastAsia="宋体" w:cs="Times New Roman"/>
                <w:color w:val="auto"/>
                <w:lang w:val="en-US" w:eastAsia="zh-CN"/>
              </w:rPr>
              <w:t>无限制（勾选）</w:t>
            </w:r>
          </w:p>
        </w:tc>
      </w:tr>
      <w:tr w14:paraId="69110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noWrap w:val="0"/>
            <w:vAlign w:val="center"/>
          </w:tcPr>
          <w:p w14:paraId="0B6942DE">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noWrap w:val="0"/>
            <w:vAlign w:val="center"/>
          </w:tcPr>
          <w:p w14:paraId="305A340B">
            <w:pPr>
              <w:snapToGrid w:val="0"/>
              <w:spacing w:line="400" w:lineRule="exact"/>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：3家</w:t>
            </w:r>
          </w:p>
        </w:tc>
      </w:tr>
      <w:tr w14:paraId="2B63C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EF4E0A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59C0617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采用综合评分法的采购项目，采购人确定中标人时，出现中标候选人并列的情形，采购人按以下的方式确定中标人：按综合评分中以投标报价由低到高顺序排列</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技术分</w:t>
            </w:r>
            <w:r>
              <w:rPr>
                <w:rFonts w:hint="eastAsia" w:ascii="宋体" w:hAnsi="宋体"/>
                <w:color w:val="auto"/>
                <w:szCs w:val="21"/>
                <w:highlight w:val="none"/>
              </w:rPr>
              <w:t>、</w:t>
            </w:r>
            <w:r>
              <w:rPr>
                <w:rFonts w:hint="eastAsia" w:ascii="宋体" w:hAnsi="宋体"/>
                <w:color w:val="auto"/>
                <w:szCs w:val="21"/>
                <w:highlight w:val="none"/>
                <w:lang w:val="en-US" w:eastAsia="zh-CN"/>
              </w:rPr>
              <w:t>商务分</w:t>
            </w:r>
            <w:r>
              <w:rPr>
                <w:rFonts w:hint="eastAsia" w:ascii="宋体" w:hAnsi="宋体"/>
                <w:color w:val="auto"/>
                <w:szCs w:val="21"/>
                <w:highlight w:val="none"/>
              </w:rPr>
              <w:t>得分高低依次确定。</w:t>
            </w:r>
          </w:p>
        </w:tc>
      </w:tr>
      <w:tr w14:paraId="24F6C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12FE6173">
            <w:pPr>
              <w:spacing w:line="400" w:lineRule="exact"/>
              <w:jc w:val="center"/>
              <w:rPr>
                <w:rFonts w:hint="eastAsia" w:ascii="宋体" w:hAnsi="宋体"/>
                <w:color w:val="auto"/>
                <w:szCs w:val="21"/>
                <w:highlight w:val="none"/>
              </w:rPr>
            </w:pPr>
            <w:bookmarkStart w:id="70" w:name="_39.1"/>
            <w:bookmarkEnd w:id="70"/>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2530658F">
            <w:pPr>
              <w:autoSpaceDE w:val="0"/>
              <w:autoSpaceDN w:val="0"/>
              <w:snapToGrid w:val="0"/>
              <w:spacing w:line="400" w:lineRule="exact"/>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本项目不收取履约保证金。</w:t>
            </w:r>
          </w:p>
        </w:tc>
      </w:tr>
      <w:tr w14:paraId="6CBB7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E9A806B">
            <w:pPr>
              <w:spacing w:line="400" w:lineRule="exact"/>
              <w:jc w:val="center"/>
              <w:rPr>
                <w:rFonts w:hint="eastAsia"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7849A98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0A9E3C2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380DBCF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7FC5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2F77F9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49E8870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接收质疑函方式：以纸质书面形式</w:t>
            </w:r>
          </w:p>
          <w:p w14:paraId="50B3D640">
            <w:pPr>
              <w:snapToGrid w:val="0"/>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广西国泰招标咨询有限公司</w:t>
            </w:r>
            <w:r>
              <w:rPr>
                <w:rFonts w:hint="eastAsia" w:ascii="宋体" w:hAnsi="宋体"/>
                <w:color w:val="auto"/>
                <w:szCs w:val="21"/>
                <w:highlight w:val="none"/>
              </w:rPr>
              <w:t>，质疑联系人：</w:t>
            </w:r>
            <w:r>
              <w:rPr>
                <w:rFonts w:hint="eastAsia" w:ascii="宋体" w:hAnsi="宋体"/>
                <w:color w:val="auto"/>
                <w:szCs w:val="21"/>
                <w:highlight w:val="none"/>
                <w:lang w:val="en-US" w:eastAsia="zh-CN"/>
              </w:rPr>
              <w:t>丁华荣、文庆金</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662AE45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0775-2699135</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lang w:val="en-US" w:eastAsia="zh-CN"/>
              </w:rPr>
              <w:t>广西南宁市民族大道 141 号中鼎万象东方大厦 D 区六层 D607；</w:t>
            </w:r>
            <w:r>
              <w:rPr>
                <w:rFonts w:hint="eastAsia" w:hAnsi="宋体"/>
                <w:color w:val="auto"/>
                <w:highlight w:val="none"/>
              </w:rPr>
              <w:t>现场提交质疑办理业务时间：工作日，</w:t>
            </w:r>
            <w:r>
              <w:rPr>
                <w:rFonts w:hint="eastAsia" w:ascii="宋体" w:hAnsi="宋体" w:cs="Arial"/>
                <w:color w:val="auto"/>
                <w:szCs w:val="21"/>
                <w:highlight w:val="none"/>
              </w:rPr>
              <w:t>8:00-12:00；1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451D6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087AEAB6">
            <w:pPr>
              <w:spacing w:line="400" w:lineRule="exact"/>
              <w:jc w:val="center"/>
              <w:rPr>
                <w:rFonts w:hint="default" w:ascii="宋体" w:hAnsi="宋体" w:eastAsia="宋体"/>
                <w:color w:val="auto"/>
                <w:szCs w:val="21"/>
                <w:highlight w:val="none"/>
                <w:lang w:val="en-US" w:eastAsia="zh-CN"/>
              </w:rPr>
            </w:pPr>
            <w:bookmarkStart w:id="72" w:name="_41"/>
            <w:bookmarkEnd w:id="72"/>
            <w:bookmarkStart w:id="73" w:name="_42"/>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337C4450">
            <w:pPr>
              <w:pStyle w:val="26"/>
              <w:numPr>
                <w:ilvl w:val="0"/>
                <w:numId w:val="0"/>
              </w:numPr>
              <w:snapToGrid w:val="0"/>
              <w:spacing w:line="400" w:lineRule="exact"/>
              <w:rPr>
                <w:rFonts w:hint="eastAsia" w:hAnsi="宋体" w:eastAsia="宋体" w:cs="宋体"/>
                <w:color w:val="auto"/>
                <w:sz w:val="21"/>
                <w:lang w:val="en-US" w:eastAsia="zh-CN"/>
              </w:rPr>
            </w:pPr>
            <w:r>
              <w:rPr>
                <w:rFonts w:hint="eastAsia" w:hAnsi="宋体" w:eastAsia="宋体" w:cs="宋体"/>
                <w:color w:val="auto"/>
                <w:sz w:val="21"/>
                <w:lang w:val="en-US" w:eastAsia="zh-CN"/>
              </w:rPr>
              <w:t>1、招标代理服务费支付方式：</w:t>
            </w:r>
          </w:p>
          <w:p w14:paraId="5BA9C077">
            <w:pPr>
              <w:pStyle w:val="26"/>
              <w:numPr>
                <w:ilvl w:val="0"/>
                <w:numId w:val="0"/>
              </w:numPr>
              <w:snapToGrid w:val="0"/>
              <w:spacing w:line="400" w:lineRule="exact"/>
              <w:rPr>
                <w:rFonts w:hint="default" w:hAnsi="宋体" w:eastAsia="宋体" w:cs="宋体"/>
                <w:color w:val="auto"/>
                <w:sz w:val="21"/>
                <w:szCs w:val="21"/>
                <w:u w:val="single"/>
                <w:lang w:val="en-US" w:eastAsia="zh-CN"/>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eq \o\ac(</w:instrText>
            </w:r>
            <w:r>
              <w:rPr>
                <w:rFonts w:hint="eastAsia" w:ascii="宋体" w:hAnsi="宋体" w:eastAsia="宋体" w:cs="Times New Roman"/>
                <w:color w:val="auto"/>
                <w:position w:val="-4"/>
                <w:sz w:val="31"/>
                <w:szCs w:val="21"/>
                <w:highlight w:val="none"/>
              </w:rPr>
              <w:instrText xml:space="preserve">□</w:instrText>
            </w:r>
            <w:r>
              <w:rPr>
                <w:rFonts w:hint="eastAsia" w:ascii="宋体" w:hAnsi="宋体" w:eastAsia="宋体" w:cs="Times New Roman"/>
                <w:color w:val="auto"/>
                <w:position w:val="0"/>
                <w:sz w:val="21"/>
                <w:szCs w:val="21"/>
                <w:highlight w:val="none"/>
              </w:rPr>
              <w:instrText xml:space="preserve">)</w:instrText>
            </w:r>
            <w:r>
              <w:rPr>
                <w:rFonts w:hint="eastAsia" w:ascii="宋体" w:hAnsi="宋体" w:eastAsia="宋体" w:cs="Times New Roman"/>
                <w:color w:val="auto"/>
                <w:sz w:val="21"/>
                <w:szCs w:val="21"/>
                <w:highlight w:val="none"/>
              </w:rPr>
              <w:fldChar w:fldCharType="end"/>
            </w:r>
            <w:r>
              <w:rPr>
                <w:rFonts w:hint="eastAsia" w:hAnsi="宋体" w:cs="宋体"/>
                <w:color w:val="auto"/>
                <w:sz w:val="21"/>
              </w:rPr>
              <w:t>本项目的招标代理服务费按</w:t>
            </w:r>
            <w:r>
              <w:rPr>
                <w:rFonts w:hint="eastAsia" w:hAnsi="宋体" w:cs="宋体"/>
                <w:color w:val="auto"/>
                <w:sz w:val="21"/>
                <w:lang w:eastAsia="zh-CN"/>
              </w:rPr>
              <w:t>固定</w:t>
            </w:r>
            <w:r>
              <w:rPr>
                <w:rFonts w:hint="eastAsia" w:ascii="宋体" w:hAnsi="宋体" w:eastAsia="宋体" w:cs="宋体"/>
                <w:color w:val="auto"/>
                <w:sz w:val="21"/>
                <w:lang w:eastAsia="zh-CN"/>
              </w:rPr>
              <w:t>金额</w:t>
            </w:r>
            <w:r>
              <w:rPr>
                <w:rFonts w:hint="eastAsia" w:ascii="宋体" w:hAnsi="宋体" w:eastAsia="宋体" w:cs="宋体"/>
                <w:color w:val="auto"/>
                <w:sz w:val="21"/>
                <w:u w:val="single"/>
                <w:lang w:eastAsia="zh-CN"/>
              </w:rPr>
              <w:t>（</w:t>
            </w:r>
            <w:r>
              <w:rPr>
                <w:rFonts w:hint="eastAsia" w:ascii="宋体" w:hAnsi="宋体" w:eastAsia="宋体" w:cs="宋体"/>
                <w:color w:val="auto"/>
                <w:sz w:val="21"/>
                <w:u w:val="single"/>
                <w:lang w:val="en-US" w:eastAsia="zh-CN"/>
              </w:rPr>
              <w:t>即：人民币         元）</w:t>
            </w:r>
            <w:r>
              <w:rPr>
                <w:rFonts w:hint="eastAsia" w:ascii="宋体" w:hAnsi="宋体" w:eastAsia="宋体" w:cs="宋体"/>
                <w:color w:val="auto"/>
                <w:sz w:val="21"/>
                <w:lang w:val="en-US" w:eastAsia="zh-CN"/>
              </w:rPr>
              <w:t>，</w:t>
            </w:r>
            <w:r>
              <w:rPr>
                <w:rFonts w:hint="eastAsia" w:hAnsi="宋体" w:cs="宋体"/>
                <w:color w:val="auto"/>
                <w:sz w:val="21"/>
              </w:rPr>
              <w:t>向</w:t>
            </w:r>
            <w:r>
              <w:rPr>
                <w:rFonts w:hint="eastAsia" w:hAnsi="宋体" w:cs="宋体"/>
                <w:color w:val="auto"/>
                <w:sz w:val="21"/>
                <w:lang w:eastAsia="zh-CN"/>
              </w:rPr>
              <w:t>中标人</w:t>
            </w:r>
            <w:r>
              <w:rPr>
                <w:rFonts w:hint="eastAsia" w:hAnsi="宋体" w:cs="宋体"/>
                <w:color w:val="auto"/>
                <w:sz w:val="21"/>
              </w:rPr>
              <w:t>收取</w:t>
            </w:r>
            <w:r>
              <w:rPr>
                <w:rFonts w:hint="eastAsia" w:hAnsi="宋体" w:cs="宋体"/>
                <w:color w:val="auto"/>
                <w:sz w:val="21"/>
                <w:lang w:val="en-US" w:eastAsia="zh-CN"/>
              </w:rPr>
              <w:t>。</w:t>
            </w:r>
          </w:p>
          <w:p w14:paraId="3B7D121C">
            <w:pPr>
              <w:pStyle w:val="26"/>
              <w:numPr>
                <w:ilvl w:val="0"/>
                <w:numId w:val="0"/>
              </w:numPr>
              <w:snapToGrid w:val="0"/>
              <w:spacing w:line="400" w:lineRule="exact"/>
              <w:rPr>
                <w:rFonts w:hint="eastAsia" w:hAnsi="宋体" w:eastAsia="宋体" w:cs="宋体"/>
                <w:color w:val="auto"/>
                <w:sz w:val="21"/>
                <w:lang w:val="en-US"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eq \o\ac(</w:instrText>
            </w:r>
            <w:r>
              <w:rPr>
                <w:rFonts w:hint="eastAsia" w:ascii="宋体" w:hAnsi="宋体" w:eastAsia="宋体" w:cs="Times New Roman"/>
                <w:color w:val="auto"/>
                <w:position w:val="-4"/>
                <w:sz w:val="31"/>
                <w:szCs w:val="21"/>
                <w:highlight w:val="none"/>
              </w:rPr>
              <w:instrText xml:space="preserve">□</w:instrText>
            </w:r>
            <w:r>
              <w:rPr>
                <w:rFonts w:hint="eastAsia" w:ascii="宋体" w:hAnsi="宋体" w:eastAsia="宋体" w:cs="Times New Roman"/>
                <w:color w:val="auto"/>
                <w:position w:val="-4"/>
                <w:sz w:val="31"/>
                <w:szCs w:val="21"/>
                <w:highlight w:val="none"/>
                <w:lang w:eastAsia="zh-CN"/>
              </w:rPr>
              <w:instrText xml:space="preserve">,</w:instrText>
            </w:r>
            <w:r>
              <w:rPr>
                <w:rFonts w:hint="eastAsia" w:ascii="宋体" w:hAnsi="宋体" w:eastAsia="宋体" w:cs="Times New Roman"/>
                <w:color w:val="auto"/>
                <w:position w:val="0"/>
                <w:sz w:val="21"/>
                <w:szCs w:val="21"/>
                <w:highlight w:val="none"/>
                <w:lang w:eastAsia="zh-CN"/>
              </w:rPr>
              <w:instrText xml:space="preserve">√</w:instrText>
            </w:r>
            <w:r>
              <w:rPr>
                <w:rFonts w:hint="eastAsia" w:ascii="宋体" w:hAnsi="宋体" w:eastAsia="宋体" w:cs="Times New Roman"/>
                <w:color w:val="auto"/>
                <w:position w:val="0"/>
                <w:sz w:val="21"/>
                <w:szCs w:val="21"/>
                <w:highlight w:val="none"/>
              </w:rPr>
              <w:instrText xml:space="preserve">)</w:instrText>
            </w:r>
            <w:r>
              <w:rPr>
                <w:rFonts w:hint="eastAsia" w:ascii="宋体" w:hAnsi="宋体" w:eastAsia="宋体" w:cs="Times New Roman"/>
                <w:color w:val="auto"/>
                <w:sz w:val="21"/>
                <w:szCs w:val="21"/>
                <w:highlight w:val="none"/>
              </w:rPr>
              <w:fldChar w:fldCharType="end"/>
            </w:r>
            <w:r>
              <w:rPr>
                <w:rFonts w:hint="eastAsia" w:hAnsi="宋体" w:eastAsia="宋体" w:cs="宋体"/>
                <w:color w:val="auto"/>
                <w:sz w:val="21"/>
                <w:lang w:val="en-US" w:eastAsia="zh-CN"/>
              </w:rPr>
              <w:t>本项目的招标代理服务费按以下收费标准向中标供应商收取。</w:t>
            </w:r>
          </w:p>
          <w:p w14:paraId="5D36CB74">
            <w:pPr>
              <w:pStyle w:val="26"/>
              <w:numPr>
                <w:ilvl w:val="0"/>
                <w:numId w:val="0"/>
              </w:numPr>
              <w:snapToGrid w:val="0"/>
              <w:spacing w:line="400" w:lineRule="exact"/>
              <w:rPr>
                <w:rFonts w:hint="eastAsia" w:hAnsi="宋体" w:eastAsia="宋体" w:cs="宋体"/>
                <w:color w:val="auto"/>
                <w:sz w:val="21"/>
                <w:lang w:val="en-US" w:eastAsia="zh-CN"/>
              </w:rPr>
            </w:pPr>
            <w:r>
              <w:rPr>
                <w:rFonts w:hint="eastAsia" w:hAnsi="宋体" w:eastAsia="宋体" w:cs="宋体"/>
                <w:color w:val="auto"/>
                <w:sz w:val="21"/>
                <w:lang w:val="en-US" w:eastAsia="zh-CN"/>
              </w:rPr>
              <w:t>2、领取中标通知书前，中标人应向招标代理机构一次付清招标代理服务费，否则招标代理机构有权不予以办理。</w:t>
            </w:r>
          </w:p>
          <w:p w14:paraId="084F2A58">
            <w:pPr>
              <w:pStyle w:val="26"/>
              <w:snapToGrid w:val="0"/>
              <w:spacing w:line="400" w:lineRule="exact"/>
              <w:rPr>
                <w:rFonts w:hint="eastAsia" w:hAnsi="宋体" w:eastAsia="宋体" w:cs="宋体"/>
                <w:color w:val="auto"/>
                <w:sz w:val="21"/>
                <w:lang w:val="en-US" w:eastAsia="zh-CN"/>
              </w:rPr>
            </w:pPr>
            <w:r>
              <w:rPr>
                <w:rFonts w:hint="eastAsia" w:hAnsi="宋体" w:eastAsia="宋体" w:cs="宋体"/>
                <w:color w:val="auto"/>
                <w:sz w:val="21"/>
                <w:lang w:val="en-US" w:eastAsia="zh-CN"/>
              </w:rPr>
              <w:t>3、招标代理服务费收取标准：参照国家发展计划委员会计价格【2002】1980号《招标代理服务费管理暂行办法》货物类收费标准。</w:t>
            </w:r>
          </w:p>
          <w:p w14:paraId="344F1D54">
            <w:pPr>
              <w:pStyle w:val="26"/>
              <w:snapToGrid w:val="0"/>
              <w:spacing w:line="400" w:lineRule="exact"/>
              <w:rPr>
                <w:rFonts w:hint="eastAsia" w:ascii="宋体" w:hAnsi="宋体" w:eastAsia="宋体" w:cs="宋体"/>
                <w:color w:val="auto"/>
                <w:sz w:val="21"/>
                <w:lang w:eastAsia="zh-CN"/>
              </w:rPr>
            </w:pPr>
            <w:r>
              <w:rPr>
                <w:rFonts w:hint="eastAsia" w:ascii="宋体" w:hAnsi="宋体" w:eastAsia="宋体" w:cs="宋体"/>
                <w:color w:val="auto"/>
                <w:sz w:val="21"/>
                <w:lang w:val="en-US" w:eastAsia="zh-CN"/>
              </w:rPr>
              <w:t>4、</w:t>
            </w:r>
            <w:r>
              <w:rPr>
                <w:rFonts w:hint="eastAsia" w:ascii="宋体" w:hAnsi="宋体" w:eastAsia="宋体" w:cs="宋体"/>
                <w:color w:val="auto"/>
                <w:sz w:val="21"/>
                <w:lang w:eastAsia="zh-CN"/>
              </w:rPr>
              <w:t>广西国泰招标咨询有限公司玉林分公司</w:t>
            </w:r>
          </w:p>
          <w:p w14:paraId="3FDDBDA9">
            <w:pPr>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开户名称：广西国泰招标咨询有限公司玉林分公司</w:t>
            </w:r>
          </w:p>
          <w:p w14:paraId="0A77C4EA">
            <w:pPr>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开户银行：农业银行玉林金玉路支行</w:t>
            </w:r>
          </w:p>
          <w:p w14:paraId="00549BE8">
            <w:pPr>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账 </w:t>
            </w:r>
            <w:r>
              <w:rPr>
                <w:rFonts w:hint="eastAsia" w:ascii="宋体" w:hAnsi="宋体" w:eastAsia="宋体" w:cs="宋体"/>
                <w:color w:val="auto"/>
                <w:sz w:val="21"/>
                <w:highlight w:val="none"/>
                <w:lang w:val="en-US" w:eastAsia="zh-CN"/>
              </w:rPr>
              <w:t xml:space="preserve"> 号：20410801040003746</w:t>
            </w:r>
            <w:r>
              <w:rPr>
                <w:rFonts w:hint="eastAsia" w:ascii="Times New Roman" w:hAnsi="宋体" w:eastAsia="宋体" w:cs="宋体"/>
                <w:color w:val="auto"/>
                <w:sz w:val="21"/>
                <w:highlight w:val="none"/>
                <w:lang w:val="en-US" w:eastAsia="zh-CN"/>
              </w:rPr>
              <w:t> </w:t>
            </w:r>
          </w:p>
        </w:tc>
      </w:tr>
      <w:tr w14:paraId="5A6F1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D7DFF5E">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0FD6C6A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w:t>
            </w:r>
            <w:r>
              <w:rPr>
                <w:rFonts w:hint="eastAsia" w:ascii="宋体" w:hAnsi="宋体"/>
                <w:color w:val="auto"/>
                <w:szCs w:val="21"/>
                <w:highlight w:val="none"/>
                <w:lang w:eastAsia="zh-CN"/>
              </w:rPr>
              <w:t>招标代理</w:t>
            </w:r>
            <w:r>
              <w:rPr>
                <w:rFonts w:hint="eastAsia" w:ascii="宋体" w:hAnsi="宋体"/>
                <w:color w:val="auto"/>
                <w:szCs w:val="21"/>
                <w:highlight w:val="none"/>
              </w:rPr>
              <w:t>机构</w:t>
            </w:r>
            <w:r>
              <w:rPr>
                <w:rFonts w:ascii="宋体" w:hAnsi="宋体"/>
                <w:color w:val="auto"/>
                <w:szCs w:val="21"/>
                <w:highlight w:val="none"/>
              </w:rPr>
              <w:t>负责解释。</w:t>
            </w:r>
          </w:p>
        </w:tc>
      </w:tr>
      <w:tr w14:paraId="18939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AAF5341">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noWrap w:val="0"/>
            <w:vAlign w:val="center"/>
          </w:tcPr>
          <w:p w14:paraId="6DB74635">
            <w:pPr>
              <w:pStyle w:val="26"/>
              <w:snapToGrid w:val="0"/>
              <w:spacing w:line="40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w:t>
            </w:r>
            <w:r>
              <w:rPr>
                <w:rFonts w:hint="eastAsia" w:hAnsi="宋体" w:cs="宋体"/>
                <w:color w:val="auto"/>
                <w:sz w:val="21"/>
                <w:lang w:val="en-US" w:eastAsia="zh-CN"/>
              </w:rPr>
              <w:t>【含通过指定电子化政府采购平台办理数字证书（CA认证）获得的以法定主体行为名称制作的电子印章】</w:t>
            </w:r>
            <w:r>
              <w:rPr>
                <w:rFonts w:hint="eastAsia" w:hAnsi="宋体" w:cs="宋体"/>
                <w:bCs/>
                <w:color w:val="auto"/>
                <w:sz w:val="21"/>
                <w:highlight w:val="none"/>
                <w:lang w:val="en-US" w:eastAsia="zh-CN"/>
              </w:rPr>
              <w:t>，除本招标文件有特殊规定外，投标人的财务章、部门章、分公司章、工会章、合同章、投标专用章、业务专用章及银行的转账章、现金收讫章、现金付讫章等其他形式印章均不能代替公章。</w:t>
            </w:r>
          </w:p>
          <w:p w14:paraId="3AA018C3">
            <w:pPr>
              <w:pStyle w:val="26"/>
              <w:snapToGrid w:val="0"/>
              <w:spacing w:line="40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w:t>
            </w:r>
            <w:r>
              <w:rPr>
                <w:rFonts w:hint="eastAsia" w:hAnsi="宋体" w:cs="宋体"/>
                <w:bCs/>
                <w:color w:val="auto"/>
                <w:sz w:val="21"/>
                <w:highlight w:val="none"/>
                <w:lang w:val="en-US" w:eastAsia="zh-CN"/>
              </w:rPr>
              <w:t>周</w:t>
            </w:r>
            <w:r>
              <w:rPr>
                <w:rFonts w:hint="eastAsia" w:hAnsi="宋体" w:cs="宋体"/>
                <w:bCs/>
                <w:color w:val="auto"/>
                <w:sz w:val="21"/>
                <w:highlight w:val="none"/>
                <w:lang w:val="en-US" w:eastAsia="zh-CN"/>
              </w:rPr>
              <w:t>岁以上成年人（十六周岁以上的未成年人，以自己的劳动收入为主要生活来源的，视为完全民事行为能力人）。</w:t>
            </w:r>
          </w:p>
          <w:p w14:paraId="1104BBAD">
            <w:pPr>
              <w:pStyle w:val="26"/>
              <w:snapToGrid w:val="0"/>
              <w:spacing w:line="400" w:lineRule="exact"/>
              <w:rPr>
                <w:rFonts w:hint="eastAsia" w:hAnsi="宋体" w:cs="宋体"/>
                <w:color w:val="auto"/>
                <w:sz w:val="21"/>
                <w:highlight w:val="none"/>
                <w:lang w:val="en-US" w:eastAsia="zh-CN"/>
              </w:rPr>
            </w:pPr>
            <w:r>
              <w:rPr>
                <w:rFonts w:hint="eastAsia" w:hAnsi="宋体" w:cs="宋体"/>
                <w:bCs/>
                <w:color w:val="auto"/>
                <w:sz w:val="21"/>
                <w:highlight w:val="none"/>
                <w:lang w:val="en-US" w:eastAsia="zh-CN"/>
              </w:rPr>
              <w:t>3、本招标文件中描述投标人的“签字”是指投标人的法定代表人或者委托代理人</w:t>
            </w:r>
            <w:r>
              <w:rPr>
                <w:rFonts w:hint="eastAsia" w:hAnsi="宋体" w:cs="宋体"/>
                <w:color w:val="auto"/>
                <w:sz w:val="21"/>
                <w:highlight w:val="none"/>
                <w:lang w:val="en-US" w:eastAsia="zh-CN"/>
              </w:rPr>
              <w:t>在文件规定签署处签名</w:t>
            </w:r>
            <w:r>
              <w:rPr>
                <w:rFonts w:hint="eastAsia" w:hAnsi="宋体" w:cs="宋体"/>
                <w:color w:val="auto"/>
                <w:sz w:val="21"/>
                <w:lang w:val="en-US" w:eastAsia="zh-CN"/>
              </w:rPr>
              <w:t>【含通过指定电子化政府采购平台办理数字证书（CA认证）获得的以供应商法定代表人（负责人）或者委托代理人姓名制作的电子印章】</w:t>
            </w:r>
            <w:r>
              <w:rPr>
                <w:rFonts w:hint="eastAsia" w:hAnsi="宋体" w:cs="宋体"/>
                <w:color w:val="auto"/>
                <w:sz w:val="21"/>
                <w:highlight w:val="none"/>
                <w:lang w:val="en-US" w:eastAsia="zh-CN"/>
              </w:rPr>
              <w:t>的行为，法定代表人的私章、印鉴（含电子私章、电子印鉴）法律效力与法定代表人签字等同。</w:t>
            </w:r>
          </w:p>
          <w:p w14:paraId="6D588325">
            <w:pPr>
              <w:pStyle w:val="26"/>
              <w:snapToGrid w:val="0"/>
              <w:spacing w:line="400" w:lineRule="exac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4、自然人投标的，招标文件规定盖公章处由自然人摁手指指印。</w:t>
            </w:r>
          </w:p>
          <w:p w14:paraId="009990E5">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606DBB87">
      <w:pPr>
        <w:pStyle w:val="94"/>
        <w:ind w:left="0" w:leftChars="0" w:firstLine="0" w:firstLineChars="0"/>
        <w:rPr>
          <w:rFonts w:hint="eastAsia"/>
          <w:color w:val="auto"/>
          <w:highlight w:val="none"/>
        </w:rPr>
      </w:pPr>
    </w:p>
    <w:p w14:paraId="111F07AF">
      <w:pPr>
        <w:pStyle w:val="4"/>
        <w:keepNext w:val="0"/>
        <w:keepLines w:val="0"/>
        <w:jc w:val="center"/>
        <w:rPr>
          <w:rFonts w:hint="eastAsia"/>
          <w:color w:val="auto"/>
          <w:highlight w:val="none"/>
        </w:rPr>
      </w:pPr>
    </w:p>
    <w:p w14:paraId="36DF5EFF">
      <w:pPr>
        <w:pStyle w:val="4"/>
        <w:keepNext w:val="0"/>
        <w:keepLines w:val="0"/>
        <w:jc w:val="center"/>
        <w:rPr>
          <w:rFonts w:hint="eastAsia"/>
          <w:color w:val="auto"/>
          <w:highlight w:val="none"/>
        </w:rPr>
      </w:pPr>
    </w:p>
    <w:p w14:paraId="3249E05F">
      <w:pPr>
        <w:pStyle w:val="4"/>
        <w:keepNext w:val="0"/>
        <w:keepLines w:val="0"/>
        <w:jc w:val="center"/>
        <w:rPr>
          <w:rFonts w:hint="eastAsia"/>
          <w:color w:val="auto"/>
          <w:highlight w:val="none"/>
        </w:rPr>
      </w:pPr>
    </w:p>
    <w:p w14:paraId="1FE68851">
      <w:pPr>
        <w:pStyle w:val="4"/>
        <w:keepNext w:val="0"/>
        <w:keepLines w:val="0"/>
        <w:jc w:val="center"/>
        <w:rPr>
          <w:rFonts w:hint="eastAsia"/>
          <w:color w:val="auto"/>
          <w:highlight w:val="none"/>
        </w:rPr>
      </w:pPr>
    </w:p>
    <w:p w14:paraId="36F2BD02">
      <w:pPr>
        <w:pStyle w:val="4"/>
        <w:keepNext w:val="0"/>
        <w:keepLines w:val="0"/>
        <w:jc w:val="center"/>
        <w:rPr>
          <w:rFonts w:hint="eastAsia"/>
          <w:color w:val="auto"/>
          <w:highlight w:val="none"/>
        </w:rPr>
      </w:pPr>
    </w:p>
    <w:p w14:paraId="545643BC">
      <w:pPr>
        <w:pStyle w:val="4"/>
        <w:keepNext w:val="0"/>
        <w:keepLines w:val="0"/>
        <w:jc w:val="center"/>
        <w:rPr>
          <w:rFonts w:hint="eastAsia"/>
          <w:color w:val="auto"/>
          <w:highlight w:val="none"/>
        </w:rPr>
      </w:pPr>
    </w:p>
    <w:p w14:paraId="3DDB91F0">
      <w:pPr>
        <w:rPr>
          <w:rFonts w:hint="eastAsia"/>
          <w:color w:val="auto"/>
          <w:highlight w:val="none"/>
        </w:rPr>
      </w:pPr>
    </w:p>
    <w:p w14:paraId="4FBC7C7D">
      <w:pPr>
        <w:rPr>
          <w:rFonts w:hint="eastAsia"/>
          <w:color w:val="auto"/>
          <w:highlight w:val="none"/>
        </w:rPr>
      </w:pPr>
    </w:p>
    <w:p w14:paraId="42466BBB">
      <w:pPr>
        <w:pStyle w:val="4"/>
        <w:keepNext w:val="0"/>
        <w:keepLines w:val="0"/>
        <w:jc w:val="center"/>
        <w:rPr>
          <w:rFonts w:hint="eastAsia"/>
          <w:color w:val="auto"/>
          <w:highlight w:val="none"/>
        </w:rPr>
      </w:pPr>
    </w:p>
    <w:p w14:paraId="77DC6F20">
      <w:pPr>
        <w:pStyle w:val="4"/>
        <w:keepNext w:val="0"/>
        <w:keepLines w:val="0"/>
        <w:jc w:val="center"/>
        <w:rPr>
          <w:rFonts w:hint="eastAsia"/>
          <w:color w:val="auto"/>
          <w:highlight w:val="none"/>
        </w:rPr>
      </w:pPr>
    </w:p>
    <w:p w14:paraId="571B35A2">
      <w:pPr>
        <w:pStyle w:val="4"/>
        <w:keepNext w:val="0"/>
        <w:keepLines w:val="0"/>
        <w:jc w:val="center"/>
        <w:rPr>
          <w:rFonts w:hint="eastAsia"/>
          <w:color w:val="auto"/>
          <w:highlight w:val="none"/>
        </w:rPr>
      </w:pPr>
      <w:r>
        <w:rPr>
          <w:rFonts w:hint="eastAsia"/>
          <w:color w:val="auto"/>
          <w:highlight w:val="none"/>
        </w:rPr>
        <w:t>投标人须知正文</w:t>
      </w:r>
    </w:p>
    <w:p w14:paraId="7E54AA25">
      <w:pPr>
        <w:pStyle w:val="4"/>
        <w:keepNext w:val="0"/>
        <w:keepLines w:val="0"/>
        <w:jc w:val="center"/>
        <w:rPr>
          <w:rFonts w:hint="eastAsia"/>
          <w:color w:val="auto"/>
          <w:highlight w:val="none"/>
        </w:rPr>
      </w:pPr>
      <w:r>
        <w:rPr>
          <w:rFonts w:hint="eastAsia"/>
          <w:color w:val="auto"/>
          <w:highlight w:val="none"/>
        </w:rPr>
        <w:t>一、总  则</w:t>
      </w:r>
    </w:p>
    <w:p w14:paraId="7C69546F">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75" w:name="_Toc254970668"/>
      <w:bookmarkStart w:id="76" w:name="_Toc254970527"/>
      <w:r>
        <w:rPr>
          <w:rFonts w:hint="eastAsia" w:ascii="黑体" w:hAnsi="黑体" w:eastAsia="黑体"/>
          <w:color w:val="auto"/>
          <w:sz w:val="24"/>
          <w:highlight w:val="none"/>
        </w:rPr>
        <w:t>1.适用范围</w:t>
      </w:r>
      <w:bookmarkEnd w:id="75"/>
      <w:bookmarkEnd w:id="76"/>
    </w:p>
    <w:p w14:paraId="03D2CCA0">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1.1适用法律：本项目采购人、</w:t>
      </w:r>
      <w:r>
        <w:rPr>
          <w:rFonts w:hint="eastAsia" w:ascii="宋体" w:hAnsi="宋体"/>
          <w:color w:val="auto"/>
          <w:szCs w:val="21"/>
          <w:highlight w:val="none"/>
          <w:lang w:eastAsia="zh-CN"/>
        </w:rPr>
        <w:t>招标代理</w:t>
      </w:r>
      <w:r>
        <w:rPr>
          <w:rFonts w:hint="eastAsia" w:ascii="宋体" w:hAnsi="宋体"/>
          <w:color w:val="auto"/>
          <w:szCs w:val="21"/>
          <w:highlight w:val="none"/>
        </w:rPr>
        <w:t>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0DA18BF">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F5587EC">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77" w:name="_Toc254970528"/>
      <w:bookmarkStart w:id="78" w:name="_Toc254970669"/>
      <w:r>
        <w:rPr>
          <w:rFonts w:hint="eastAsia" w:ascii="黑体" w:hAnsi="黑体" w:eastAsia="黑体"/>
          <w:color w:val="auto"/>
          <w:sz w:val="24"/>
          <w:highlight w:val="none"/>
        </w:rPr>
        <w:t>2.定义</w:t>
      </w:r>
      <w:bookmarkEnd w:id="77"/>
      <w:bookmarkEnd w:id="78"/>
    </w:p>
    <w:p w14:paraId="5EFEFBA3">
      <w:pPr>
        <w:spacing w:line="360" w:lineRule="auto"/>
        <w:ind w:firstLine="420" w:firstLineChars="200"/>
        <w:rPr>
          <w:rFonts w:hint="eastAsia" w:ascii="宋体" w:hAnsi="宋体" w:cs="宋体"/>
          <w:color w:val="auto"/>
          <w:szCs w:val="21"/>
        </w:rPr>
      </w:pPr>
      <w:bookmarkStart w:id="79" w:name="_Toc254970529"/>
      <w:bookmarkStart w:id="80" w:name="_Toc254970670"/>
      <w:r>
        <w:rPr>
          <w:rFonts w:hint="eastAsia" w:ascii="宋体" w:hAnsi="宋体" w:cs="宋体"/>
          <w:color w:val="auto"/>
          <w:szCs w:val="21"/>
        </w:rPr>
        <w:t>2.1“采购人”是指依法进行政府采购的国家机关、事业单位、团体组织。</w:t>
      </w:r>
    </w:p>
    <w:p w14:paraId="39A082B9">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rPr>
        <w:t>2.2“采</w:t>
      </w:r>
      <w:r>
        <w:rPr>
          <w:rFonts w:hint="eastAsia" w:ascii="宋体" w:hAnsi="宋体" w:eastAsia="宋体" w:cs="宋体"/>
          <w:color w:val="auto"/>
          <w:szCs w:val="21"/>
        </w:rPr>
        <w:t>购代理机构”是指政府采购集中采购机构和集中采购机构以外的采购代理机构。</w:t>
      </w:r>
    </w:p>
    <w:p w14:paraId="6CA03BE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7CE1F1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2.4“货物”是指各种形态和种类的物品，包括原材料、燃料、设备、产品等。</w:t>
      </w:r>
    </w:p>
    <w:p w14:paraId="2671652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2.4.1除接受进口产品</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的采购货物外，本项目采购的货物（包括货物项目和服务项目中涉及的货物）应符合</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"https://www.gov.cn/zhengce/content/202509/content_7042999.htm" \t "_blank"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《关于在政府采购中实施本国产品标准及相关政策的通知》</w:t>
      </w:r>
      <w:r>
        <w:rPr>
          <w:rFonts w:hint="eastAsia" w:ascii="宋体" w:hAnsi="宋体" w:eastAsia="宋体" w:cs="宋体"/>
          <w:color w:val="auto"/>
          <w:szCs w:val="21"/>
        </w:rPr>
        <w:fldChar w:fldCharType="end"/>
      </w:r>
      <w:r>
        <w:rPr>
          <w:rFonts w:hint="eastAsia" w:ascii="宋体" w:hAnsi="宋体" w:eastAsia="宋体" w:cs="宋体"/>
          <w:color w:val="auto"/>
          <w:szCs w:val="21"/>
        </w:rPr>
        <w:t>（国办发〔2025〕34号）中本国产品的相关规定，否则响应文件按无效响应处理。</w:t>
      </w:r>
    </w:p>
    <w:p w14:paraId="41A6E0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80E53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“售后服务” 是指商品出售以后所提供的各种服务，包含但不限于投标人须承担的备品备件、包装、运输、装卸、保险、货到就位以及安装、调试、培训、保修以及其他各种服务。</w:t>
      </w:r>
    </w:p>
    <w:p w14:paraId="1A21B21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“书面形式”是指合同书、信件和数据电文（包括电报、电传、传真、电子数据交换和电子邮件）等可以有形地表现所载内容的形式。</w:t>
      </w:r>
    </w:p>
    <w:p w14:paraId="11CDCE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“实质性要求”是指招标文件中已经指明不满足则投标无效的条款，或者不能负偏离的条款，或者采购需求中带“▲”的条款。</w:t>
      </w:r>
    </w:p>
    <w:p w14:paraId="6E05A2D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8</w:t>
      </w:r>
      <w:r>
        <w:rPr>
          <w:rFonts w:hint="eastAsia" w:ascii="宋体" w:hAnsi="宋体" w:eastAsia="宋体" w:cs="宋体"/>
          <w:color w:val="auto"/>
          <w:szCs w:val="21"/>
        </w:rPr>
        <w:t xml:space="preserve"> “正偏离”，是指投标文件对招标文件“采购需求”中有关条款作出的响应优于条款要求并有利于采购人的情形。</w:t>
      </w:r>
    </w:p>
    <w:p w14:paraId="28F069F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9</w:t>
      </w:r>
      <w:r>
        <w:rPr>
          <w:rFonts w:hint="eastAsia" w:ascii="宋体" w:hAnsi="宋体" w:eastAsia="宋体" w:cs="宋体"/>
          <w:color w:val="auto"/>
          <w:szCs w:val="21"/>
        </w:rPr>
        <w:t>“负偏离”，是指投标文件对招标文件“采购需求”中有关条款作出的响应不满足条款要求，导致采购人要求不能得到满足的情形。</w:t>
      </w:r>
    </w:p>
    <w:p w14:paraId="1C7C785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“允许负偏离的条款”是指采购需求中的不属于“实质性要求”的条款。</w:t>
      </w:r>
    </w:p>
    <w:p w14:paraId="771C9E7F">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6189C94F">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196CD69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2E57D233">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91AD9D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83" w:name="_5.投标费用"/>
      <w:bookmarkEnd w:id="83"/>
      <w:bookmarkStart w:id="84" w:name="_Toc254970531"/>
      <w:bookmarkStart w:id="85" w:name="_Toc254970672"/>
      <w:r>
        <w:rPr>
          <w:rFonts w:hint="eastAsia" w:ascii="黑体" w:hAnsi="黑体" w:eastAsia="黑体"/>
          <w:color w:val="auto"/>
          <w:sz w:val="24"/>
          <w:highlight w:val="none"/>
        </w:rPr>
        <w:t>5.投标费用</w:t>
      </w:r>
      <w:bookmarkEnd w:id="84"/>
      <w:bookmarkEnd w:id="85"/>
    </w:p>
    <w:p w14:paraId="15494154">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E6A9EC6">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25FB5BC2">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82B8D76">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24F88F45">
      <w:pPr>
        <w:pStyle w:val="7"/>
        <w:keepNext w:val="0"/>
        <w:keepLines w:val="0"/>
        <w:pageBreakBefore w:val="0"/>
        <w:widowControl w:val="0"/>
        <w:kinsoku/>
        <w:wordWrap/>
        <w:overflowPunct/>
        <w:topLinePunct w:val="0"/>
        <w:bidi w:val="0"/>
        <w:spacing w:before="0" w:after="0" w:line="400" w:lineRule="exact"/>
        <w:ind w:firstLine="424" w:firstLineChars="202"/>
        <w:textAlignment w:val="auto"/>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6"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w:t>
      </w:r>
      <w:r>
        <w:rPr>
          <w:rFonts w:hint="eastAsia" w:ascii="宋体" w:hAnsi="宋体"/>
          <w:b w:val="0"/>
          <w:bCs/>
          <w:color w:val="auto"/>
          <w:sz w:val="21"/>
          <w:szCs w:val="21"/>
          <w:highlight w:val="none"/>
          <w:lang w:eastAsia="zh-CN"/>
        </w:rPr>
        <w:t>招标代理</w:t>
      </w:r>
      <w:r>
        <w:rPr>
          <w:rFonts w:hint="eastAsia" w:ascii="宋体" w:hAnsi="宋体"/>
          <w:b w:val="0"/>
          <w:bCs/>
          <w:color w:val="auto"/>
          <w:sz w:val="21"/>
          <w:szCs w:val="21"/>
          <w:highlight w:val="none"/>
        </w:rPr>
        <w:t>机构应当对联合体或者大中型企业的报价给予</w:t>
      </w:r>
      <w:r>
        <w:rPr>
          <w:rFonts w:hint="eastAsia" w:ascii="宋体" w:hAnsi="宋体"/>
          <w:b w:val="0"/>
          <w:bCs/>
          <w:color w:val="auto"/>
          <w:sz w:val="21"/>
          <w:szCs w:val="21"/>
          <w:highlight w:val="none"/>
          <w:lang w:val="en-US" w:eastAsia="zh-CN"/>
        </w:rPr>
        <w:t>4</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lang w:val="en-US" w:eastAsia="zh-CN"/>
        </w:rPr>
        <w:t>6</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lang w:eastAsia="zh-CN"/>
        </w:rPr>
        <w:t>（最终以评标办法为准）</w:t>
      </w:r>
      <w:r>
        <w:rPr>
          <w:rFonts w:hint="eastAsia" w:ascii="宋体" w:hAnsi="宋体"/>
          <w:b w:val="0"/>
          <w:bCs/>
          <w:color w:val="auto"/>
          <w:sz w:val="21"/>
          <w:szCs w:val="21"/>
          <w:highlight w:val="none"/>
        </w:rPr>
        <w:t>的扣除，用扣除后的价格参加评审。</w:t>
      </w:r>
      <w:bookmarkEnd w:id="86"/>
    </w:p>
    <w:p w14:paraId="2D24EFF4">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5B2A10">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125CECCC">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07D2659">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08D4B86">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87" w:name="_Toc254970532"/>
      <w:bookmarkStart w:id="88" w:name="_Toc254970673"/>
      <w:r>
        <w:rPr>
          <w:rFonts w:hint="eastAsia" w:ascii="黑体" w:hAnsi="黑体" w:eastAsia="黑体"/>
          <w:color w:val="auto"/>
          <w:sz w:val="24"/>
          <w:highlight w:val="none"/>
        </w:rPr>
        <w:t>8.特别说明</w:t>
      </w:r>
      <w:bookmarkEnd w:id="87"/>
      <w:bookmarkEnd w:id="88"/>
    </w:p>
    <w:p w14:paraId="433E658E">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bookmarkStart w:id="89" w:name="_8.1提供相同品牌产品且通过资格审查、符合性审查的不同投标人参加同一合"/>
      <w:bookmarkEnd w:id="89"/>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5962FB43">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6138BB58">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ascii="宋体" w:hAnsi="宋体" w:eastAsia="宋体" w:cs="Times New Roman"/>
          <w:b w:val="0"/>
          <w:bCs/>
          <w:color w:val="auto"/>
          <w:kern w:val="2"/>
          <w:sz w:val="21"/>
          <w:szCs w:val="21"/>
          <w:highlight w:val="none"/>
          <w:lang w:val="en-US" w:eastAsia="zh-CN" w:bidi="ar-SA"/>
        </w:rPr>
      </w:pPr>
      <w:r>
        <w:rPr>
          <w:rFonts w:hint="eastAsia" w:hAnsi="宋体"/>
          <w:color w:val="auto"/>
          <w:kern w:val="2"/>
          <w:sz w:val="21"/>
          <w:highlight w:val="none"/>
        </w:rPr>
        <w:t>非单一产品采购项目，多家投标人提供的</w:t>
      </w:r>
      <w:r>
        <w:rPr>
          <w:rFonts w:hint="eastAsia" w:ascii="宋体" w:hAnsi="宋体" w:eastAsia="宋体" w:cs="Times New Roman"/>
          <w:b w:val="0"/>
          <w:bCs/>
          <w:color w:val="auto"/>
          <w:kern w:val="2"/>
          <w:sz w:val="21"/>
          <w:szCs w:val="21"/>
          <w:highlight w:val="none"/>
          <w:lang w:val="en-US" w:eastAsia="zh-CN" w:bidi="ar-SA"/>
        </w:rPr>
        <w:t>核心产品品牌相同的，按前两款规定处理。</w:t>
      </w:r>
    </w:p>
    <w:p w14:paraId="13CA6651">
      <w:pPr>
        <w:pStyle w:val="7"/>
        <w:keepNext w:val="0"/>
        <w:keepLines w:val="0"/>
        <w:pageBreakBefore w:val="0"/>
        <w:widowControl w:val="0"/>
        <w:kinsoku/>
        <w:wordWrap/>
        <w:overflowPunct/>
        <w:topLinePunct w:val="0"/>
        <w:bidi w:val="0"/>
        <w:spacing w:before="0" w:after="0" w:line="400" w:lineRule="exact"/>
        <w:ind w:firstLine="367" w:firstLineChars="175"/>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7945D72C">
      <w:pPr>
        <w:pStyle w:val="7"/>
        <w:keepNext w:val="0"/>
        <w:keepLines w:val="0"/>
        <w:pageBreakBefore w:val="0"/>
        <w:widowControl w:val="0"/>
        <w:kinsoku/>
        <w:wordWrap/>
        <w:overflowPunct/>
        <w:topLinePunct w:val="0"/>
        <w:bidi w:val="0"/>
        <w:spacing w:before="0" w:after="0" w:line="400" w:lineRule="exact"/>
        <w:ind w:firstLine="367" w:firstLineChars="175"/>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188BCF25">
      <w:pPr>
        <w:pStyle w:val="7"/>
        <w:keepNext w:val="0"/>
        <w:keepLines w:val="0"/>
        <w:pageBreakBefore w:val="0"/>
        <w:widowControl w:val="0"/>
        <w:kinsoku/>
        <w:wordWrap/>
        <w:overflowPunct/>
        <w:topLinePunct w:val="0"/>
        <w:bidi w:val="0"/>
        <w:spacing w:before="0" w:after="0" w:line="400" w:lineRule="exact"/>
        <w:ind w:firstLine="367" w:firstLineChars="175"/>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w:t>
      </w:r>
      <w:r>
        <w:rPr>
          <w:rFonts w:hint="eastAsia" w:ascii="宋体" w:hAnsi="宋体"/>
          <w:b w:val="0"/>
          <w:color w:val="auto"/>
          <w:sz w:val="21"/>
          <w:szCs w:val="21"/>
          <w:highlight w:val="none"/>
          <w:lang w:eastAsia="zh-CN"/>
        </w:rPr>
        <w:t>依法</w:t>
      </w:r>
      <w:r>
        <w:rPr>
          <w:rFonts w:hint="eastAsia" w:ascii="宋体" w:hAnsi="宋体"/>
          <w:b w:val="0"/>
          <w:color w:val="auto"/>
          <w:sz w:val="21"/>
          <w:szCs w:val="21"/>
          <w:highlight w:val="none"/>
        </w:rPr>
        <w:t>赔偿采购人，且民事赔偿并不免除违法投标人的行政与刑事责任。</w:t>
      </w:r>
    </w:p>
    <w:p w14:paraId="2D75C5C1">
      <w:pPr>
        <w:spacing w:before="151" w:line="332" w:lineRule="auto"/>
        <w:ind w:right="6" w:firstLine="359"/>
        <w:rPr>
          <w:rFonts w:ascii="宋体" w:hAnsi="宋体" w:eastAsia="宋体" w:cs="宋体"/>
          <w:color w:val="auto"/>
          <w:sz w:val="21"/>
          <w:szCs w:val="21"/>
        </w:rPr>
      </w:pPr>
      <w:r>
        <w:rPr>
          <w:rFonts w:ascii="宋体" w:hAnsi="宋体" w:eastAsia="宋体" w:cs="宋体"/>
          <w:color w:val="auto"/>
          <w:spacing w:val="4"/>
          <w:sz w:val="21"/>
          <w:szCs w:val="21"/>
        </w:rPr>
        <w:t>8.5根据《国务院办公厅关于在政府采购中实施本国产品标准及相关政策的通知》(国办</w:t>
      </w:r>
      <w:r>
        <w:rPr>
          <w:rFonts w:ascii="宋体" w:hAnsi="宋体" w:eastAsia="宋体" w:cs="宋体"/>
          <w:color w:val="auto"/>
          <w:spacing w:val="1"/>
          <w:sz w:val="21"/>
          <w:szCs w:val="21"/>
        </w:rPr>
        <w:t xml:space="preserve"> </w:t>
      </w:r>
      <w:r>
        <w:rPr>
          <w:rFonts w:ascii="宋体" w:hAnsi="宋体" w:eastAsia="宋体" w:cs="宋体"/>
          <w:color w:val="auto"/>
          <w:spacing w:val="5"/>
          <w:sz w:val="21"/>
          <w:szCs w:val="21"/>
        </w:rPr>
        <w:t>发〔2025〕34号)的规定，本国产品标准适用于货物，包括政府采购货物项目和服务项目中</w:t>
      </w:r>
      <w:r>
        <w:rPr>
          <w:rFonts w:ascii="宋体" w:hAnsi="宋体" w:eastAsia="宋体" w:cs="宋体"/>
          <w:color w:val="auto"/>
          <w:spacing w:val="1"/>
          <w:sz w:val="21"/>
          <w:szCs w:val="21"/>
        </w:rPr>
        <w:t xml:space="preserve"> </w:t>
      </w:r>
      <w:r>
        <w:rPr>
          <w:rFonts w:ascii="宋体" w:hAnsi="宋体" w:eastAsia="宋体" w:cs="宋体"/>
          <w:color w:val="auto"/>
          <w:spacing w:val="-2"/>
          <w:sz w:val="21"/>
          <w:szCs w:val="21"/>
        </w:rPr>
        <w:t>涉及的货物。适用本国产品标准的货物具体是指《政府</w:t>
      </w:r>
      <w:r>
        <w:rPr>
          <w:rFonts w:ascii="宋体" w:hAnsi="宋体" w:eastAsia="宋体" w:cs="宋体"/>
          <w:color w:val="auto"/>
          <w:spacing w:val="-3"/>
          <w:sz w:val="21"/>
          <w:szCs w:val="21"/>
        </w:rPr>
        <w:t>采购品目分类目录》中的货物类产品，</w:t>
      </w:r>
      <w:r>
        <w:rPr>
          <w:rFonts w:ascii="宋体" w:hAnsi="宋体" w:eastAsia="宋体" w:cs="宋体"/>
          <w:color w:val="auto"/>
          <w:sz w:val="21"/>
          <w:szCs w:val="21"/>
        </w:rPr>
        <w:t xml:space="preserve"> </w:t>
      </w:r>
      <w:r>
        <w:rPr>
          <w:rFonts w:ascii="宋体" w:hAnsi="宋体" w:eastAsia="宋体" w:cs="宋体"/>
          <w:color w:val="auto"/>
          <w:spacing w:val="8"/>
          <w:sz w:val="21"/>
          <w:szCs w:val="21"/>
        </w:rPr>
        <w:t>但不包括其中的房屋和构筑物，文物和陈列品，图书和档案，特种动植物，农林牧渔业产</w:t>
      </w:r>
      <w:r>
        <w:rPr>
          <w:rFonts w:ascii="宋体" w:hAnsi="宋体" w:eastAsia="宋体" w:cs="宋体"/>
          <w:color w:val="auto"/>
          <w:spacing w:val="-1"/>
          <w:sz w:val="21"/>
          <w:szCs w:val="21"/>
        </w:rPr>
        <w:t>品，矿与矿物，电力、城市燃气、蒸汽和热水、水，食品、饮料和烟草原料，无形资产。</w:t>
      </w:r>
    </w:p>
    <w:p w14:paraId="599D3959">
      <w:pPr>
        <w:spacing w:before="160" w:line="219" w:lineRule="auto"/>
        <w:ind w:left="359"/>
        <w:rPr>
          <w:rFonts w:ascii="宋体" w:hAnsi="宋体" w:eastAsia="宋体" w:cs="宋体"/>
          <w:color w:val="auto"/>
          <w:sz w:val="21"/>
          <w:szCs w:val="21"/>
        </w:rPr>
      </w:pPr>
      <w:r>
        <w:rPr>
          <w:rFonts w:ascii="宋体" w:hAnsi="宋体" w:eastAsia="宋体" w:cs="宋体"/>
          <w:color w:val="auto"/>
          <w:spacing w:val="-1"/>
          <w:sz w:val="21"/>
          <w:szCs w:val="21"/>
        </w:rPr>
        <w:t>产品在中国境内生产的组件成本占比应当达到规定比例，计算</w:t>
      </w:r>
      <w:r>
        <w:rPr>
          <w:rFonts w:ascii="宋体" w:hAnsi="宋体" w:eastAsia="宋体" w:cs="宋体"/>
          <w:color w:val="auto"/>
          <w:spacing w:val="-2"/>
          <w:sz w:val="21"/>
          <w:szCs w:val="21"/>
        </w:rPr>
        <w:t>公式为：</w:t>
      </w:r>
    </w:p>
    <w:p w14:paraId="76673476">
      <w:pPr>
        <w:pStyle w:val="20"/>
        <w:spacing w:line="351" w:lineRule="auto"/>
        <w:ind w:firstLine="2160" w:firstLineChars="900"/>
        <w:rPr>
          <w:rFonts w:hint="eastAsia" w:ascii="宋体" w:hAnsi="宋体" w:eastAsia="宋体" w:cs="宋体"/>
          <w:color w:val="auto"/>
          <w:position w:val="-15"/>
        </w:rPr>
      </w:pPr>
      <w:r>
        <w:rPr>
          <w:rFonts w:hint="eastAsia"/>
          <w:color w:val="auto"/>
          <w:lang w:val="en-US" w:eastAsia="zh-CN"/>
        </w:rPr>
        <w:t xml:space="preserve">         </w:t>
      </w:r>
    </w:p>
    <w:p w14:paraId="033F9AC7">
      <w:pPr>
        <w:spacing w:line="750" w:lineRule="exact"/>
        <w:ind w:firstLine="1239"/>
        <w:rPr>
          <w:rFonts w:hint="eastAsia" w:ascii="宋体" w:hAnsi="宋体" w:eastAsia="宋体" w:cs="宋体"/>
          <w:color w:val="auto"/>
        </w:rPr>
      </w:pPr>
      <w:r>
        <w:rPr>
          <w:rFonts w:hint="eastAsia" w:ascii="宋体" w:hAnsi="宋体" w:eastAsia="宋体" w:cs="宋体"/>
          <w:color w:val="auto"/>
          <w:position w:val="-15"/>
        </w:rPr>
        <w:pict>
          <v:shape id="_x0000_i1026" o:spt="75" type="#_x0000_t75" style="height:37.5pt;width:307.95pt;" filled="f" o:preferrelative="t" stroked="f" coordsize="21600,21600">
            <v:path/>
            <v:fill on="f" focussize="0,0"/>
            <v:stroke on="f"/>
            <v:imagedata r:id="rId15" o:title=""/>
            <o:lock v:ext="edit" aspectratio="f"/>
            <w10:wrap type="none"/>
            <w10:anchorlock/>
          </v:shape>
        </w:pict>
      </w:r>
    </w:p>
    <w:p w14:paraId="629BDFE2">
      <w:pPr>
        <w:spacing w:before="256" w:line="353" w:lineRule="auto"/>
        <w:ind w:right="13" w:firstLine="359"/>
        <w:jc w:val="both"/>
        <w:rPr>
          <w:rFonts w:ascii="宋体" w:hAnsi="宋体" w:eastAsia="宋体" w:cs="宋体"/>
          <w:color w:val="auto"/>
          <w:sz w:val="21"/>
          <w:szCs w:val="21"/>
        </w:rPr>
      </w:pPr>
      <w:r>
        <w:rPr>
          <w:rFonts w:ascii="宋体" w:hAnsi="宋体" w:eastAsia="宋体" w:cs="宋体"/>
          <w:color w:val="auto"/>
          <w:spacing w:val="4"/>
          <w:sz w:val="21"/>
          <w:szCs w:val="21"/>
        </w:rPr>
        <w:t>财政部会同有关行业主管部门，分产品确定在中国境内生产的组件成本占比应当达到的</w:t>
      </w:r>
      <w:r>
        <w:rPr>
          <w:rFonts w:ascii="宋体" w:hAnsi="宋体" w:eastAsia="宋体" w:cs="宋体"/>
          <w:color w:val="auto"/>
          <w:spacing w:val="13"/>
          <w:sz w:val="21"/>
          <w:szCs w:val="21"/>
        </w:rPr>
        <w:t xml:space="preserve"> </w:t>
      </w:r>
      <w:r>
        <w:rPr>
          <w:rFonts w:ascii="宋体" w:hAnsi="宋体" w:eastAsia="宋体" w:cs="宋体"/>
          <w:color w:val="auto"/>
          <w:spacing w:val="2"/>
          <w:sz w:val="21"/>
          <w:szCs w:val="21"/>
        </w:rPr>
        <w:t>规定比例。在分产品的中国境内生产的组件成本占比相关要求实施前，符合《国务院办公厅</w:t>
      </w:r>
      <w:r>
        <w:rPr>
          <w:rFonts w:ascii="宋体" w:hAnsi="宋体" w:eastAsia="宋体" w:cs="宋体"/>
          <w:color w:val="auto"/>
          <w:sz w:val="21"/>
          <w:szCs w:val="21"/>
        </w:rPr>
        <w:t xml:space="preserve"> </w:t>
      </w:r>
      <w:r>
        <w:rPr>
          <w:rFonts w:ascii="宋体" w:hAnsi="宋体" w:eastAsia="宋体" w:cs="宋体"/>
          <w:color w:val="auto"/>
          <w:spacing w:val="8"/>
          <w:sz w:val="21"/>
          <w:szCs w:val="21"/>
        </w:rPr>
        <w:t>关于在政府采购中实施本国产品标准及相关政策的通知》第一条</w:t>
      </w:r>
      <w:r>
        <w:rPr>
          <w:rFonts w:ascii="宋体" w:hAnsi="宋体" w:eastAsia="宋体" w:cs="宋体"/>
          <w:color w:val="auto"/>
          <w:spacing w:val="7"/>
          <w:sz w:val="21"/>
          <w:szCs w:val="21"/>
        </w:rPr>
        <w:t>第(一)项条件的产品在政</w:t>
      </w:r>
      <w:r>
        <w:rPr>
          <w:rFonts w:ascii="宋体" w:hAnsi="宋体" w:eastAsia="宋体" w:cs="宋体"/>
          <w:color w:val="auto"/>
          <w:sz w:val="21"/>
          <w:szCs w:val="21"/>
        </w:rPr>
        <w:t xml:space="preserve"> </w:t>
      </w:r>
      <w:r>
        <w:rPr>
          <w:rFonts w:ascii="宋体" w:hAnsi="宋体" w:eastAsia="宋体" w:cs="宋体"/>
          <w:color w:val="auto"/>
          <w:spacing w:val="-3"/>
          <w:sz w:val="21"/>
          <w:szCs w:val="21"/>
        </w:rPr>
        <w:t>府采购活动中视同本国产品。</w:t>
      </w:r>
    </w:p>
    <w:p w14:paraId="186AC060">
      <w:pPr>
        <w:spacing w:before="25" w:line="361" w:lineRule="auto"/>
        <w:ind w:right="21" w:firstLine="359"/>
        <w:rPr>
          <w:rFonts w:ascii="宋体" w:hAnsi="宋体" w:eastAsia="宋体" w:cs="宋体"/>
          <w:color w:val="auto"/>
          <w:sz w:val="21"/>
          <w:szCs w:val="21"/>
        </w:rPr>
      </w:pPr>
      <w:r>
        <w:rPr>
          <w:rFonts w:ascii="宋体" w:hAnsi="宋体" w:eastAsia="宋体" w:cs="宋体"/>
          <w:color w:val="auto"/>
          <w:spacing w:val="4"/>
          <w:sz w:val="21"/>
          <w:szCs w:val="21"/>
        </w:rPr>
        <w:t>政府采购活动中既有本国产品又有非本国产品参与竞争的，依法对本国产品给予价格评</w:t>
      </w:r>
      <w:r>
        <w:rPr>
          <w:rFonts w:ascii="宋体" w:hAnsi="宋体" w:eastAsia="宋体" w:cs="宋体"/>
          <w:color w:val="auto"/>
          <w:spacing w:val="5"/>
          <w:sz w:val="21"/>
          <w:szCs w:val="21"/>
        </w:rPr>
        <w:t xml:space="preserve"> </w:t>
      </w:r>
      <w:r>
        <w:rPr>
          <w:rFonts w:ascii="宋体" w:hAnsi="宋体" w:eastAsia="宋体" w:cs="宋体"/>
          <w:color w:val="auto"/>
          <w:spacing w:val="1"/>
          <w:sz w:val="21"/>
          <w:szCs w:val="21"/>
        </w:rPr>
        <w:t>审优惠，对本国产品的报价给予20%的价格扣除，用扣除后的价</w:t>
      </w:r>
      <w:r>
        <w:rPr>
          <w:rFonts w:ascii="宋体" w:hAnsi="宋体" w:eastAsia="宋体" w:cs="宋体"/>
          <w:color w:val="auto"/>
          <w:sz w:val="21"/>
          <w:szCs w:val="21"/>
        </w:rPr>
        <w:t>格参与评审。</w:t>
      </w:r>
    </w:p>
    <w:p w14:paraId="189AA01E">
      <w:pPr>
        <w:spacing w:line="352" w:lineRule="auto"/>
        <w:ind w:right="17" w:firstLine="359"/>
        <w:jc w:val="both"/>
        <w:rPr>
          <w:rFonts w:ascii="黑体" w:hAnsi="黑体" w:eastAsia="黑体"/>
          <w:color w:val="auto"/>
          <w:sz w:val="24"/>
          <w:highlight w:val="none"/>
        </w:rPr>
      </w:pPr>
      <w:r>
        <w:rPr>
          <w:rFonts w:ascii="宋体" w:hAnsi="宋体" w:eastAsia="宋体" w:cs="宋体"/>
          <w:color w:val="auto"/>
          <w:spacing w:val="4"/>
          <w:sz w:val="21"/>
          <w:szCs w:val="21"/>
        </w:rPr>
        <w:t>当采购项目或者采购包中含有多种产品，供应商为该采</w:t>
      </w:r>
      <w:r>
        <w:rPr>
          <w:rFonts w:ascii="宋体" w:hAnsi="宋体" w:eastAsia="宋体" w:cs="宋体"/>
          <w:color w:val="auto"/>
          <w:spacing w:val="3"/>
          <w:sz w:val="21"/>
          <w:szCs w:val="21"/>
        </w:rPr>
        <w:t>购项目或者采购包提供的符合本</w:t>
      </w:r>
      <w:r>
        <w:rPr>
          <w:rFonts w:ascii="宋体" w:hAnsi="宋体" w:eastAsia="宋体" w:cs="宋体"/>
          <w:color w:val="auto"/>
          <w:sz w:val="21"/>
          <w:szCs w:val="21"/>
        </w:rPr>
        <w:t xml:space="preserve"> </w:t>
      </w:r>
      <w:r>
        <w:rPr>
          <w:rFonts w:ascii="宋体" w:hAnsi="宋体" w:eastAsia="宋体" w:cs="宋体"/>
          <w:color w:val="auto"/>
          <w:spacing w:val="5"/>
          <w:sz w:val="21"/>
          <w:szCs w:val="21"/>
        </w:rPr>
        <w:t>国产品标准的产品成本之和占该供应商提供的全部产品成本之和的比例达到80%以上时，依</w:t>
      </w:r>
      <w:r>
        <w:rPr>
          <w:rFonts w:ascii="宋体" w:hAnsi="宋体" w:eastAsia="宋体" w:cs="宋体"/>
          <w:color w:val="auto"/>
          <w:spacing w:val="1"/>
          <w:sz w:val="21"/>
          <w:szCs w:val="21"/>
        </w:rPr>
        <w:t xml:space="preserve"> </w:t>
      </w:r>
      <w:r>
        <w:rPr>
          <w:rFonts w:ascii="宋体" w:hAnsi="宋体" w:eastAsia="宋体" w:cs="宋体"/>
          <w:color w:val="auto"/>
          <w:spacing w:val="2"/>
          <w:sz w:val="21"/>
          <w:szCs w:val="21"/>
        </w:rPr>
        <w:t>法对该供应商提供的全部产品给予价格评审优惠，即对该供应商提供的全部产品的总报价给</w:t>
      </w:r>
      <w:r>
        <w:rPr>
          <w:rFonts w:ascii="宋体" w:hAnsi="宋体" w:eastAsia="宋体" w:cs="宋体"/>
          <w:color w:val="auto"/>
          <w:spacing w:val="16"/>
          <w:sz w:val="21"/>
          <w:szCs w:val="21"/>
        </w:rPr>
        <w:t xml:space="preserve"> </w:t>
      </w:r>
      <w:r>
        <w:rPr>
          <w:rFonts w:ascii="宋体" w:hAnsi="宋体" w:eastAsia="宋体" w:cs="宋体"/>
          <w:color w:val="auto"/>
          <w:spacing w:val="1"/>
          <w:sz w:val="21"/>
          <w:szCs w:val="21"/>
        </w:rPr>
        <w:t>予20%的价格扣除，用扣除后的价格参与评审。</w:t>
      </w:r>
    </w:p>
    <w:p w14:paraId="36A5DD53">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60AD737">
      <w:pPr>
        <w:pStyle w:val="7"/>
        <w:keepNext w:val="0"/>
        <w:keepLines w:val="0"/>
        <w:pageBreakBefore w:val="0"/>
        <w:widowControl w:val="0"/>
        <w:kinsoku/>
        <w:wordWrap/>
        <w:overflowPunct/>
        <w:topLinePunct w:val="0"/>
        <w:bidi w:val="0"/>
        <w:spacing w:before="0" w:after="0" w:line="400" w:lineRule="exact"/>
        <w:ind w:firstLine="367" w:firstLineChars="175"/>
        <w:textAlignment w:val="auto"/>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2CA952E2">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F7C83AC">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1D3031CB">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9AFD619">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E2037AE">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9D3C46D">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w:t>
      </w:r>
      <w:r>
        <w:rPr>
          <w:rFonts w:hint="eastAsia" w:hAnsi="宋体"/>
          <w:color w:val="auto"/>
          <w:kern w:val="2"/>
          <w:sz w:val="21"/>
          <w:highlight w:val="none"/>
          <w:lang w:eastAsia="zh-CN"/>
        </w:rPr>
        <w:t>招标代理</w:t>
      </w:r>
      <w:r>
        <w:rPr>
          <w:rFonts w:hAnsi="宋体"/>
          <w:color w:val="auto"/>
          <w:kern w:val="2"/>
          <w:sz w:val="21"/>
          <w:highlight w:val="none"/>
        </w:rPr>
        <w:t>机构书面提出回避申请，并说明理由。采购人或者</w:t>
      </w:r>
      <w:r>
        <w:rPr>
          <w:rFonts w:hint="eastAsia" w:hAnsi="宋体"/>
          <w:color w:val="auto"/>
          <w:kern w:val="2"/>
          <w:sz w:val="21"/>
          <w:highlight w:val="none"/>
          <w:lang w:eastAsia="zh-CN"/>
        </w:rPr>
        <w:t>招标代理</w:t>
      </w:r>
      <w:r>
        <w:rPr>
          <w:rFonts w:hAnsi="宋体"/>
          <w:color w:val="auto"/>
          <w:kern w:val="2"/>
          <w:sz w:val="21"/>
          <w:highlight w:val="none"/>
        </w:rPr>
        <w:t>机构应当及时询问被申请回避人员，有利害关系的被申请回避人员应当回避。</w:t>
      </w:r>
    </w:p>
    <w:p w14:paraId="7669E7A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21C82CE">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（1）不同投标人的投标文件由同一单位或者个人编制或不同供应商报名的IP地址一致的；</w:t>
      </w:r>
    </w:p>
    <w:p w14:paraId="72D0A810">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7362FB7E">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B64FAEB">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458C386">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D8BFDFE">
      <w:pPr>
        <w:pStyle w:val="26"/>
        <w:keepNext w:val="0"/>
        <w:keepLines w:val="0"/>
        <w:pageBreakBefore w:val="0"/>
        <w:widowControl w:val="0"/>
        <w:kinsoku/>
        <w:wordWrap/>
        <w:overflowPunct/>
        <w:topLinePunct w:val="0"/>
        <w:bidi w:val="0"/>
        <w:snapToGrid w:val="0"/>
        <w:spacing w:line="400" w:lineRule="exact"/>
        <w:ind w:left="2" w:leftChars="1" w:firstLine="422" w:firstLineChars="200"/>
        <w:textAlignment w:val="auto"/>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8A40F71">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55AABD1">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（1）供应商直接或者间接从采购人或者</w:t>
      </w:r>
      <w:r>
        <w:rPr>
          <w:rFonts w:hint="eastAsia" w:hAnsi="宋体"/>
          <w:color w:val="auto"/>
          <w:kern w:val="2"/>
          <w:sz w:val="21"/>
          <w:highlight w:val="none"/>
          <w:lang w:eastAsia="zh-CN"/>
        </w:rPr>
        <w:t>招标代理</w:t>
      </w:r>
      <w:r>
        <w:rPr>
          <w:rFonts w:hint="eastAsia" w:hAnsi="宋体"/>
          <w:color w:val="auto"/>
          <w:kern w:val="2"/>
          <w:sz w:val="21"/>
          <w:highlight w:val="none"/>
        </w:rPr>
        <w:t>机构处获得其他供应商的相关信息并修改其投标文件或者</w:t>
      </w:r>
      <w:r>
        <w:rPr>
          <w:rFonts w:hint="eastAsia" w:hAnsi="宋体"/>
          <w:color w:val="auto"/>
          <w:kern w:val="2"/>
          <w:sz w:val="21"/>
          <w:highlight w:val="none"/>
          <w:lang w:eastAsia="zh-CN"/>
        </w:rPr>
        <w:t>投标文件</w:t>
      </w:r>
      <w:r>
        <w:rPr>
          <w:rFonts w:hint="eastAsia" w:hAnsi="宋体"/>
          <w:color w:val="auto"/>
          <w:kern w:val="2"/>
          <w:sz w:val="21"/>
          <w:highlight w:val="none"/>
        </w:rPr>
        <w:t>；</w:t>
      </w:r>
    </w:p>
    <w:p w14:paraId="5E38B1A2">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（2）供应商按照采购人或者</w:t>
      </w:r>
      <w:r>
        <w:rPr>
          <w:rFonts w:hint="eastAsia" w:hAnsi="宋体"/>
          <w:color w:val="auto"/>
          <w:kern w:val="2"/>
          <w:sz w:val="21"/>
          <w:highlight w:val="none"/>
          <w:lang w:eastAsia="zh-CN"/>
        </w:rPr>
        <w:t>招标代理</w:t>
      </w:r>
      <w:r>
        <w:rPr>
          <w:rFonts w:hint="eastAsia" w:hAnsi="宋体"/>
          <w:color w:val="auto"/>
          <w:kern w:val="2"/>
          <w:sz w:val="21"/>
          <w:highlight w:val="none"/>
        </w:rPr>
        <w:t>机构的授意撤换、修改投标文件或者</w:t>
      </w:r>
      <w:r>
        <w:rPr>
          <w:rFonts w:hint="eastAsia" w:hAnsi="宋体"/>
          <w:color w:val="auto"/>
          <w:kern w:val="2"/>
          <w:sz w:val="21"/>
          <w:highlight w:val="none"/>
          <w:lang w:eastAsia="zh-CN"/>
        </w:rPr>
        <w:t>投标文件</w:t>
      </w:r>
      <w:r>
        <w:rPr>
          <w:rFonts w:hint="eastAsia" w:hAnsi="宋体"/>
          <w:color w:val="auto"/>
          <w:kern w:val="2"/>
          <w:sz w:val="21"/>
          <w:highlight w:val="none"/>
        </w:rPr>
        <w:t>；</w:t>
      </w:r>
    </w:p>
    <w:p w14:paraId="65151DB9">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w:t>
      </w:r>
      <w:r>
        <w:rPr>
          <w:rFonts w:hint="eastAsia" w:hAnsi="宋体"/>
          <w:color w:val="auto"/>
          <w:kern w:val="2"/>
          <w:sz w:val="21"/>
          <w:highlight w:val="none"/>
          <w:lang w:eastAsia="zh-CN"/>
        </w:rPr>
        <w:t>投标文件</w:t>
      </w:r>
      <w:r>
        <w:rPr>
          <w:rFonts w:hint="eastAsia" w:hAnsi="宋体"/>
          <w:color w:val="auto"/>
          <w:kern w:val="2"/>
          <w:sz w:val="21"/>
          <w:highlight w:val="none"/>
        </w:rPr>
        <w:t>的实质性内容；</w:t>
      </w:r>
    </w:p>
    <w:p w14:paraId="088ED0E4">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7DE0678">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916D524">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4D9BD146">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b/>
          <w:color w:val="auto"/>
          <w:kern w:val="2"/>
          <w:sz w:val="21"/>
          <w:highlight w:val="none"/>
        </w:rPr>
      </w:pPr>
      <w:r>
        <w:rPr>
          <w:rFonts w:hint="eastAsia" w:hAnsi="宋体"/>
          <w:color w:val="auto"/>
          <w:kern w:val="2"/>
          <w:sz w:val="21"/>
          <w:highlight w:val="none"/>
        </w:rPr>
        <w:t>（7）供应商与采购人或者</w:t>
      </w:r>
      <w:r>
        <w:rPr>
          <w:rFonts w:hint="eastAsia" w:hAnsi="宋体"/>
          <w:color w:val="auto"/>
          <w:kern w:val="2"/>
          <w:sz w:val="21"/>
          <w:highlight w:val="none"/>
          <w:lang w:eastAsia="zh-CN"/>
        </w:rPr>
        <w:t>招标代理</w:t>
      </w:r>
      <w:r>
        <w:rPr>
          <w:rFonts w:hint="eastAsia" w:hAnsi="宋体"/>
          <w:color w:val="auto"/>
          <w:kern w:val="2"/>
          <w:sz w:val="21"/>
          <w:highlight w:val="none"/>
        </w:rPr>
        <w:t>机构之间、供应商相互之间，为谋求特定供应商中标或者排斥其他供应商的其他串通行为。</w:t>
      </w:r>
    </w:p>
    <w:p w14:paraId="2EA8DA55">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bookmarkStart w:id="90" w:name="_Toc254970534"/>
      <w:bookmarkStart w:id="91" w:name="_Toc254970675"/>
      <w:r>
        <w:rPr>
          <w:rFonts w:hint="eastAsia"/>
          <w:color w:val="auto"/>
          <w:highlight w:val="none"/>
        </w:rPr>
        <w:t>二、招标文件</w:t>
      </w:r>
      <w:bookmarkEnd w:id="90"/>
      <w:bookmarkEnd w:id="91"/>
    </w:p>
    <w:p w14:paraId="7C1CBFA0">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0D9CFCAC">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（1）招标公告；</w:t>
      </w:r>
    </w:p>
    <w:p w14:paraId="1C99CE10">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（2）采购需求； </w:t>
      </w:r>
    </w:p>
    <w:p w14:paraId="43D1A632">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（3）投标人须知；</w:t>
      </w:r>
    </w:p>
    <w:p w14:paraId="41274512">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（4）评标方法及评标标准；</w:t>
      </w:r>
    </w:p>
    <w:p w14:paraId="035F44CD">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（5）拟签订的合同文本；</w:t>
      </w:r>
    </w:p>
    <w:p w14:paraId="5A01C181">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（6）投标文件格式。</w:t>
      </w:r>
    </w:p>
    <w:p w14:paraId="34D41E58">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7BE5C5B">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w:t>
      </w:r>
      <w:r>
        <w:rPr>
          <w:rFonts w:hint="eastAsia" w:ascii="宋体" w:hAnsi="宋体"/>
          <w:b w:val="0"/>
          <w:color w:val="auto"/>
          <w:sz w:val="21"/>
          <w:szCs w:val="21"/>
          <w:highlight w:val="none"/>
          <w:lang w:eastAsia="zh-CN"/>
        </w:rPr>
        <w:t>1</w:t>
      </w:r>
      <w:r>
        <w:rPr>
          <w:rFonts w:hint="eastAsia" w:ascii="宋体" w:hAnsi="宋体"/>
          <w:b w:val="0"/>
          <w:color w:val="auto"/>
          <w:sz w:val="21"/>
          <w:szCs w:val="21"/>
          <w:highlight w:val="none"/>
        </w:rPr>
        <w:t>投标人应认真审阅本招标文件，如有疑问，或发现其中有误或有要求不合理的，应在招标公告公告期限届满之日起7个工作日内以纸质书面形式要求采购人或</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机构对招标文件予以澄清；否则，由此产生的后果由投标人自行负责。</w:t>
      </w:r>
    </w:p>
    <w:p w14:paraId="5057D835">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color w:val="auto"/>
          <w:highlight w:val="none"/>
          <w:lang w:eastAsia="zh-CN"/>
        </w:rPr>
      </w:pPr>
      <w:r>
        <w:rPr>
          <w:rFonts w:hint="eastAsia" w:ascii="宋体" w:hAnsi="宋体"/>
          <w:b w:val="0"/>
          <w:color w:val="auto"/>
          <w:sz w:val="21"/>
          <w:szCs w:val="21"/>
          <w:highlight w:val="none"/>
        </w:rPr>
        <w:t>11.</w:t>
      </w:r>
      <w:r>
        <w:rPr>
          <w:rFonts w:hint="eastAsia" w:ascii="宋体" w:hAnsi="宋体"/>
          <w:b w:val="0"/>
          <w:color w:val="auto"/>
          <w:sz w:val="21"/>
          <w:szCs w:val="21"/>
          <w:highlight w:val="none"/>
          <w:lang w:eastAsia="zh-CN"/>
        </w:rPr>
        <w:t>2</w:t>
      </w:r>
      <w:r>
        <w:rPr>
          <w:rFonts w:hint="eastAsia" w:ascii="宋体" w:hAnsi="宋体"/>
          <w:b w:val="0"/>
          <w:color w:val="auto"/>
          <w:sz w:val="21"/>
          <w:szCs w:val="21"/>
          <w:highlight w:val="none"/>
        </w:rPr>
        <w:t>采购人或者</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机构可以对已发出的招标文件进行必要的澄清或者修改，但不得改变采购标的和资格条件。澄清或者修改</w:t>
      </w:r>
      <w:r>
        <w:rPr>
          <w:rFonts w:hint="eastAsia" w:ascii="宋体" w:hAnsi="宋体"/>
          <w:b w:val="0"/>
          <w:color w:val="auto"/>
          <w:sz w:val="21"/>
          <w:szCs w:val="21"/>
          <w:highlight w:val="none"/>
          <w:lang w:eastAsia="zh-CN"/>
        </w:rPr>
        <w:t>将</w:t>
      </w:r>
      <w:r>
        <w:rPr>
          <w:rFonts w:hint="eastAsia" w:ascii="宋体" w:hAnsi="宋体"/>
          <w:b w:val="0"/>
          <w:color w:val="auto"/>
          <w:sz w:val="21"/>
          <w:szCs w:val="21"/>
          <w:highlight w:val="none"/>
        </w:rPr>
        <w:t>在原公告发布媒体上发布更正公告。澄清或者修改的内容为招标文件的组成部分。澄清或者修改的内容可能影响投标文件编制的，采购人或者</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机构应当在投标截止时间至少15日前，在原公告发布媒体上发布更正公告；不足15日的，采购人或者</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机构应当顺延提交投标文件的截止时间。</w:t>
      </w:r>
    </w:p>
    <w:p w14:paraId="5CBE7EF1">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highlight w:val="none"/>
        </w:rPr>
        <w:t>11.3采购人和</w:t>
      </w:r>
      <w:r>
        <w:rPr>
          <w:rFonts w:hint="eastAsia" w:ascii="宋体" w:hAnsi="宋体"/>
          <w:color w:val="auto"/>
          <w:highlight w:val="none"/>
          <w:lang w:eastAsia="zh-CN"/>
        </w:rPr>
        <w:t>招标代理</w:t>
      </w:r>
      <w:r>
        <w:rPr>
          <w:rFonts w:hint="eastAsia" w:ascii="宋体" w:hAnsi="宋体"/>
          <w:color w:val="auto"/>
          <w:highlight w:val="none"/>
        </w:rPr>
        <w:t>机构可以视采购具体情况，变更投标截止时间和开标时间，并</w:t>
      </w:r>
      <w:r>
        <w:rPr>
          <w:rFonts w:hint="eastAsia" w:ascii="宋体" w:hAnsi="宋体"/>
          <w:color w:val="auto"/>
          <w:szCs w:val="21"/>
          <w:highlight w:val="none"/>
        </w:rPr>
        <w:t>在原公告发布媒体上发布更正公告。</w:t>
      </w:r>
    </w:p>
    <w:p w14:paraId="4EB6AB94">
      <w:pPr>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5F99A0B1">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lang w:eastAsia="zh-CN"/>
        </w:rPr>
      </w:pPr>
      <w:r>
        <w:rPr>
          <w:rFonts w:hint="eastAsia" w:hAnsi="宋体"/>
          <w:color w:val="auto"/>
          <w:sz w:val="21"/>
          <w:highlight w:val="none"/>
        </w:rPr>
        <w:t>1</w:t>
      </w:r>
      <w:r>
        <w:rPr>
          <w:rFonts w:hAnsi="宋体"/>
          <w:color w:val="auto"/>
          <w:sz w:val="21"/>
          <w:highlight w:val="none"/>
        </w:rPr>
        <w:t>1.</w:t>
      </w:r>
      <w:bookmarkStart w:id="92" w:name="_Hlk53134511"/>
      <w:r>
        <w:rPr>
          <w:rFonts w:hint="eastAsia" w:hAnsi="宋体"/>
          <w:color w:val="auto"/>
          <w:sz w:val="21"/>
          <w:highlight w:val="none"/>
          <w:lang w:eastAsia="zh-CN"/>
        </w:rPr>
        <w:t>5</w:t>
      </w:r>
      <w:r>
        <w:rPr>
          <w:rFonts w:hint="eastAsia" w:hAnsi="宋体"/>
          <w:color w:val="auto"/>
          <w:sz w:val="21"/>
          <w:highlight w:val="none"/>
        </w:rPr>
        <w:t>采购人或者</w:t>
      </w:r>
      <w:r>
        <w:rPr>
          <w:rFonts w:hint="eastAsia" w:hAnsi="宋体"/>
          <w:color w:val="auto"/>
          <w:sz w:val="21"/>
          <w:highlight w:val="none"/>
          <w:lang w:eastAsia="zh-CN"/>
        </w:rPr>
        <w:t>招标代理</w:t>
      </w:r>
      <w:r>
        <w:rPr>
          <w:rFonts w:hint="eastAsia" w:hAnsi="宋体"/>
          <w:color w:val="auto"/>
          <w:sz w:val="21"/>
          <w:highlight w:val="none"/>
        </w:rPr>
        <w:t>机构可以在招标文件提供期限截止后，组织已获取招标文件的潜在投标人现场考察或者召开开标前答疑会，具体详见“投标人须知前附表”。</w:t>
      </w:r>
    </w:p>
    <w:bookmarkEnd w:id="92"/>
    <w:p w14:paraId="75519A8B">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bookmarkStart w:id="93" w:name="_Toc254970676"/>
      <w:bookmarkStart w:id="94" w:name="_Toc254970535"/>
      <w:r>
        <w:rPr>
          <w:rFonts w:hint="eastAsia"/>
          <w:color w:val="auto"/>
          <w:highlight w:val="none"/>
        </w:rPr>
        <w:t>三、投标文件的编制</w:t>
      </w:r>
      <w:bookmarkEnd w:id="93"/>
      <w:bookmarkEnd w:id="94"/>
    </w:p>
    <w:p w14:paraId="7E551CB2">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95" w:name="_Toc254970677"/>
      <w:bookmarkStart w:id="96" w:name="_Toc254970536"/>
      <w:r>
        <w:rPr>
          <w:rFonts w:hint="eastAsia" w:ascii="黑体" w:hAnsi="黑体" w:eastAsia="黑体"/>
          <w:color w:val="auto"/>
          <w:sz w:val="24"/>
          <w:highlight w:val="none"/>
        </w:rPr>
        <w:t>12.投标文件的编制原则</w:t>
      </w:r>
    </w:p>
    <w:p w14:paraId="7859400E">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F23DDFF">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71F7B7A7">
      <w:pPr>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31659F07">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bookmarkStart w:id="97" w:name="_13.1报价文件:_具体材料见“投标人须知前附表”。"/>
      <w:bookmarkEnd w:id="97"/>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338897A6">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bookmarkStart w:id="98" w:name="_13.2资格证明文件：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C711BE5">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bookmarkStart w:id="99" w:name="_13.3商务文件:_具体材料见“投标人须知前附表”。"/>
      <w:bookmarkEnd w:id="99"/>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130CB57">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bookmarkStart w:id="100" w:name="_13.4技术文件：具体材料见“投标人须知前附表”。"/>
      <w:bookmarkEnd w:id="100"/>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1" w:name="_13.5投标文件电子版：具体材料见“投标人须知前附表”。"/>
      <w:bookmarkEnd w:id="101"/>
    </w:p>
    <w:p w14:paraId="3096CC66">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428FBC29">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70AE6D8">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0859C7F">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753B39D">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613AE94B">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BCF2945">
      <w:pPr>
        <w:pStyle w:val="26"/>
        <w:keepNext w:val="0"/>
        <w:keepLines w:val="0"/>
        <w:pageBreakBefore w:val="0"/>
        <w:widowControl w:val="0"/>
        <w:kinsoku/>
        <w:wordWrap/>
        <w:overflowPunct/>
        <w:topLinePunct w:val="0"/>
        <w:bidi w:val="0"/>
        <w:snapToGrid w:val="0"/>
        <w:spacing w:line="400" w:lineRule="exact"/>
        <w:ind w:firstLine="420" w:firstLineChars="200"/>
        <w:jc w:val="left"/>
        <w:textAlignment w:val="auto"/>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E3B8080">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04" w:name="_Toc254970679"/>
      <w:bookmarkStart w:id="105" w:name="_Toc254970538"/>
      <w:r>
        <w:rPr>
          <w:rFonts w:hint="eastAsia" w:ascii="黑体" w:hAnsi="黑体" w:eastAsia="黑体"/>
          <w:color w:val="auto"/>
          <w:sz w:val="24"/>
          <w:highlight w:val="none"/>
        </w:rPr>
        <w:t>16.投标报价</w:t>
      </w:r>
      <w:bookmarkEnd w:id="104"/>
      <w:bookmarkEnd w:id="105"/>
    </w:p>
    <w:p w14:paraId="2714ED83">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7FE07DC2">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bookmarkStart w:id="106" w:name="_16.2投标报价具体定义见投标人须知前附表。"/>
      <w:bookmarkEnd w:id="106"/>
      <w:r>
        <w:rPr>
          <w:rFonts w:hint="eastAsia" w:ascii="宋体" w:hAnsi="宋体"/>
          <w:b w:val="0"/>
          <w:color w:val="auto"/>
          <w:sz w:val="21"/>
          <w:szCs w:val="21"/>
          <w:highlight w:val="none"/>
        </w:rPr>
        <w:t>16.2投标报价具体包括内容详见“投标人须知前附表”。</w:t>
      </w:r>
    </w:p>
    <w:p w14:paraId="0E88D057">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88EC67E">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1110605A">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bookmarkStart w:id="107" w:name="_17.1投标有效期应按“投标人须知中的前附表”规定的期限。"/>
      <w:bookmarkEnd w:id="107"/>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1A7975C">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8" w:name="_Toc254970540"/>
      <w:bookmarkStart w:id="109" w:name="_Toc254970681"/>
      <w:r>
        <w:rPr>
          <w:rFonts w:hint="eastAsia" w:ascii="宋体" w:hAnsi="宋体"/>
          <w:b w:val="0"/>
          <w:color w:val="auto"/>
          <w:sz w:val="21"/>
          <w:szCs w:val="21"/>
          <w:highlight w:val="none"/>
        </w:rPr>
        <w:t xml:space="preserve"> 投标有效期应按规定的期限作出承诺，具体详见“投标人须知前附表”。</w:t>
      </w:r>
    </w:p>
    <w:p w14:paraId="2DDA676B">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8"/>
      <w:bookmarkEnd w:id="109"/>
    </w:p>
    <w:p w14:paraId="53EBB538">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10" w:name="_18.投标保证金"/>
      <w:bookmarkEnd w:id="110"/>
      <w:bookmarkStart w:id="111" w:name="_Toc254970682"/>
      <w:bookmarkStart w:id="112" w:name="_Toc254970541"/>
      <w:r>
        <w:rPr>
          <w:rFonts w:hint="eastAsia" w:ascii="黑体" w:hAnsi="黑体" w:eastAsia="黑体"/>
          <w:color w:val="auto"/>
          <w:sz w:val="24"/>
          <w:highlight w:val="none"/>
        </w:rPr>
        <w:t>18.投标保证金</w:t>
      </w:r>
      <w:bookmarkEnd w:id="111"/>
      <w:bookmarkEnd w:id="112"/>
    </w:p>
    <w:p w14:paraId="72EE2B5B">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3616D036">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06045BC4">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val="en-US" w:eastAsia="zh-CN"/>
        </w:rPr>
        <w:t>5个工作日</w:t>
      </w:r>
      <w:r>
        <w:rPr>
          <w:rFonts w:hint="eastAsia" w:ascii="宋体" w:hAnsi="宋体"/>
          <w:b w:val="0"/>
          <w:color w:val="auto"/>
          <w:sz w:val="21"/>
          <w:szCs w:val="21"/>
          <w:highlight w:val="none"/>
        </w:rPr>
        <w:t>内退还；中标人的投标保证金自政府采购合同签订之日起</w:t>
      </w:r>
      <w:r>
        <w:rPr>
          <w:rFonts w:hint="eastAsia" w:ascii="宋体" w:hAnsi="宋体"/>
          <w:b w:val="0"/>
          <w:color w:val="auto"/>
          <w:sz w:val="21"/>
          <w:szCs w:val="21"/>
          <w:highlight w:val="none"/>
          <w:lang w:val="en-US" w:eastAsia="zh-CN"/>
        </w:rPr>
        <w:t>5个工作日</w:t>
      </w:r>
      <w:r>
        <w:rPr>
          <w:rFonts w:hint="eastAsia" w:ascii="宋体" w:hAnsi="宋体"/>
          <w:b w:val="0"/>
          <w:color w:val="auto"/>
          <w:sz w:val="21"/>
          <w:szCs w:val="21"/>
          <w:highlight w:val="none"/>
        </w:rPr>
        <w:t xml:space="preserve">内退还。 </w:t>
      </w:r>
    </w:p>
    <w:p w14:paraId="6B274332">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1504AEFC">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6C961C1">
      <w:pPr>
        <w:keepNext w:val="0"/>
        <w:keepLines w:val="0"/>
        <w:pageBreakBefore w:val="0"/>
        <w:widowControl w:val="0"/>
        <w:kinsoku/>
        <w:wordWrap/>
        <w:overflowPunct/>
        <w:topLinePunct w:val="0"/>
        <w:bidi w:val="0"/>
        <w:snapToGrid w:val="0"/>
        <w:spacing w:line="40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53BC236B">
      <w:pPr>
        <w:keepNext w:val="0"/>
        <w:keepLines w:val="0"/>
        <w:pageBreakBefore w:val="0"/>
        <w:widowControl w:val="0"/>
        <w:kinsoku/>
        <w:wordWrap/>
        <w:overflowPunct/>
        <w:topLinePunct w:val="0"/>
        <w:bidi w:val="0"/>
        <w:snapToGrid w:val="0"/>
        <w:spacing w:line="40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43326B52">
      <w:pPr>
        <w:keepNext w:val="0"/>
        <w:keepLines w:val="0"/>
        <w:pageBreakBefore w:val="0"/>
        <w:widowControl w:val="0"/>
        <w:kinsoku/>
        <w:wordWrap/>
        <w:overflowPunct/>
        <w:topLinePunct w:val="0"/>
        <w:bidi w:val="0"/>
        <w:snapToGrid w:val="0"/>
        <w:spacing w:line="40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E0A50D5">
      <w:pPr>
        <w:keepNext w:val="0"/>
        <w:keepLines w:val="0"/>
        <w:pageBreakBefore w:val="0"/>
        <w:widowControl w:val="0"/>
        <w:kinsoku/>
        <w:wordWrap/>
        <w:overflowPunct/>
        <w:topLinePunct w:val="0"/>
        <w:bidi w:val="0"/>
        <w:snapToGrid w:val="0"/>
        <w:spacing w:line="400" w:lineRule="exact"/>
        <w:ind w:firstLine="411" w:firstLineChars="196"/>
        <w:textAlignment w:val="auto"/>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718033EA">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57E5CF4A">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727B997B">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13" w:name="_Toc254970683"/>
      <w:bookmarkStart w:id="114" w:name="_Toc254970542"/>
      <w:r>
        <w:rPr>
          <w:rFonts w:hint="eastAsia" w:ascii="黑体" w:hAnsi="黑体" w:eastAsia="黑体"/>
          <w:color w:val="auto"/>
          <w:sz w:val="24"/>
          <w:highlight w:val="none"/>
        </w:rPr>
        <w:t>19.投标文件的</w:t>
      </w:r>
      <w:bookmarkEnd w:id="113"/>
      <w:bookmarkEnd w:id="114"/>
      <w:r>
        <w:rPr>
          <w:rFonts w:hint="eastAsia" w:ascii="黑体" w:hAnsi="黑体" w:eastAsia="黑体"/>
          <w:color w:val="auto"/>
          <w:sz w:val="24"/>
          <w:highlight w:val="none"/>
        </w:rPr>
        <w:t>编制</w:t>
      </w:r>
    </w:p>
    <w:p w14:paraId="54D12B2F">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5A6F460">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bookmarkStart w:id="115" w:name="_19.2投标文件应按报价文件、资格证明文件、商务文件、技术文件分别编制"/>
      <w:bookmarkEnd w:id="115"/>
      <w:r>
        <w:rPr>
          <w:rFonts w:hint="eastAsia" w:ascii="宋体" w:hAnsi="宋体"/>
          <w:b w:val="0"/>
          <w:color w:val="auto"/>
          <w:sz w:val="21"/>
          <w:szCs w:val="21"/>
          <w:highlight w:val="none"/>
        </w:rPr>
        <w:t>19.2投标文件应按报价文件、资格证明文件、商务文件、技术文件分别编制</w:t>
      </w:r>
      <w:r>
        <w:rPr>
          <w:rFonts w:hint="eastAsia" w:ascii="宋体" w:hAnsi="宋体"/>
          <w:b w:val="0"/>
          <w:color w:val="auto"/>
          <w:sz w:val="21"/>
          <w:szCs w:val="21"/>
          <w:highlight w:val="none"/>
          <w:lang w:eastAsia="zh-CN"/>
        </w:rPr>
        <w:t>电子文件</w:t>
      </w:r>
      <w:r>
        <w:rPr>
          <w:rFonts w:hint="eastAsia" w:ascii="宋体" w:hAnsi="宋体"/>
          <w:b w:val="0"/>
          <w:color w:val="auto"/>
          <w:sz w:val="21"/>
          <w:szCs w:val="21"/>
          <w:highlight w:val="none"/>
        </w:rPr>
        <w:t>，并按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w:t>
      </w:r>
    </w:p>
    <w:p w14:paraId="798C713A">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6" w:name="_Hlk65832616"/>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投标文件须由投标人在规定位置盖公章并签字</w:t>
      </w:r>
      <w:bookmarkStart w:id="117" w:name="_Hlk65832569"/>
      <w:r>
        <w:rPr>
          <w:rFonts w:hint="eastAsia" w:ascii="宋体" w:hAnsi="宋体"/>
          <w:b w:val="0"/>
          <w:color w:val="auto"/>
          <w:sz w:val="21"/>
          <w:szCs w:val="21"/>
          <w:highlight w:val="none"/>
        </w:rPr>
        <w:t>（具体以投标人须知前附表或投标文件格式规定为准）</w:t>
      </w:r>
      <w:bookmarkEnd w:id="116"/>
      <w:bookmarkEnd w:id="117"/>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2190CCE6">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19.4投标文件须由投标人法定代表人或委托代理人逐页签名并加盖投标人电子签章，</w:t>
      </w:r>
      <w:r>
        <w:rPr>
          <w:rFonts w:hint="eastAsia" w:ascii="宋体" w:hAnsi="宋体"/>
          <w:b/>
          <w:bCs/>
          <w:color w:val="auto"/>
          <w:sz w:val="21"/>
          <w:szCs w:val="21"/>
          <w:highlight w:val="none"/>
        </w:rPr>
        <w:t>否则按无效投标处理。</w:t>
      </w:r>
    </w:p>
    <w:p w14:paraId="53259FB2">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w:t>
      </w:r>
      <w:r>
        <w:rPr>
          <w:rFonts w:hint="eastAsia" w:ascii="宋体" w:hAnsi="宋体"/>
          <w:b w:val="0"/>
          <w:color w:val="auto"/>
          <w:sz w:val="21"/>
          <w:szCs w:val="21"/>
          <w:highlight w:val="none"/>
          <w:lang w:val="en-US" w:eastAsia="zh-CN"/>
        </w:rPr>
        <w:t>5</w:t>
      </w:r>
      <w:r>
        <w:rPr>
          <w:rFonts w:hint="eastAsia" w:ascii="宋体" w:hAnsi="宋体"/>
          <w:b w:val="0"/>
          <w:color w:val="auto"/>
          <w:sz w:val="21"/>
          <w:szCs w:val="21"/>
          <w:highlight w:val="none"/>
        </w:rPr>
        <w:t>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112FB69C">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w:t>
      </w:r>
      <w:r>
        <w:rPr>
          <w:rFonts w:hint="eastAsia" w:ascii="宋体" w:hAnsi="宋体"/>
          <w:b w:val="0"/>
          <w:color w:val="auto"/>
          <w:sz w:val="21"/>
          <w:szCs w:val="21"/>
          <w:highlight w:val="none"/>
          <w:lang w:val="en-US" w:eastAsia="zh-CN"/>
        </w:rPr>
        <w:t>6</w:t>
      </w:r>
      <w:r>
        <w:rPr>
          <w:rFonts w:hint="eastAsia" w:ascii="宋体" w:hAnsi="宋体"/>
          <w:b w:val="0"/>
          <w:color w:val="auto"/>
          <w:sz w:val="21"/>
          <w:szCs w:val="21"/>
          <w:highlight w:val="none"/>
        </w:rPr>
        <w:t>投标文件应尽量避免涂改、行间插字或者删除。如果出现上述情况，改动之处应由投标人的法定代表人或者其委托代理人签字或者加盖公章。投标文件因字迹潦草或者表达不清所引起的后果由投标人承担。</w:t>
      </w:r>
    </w:p>
    <w:p w14:paraId="427066D4">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20.投标文件的</w:t>
      </w:r>
      <w:r>
        <w:rPr>
          <w:rFonts w:hint="eastAsia" w:ascii="黑体" w:hAnsi="黑体" w:eastAsia="黑体"/>
          <w:color w:val="auto"/>
          <w:sz w:val="24"/>
          <w:highlight w:val="none"/>
          <w:lang w:eastAsia="zh-CN"/>
        </w:rPr>
        <w:t>加密、解密</w:t>
      </w:r>
    </w:p>
    <w:p w14:paraId="7AEA9C33">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w:t>
      </w:r>
      <w:r>
        <w:rPr>
          <w:rFonts w:hint="eastAsia" w:ascii="宋体" w:hAnsi="宋体"/>
          <w:b w:val="0"/>
          <w:color w:val="auto"/>
          <w:sz w:val="21"/>
          <w:szCs w:val="21"/>
          <w:highlight w:val="none"/>
          <w:lang w:eastAsia="zh-CN"/>
        </w:rPr>
        <w:t>编制</w:t>
      </w:r>
      <w:r>
        <w:rPr>
          <w:rFonts w:hint="eastAsia" w:ascii="宋体" w:hAnsi="宋体"/>
          <w:b w:val="0"/>
          <w:color w:val="auto"/>
          <w:sz w:val="21"/>
          <w:szCs w:val="21"/>
          <w:highlight w:val="none"/>
        </w:rPr>
        <w:t>完成后，投标人应按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w:t>
      </w:r>
      <w:r>
        <w:rPr>
          <w:rFonts w:hint="eastAsia" w:ascii="宋体" w:hAnsi="宋体"/>
          <w:b w:val="0"/>
          <w:color w:val="auto"/>
          <w:sz w:val="21"/>
          <w:szCs w:val="21"/>
          <w:highlight w:val="none"/>
          <w:lang w:eastAsia="zh-CN"/>
        </w:rPr>
        <w:t>进行加密，并在规定时间内解密，</w:t>
      </w:r>
      <w:r>
        <w:rPr>
          <w:rFonts w:hint="eastAsia" w:ascii="宋体" w:hAnsi="宋体"/>
          <w:b w:val="0"/>
          <w:color w:val="auto"/>
          <w:sz w:val="21"/>
          <w:szCs w:val="21"/>
          <w:highlight w:val="none"/>
        </w:rPr>
        <w:t>否则，由此产生的后果由投标人自行负责。</w:t>
      </w:r>
    </w:p>
    <w:p w14:paraId="31D4C06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26B7FAE">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bookmarkStart w:id="118" w:name="_21.1投标人必须在“投标人须知中的前附表”规定的投标文件接收时间和投"/>
      <w:bookmarkEnd w:id="118"/>
      <w:r>
        <w:rPr>
          <w:rFonts w:hint="eastAsia" w:ascii="宋体" w:hAnsi="宋体"/>
          <w:b w:val="0"/>
          <w:color w:val="auto"/>
          <w:sz w:val="21"/>
          <w:szCs w:val="21"/>
          <w:highlight w:val="none"/>
        </w:rPr>
        <w:t>21.1投标人必须在“投标人须知前附表”规定的投标文件接收时间和投标地点提交投标文件。</w:t>
      </w:r>
    </w:p>
    <w:p w14:paraId="016464DF">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21.</w:t>
      </w:r>
      <w:r>
        <w:rPr>
          <w:rFonts w:hint="eastAsia" w:ascii="宋体" w:hAnsi="宋体"/>
          <w:b w:val="0"/>
          <w:color w:val="auto"/>
          <w:sz w:val="21"/>
          <w:szCs w:val="21"/>
          <w:highlight w:val="none"/>
          <w:lang w:eastAsia="zh-CN"/>
        </w:rPr>
        <w:t>2</w:t>
      </w:r>
      <w:r>
        <w:rPr>
          <w:rFonts w:hint="eastAsia" w:ascii="宋体" w:hAnsi="宋体"/>
          <w:b w:val="0"/>
          <w:color w:val="auto"/>
          <w:sz w:val="21"/>
          <w:szCs w:val="21"/>
          <w:highlight w:val="none"/>
        </w:rPr>
        <w:t>本项目为全流程电子化政府采购项目，通过</w:t>
      </w:r>
      <w:r>
        <w:rPr>
          <w:rFonts w:hint="eastAsia" w:ascii="宋体" w:hAnsi="宋体"/>
          <w:b w:val="0"/>
          <w:color w:val="auto"/>
          <w:sz w:val="21"/>
          <w:szCs w:val="21"/>
          <w:highlight w:val="none"/>
          <w:lang w:eastAsia="zh-CN"/>
        </w:rPr>
        <w:t>广西政府采购云平台（https://www.gcy.zfcg.gxzf.gov.cn/）</w:t>
      </w:r>
      <w:r>
        <w:rPr>
          <w:rFonts w:hint="eastAsia" w:ascii="宋体" w:hAnsi="宋体"/>
          <w:b w:val="0"/>
          <w:color w:val="auto"/>
          <w:sz w:val="21"/>
          <w:szCs w:val="21"/>
          <w:highlight w:val="none"/>
        </w:rPr>
        <w:t>实行在线电子投标</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投标人必须在“投标人须知前附表”规定的投标文件接收时间</w:t>
      </w:r>
      <w:r>
        <w:rPr>
          <w:rFonts w:hint="eastAsia" w:ascii="宋体" w:hAnsi="宋体"/>
          <w:b w:val="0"/>
          <w:color w:val="auto"/>
          <w:sz w:val="21"/>
          <w:szCs w:val="21"/>
          <w:highlight w:val="none"/>
          <w:lang w:eastAsia="zh-CN"/>
        </w:rPr>
        <w:t>内</w:t>
      </w:r>
      <w:r>
        <w:rPr>
          <w:rFonts w:hint="eastAsia" w:ascii="宋体" w:hAnsi="宋体"/>
          <w:b w:val="0"/>
          <w:color w:val="auto"/>
          <w:sz w:val="21"/>
          <w:szCs w:val="21"/>
          <w:highlight w:val="none"/>
        </w:rPr>
        <w:t>通过网络</w:t>
      </w:r>
      <w:r>
        <w:rPr>
          <w:rFonts w:hint="eastAsia" w:ascii="宋体" w:hAnsi="宋体"/>
          <w:b w:val="0"/>
          <w:color w:val="auto"/>
          <w:sz w:val="21"/>
          <w:szCs w:val="21"/>
          <w:highlight w:val="none"/>
          <w:lang w:eastAsia="zh-CN"/>
        </w:rPr>
        <w:t>将电子投标文件</w:t>
      </w:r>
      <w:r>
        <w:rPr>
          <w:rFonts w:hint="eastAsia" w:ascii="宋体" w:hAnsi="宋体"/>
          <w:b w:val="0"/>
          <w:color w:val="auto"/>
          <w:sz w:val="21"/>
          <w:szCs w:val="21"/>
          <w:highlight w:val="none"/>
        </w:rPr>
        <w:t>上传至</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，供应商在</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提交电子版投标文件时，请填写参加远程开标活动经办人联系方式。</w:t>
      </w:r>
    </w:p>
    <w:p w14:paraId="1EF4FA92">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jc w:val="left"/>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21.</w:t>
      </w:r>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未在规定时间内</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或者未按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的要求编制、加密的电子投标文件，</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将拒收。</w:t>
      </w:r>
    </w:p>
    <w:p w14:paraId="330BCE09">
      <w:pPr>
        <w:pStyle w:val="6"/>
        <w:keepNext w:val="0"/>
        <w:keepLines w:val="0"/>
        <w:pageBreakBefore w:val="0"/>
        <w:widowControl w:val="0"/>
        <w:kinsoku/>
        <w:wordWrap/>
        <w:overflowPunct/>
        <w:topLinePunct w:val="0"/>
        <w:bidi w:val="0"/>
        <w:spacing w:line="400" w:lineRule="exact"/>
        <w:textAlignment w:val="auto"/>
        <w:rPr>
          <w:rFonts w:hint="eastAsia"/>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52ED42B6">
      <w:pPr>
        <w:pStyle w:val="6"/>
        <w:keepNext w:val="0"/>
        <w:keepLines w:val="0"/>
        <w:pageBreakBefore w:val="0"/>
        <w:widowControl w:val="0"/>
        <w:kinsoku/>
        <w:wordWrap/>
        <w:overflowPunct/>
        <w:topLinePunct w:val="0"/>
        <w:bidi w:val="0"/>
        <w:spacing w:line="400" w:lineRule="exact"/>
        <w:textAlignment w:val="auto"/>
        <w:rPr>
          <w:rFonts w:hint="eastAsia"/>
          <w:color w:val="auto"/>
          <w:highlight w:val="none"/>
        </w:rPr>
      </w:pPr>
    </w:p>
    <w:p w14:paraId="4716BEBF">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205AD32">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bookmarkStart w:id="119" w:name="_Toc254970684"/>
      <w:bookmarkStart w:id="120"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bookmarkEnd w:id="119"/>
    <w:bookmarkEnd w:id="120"/>
    <w:p w14:paraId="03F49C9D">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w:t>
      </w:r>
      <w:r>
        <w:rPr>
          <w:rFonts w:hint="eastAsia" w:ascii="宋体" w:hAnsi="宋体"/>
          <w:color w:val="auto"/>
          <w:szCs w:val="21"/>
          <w:highlight w:val="none"/>
          <w:lang w:eastAsia="zh-CN"/>
        </w:rPr>
        <w:t>招标代理</w:t>
      </w:r>
      <w:r>
        <w:rPr>
          <w:rFonts w:hint="eastAsia" w:ascii="宋体" w:hAnsi="宋体"/>
          <w:color w:val="auto"/>
          <w:szCs w:val="21"/>
          <w:highlight w:val="none"/>
        </w:rPr>
        <w:t>机构将根据</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的操作将电子版投标文件退回，除此之外采购人和</w:t>
      </w:r>
      <w:r>
        <w:rPr>
          <w:rFonts w:hint="eastAsia" w:ascii="宋体" w:hAnsi="宋体"/>
          <w:color w:val="auto"/>
          <w:szCs w:val="21"/>
          <w:highlight w:val="none"/>
          <w:lang w:eastAsia="zh-CN"/>
        </w:rPr>
        <w:t>招标代理</w:t>
      </w:r>
      <w:r>
        <w:rPr>
          <w:rFonts w:hint="eastAsia" w:ascii="宋体" w:hAnsi="宋体"/>
          <w:color w:val="auto"/>
          <w:szCs w:val="21"/>
          <w:highlight w:val="none"/>
        </w:rPr>
        <w:t>机构对已提交的投标文件概不退回。</w:t>
      </w:r>
    </w:p>
    <w:p w14:paraId="01CF02AC">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snapToGrid w:val="0"/>
          <w:color w:val="auto"/>
          <w:sz w:val="21"/>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w:t>
      </w:r>
      <w:r>
        <w:rPr>
          <w:rFonts w:hint="eastAsia" w:ascii="宋体" w:hAnsi="宋体" w:cs="宋体"/>
          <w:color w:val="auto"/>
          <w:szCs w:val="21"/>
          <w:highlight w:val="none"/>
          <w:lang w:eastAsia="zh-CN"/>
        </w:rPr>
        <w:t>招标代理</w:t>
      </w:r>
      <w:r>
        <w:rPr>
          <w:rFonts w:hint="eastAsia" w:ascii="宋体" w:hAnsi="宋体" w:cs="宋体"/>
          <w:color w:val="auto"/>
          <w:szCs w:val="21"/>
          <w:highlight w:val="none"/>
        </w:rPr>
        <w:t>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6E5CDD92">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bookmarkStart w:id="121" w:name="_Toc254970544"/>
      <w:bookmarkStart w:id="122" w:name="_Toc254970685"/>
      <w:r>
        <w:rPr>
          <w:rFonts w:hint="eastAsia"/>
          <w:color w:val="auto"/>
          <w:highlight w:val="none"/>
        </w:rPr>
        <w:t>四、开标</w:t>
      </w:r>
      <w:bookmarkEnd w:id="121"/>
      <w:bookmarkEnd w:id="122"/>
    </w:p>
    <w:p w14:paraId="04657C14">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23" w:name="_23.开标时间和地点"/>
      <w:bookmarkEnd w:id="123"/>
      <w:r>
        <w:rPr>
          <w:rFonts w:hint="eastAsia" w:ascii="黑体" w:hAnsi="黑体" w:eastAsia="黑体"/>
          <w:color w:val="auto"/>
          <w:sz w:val="24"/>
          <w:highlight w:val="none"/>
        </w:rPr>
        <w:t>23.开标时间和地点</w:t>
      </w:r>
    </w:p>
    <w:p w14:paraId="11E29A2C">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103C50F1">
      <w:pPr>
        <w:keepNext w:val="0"/>
        <w:keepLines w:val="0"/>
        <w:pageBreakBefore w:val="0"/>
        <w:widowControl w:val="0"/>
        <w:kinsoku/>
        <w:wordWrap/>
        <w:overflowPunct/>
        <w:topLinePunct w:val="0"/>
        <w:bidi w:val="0"/>
        <w:snapToGrid w:val="0"/>
        <w:spacing w:line="40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23.2如投标人成功解密投标文件，但未在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电子开标大厅参加开标的，视同认可开标过程和结果，由此产生的后果由投标人自行负责。成功解密投标文件的投标人不足3家的，不得开标。</w:t>
      </w:r>
    </w:p>
    <w:p w14:paraId="7F302B14">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24.开标程序</w:t>
      </w:r>
    </w:p>
    <w:p w14:paraId="0821BE4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56ADBFE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5222675F">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192A03A5">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（1）解密电子投标文件。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按开标时间自动提取所有投标文件。</w:t>
      </w: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机构依托</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04BF1F6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（2）电子唱标。投标文件解密结束，各投标供应商报价均在</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远程不见面开标大厅展示；</w:t>
      </w:r>
    </w:p>
    <w:p w14:paraId="6F6129EE">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0FCB7545">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（4）开标过程由</w:t>
      </w: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机构如实记录，并电子留痕，由参加电子开标的各投标人代表对电子开标记录在开标记录公布后15分钟内进行当场校核及勘误，并线上确认，未确认的视同认可开标结果。</w:t>
      </w:r>
    </w:p>
    <w:p w14:paraId="5941286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w:t>
      </w: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机构相关工作人员有需要回避的情形的，应当场提出在线询问或者回避申请。采购人、</w:t>
      </w:r>
      <w:r>
        <w:rPr>
          <w:rFonts w:hint="eastAsia" w:ascii="宋体" w:hAnsi="宋体"/>
          <w:bCs/>
          <w:color w:val="auto"/>
          <w:szCs w:val="21"/>
          <w:highlight w:val="none"/>
          <w:lang w:eastAsia="zh-CN"/>
        </w:rPr>
        <w:t>招标代理</w:t>
      </w:r>
      <w:r>
        <w:rPr>
          <w:rFonts w:hint="eastAsia" w:ascii="宋体" w:hAnsi="宋体"/>
          <w:bCs/>
          <w:color w:val="auto"/>
          <w:szCs w:val="21"/>
          <w:highlight w:val="none"/>
        </w:rPr>
        <w:t>机构对投标人代表提出的询问或者回避申请应当及时处理。</w:t>
      </w:r>
    </w:p>
    <w:p w14:paraId="1771B471">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（6）开标结束。</w:t>
      </w:r>
    </w:p>
    <w:p w14:paraId="06757587">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hAnsi="宋体"/>
          <w:color w:val="auto"/>
          <w:sz w:val="21"/>
          <w:highlight w:val="none"/>
        </w:rPr>
      </w:pPr>
      <w:r>
        <w:rPr>
          <w:rFonts w:hint="eastAsia" w:ascii="宋体" w:hAnsi="宋体"/>
          <w:b/>
          <w:bCs/>
          <w:color w:val="auto"/>
          <w:szCs w:val="21"/>
          <w:highlight w:val="none"/>
        </w:rPr>
        <w:t>特别说明：如遇</w:t>
      </w:r>
      <w:r>
        <w:rPr>
          <w:rFonts w:hint="eastAsia" w:ascii="宋体" w:hAnsi="宋体"/>
          <w:b/>
          <w:bCs/>
          <w:color w:val="auto"/>
          <w:szCs w:val="21"/>
          <w:highlight w:val="none"/>
          <w:lang w:eastAsia="zh-CN"/>
        </w:rPr>
        <w:t>广西政府采购云平台</w:t>
      </w:r>
      <w:r>
        <w:rPr>
          <w:rFonts w:hint="eastAsia" w:ascii="宋体" w:hAnsi="宋体"/>
          <w:b/>
          <w:bCs/>
          <w:color w:val="auto"/>
          <w:szCs w:val="21"/>
          <w:highlight w:val="none"/>
        </w:rPr>
        <w:t>电子化开标或评审程序调整的，按调整后执行。</w:t>
      </w:r>
    </w:p>
    <w:p w14:paraId="5A47C388">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r>
        <w:rPr>
          <w:rFonts w:hint="eastAsia"/>
          <w:color w:val="auto"/>
          <w:highlight w:val="none"/>
        </w:rPr>
        <w:t>五、资格审查</w:t>
      </w:r>
    </w:p>
    <w:p w14:paraId="19A5B295">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6E1DFCA">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w:t>
      </w:r>
      <w:r>
        <w:rPr>
          <w:rFonts w:ascii="宋体" w:hAnsi="宋体"/>
          <w:b w:val="0"/>
          <w:color w:val="auto"/>
          <w:sz w:val="21"/>
          <w:szCs w:val="21"/>
          <w:highlight w:val="none"/>
        </w:rPr>
        <w:t>依法对投标人的资格进行审查。</w:t>
      </w:r>
    </w:p>
    <w:p w14:paraId="663FE581">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4834CB0">
      <w:pPr>
        <w:pStyle w:val="7"/>
        <w:keepNext w:val="0"/>
        <w:keepLines w:val="0"/>
        <w:pageBreakBefore w:val="0"/>
        <w:widowControl w:val="0"/>
        <w:numPr>
          <w:ilvl w:val="0"/>
          <w:numId w:val="0"/>
        </w:numPr>
        <w:kinsoku/>
        <w:wordWrap/>
        <w:overflowPunct/>
        <w:topLinePunct w:val="0"/>
        <w:bidi w:val="0"/>
        <w:spacing w:before="0" w:after="0" w:line="400" w:lineRule="exact"/>
        <w:ind w:firstLine="422" w:firstLineChars="200"/>
        <w:textAlignment w:val="auto"/>
        <w:rPr>
          <w:rFonts w:hint="eastAsia" w:ascii="宋体" w:hAnsi="宋体"/>
          <w:color w:val="auto"/>
          <w:sz w:val="21"/>
          <w:szCs w:val="21"/>
          <w:highlight w:val="none"/>
        </w:rPr>
      </w:pPr>
      <w:bookmarkStart w:id="124" w:name="_25.3_投标人有下列情形之一的，资格审查不通过而导致其投标无效："/>
      <w:bookmarkEnd w:id="124"/>
      <w:r>
        <w:rPr>
          <w:rFonts w:hint="eastAsia" w:ascii="宋体" w:hAnsi="宋体"/>
          <w:color w:val="auto"/>
          <w:sz w:val="21"/>
          <w:szCs w:val="21"/>
          <w:highlight w:val="none"/>
        </w:rPr>
        <w:t>25.3 投标人有下列情形之一的，资格审查不通过，作无效投标处理：</w:t>
      </w:r>
    </w:p>
    <w:p w14:paraId="36B36E85">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64754DF9">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Ansi="宋体"/>
          <w:b/>
          <w:color w:val="auto"/>
          <w:sz w:val="21"/>
          <w:highlight w:val="none"/>
        </w:rPr>
      </w:pPr>
      <w:r>
        <w:rPr>
          <w:rFonts w:hint="eastAsia" w:hAnsi="宋体"/>
          <w:b/>
          <w:color w:val="auto"/>
          <w:sz w:val="21"/>
          <w:highlight w:val="none"/>
        </w:rPr>
        <w:t>（2）不具备招标文件中规定的资格要求的；</w:t>
      </w:r>
    </w:p>
    <w:p w14:paraId="6C948991">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w:t>
      </w:r>
      <w:r>
        <w:rPr>
          <w:rFonts w:hint="eastAsia" w:hAnsi="宋体"/>
          <w:b/>
          <w:color w:val="auto"/>
          <w:sz w:val="21"/>
          <w:highlight w:val="none"/>
          <w:lang w:val="en-US" w:eastAsia="zh-CN"/>
        </w:rPr>
        <w:t>重大税收违法失信主体</w:t>
      </w:r>
      <w:r>
        <w:rPr>
          <w:rFonts w:hint="eastAsia" w:hAnsi="宋体"/>
          <w:b/>
          <w:color w:val="auto"/>
          <w:sz w:val="21"/>
          <w:highlight w:val="none"/>
        </w:rPr>
        <w:t>、政府采购严重违法失信行为记录名单及其他不符合《中华人民共和国政府采购法》第二十二条规定条件的；（注：其中信用查询规则见“投标人须知前附表”）</w:t>
      </w:r>
    </w:p>
    <w:p w14:paraId="49BB553B">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15809371">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587BE6EF">
      <w:pPr>
        <w:pStyle w:val="26"/>
        <w:keepNext w:val="0"/>
        <w:keepLines w:val="0"/>
        <w:pageBreakBefore w:val="0"/>
        <w:widowControl w:val="0"/>
        <w:kinsoku/>
        <w:wordWrap/>
        <w:overflowPunct/>
        <w:topLinePunct w:val="0"/>
        <w:bidi w:val="0"/>
        <w:snapToGrid w:val="0"/>
        <w:spacing w:line="400" w:lineRule="exact"/>
        <w:ind w:firstLine="422" w:firstLineChars="200"/>
        <w:textAlignment w:val="auto"/>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7AF8B6A5">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hAnsi="宋体"/>
          <w:color w:val="auto"/>
          <w:sz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3CA60EBE">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r>
        <w:rPr>
          <w:rFonts w:hint="eastAsia"/>
          <w:color w:val="auto"/>
          <w:highlight w:val="none"/>
        </w:rPr>
        <w:t>六、评标</w:t>
      </w:r>
    </w:p>
    <w:p w14:paraId="017DCD72">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2241428C">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27F68FC0">
      <w:pPr>
        <w:pStyle w:val="26"/>
        <w:keepNext w:val="0"/>
        <w:keepLines w:val="0"/>
        <w:pageBreakBefore w:val="0"/>
        <w:widowControl w:val="0"/>
        <w:kinsoku/>
        <w:wordWrap/>
        <w:overflowPunct/>
        <w:topLinePunct w:val="0"/>
        <w:bidi w:val="0"/>
        <w:snapToGrid w:val="0"/>
        <w:spacing w:line="400" w:lineRule="exact"/>
        <w:ind w:left="2" w:leftChars="1" w:firstLine="420" w:firstLineChars="200"/>
        <w:textAlignment w:val="auto"/>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438979AB">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5C2FAC3">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5EB53CD1">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392352B4">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5024CAE">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28.2</w:t>
      </w:r>
      <w:bookmarkStart w:id="126" w:name="_28.3评标方法。本项目将按须知前附表规定的评标办法进行评标，具体评标"/>
      <w:bookmarkEnd w:id="126"/>
      <w:r>
        <w:rPr>
          <w:rFonts w:hint="eastAsia" w:hAnsi="宋体"/>
          <w:color w:val="auto"/>
          <w:sz w:val="21"/>
          <w:highlight w:val="none"/>
        </w:rPr>
        <w:t>评委表决。评标委员会成员对需要共同认定的事项存在争议的，应当按照少数服从多数的原则作出结论。</w:t>
      </w:r>
    </w:p>
    <w:p w14:paraId="29DA643A">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w:t>
      </w:r>
      <w:r>
        <w:rPr>
          <w:rFonts w:hint="eastAsia" w:hAnsi="宋体"/>
          <w:color w:val="auto"/>
          <w:sz w:val="21"/>
          <w:highlight w:val="none"/>
          <w:lang w:eastAsia="zh-CN"/>
        </w:rPr>
        <w:t>招标代理</w:t>
      </w:r>
      <w:r>
        <w:rPr>
          <w:rFonts w:hint="eastAsia" w:hAnsi="宋体"/>
          <w:color w:val="auto"/>
          <w:sz w:val="21"/>
          <w:highlight w:val="none"/>
        </w:rPr>
        <w:t>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592C71A">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6F31AEB8">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474A8D67">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75CA367">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lang w:eastAsia="zh-CN"/>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6DA755C">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lang w:eastAsia="zh-CN"/>
        </w:rPr>
        <w:t>3</w:t>
      </w:r>
      <w:r>
        <w:rPr>
          <w:rFonts w:hAnsi="宋体"/>
          <w:color w:val="auto"/>
          <w:sz w:val="21"/>
          <w:highlight w:val="none"/>
        </w:rPr>
        <w:t>评标委员会</w:t>
      </w:r>
      <w:r>
        <w:rPr>
          <w:rFonts w:hint="eastAsia" w:hAnsi="宋体"/>
          <w:color w:val="auto"/>
          <w:sz w:val="21"/>
          <w:highlight w:val="none"/>
          <w:lang w:eastAsia="zh-CN"/>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48911E59">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29.</w:t>
      </w:r>
      <w:r>
        <w:rPr>
          <w:rFonts w:hint="eastAsia" w:hAnsi="宋体"/>
          <w:color w:val="auto"/>
          <w:sz w:val="21"/>
          <w:highlight w:val="none"/>
          <w:lang w:eastAsia="zh-CN"/>
        </w:rPr>
        <w:t>4</w:t>
      </w:r>
      <w:r>
        <w:rPr>
          <w:rFonts w:hint="eastAsia" w:hAnsi="宋体"/>
          <w:color w:val="auto"/>
          <w:sz w:val="21"/>
          <w:highlight w:val="none"/>
        </w:rPr>
        <w:t>电子交易活动的中止。采购过程中出现以下情形，导致电子交易平台无法正常运行，或者无法保证电子交易的公平、公正和安全时，</w:t>
      </w:r>
      <w:r>
        <w:rPr>
          <w:rFonts w:hint="eastAsia" w:hAnsi="宋体"/>
          <w:color w:val="auto"/>
          <w:sz w:val="21"/>
          <w:highlight w:val="none"/>
          <w:lang w:eastAsia="zh-CN"/>
        </w:rPr>
        <w:t>招标代理</w:t>
      </w:r>
      <w:r>
        <w:rPr>
          <w:rFonts w:hint="eastAsia" w:hAnsi="宋体"/>
          <w:color w:val="auto"/>
          <w:sz w:val="21"/>
          <w:highlight w:val="none"/>
        </w:rPr>
        <w:t>机构可中止电子交易活动：</w:t>
      </w:r>
    </w:p>
    <w:p w14:paraId="40BAAB57">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58C20F64">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54D2BEF1">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6892FD66">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3EE3E40A">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4A7FF24B">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29.</w:t>
      </w:r>
      <w:r>
        <w:rPr>
          <w:rFonts w:hint="eastAsia" w:hAnsi="宋体"/>
          <w:color w:val="auto"/>
          <w:sz w:val="21"/>
          <w:highlight w:val="none"/>
          <w:lang w:eastAsia="zh-CN"/>
        </w:rPr>
        <w:t>5</w:t>
      </w:r>
      <w:r>
        <w:rPr>
          <w:rFonts w:hint="eastAsia" w:hAnsi="宋体"/>
          <w:color w:val="auto"/>
          <w:sz w:val="21"/>
          <w:highlight w:val="none"/>
        </w:rPr>
        <w:t>出现以上情形，不影响采购公平、公正性的，</w:t>
      </w:r>
      <w:r>
        <w:rPr>
          <w:rFonts w:hint="eastAsia" w:hAnsi="宋体"/>
          <w:color w:val="auto"/>
          <w:sz w:val="21"/>
          <w:highlight w:val="none"/>
          <w:lang w:eastAsia="zh-CN"/>
        </w:rPr>
        <w:t>招标代理</w:t>
      </w:r>
      <w:r>
        <w:rPr>
          <w:rFonts w:hint="eastAsia" w:hAnsi="宋体"/>
          <w:color w:val="auto"/>
          <w:sz w:val="21"/>
          <w:highlight w:val="none"/>
        </w:rPr>
        <w:t>机构可以待上述情形消除后继续组织电子交易活动；影响或可能影响采购公平、公正性的，经</w:t>
      </w:r>
      <w:r>
        <w:rPr>
          <w:rFonts w:hint="eastAsia" w:hAnsi="宋体"/>
          <w:color w:val="auto"/>
          <w:sz w:val="21"/>
          <w:highlight w:val="none"/>
          <w:lang w:eastAsia="zh-CN"/>
        </w:rPr>
        <w:t>招标代理</w:t>
      </w:r>
      <w:r>
        <w:rPr>
          <w:rFonts w:hint="eastAsia" w:hAnsi="宋体"/>
          <w:color w:val="auto"/>
          <w:sz w:val="21"/>
          <w:highlight w:val="none"/>
        </w:rPr>
        <w:t>机构确认后，应当重新采购。</w:t>
      </w:r>
    </w:p>
    <w:p w14:paraId="49ABCA5D">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bookmarkStart w:id="127" w:name="_Toc254970546"/>
      <w:bookmarkStart w:id="128" w:name="_Toc254970687"/>
      <w:r>
        <w:rPr>
          <w:rFonts w:hint="eastAsia"/>
          <w:color w:val="auto"/>
          <w:highlight w:val="none"/>
        </w:rPr>
        <w:t>七、</w:t>
      </w:r>
      <w:bookmarkEnd w:id="127"/>
      <w:bookmarkEnd w:id="128"/>
      <w:r>
        <w:rPr>
          <w:rFonts w:hint="eastAsia"/>
          <w:color w:val="auto"/>
          <w:highlight w:val="none"/>
        </w:rPr>
        <w:t>中标和合同</w:t>
      </w:r>
    </w:p>
    <w:p w14:paraId="1765A868">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79A00A2A">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67508E2">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74C644B">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4825E070">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0303D91D">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7FD2F55B">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DFC9E38">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718F73ED">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4472437C">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5AD19FDD">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31. 结果公告</w:t>
      </w:r>
    </w:p>
    <w:p w14:paraId="0C795752">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w:t>
      </w:r>
      <w:r>
        <w:rPr>
          <w:rFonts w:hint="eastAsia" w:ascii="宋体" w:hAnsi="宋体"/>
          <w:color w:val="auto"/>
          <w:sz w:val="21"/>
          <w:szCs w:val="21"/>
          <w:highlight w:val="none"/>
          <w:lang w:eastAsia="zh-CN"/>
        </w:rPr>
        <w:t>招标代理</w:t>
      </w:r>
      <w:r>
        <w:rPr>
          <w:rFonts w:hint="eastAsia" w:ascii="宋体" w:hAnsi="宋体"/>
          <w:color w:val="auto"/>
          <w:sz w:val="21"/>
          <w:szCs w:val="21"/>
          <w:highlight w:val="none"/>
        </w:rPr>
        <w:t>发出中标通知书前，应当对中标人信用进行查询，对列入失信被执行人、</w:t>
      </w:r>
      <w:r>
        <w:rPr>
          <w:rFonts w:hint="eastAsia" w:hAnsi="宋体"/>
          <w:b/>
          <w:color w:val="auto"/>
          <w:sz w:val="21"/>
          <w:highlight w:val="none"/>
          <w:lang w:val="en-US" w:eastAsia="zh-CN"/>
        </w:rPr>
        <w:t>重大税收违法失信主体</w:t>
      </w:r>
      <w:r>
        <w:rPr>
          <w:rFonts w:hint="eastAsia" w:ascii="宋体" w:hAnsi="宋体"/>
          <w:color w:val="auto"/>
          <w:sz w:val="21"/>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6C036005">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机构应当随中标结果公开中标供应商的《中小企业声明函》。</w:t>
      </w:r>
    </w:p>
    <w:p w14:paraId="41117095">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1C5BB845">
      <w:pPr>
        <w:pStyle w:val="7"/>
        <w:keepNext w:val="0"/>
        <w:keepLines w:val="0"/>
        <w:pageBreakBefore w:val="0"/>
        <w:widowControl w:val="0"/>
        <w:kinsoku/>
        <w:wordWrap/>
        <w:overflowPunct/>
        <w:topLinePunct w:val="0"/>
        <w:bidi w:val="0"/>
        <w:spacing w:before="0" w:after="0" w:line="400" w:lineRule="exact"/>
        <w:ind w:firstLine="420" w:firstLineChars="200"/>
        <w:textAlignment w:val="auto"/>
        <w:rPr>
          <w:rFonts w:hint="eastAsia" w:ascii="宋体" w:hAnsi="宋体" w:eastAsia="宋体" w:cs="Times New Roman"/>
          <w:b/>
          <w:color w:val="auto"/>
          <w:sz w:val="21"/>
          <w:szCs w:val="21"/>
          <w:highlight w:val="none"/>
        </w:rPr>
      </w:pPr>
      <w:r>
        <w:rPr>
          <w:rFonts w:hint="eastAsia" w:ascii="宋体" w:hAnsi="宋体"/>
          <w:b w:val="0"/>
          <w:color w:val="auto"/>
          <w:sz w:val="21"/>
          <w:szCs w:val="21"/>
          <w:highlight w:val="none"/>
        </w:rPr>
        <w:t>在公告中标结果的同时，</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机构向中标人发出中标通知书。对未通过资格审查的投标人，应当告知其未通过的原因；采用综合评分办法评审的，还应当告知未中标人本人的评审得分与排序。</w:t>
      </w:r>
      <w:r>
        <w:rPr>
          <w:rFonts w:hint="eastAsia" w:ascii="宋体" w:hAnsi="宋体" w:eastAsia="宋体" w:cs="Times New Roman"/>
          <w:b/>
          <w:color w:val="auto"/>
          <w:sz w:val="21"/>
          <w:szCs w:val="21"/>
          <w:highlight w:val="none"/>
        </w:rPr>
        <w:t>中标人在中标后签订合同前必须提供两套完整的投标文件</w:t>
      </w:r>
      <w:r>
        <w:rPr>
          <w:rFonts w:hint="eastAsia" w:ascii="宋体" w:hAnsi="宋体" w:eastAsia="宋体" w:cs="Times New Roman"/>
          <w:b/>
          <w:color w:val="auto"/>
          <w:sz w:val="21"/>
          <w:szCs w:val="21"/>
          <w:highlight w:val="none"/>
          <w:lang w:eastAsia="zh-CN"/>
        </w:rPr>
        <w:t>到招标代理机构</w:t>
      </w:r>
      <w:r>
        <w:rPr>
          <w:rFonts w:hint="eastAsia" w:ascii="宋体" w:hAnsi="宋体" w:eastAsia="宋体" w:cs="Times New Roman"/>
          <w:b/>
          <w:color w:val="auto"/>
          <w:sz w:val="21"/>
          <w:szCs w:val="21"/>
          <w:highlight w:val="none"/>
        </w:rPr>
        <w:t>，以提供给采购人存档备用。</w:t>
      </w:r>
    </w:p>
    <w:p w14:paraId="39FFA7CA">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20E8496">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机构无义务向未中标的投标人解释未中标原因和退还投标文件。</w:t>
      </w:r>
    </w:p>
    <w:p w14:paraId="4DCF3D9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1429B96D">
      <w:pPr>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0D365FC5">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A71E8F3">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bookmarkStart w:id="129" w:name="_39.1中标人须于签订合同前按本须知前附表规定的金额转账或电汇到指定账"/>
      <w:bookmarkEnd w:id="129"/>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77CA42A1">
      <w:pPr>
        <w:pStyle w:val="7"/>
        <w:keepNext w:val="0"/>
        <w:keepLines w:val="0"/>
        <w:pageBreakBefore w:val="0"/>
        <w:widowControl w:val="0"/>
        <w:kinsoku/>
        <w:wordWrap/>
        <w:overflowPunct/>
        <w:topLinePunct w:val="0"/>
        <w:bidi w:val="0"/>
        <w:spacing w:before="0" w:after="0" w:line="400" w:lineRule="exact"/>
        <w:ind w:firstLine="316" w:firstLineChars="15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4295618C">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529B9F3B">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bCs/>
          <w:color w:val="auto"/>
          <w:sz w:val="21"/>
          <w:szCs w:val="21"/>
          <w:highlight w:val="none"/>
        </w:rPr>
      </w:pPr>
      <w:bookmarkStart w:id="130" w:name="_40.1投标人接到中标通知书后，按须知前附表规定向采购人出示相关资格证"/>
      <w:bookmarkEnd w:id="130"/>
      <w:r>
        <w:rPr>
          <w:rFonts w:hint="eastAsia" w:ascii="宋体" w:hAnsi="宋体"/>
          <w:b w:val="0"/>
          <w:color w:val="auto"/>
          <w:sz w:val="21"/>
          <w:szCs w:val="21"/>
          <w:highlight w:val="none"/>
        </w:rPr>
        <w:t xml:space="preserve"> 36.1投标人领取中标通知书</w:t>
      </w:r>
      <w:r>
        <w:rPr>
          <w:rFonts w:hint="eastAsia" w:ascii="宋体" w:hAnsi="宋体"/>
          <w:b w:val="0"/>
          <w:color w:val="auto"/>
          <w:sz w:val="21"/>
          <w:szCs w:val="21"/>
          <w:highlight w:val="none"/>
          <w:lang w:eastAsia="zh-CN"/>
        </w:rPr>
        <w:t>（书面或</w:t>
      </w:r>
      <w:r>
        <w:rPr>
          <w:rFonts w:hint="eastAsia" w:ascii="宋体" w:hAnsi="宋体"/>
          <w:b w:val="0"/>
          <w:color w:val="auto"/>
          <w:sz w:val="21"/>
          <w:szCs w:val="21"/>
          <w:highlight w:val="none"/>
        </w:rPr>
        <w:t>电子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后，按“投标人须知前附表”规定向采购人出示相关证明材料，经采购人核验合格后方可签订</w:t>
      </w:r>
      <w:r>
        <w:rPr>
          <w:rFonts w:hint="eastAsia" w:ascii="宋体" w:hAnsi="宋体"/>
          <w:b w:val="0"/>
          <w:color w:val="auto"/>
          <w:sz w:val="21"/>
          <w:szCs w:val="21"/>
          <w:highlight w:val="none"/>
          <w:lang w:eastAsia="zh-CN"/>
        </w:rPr>
        <w:t>采购</w:t>
      </w:r>
      <w:r>
        <w:rPr>
          <w:rFonts w:hint="eastAsia" w:ascii="宋体" w:hAnsi="宋体"/>
          <w:b w:val="0"/>
          <w:color w:val="auto"/>
          <w:sz w:val="21"/>
          <w:szCs w:val="21"/>
          <w:highlight w:val="none"/>
        </w:rPr>
        <w:t>合同</w:t>
      </w:r>
      <w:r>
        <w:rPr>
          <w:rFonts w:hint="eastAsia" w:ascii="宋体" w:hAnsi="宋体"/>
          <w:b w:val="0"/>
          <w:color w:val="auto"/>
          <w:sz w:val="21"/>
          <w:szCs w:val="21"/>
          <w:highlight w:val="none"/>
          <w:lang w:eastAsia="zh-CN"/>
        </w:rPr>
        <w:t>（书面或</w:t>
      </w:r>
      <w:r>
        <w:rPr>
          <w:rFonts w:hint="eastAsia" w:ascii="宋体" w:hAnsi="宋体"/>
          <w:b w:val="0"/>
          <w:color w:val="auto"/>
          <w:sz w:val="21"/>
          <w:szCs w:val="21"/>
          <w:highlight w:val="none"/>
        </w:rPr>
        <w:t>电子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5F3565E2">
      <w:pPr>
        <w:pStyle w:val="7"/>
        <w:keepNext w:val="0"/>
        <w:keepLines w:val="0"/>
        <w:pageBreakBefore w:val="0"/>
        <w:widowControl w:val="0"/>
        <w:numPr>
          <w:ilvl w:val="0"/>
          <w:numId w:val="0"/>
        </w:numPr>
        <w:kinsoku/>
        <w:wordWrap/>
        <w:overflowPunct/>
        <w:topLinePunct w:val="0"/>
        <w:bidi w:val="0"/>
        <w:spacing w:before="0" w:after="0" w:line="400" w:lineRule="exact"/>
        <w:ind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43422482">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15307C51">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31" w:name="_41.政府采购合同公告"/>
      <w:bookmarkEnd w:id="131"/>
      <w:r>
        <w:rPr>
          <w:rFonts w:hint="eastAsia" w:ascii="黑体" w:hAnsi="黑体" w:eastAsia="黑体"/>
          <w:color w:val="auto"/>
          <w:sz w:val="24"/>
          <w:highlight w:val="none"/>
        </w:rPr>
        <w:t>37.政府采购合同公告</w:t>
      </w:r>
    </w:p>
    <w:p w14:paraId="09D60841">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采购人或者受托</w:t>
      </w:r>
      <w:r>
        <w:rPr>
          <w:rFonts w:hint="eastAsia" w:hAnsi="宋体"/>
          <w:color w:val="auto"/>
          <w:sz w:val="21"/>
          <w:highlight w:val="none"/>
          <w:lang w:eastAsia="zh-CN"/>
        </w:rPr>
        <w:t>招标代理</w:t>
      </w:r>
      <w:r>
        <w:rPr>
          <w:rFonts w:hint="eastAsia" w:hAnsi="宋体"/>
          <w:color w:val="auto"/>
          <w:sz w:val="21"/>
          <w:highlight w:val="none"/>
        </w:rPr>
        <w:t>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16E3625E">
      <w:pPr>
        <w:pStyle w:val="7"/>
        <w:keepNext w:val="0"/>
        <w:keepLines w:val="0"/>
        <w:pageBreakBefore w:val="0"/>
        <w:widowControl w:val="0"/>
        <w:kinsoku/>
        <w:wordWrap/>
        <w:overflowPunct/>
        <w:topLinePunct w:val="0"/>
        <w:bidi w:val="0"/>
        <w:spacing w:before="0" w:after="0" w:line="400" w:lineRule="exact"/>
        <w:ind w:left="420" w:leftChars="200"/>
        <w:textAlignment w:val="auto"/>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20DF6834">
      <w:pPr>
        <w:pStyle w:val="6"/>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w:t>
      </w:r>
      <w:r>
        <w:rPr>
          <w:rFonts w:hint="eastAsia" w:ascii="宋体" w:hAnsi="宋体"/>
          <w:color w:val="auto"/>
          <w:szCs w:val="21"/>
          <w:highlight w:val="none"/>
          <w:lang w:eastAsia="zh-CN"/>
        </w:rPr>
        <w:t>招标代理</w:t>
      </w:r>
      <w:r>
        <w:rPr>
          <w:rFonts w:hint="eastAsia" w:ascii="宋体" w:hAnsi="宋体"/>
          <w:color w:val="auto"/>
          <w:szCs w:val="21"/>
          <w:highlight w:val="none"/>
        </w:rPr>
        <w:t>机构应当在3个工作日内对供应商依法提出的询问作出答复，但答复的内容不得涉及商业秘密。</w:t>
      </w:r>
    </w:p>
    <w:p w14:paraId="3CDB7BA3">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供应商认为招标文件、采购过程或者中标结果使自己的合法权益受到损害的，必须在知道或者应知其权益受到损害之日起7个工作日内，以纸质书面形式向采购人、</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机构提出质疑。采购人、</w:t>
      </w:r>
      <w:r>
        <w:rPr>
          <w:rFonts w:hint="eastAsia" w:ascii="宋体" w:hAnsi="宋体"/>
          <w:b w:val="0"/>
          <w:color w:val="auto"/>
          <w:sz w:val="21"/>
          <w:szCs w:val="21"/>
          <w:highlight w:val="none"/>
          <w:lang w:eastAsia="zh-CN"/>
        </w:rPr>
        <w:t>招标代理</w:t>
      </w:r>
      <w:r>
        <w:rPr>
          <w:rFonts w:hint="eastAsia" w:ascii="宋体" w:hAnsi="宋体"/>
          <w:b w:val="0"/>
          <w:color w:val="auto"/>
          <w:sz w:val="21"/>
          <w:szCs w:val="21"/>
          <w:highlight w:val="none"/>
        </w:rPr>
        <w:t xml:space="preserve">机构接收质疑函的方式、联系部门、联系电话和通讯地址等信息详见“投标人须知前附表”。具体质疑起算时间如下： </w:t>
      </w:r>
    </w:p>
    <w:p w14:paraId="0BF09F23">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7FB23D5">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61054931">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9FA97FB">
      <w:pPr>
        <w:pStyle w:val="7"/>
        <w:keepNext w:val="0"/>
        <w:keepLines w:val="0"/>
        <w:pageBreakBefore w:val="0"/>
        <w:widowControl w:val="0"/>
        <w:kinsoku/>
        <w:wordWrap/>
        <w:overflowPunct/>
        <w:topLinePunct w:val="0"/>
        <w:bidi w:val="0"/>
        <w:spacing w:before="0" w:after="0" w:line="400" w:lineRule="exact"/>
        <w:ind w:firstLine="315" w:firstLineChars="150"/>
        <w:textAlignment w:val="auto"/>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Cs/>
          <w:color w:val="auto"/>
          <w:sz w:val="21"/>
          <w:highlight w:val="none"/>
        </w:rPr>
        <w:t>供应商提出质疑应当提交质疑函和必要的证明材料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13737F4C">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2D8742AC">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BE78D60">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0DCE5CE">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DC33DED">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99AFACE">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B6FDAE4">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1FCEF61C">
      <w:pPr>
        <w:pStyle w:val="7"/>
        <w:keepNext w:val="0"/>
        <w:keepLines w:val="0"/>
        <w:pageBreakBefore w:val="0"/>
        <w:widowControl w:val="0"/>
        <w:kinsoku/>
        <w:wordWrap/>
        <w:overflowPunct/>
        <w:topLinePunct w:val="0"/>
        <w:bidi w:val="0"/>
        <w:snapToGrid w:val="0"/>
        <w:spacing w:before="0" w:after="0" w:line="400" w:lineRule="exact"/>
        <w:ind w:firstLine="420" w:firstLineChars="200"/>
        <w:textAlignment w:val="auto"/>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w:t>
      </w:r>
      <w:r>
        <w:rPr>
          <w:rFonts w:hint="eastAsia" w:ascii="宋体" w:hAnsi="宋体"/>
          <w:b w:val="0"/>
          <w:bCs/>
          <w:color w:val="auto"/>
          <w:sz w:val="21"/>
          <w:szCs w:val="21"/>
          <w:highlight w:val="none"/>
          <w:lang w:eastAsia="zh-CN"/>
        </w:rPr>
        <w:t>招标代理</w:t>
      </w:r>
      <w:r>
        <w:rPr>
          <w:rFonts w:hint="eastAsia" w:ascii="宋体" w:hAnsi="宋体"/>
          <w:b w:val="0"/>
          <w:bCs/>
          <w:color w:val="auto"/>
          <w:sz w:val="21"/>
          <w:szCs w:val="21"/>
          <w:highlight w:val="none"/>
        </w:rPr>
        <w:t>机构认为供应商质疑不成立，或者成立但未对中标结果构成影响的，继续开展采购活动；认为供应商质疑成立且影响或者可能影响中标结果的，按照下列情况处理：</w:t>
      </w:r>
    </w:p>
    <w:p w14:paraId="0433AD06">
      <w:pPr>
        <w:pStyle w:val="26"/>
        <w:keepNext w:val="0"/>
        <w:keepLines w:val="0"/>
        <w:pageBreakBefore w:val="0"/>
        <w:widowControl w:val="0"/>
        <w:kinsoku/>
        <w:wordWrap/>
        <w:overflowPunct/>
        <w:topLinePunct w:val="0"/>
        <w:bidi w:val="0"/>
        <w:snapToGrid w:val="0"/>
        <w:spacing w:line="400" w:lineRule="exact"/>
        <w:textAlignment w:val="auto"/>
        <w:rPr>
          <w:rFonts w:hint="eastAsia" w:hAnsi="宋体"/>
          <w:bCs/>
          <w:color w:val="auto"/>
          <w:sz w:val="21"/>
          <w:highlight w:val="none"/>
        </w:rPr>
      </w:pPr>
      <w:r>
        <w:rPr>
          <w:rFonts w:hint="eastAsia" w:hAnsi="宋体"/>
          <w:bCs/>
          <w:color w:val="auto"/>
          <w:sz w:val="21"/>
          <w:highlight w:val="none"/>
        </w:rPr>
        <w:t>　　（</w:t>
      </w:r>
      <w:r>
        <w:rPr>
          <w:rFonts w:hint="eastAsia" w:hAnsi="宋体"/>
          <w:bCs/>
          <w:color w:val="auto"/>
          <w:sz w:val="21"/>
          <w:highlight w:val="none"/>
          <w:lang w:eastAsia="zh-CN"/>
        </w:rPr>
        <w:t>1</w:t>
      </w:r>
      <w:r>
        <w:rPr>
          <w:rFonts w:hint="eastAsia" w:hAnsi="宋体"/>
          <w:bCs/>
          <w:color w:val="auto"/>
          <w:sz w:val="21"/>
          <w:highlight w:val="none"/>
        </w:rPr>
        <w:t>）对招标文件提出的质疑，依法通过澄清或者修改可以继续开展采购活动的，澄清或者修改招标文件后继续开展采购活动；否则应当修改招标文件后重新开展采购活动。</w:t>
      </w:r>
    </w:p>
    <w:p w14:paraId="4FB60D5A">
      <w:pPr>
        <w:pStyle w:val="26"/>
        <w:keepNext w:val="0"/>
        <w:keepLines w:val="0"/>
        <w:pageBreakBefore w:val="0"/>
        <w:widowControl w:val="0"/>
        <w:kinsoku/>
        <w:wordWrap/>
        <w:overflowPunct/>
        <w:topLinePunct w:val="0"/>
        <w:bidi w:val="0"/>
        <w:snapToGrid w:val="0"/>
        <w:spacing w:line="400" w:lineRule="exact"/>
        <w:textAlignment w:val="auto"/>
        <w:rPr>
          <w:rFonts w:hint="eastAsia" w:hAnsi="宋体"/>
          <w:bCs/>
          <w:color w:val="auto"/>
          <w:sz w:val="21"/>
          <w:highlight w:val="none"/>
        </w:rPr>
      </w:pPr>
      <w:r>
        <w:rPr>
          <w:rFonts w:hint="eastAsia" w:hAnsi="宋体"/>
          <w:bCs/>
          <w:color w:val="auto"/>
          <w:sz w:val="21"/>
          <w:highlight w:val="none"/>
        </w:rPr>
        <w:t>　　（</w:t>
      </w:r>
      <w:r>
        <w:rPr>
          <w:rFonts w:hint="eastAsia" w:hAnsi="宋体"/>
          <w:bCs/>
          <w:color w:val="auto"/>
          <w:sz w:val="21"/>
          <w:highlight w:val="none"/>
          <w:lang w:eastAsia="zh-CN"/>
        </w:rPr>
        <w:t>2</w:t>
      </w:r>
      <w:r>
        <w:rPr>
          <w:rFonts w:hint="eastAsia" w:hAnsi="宋体"/>
          <w:bCs/>
          <w:color w:val="auto"/>
          <w:sz w:val="21"/>
          <w:highlight w:val="none"/>
        </w:rPr>
        <w:t>）对采购过程、中标结果提出的质疑，合格供应商符合法定数量时，可以从合格的中标候选人中另行确定中标供应商的，应当依法另行确定中标供应商；否则应当重新开展采购活动。</w:t>
      </w:r>
    </w:p>
    <w:p w14:paraId="1BD7E36E">
      <w:pPr>
        <w:pStyle w:val="26"/>
        <w:keepNext w:val="0"/>
        <w:keepLines w:val="0"/>
        <w:pageBreakBefore w:val="0"/>
        <w:widowControl w:val="0"/>
        <w:kinsoku/>
        <w:wordWrap/>
        <w:overflowPunct/>
        <w:topLinePunct w:val="0"/>
        <w:bidi w:val="0"/>
        <w:snapToGrid w:val="0"/>
        <w:spacing w:line="400" w:lineRule="exact"/>
        <w:ind w:firstLine="420"/>
        <w:textAlignment w:val="auto"/>
        <w:rPr>
          <w:rFonts w:hAnsi="宋体"/>
          <w:bCs/>
          <w:color w:val="auto"/>
          <w:sz w:val="21"/>
          <w:highlight w:val="none"/>
        </w:rPr>
      </w:pPr>
      <w:r>
        <w:rPr>
          <w:rFonts w:hint="eastAsia" w:hAnsi="宋体"/>
          <w:bCs/>
          <w:color w:val="auto"/>
          <w:sz w:val="21"/>
          <w:highlight w:val="none"/>
        </w:rPr>
        <w:t>质疑答复导致中标结果改变的，采购人或者</w:t>
      </w:r>
      <w:r>
        <w:rPr>
          <w:rFonts w:hint="eastAsia" w:hAnsi="宋体"/>
          <w:bCs/>
          <w:color w:val="auto"/>
          <w:sz w:val="21"/>
          <w:highlight w:val="none"/>
          <w:lang w:eastAsia="zh-CN"/>
        </w:rPr>
        <w:t>招标代理</w:t>
      </w:r>
      <w:r>
        <w:rPr>
          <w:rFonts w:hint="eastAsia" w:hAnsi="宋体"/>
          <w:bCs/>
          <w:color w:val="auto"/>
          <w:sz w:val="21"/>
          <w:highlight w:val="none"/>
        </w:rPr>
        <w:t>机构应当将有关情况书面报告本级财政部门。</w:t>
      </w:r>
    </w:p>
    <w:p w14:paraId="3425BAE6">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color w:val="auto"/>
          <w:lang w:eastAsia="zh-CN"/>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w:t>
      </w:r>
      <w:r>
        <w:rPr>
          <w:rFonts w:hint="eastAsia" w:hAnsi="宋体"/>
          <w:color w:val="auto"/>
          <w:sz w:val="21"/>
          <w:highlight w:val="none"/>
          <w:lang w:eastAsia="zh-CN"/>
        </w:rPr>
        <w:t>招标代理</w:t>
      </w:r>
      <w:r>
        <w:rPr>
          <w:rFonts w:hint="eastAsia" w:hAnsi="宋体"/>
          <w:color w:val="auto"/>
          <w:sz w:val="21"/>
          <w:highlight w:val="none"/>
        </w:rPr>
        <w:t>机构的答复不满意，或者采购人、</w:t>
      </w:r>
      <w:r>
        <w:rPr>
          <w:rFonts w:hint="eastAsia" w:hAnsi="宋体"/>
          <w:color w:val="auto"/>
          <w:sz w:val="21"/>
          <w:highlight w:val="none"/>
          <w:lang w:eastAsia="zh-CN"/>
        </w:rPr>
        <w:t>招标代理</w:t>
      </w:r>
      <w:r>
        <w:rPr>
          <w:rFonts w:hint="eastAsia" w:hAnsi="宋体"/>
          <w:color w:val="auto"/>
          <w:sz w:val="21"/>
          <w:highlight w:val="none"/>
        </w:rPr>
        <w:t>机构未在规定时间内作出答复的，可以在答复期满后15个工作日内向《政府采购质疑和投诉办法》（财政部令第94号）第六条规定的财政部门提起投诉（投诉书格式后附）。</w:t>
      </w:r>
      <w:bookmarkStart w:id="132" w:name="_八、其他事项"/>
      <w:bookmarkEnd w:id="132"/>
    </w:p>
    <w:p w14:paraId="470F2BB7">
      <w:pPr>
        <w:pStyle w:val="4"/>
        <w:keepNext w:val="0"/>
        <w:keepLines w:val="0"/>
        <w:pageBreakBefore w:val="0"/>
        <w:widowControl w:val="0"/>
        <w:kinsoku/>
        <w:wordWrap/>
        <w:overflowPunct/>
        <w:topLinePunct w:val="0"/>
        <w:bidi w:val="0"/>
        <w:spacing w:line="400" w:lineRule="exact"/>
        <w:jc w:val="center"/>
        <w:textAlignment w:val="auto"/>
        <w:rPr>
          <w:rFonts w:hint="eastAsia"/>
          <w:color w:val="auto"/>
          <w:highlight w:val="none"/>
        </w:rPr>
      </w:pPr>
      <w:r>
        <w:rPr>
          <w:rFonts w:hint="eastAsia"/>
          <w:color w:val="auto"/>
          <w:highlight w:val="none"/>
        </w:rPr>
        <w:t>八、其他事项</w:t>
      </w:r>
    </w:p>
    <w:p w14:paraId="3A688A94">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olor w:val="auto"/>
          <w:sz w:val="24"/>
          <w:highlight w:val="none"/>
        </w:rPr>
      </w:pPr>
      <w:bookmarkStart w:id="133" w:name="_42.代理服务费"/>
      <w:bookmarkEnd w:id="133"/>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51B1422E">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58E3E37D">
      <w:pPr>
        <w:pStyle w:val="26"/>
        <w:keepNext w:val="0"/>
        <w:keepLines w:val="0"/>
        <w:pageBreakBefore w:val="0"/>
        <w:widowControl w:val="0"/>
        <w:kinsoku/>
        <w:wordWrap/>
        <w:overflowPunct/>
        <w:topLinePunct w:val="0"/>
        <w:bidi w:val="0"/>
        <w:snapToGrid w:val="0"/>
        <w:spacing w:line="400" w:lineRule="exact"/>
        <w:ind w:firstLine="420" w:firstLineChars="200"/>
        <w:textAlignment w:val="auto"/>
        <w:rPr>
          <w:rFonts w:hint="eastAsia" w:hAnsi="宋体" w:eastAsia="宋体"/>
          <w:color w:val="auto"/>
          <w:sz w:val="21"/>
          <w:highlight w:val="none"/>
          <w:lang w:eastAsia="zh-CN"/>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r>
        <w:rPr>
          <w:rFonts w:hint="eastAsia" w:hAnsi="宋体"/>
          <w:color w:val="auto"/>
          <w:sz w:val="21"/>
          <w:highlight w:val="none"/>
        </w:rPr>
        <w:t>详见“投标人须知前附表”</w:t>
      </w:r>
      <w:r>
        <w:rPr>
          <w:rFonts w:hint="eastAsia" w:hAnsi="宋体"/>
          <w:color w:val="auto"/>
          <w:sz w:val="21"/>
          <w:highlight w:val="none"/>
          <w:lang w:eastAsia="zh-CN"/>
        </w:rPr>
        <w:t>。</w:t>
      </w:r>
    </w:p>
    <w:p w14:paraId="2258C5A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9</w:t>
      </w: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ascii="宋体" w:hAnsi="宋体" w:cs="宋体"/>
          <w:color w:val="auto"/>
          <w:szCs w:val="21"/>
          <w:highlight w:val="none"/>
        </w:rPr>
        <w:t xml:space="preserve">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73D3A14D">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广西国泰招标咨询有限公司玉林分公司</w:t>
      </w:r>
    </w:p>
    <w:p w14:paraId="7548E12E">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开户名称：广西国泰招标咨询有限公司玉林分公司</w:t>
      </w:r>
    </w:p>
    <w:p w14:paraId="40C492BF">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开户银行：农业银行玉林金玉路支行</w:t>
      </w:r>
    </w:p>
    <w:p w14:paraId="08A8D044">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账  号：20410801040003746 </w:t>
      </w:r>
    </w:p>
    <w:p w14:paraId="18983F0D">
      <w:pPr>
        <w:pStyle w:val="7"/>
        <w:keepNext w:val="0"/>
        <w:keepLines w:val="0"/>
        <w:pageBreakBefore w:val="0"/>
        <w:widowControl w:val="0"/>
        <w:kinsoku/>
        <w:wordWrap/>
        <w:overflowPunct/>
        <w:topLinePunct w:val="0"/>
        <w:bidi w:val="0"/>
        <w:spacing w:before="0" w:after="0" w:line="400" w:lineRule="exact"/>
        <w:ind w:left="420" w:leftChars="200"/>
        <w:textAlignment w:val="auto"/>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40. 需要补充的其他内容</w:t>
      </w:r>
    </w:p>
    <w:p w14:paraId="3A1AFFDB">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0A99B2AC">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71470E2">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40.3</w:t>
      </w:r>
      <w:bookmarkStart w:id="134"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2863237">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849FE7">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8074612">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6292B09">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406004D">
      <w:pPr>
        <w:pStyle w:val="26"/>
        <w:keepNext w:val="0"/>
        <w:keepLines w:val="0"/>
        <w:pageBreakBefore w:val="0"/>
        <w:widowControl w:val="0"/>
        <w:kinsoku/>
        <w:wordWrap/>
        <w:overflowPunct/>
        <w:topLinePunct w:val="0"/>
        <w:bidi w:val="0"/>
        <w:spacing w:before="120" w:after="120" w:line="400" w:lineRule="exact"/>
        <w:ind w:firstLine="420" w:firstLineChars="200"/>
        <w:contextualSpacing/>
        <w:textAlignment w:val="auto"/>
        <w:rPr>
          <w:rFonts w:hint="eastAsia" w:ascii="宋体" w:hAnsi="宋体" w:eastAsia="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4"/>
    </w:p>
    <w:p w14:paraId="24CA64A2">
      <w:pPr>
        <w:keepNext w:val="0"/>
        <w:keepLines w:val="0"/>
        <w:widowControl/>
        <w:suppressLineNumbers w:val="0"/>
        <w:ind w:firstLine="420" w:firstLineChars="200"/>
        <w:jc w:val="left"/>
        <w:rPr>
          <w:color w:val="auto"/>
        </w:rPr>
      </w:pPr>
      <w:r>
        <w:rPr>
          <w:rFonts w:hint="eastAsia" w:ascii="宋体" w:hAnsi="宋体" w:eastAsia="宋体" w:cs="宋体"/>
          <w:color w:val="auto"/>
          <w:kern w:val="0"/>
          <w:sz w:val="21"/>
          <w:szCs w:val="21"/>
          <w:highlight w:val="none"/>
          <w:lang w:val="en-US" w:eastAsia="zh-CN" w:bidi="ar-SA"/>
        </w:rPr>
        <w:t>40.4</w:t>
      </w:r>
      <w:r>
        <w:rPr>
          <w:rFonts w:hint="eastAsia" w:ascii="Times New Roman" w:hAnsi="宋体" w:eastAsia="宋体" w:cs="Times New Roman"/>
          <w:color w:val="auto"/>
          <w:highlight w:val="none"/>
          <w:lang w:val="en-US" w:eastAsia="zh-CN"/>
        </w:rPr>
        <w:t xml:space="preserve">政府采购电子保函 </w:t>
      </w:r>
    </w:p>
    <w:p w14:paraId="60430F99">
      <w:pPr>
        <w:keepNext w:val="0"/>
        <w:keepLines w:val="0"/>
        <w:pageBreakBefore w:val="0"/>
        <w:widowControl w:val="0"/>
        <w:kinsoku/>
        <w:wordWrap/>
        <w:overflowPunct/>
        <w:topLinePunct w:val="0"/>
        <w:bidi w:val="0"/>
        <w:spacing w:line="400" w:lineRule="exact"/>
        <w:ind w:firstLine="3654" w:firstLineChars="13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政府采购电子保函</w:t>
      </w:r>
    </w:p>
    <w:p w14:paraId="1641FC71">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各供应商</w:t>
      </w:r>
      <w:r>
        <w:rPr>
          <w:rFonts w:hint="default" w:ascii="Times New Roman" w:hAnsi="Times New Roman" w:eastAsia="宋体" w:cs="Times New Roman"/>
          <w:color w:val="auto"/>
          <w:kern w:val="0"/>
          <w:sz w:val="21"/>
          <w:szCs w:val="21"/>
          <w:lang w:val="en-US" w:eastAsia="zh-CN" w:bidi="ar"/>
        </w:rPr>
        <w:t xml:space="preserve">: </w:t>
      </w:r>
    </w:p>
    <w:p w14:paraId="5191714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欢迎贵公司参与广西政府采购活动!政府采购电子保函包括政府采购领域的投标保证金保函、履约保证金保函及预付款保。 </w:t>
      </w:r>
    </w:p>
    <w:p w14:paraId="08D96839">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投标保证金保函。</w:t>
      </w:r>
      <w:r>
        <w:rPr>
          <w:rFonts w:hint="eastAsia" w:ascii="宋体" w:hAnsi="宋体" w:eastAsia="宋体" w:cs="宋体"/>
          <w:color w:val="auto"/>
          <w:kern w:val="0"/>
          <w:sz w:val="21"/>
          <w:szCs w:val="21"/>
          <w:lang w:val="en-US" w:eastAsia="zh-CN" w:bidi="ar"/>
        </w:rPr>
        <w:t xml:space="preserve">指政府采购活动中，为防止投标人无故撤销投标文件或中标后无正当理由不签订合同，采购人或代理机构要求投标人在递交投标文件时一并递交的担保机构出具的电子担保凭证。 </w:t>
      </w:r>
    </w:p>
    <w:p w14:paraId="52B0B992">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履约保证金保函。</w:t>
      </w:r>
      <w:r>
        <w:rPr>
          <w:rFonts w:hint="eastAsia" w:ascii="宋体" w:hAnsi="宋体" w:eastAsia="宋体" w:cs="宋体"/>
          <w:color w:val="auto"/>
          <w:kern w:val="0"/>
          <w:sz w:val="21"/>
          <w:szCs w:val="21"/>
          <w:lang w:val="en-US" w:eastAsia="zh-CN" w:bidi="ar"/>
        </w:rPr>
        <w:t xml:space="preserve">指项目履约过程中，为防止中标供应商不按照合同约定或法律的规定履行义务，采购人要求投保人提供担保机构出具的约保证承诺电子担保凭证。 </w:t>
      </w:r>
    </w:p>
    <w:p w14:paraId="47EF9058">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预付款保函。</w:t>
      </w:r>
      <w:r>
        <w:rPr>
          <w:rFonts w:hint="eastAsia" w:ascii="宋体" w:hAnsi="宋体" w:eastAsia="宋体" w:cs="宋体"/>
          <w:color w:val="auto"/>
          <w:kern w:val="0"/>
          <w:sz w:val="21"/>
          <w:szCs w:val="21"/>
          <w:lang w:val="en-US" w:eastAsia="zh-CN" w:bidi="ar"/>
        </w:rPr>
        <w:t xml:space="preserve">指采购人支付预付款后，为防止中标供应商不按照合同约定或法律的规定履行义务，采购人要求中标供应商提供担保机构出具的承担返还预付款的电子担保凭证利用全区政府采购“一张网”优势，依托“广西政府采购金融服务平台”(https://jinrong.zcygov.cn/finance/gx)，供应商可通过在线方式完成保函申请、递交、验收和索赔等全流程电子化操作，进一步提升政府采购融资便利度。 </w:t>
      </w:r>
    </w:p>
    <w:p w14:paraId="6DBD55F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宋体" w:eastAsia="宋体" w:cs="Times New Roman"/>
          <w:color w:val="auto"/>
          <w:highlight w:val="none"/>
          <w:lang w:val="en-US" w:eastAsia="zh-CN"/>
        </w:rPr>
      </w:pPr>
      <w:r>
        <w:rPr>
          <w:rFonts w:hint="eastAsia" w:ascii="宋体" w:hAnsi="宋体" w:eastAsia="宋体" w:cs="宋体"/>
          <w:color w:val="auto"/>
          <w:kern w:val="0"/>
          <w:sz w:val="21"/>
          <w:szCs w:val="21"/>
          <w:lang w:val="en-US" w:eastAsia="zh-CN" w:bidi="ar"/>
        </w:rPr>
        <w:t>电子保函有关业务操作流程和手册可从“广西政府采购金融服务平台”查阅下载，供应商在电子保函的申请、使用、查看应用过程中遇到问题可咨询技术支撑方:400-903-9583。</w:t>
      </w:r>
    </w:p>
    <w:p w14:paraId="17007602">
      <w:pPr>
        <w:keepNext w:val="0"/>
        <w:keepLines w:val="0"/>
        <w:pageBreakBefore w:val="0"/>
        <w:widowControl w:val="0"/>
        <w:kinsoku/>
        <w:wordWrap/>
        <w:overflowPunct/>
        <w:topLinePunct w:val="0"/>
        <w:bidi w:val="0"/>
        <w:spacing w:line="400" w:lineRule="exact"/>
        <w:ind w:firstLine="420" w:firstLineChars="200"/>
        <w:jc w:val="left"/>
        <w:textAlignment w:val="auto"/>
        <w:rPr>
          <w:rFonts w:hint="default" w:ascii="Times New Roman" w:hAnsi="宋体" w:eastAsia="宋体" w:cs="Times New Roman"/>
          <w:color w:val="auto"/>
          <w:highlight w:val="none"/>
          <w:lang w:val="en-US" w:eastAsia="zh-CN"/>
        </w:rPr>
      </w:pPr>
      <w:r>
        <w:rPr>
          <w:rFonts w:hint="eastAsia" w:ascii="宋体" w:hAnsi="宋体" w:eastAsia="宋体" w:cs="宋体"/>
          <w:color w:val="auto"/>
          <w:kern w:val="0"/>
          <w:sz w:val="21"/>
          <w:szCs w:val="21"/>
          <w:highlight w:val="none"/>
          <w:lang w:val="en-US" w:eastAsia="zh-CN" w:bidi="ar-SA"/>
        </w:rPr>
        <w:t>40.5</w:t>
      </w:r>
      <w:r>
        <w:rPr>
          <w:rFonts w:hint="eastAsia" w:ascii="Times New Roman" w:hAnsi="宋体" w:eastAsia="宋体" w:cs="Times New Roman"/>
          <w:color w:val="auto"/>
          <w:highlight w:val="none"/>
          <w:lang w:val="en-US" w:eastAsia="zh-CN"/>
        </w:rPr>
        <w:t>广西线上“政采贷”政策告知函</w:t>
      </w:r>
    </w:p>
    <w:p w14:paraId="79E8D3E6">
      <w:pPr>
        <w:keepNext w:val="0"/>
        <w:keepLines w:val="0"/>
        <w:pageBreakBefore w:val="0"/>
        <w:widowControl w:val="0"/>
        <w:kinsoku/>
        <w:wordWrap/>
        <w:overflowPunct/>
        <w:topLinePunct w:val="0"/>
        <w:bidi w:val="0"/>
        <w:spacing w:line="400" w:lineRule="exact"/>
        <w:ind w:firstLine="3092" w:firstLineChars="1100"/>
        <w:textAlignment w:val="auto"/>
        <w:rPr>
          <w:rFonts w:hint="eastAsia" w:ascii="宋体" w:hAnsi="宋体" w:eastAsia="宋体" w:cs="宋体"/>
          <w:b/>
          <w:bCs/>
          <w:color w:val="auto"/>
          <w:sz w:val="28"/>
          <w:szCs w:val="28"/>
          <w:highlight w:val="none"/>
          <w:lang w:val="en-US" w:eastAsia="zh-CN"/>
        </w:rPr>
      </w:pPr>
    </w:p>
    <w:p w14:paraId="7439C27F">
      <w:pPr>
        <w:keepNext w:val="0"/>
        <w:keepLines w:val="0"/>
        <w:pageBreakBefore w:val="0"/>
        <w:widowControl w:val="0"/>
        <w:kinsoku/>
        <w:wordWrap/>
        <w:overflowPunct/>
        <w:topLinePunct w:val="0"/>
        <w:bidi w:val="0"/>
        <w:spacing w:line="400" w:lineRule="exact"/>
        <w:ind w:firstLine="3092" w:firstLineChars="1100"/>
        <w:textAlignment w:val="auto"/>
        <w:rPr>
          <w:rFonts w:hint="eastAsia" w:ascii="仿宋_GB2312" w:hAnsi="仿宋_GB2312" w:cs="仿宋_GB2312"/>
          <w:b/>
          <w:bCs/>
          <w:color w:val="auto"/>
          <w:sz w:val="28"/>
          <w:szCs w:val="28"/>
        </w:rPr>
      </w:pPr>
      <w:r>
        <w:rPr>
          <w:rFonts w:hint="eastAsia" w:ascii="宋体" w:hAnsi="宋体" w:eastAsia="宋体" w:cs="宋体"/>
          <w:b/>
          <w:bCs/>
          <w:color w:val="auto"/>
          <w:sz w:val="28"/>
          <w:szCs w:val="28"/>
          <w:highlight w:val="none"/>
          <w:lang w:val="en-US" w:eastAsia="zh-CN"/>
        </w:rPr>
        <w:t>广西线上“政采贷”政策告知函</w:t>
      </w:r>
    </w:p>
    <w:p w14:paraId="1826B8AA">
      <w:pPr>
        <w:keepNext w:val="0"/>
        <w:keepLines w:val="0"/>
        <w:pageBreakBefore w:val="0"/>
        <w:widowControl w:val="0"/>
        <w:kinsoku/>
        <w:wordWrap/>
        <w:overflowPunct/>
        <w:topLinePunct w:val="0"/>
        <w:bidi w:val="0"/>
        <w:spacing w:line="400" w:lineRule="exact"/>
        <w:ind w:firstLine="210" w:firstLineChars="100"/>
        <w:textAlignment w:val="auto"/>
        <w:rPr>
          <w:rFonts w:hint="eastAsia" w:ascii="仿宋_GB2312" w:hAnsi="仿宋_GB2312" w:cs="仿宋_GB2312"/>
          <w:color w:val="auto"/>
          <w:szCs w:val="32"/>
        </w:rPr>
      </w:pPr>
      <w:r>
        <w:rPr>
          <w:rFonts w:hint="eastAsia" w:ascii="仿宋_GB2312" w:hAnsi="仿宋_GB2312" w:cs="仿宋_GB2312"/>
          <w:color w:val="auto"/>
          <w:szCs w:val="32"/>
        </w:rPr>
        <w:t>各供应商：</w:t>
      </w:r>
    </w:p>
    <w:p w14:paraId="51F674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欢迎贵公司参与广西政府采购活动！</w:t>
      </w:r>
    </w:p>
    <w:p w14:paraId="301560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rPr>
      </w:pPr>
      <w:r>
        <w:rPr>
          <w:rFonts w:hint="eastAsia" w:ascii="仿宋_GB2312" w:hAnsi="仿宋_GB2312" w:cs="仿宋_GB2312"/>
          <w:color w:val="auto"/>
          <w:szCs w:val="32"/>
        </w:rPr>
        <w:t>线上“政采贷”是人民银行</w:t>
      </w:r>
      <w:r>
        <w:rPr>
          <w:rFonts w:hint="eastAsia" w:ascii="仿宋_GB2312" w:hAnsi="仿宋_GB2312" w:eastAsia="宋体" w:cs="仿宋_GB2312"/>
          <w:color w:val="auto"/>
          <w:szCs w:val="32"/>
        </w:rPr>
        <w:t>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宋体" w:cs="仿宋_GB2312"/>
          <w:color w:val="auto"/>
          <w:szCs w:val="32"/>
          <w:lang w:val="en-US" w:eastAsia="zh-CN"/>
        </w:rPr>
        <w:t>银行业金融机构</w:t>
      </w:r>
      <w:r>
        <w:rPr>
          <w:rFonts w:hint="eastAsia" w:ascii="仿宋_GB2312" w:hAnsi="仿宋_GB2312" w:eastAsia="宋体" w:cs="仿宋_GB2312"/>
          <w:color w:val="auto"/>
          <w:szCs w:val="32"/>
        </w:rPr>
        <w:t>申请贷款，融资机构将根据《中国人民银行南宁中心支行 广西壮族自治区财政厅关于推广线上“政采贷”融资模式的通知》（南宁银发〔2021〕</w:t>
      </w:r>
      <w:r>
        <w:rPr>
          <w:rFonts w:hint="eastAsia" w:ascii="仿宋_GB2312" w:hAnsi="仿宋_GB2312" w:eastAsia="宋体" w:cs="仿宋_GB2312"/>
          <w:color w:val="auto"/>
          <w:szCs w:val="32"/>
          <w:lang w:val="en-US" w:eastAsia="zh-CN"/>
        </w:rPr>
        <w:t>258</w:t>
      </w:r>
      <w:r>
        <w:rPr>
          <w:rFonts w:hint="eastAsia" w:ascii="仿宋_GB2312" w:hAnsi="仿宋_GB2312" w:eastAsia="宋体" w:cs="仿宋_GB2312"/>
          <w:color w:val="auto"/>
          <w:szCs w:val="32"/>
        </w:rPr>
        <w:t>号），按照双方自愿的原则提供便捷、优惠的贷款服务。</w:t>
      </w:r>
    </w:p>
    <w:p w14:paraId="74CD9C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r>
        <w:rPr>
          <w:rFonts w:hint="eastAsia" w:ascii="仿宋_GB2312" w:hAnsi="仿宋_GB2312" w:eastAsia="宋体" w:cs="仿宋_GB2312"/>
          <w:color w:val="auto"/>
          <w:szCs w:val="32"/>
        </w:rPr>
        <w:t>相关金融产品和</w:t>
      </w:r>
      <w:r>
        <w:rPr>
          <w:rFonts w:hint="eastAsia" w:ascii="仿宋_GB2312" w:hAnsi="仿宋_GB2312" w:eastAsia="宋体" w:cs="仿宋_GB2312"/>
          <w:color w:val="auto"/>
          <w:szCs w:val="32"/>
          <w:lang w:val="en-US" w:eastAsia="zh-CN"/>
        </w:rPr>
        <w:t>银行业金融机构</w:t>
      </w:r>
      <w:r>
        <w:rPr>
          <w:rFonts w:hint="eastAsia" w:ascii="仿宋_GB2312" w:hAnsi="仿宋_GB2312" w:eastAsia="宋体" w:cs="仿宋_GB2312"/>
          <w:color w:val="auto"/>
          <w:szCs w:val="32"/>
        </w:rPr>
        <w:t>联系方式，可在中征应收账款融资服务平台查询</w:t>
      </w:r>
      <w:r>
        <w:rPr>
          <w:rFonts w:hint="eastAsia" w:ascii="仿宋_GB2312" w:hAnsi="仿宋_GB2312" w:eastAsia="宋体" w:cs="仿宋_GB2312"/>
          <w:color w:val="auto"/>
          <w:szCs w:val="32"/>
          <w:lang w:eastAsia="zh-CN"/>
        </w:rPr>
        <w:t>（网址：</w:t>
      </w:r>
      <w:r>
        <w:rPr>
          <w:rFonts w:hint="eastAsia" w:ascii="仿宋_GB2312" w:hAnsi="仿宋_GB2312" w:eastAsia="宋体" w:cs="仿宋_GB2312"/>
          <w:color w:val="auto"/>
          <w:szCs w:val="32"/>
          <w:lang w:eastAsia="zh-CN"/>
        </w:rPr>
        <w:fldChar w:fldCharType="begin"/>
      </w:r>
      <w:r>
        <w:rPr>
          <w:rFonts w:hint="eastAsia" w:ascii="仿宋_GB2312" w:hAnsi="仿宋_GB2312" w:eastAsia="宋体" w:cs="仿宋_GB2312"/>
          <w:color w:val="auto"/>
          <w:szCs w:val="32"/>
          <w:lang w:eastAsia="zh-CN"/>
        </w:rPr>
        <w:instrText xml:space="preserve"> HYPERLINK "https://www.crcrfsp.com/" </w:instrText>
      </w:r>
      <w:r>
        <w:rPr>
          <w:rFonts w:hint="eastAsia" w:ascii="仿宋_GB2312" w:hAnsi="仿宋_GB2312" w:eastAsia="宋体" w:cs="仿宋_GB2312"/>
          <w:color w:val="auto"/>
          <w:szCs w:val="32"/>
          <w:lang w:eastAsia="zh-CN"/>
        </w:rPr>
        <w:fldChar w:fldCharType="separate"/>
      </w:r>
      <w:r>
        <w:rPr>
          <w:rFonts w:hint="eastAsia" w:ascii="仿宋_GB2312" w:hAnsi="仿宋_GB2312" w:eastAsia="宋体" w:cs="仿宋_GB2312"/>
          <w:color w:val="auto"/>
          <w:szCs w:val="32"/>
          <w:lang w:eastAsia="zh-CN"/>
        </w:rPr>
        <w:t>https://www.crcrfsp.com/</w:t>
      </w:r>
      <w:r>
        <w:rPr>
          <w:rFonts w:hint="eastAsia" w:ascii="仿宋_GB2312" w:hAnsi="仿宋_GB2312" w:eastAsia="宋体" w:cs="仿宋_GB2312"/>
          <w:color w:val="auto"/>
          <w:szCs w:val="32"/>
          <w:lang w:eastAsia="zh-CN"/>
        </w:rPr>
        <w:fldChar w:fldCharType="end"/>
      </w:r>
      <w:r>
        <w:rPr>
          <w:rFonts w:hint="eastAsia" w:ascii="仿宋_GB2312" w:hAnsi="仿宋_GB2312" w:eastAsia="宋体" w:cs="仿宋_GB2312"/>
          <w:color w:val="auto"/>
          <w:szCs w:val="32"/>
          <w:lang w:eastAsia="zh-CN"/>
        </w:rPr>
        <w:t>，客服电话：</w:t>
      </w:r>
      <w:r>
        <w:rPr>
          <w:rFonts w:hint="eastAsia" w:ascii="仿宋_GB2312" w:hAnsi="仿宋_GB2312" w:eastAsia="宋体" w:cs="仿宋_GB2312"/>
          <w:color w:val="auto"/>
          <w:szCs w:val="32"/>
          <w:lang w:val="en-US" w:eastAsia="zh-CN"/>
        </w:rPr>
        <w:t>400-009-0001</w:t>
      </w:r>
      <w:r>
        <w:rPr>
          <w:rFonts w:hint="eastAsia" w:ascii="仿宋_GB2312" w:hAnsi="仿宋_GB2312" w:eastAsia="宋体" w:cs="仿宋_GB2312"/>
          <w:color w:val="auto"/>
          <w:szCs w:val="32"/>
          <w:lang w:eastAsia="zh-CN"/>
        </w:rPr>
        <w:t>）</w:t>
      </w:r>
    </w:p>
    <w:p w14:paraId="59520613">
      <w:pPr>
        <w:pStyle w:val="20"/>
        <w:ind w:left="479" w:leftChars="114" w:hanging="240" w:hangingChars="100"/>
        <w:rPr>
          <w:rFonts w:hint="default" w:hAnsi="宋体" w:eastAsia="宋体"/>
          <w:color w:val="auto"/>
          <w:highlight w:val="none"/>
          <w:lang w:val="en-US" w:eastAsia="zh-CN"/>
        </w:rPr>
      </w:pPr>
    </w:p>
    <w:p w14:paraId="08F60275">
      <w:pPr>
        <w:pStyle w:val="20"/>
        <w:ind w:left="479" w:leftChars="114" w:hanging="240" w:hangingChars="100"/>
        <w:rPr>
          <w:rFonts w:hint="eastAsia" w:hAnsi="宋体"/>
          <w:color w:val="auto"/>
          <w:highlight w:val="none"/>
        </w:rPr>
      </w:pPr>
    </w:p>
    <w:p w14:paraId="0C2F250D">
      <w:pPr>
        <w:pStyle w:val="26"/>
        <w:snapToGrid w:val="0"/>
        <w:spacing w:before="120" w:after="120"/>
        <w:rPr>
          <w:rFonts w:hint="eastAsia" w:hAnsi="宋体"/>
          <w:color w:val="auto"/>
          <w:highlight w:val="none"/>
        </w:rPr>
      </w:pPr>
    </w:p>
    <w:p w14:paraId="0B13B989">
      <w:pPr>
        <w:pStyle w:val="26"/>
        <w:snapToGrid w:val="0"/>
        <w:spacing w:before="120" w:after="120"/>
        <w:rPr>
          <w:rFonts w:hint="eastAsia" w:hAnsi="宋体"/>
          <w:color w:val="auto"/>
          <w:highlight w:val="none"/>
        </w:rPr>
      </w:pPr>
    </w:p>
    <w:p w14:paraId="153BA4B1">
      <w:pPr>
        <w:pStyle w:val="26"/>
        <w:snapToGrid w:val="0"/>
        <w:spacing w:before="120" w:after="120"/>
        <w:rPr>
          <w:rFonts w:hint="eastAsia" w:hAnsi="宋体"/>
          <w:color w:val="auto"/>
          <w:highlight w:val="none"/>
        </w:rPr>
      </w:pPr>
    </w:p>
    <w:p w14:paraId="276F0B34">
      <w:pPr>
        <w:pStyle w:val="26"/>
        <w:snapToGrid w:val="0"/>
        <w:spacing w:before="120" w:after="120"/>
        <w:rPr>
          <w:rFonts w:hint="eastAsia" w:hAnsi="宋体"/>
          <w:color w:val="auto"/>
          <w:highlight w:val="none"/>
        </w:rPr>
      </w:pPr>
    </w:p>
    <w:p w14:paraId="0C2BCC75">
      <w:pPr>
        <w:pStyle w:val="26"/>
        <w:snapToGrid w:val="0"/>
        <w:spacing w:before="120" w:after="120"/>
        <w:rPr>
          <w:rFonts w:hint="eastAsia" w:hAnsi="宋体"/>
          <w:color w:val="auto"/>
          <w:highlight w:val="none"/>
        </w:rPr>
      </w:pPr>
    </w:p>
    <w:p w14:paraId="08B48851">
      <w:pPr>
        <w:rPr>
          <w:rFonts w:hint="eastAsia"/>
          <w:color w:val="auto"/>
        </w:rPr>
      </w:pPr>
      <w:bookmarkStart w:id="135" w:name="_Toc254970689"/>
      <w:bookmarkStart w:id="136" w:name="_Toc254970548"/>
      <w:bookmarkStart w:id="137" w:name="_Toc21131"/>
      <w:bookmarkStart w:id="138" w:name="_Toc330456896"/>
    </w:p>
    <w:p w14:paraId="5B49ADC6">
      <w:pPr>
        <w:rPr>
          <w:rFonts w:hint="eastAsia"/>
          <w:color w:val="auto"/>
        </w:rPr>
      </w:pPr>
    </w:p>
    <w:p w14:paraId="2AD77554">
      <w:pPr>
        <w:rPr>
          <w:rFonts w:hint="eastAsia"/>
          <w:color w:val="auto"/>
        </w:rPr>
      </w:pPr>
    </w:p>
    <w:p w14:paraId="07D4C90A">
      <w:pPr>
        <w:rPr>
          <w:rFonts w:hint="eastAsia"/>
          <w:color w:val="auto"/>
        </w:rPr>
      </w:pPr>
    </w:p>
    <w:p w14:paraId="71B38493">
      <w:pPr>
        <w:rPr>
          <w:rFonts w:hint="eastAsia"/>
          <w:color w:val="auto"/>
        </w:rPr>
      </w:pPr>
    </w:p>
    <w:p w14:paraId="1F230AAC">
      <w:pPr>
        <w:rPr>
          <w:rFonts w:hint="eastAsia"/>
          <w:color w:val="auto"/>
        </w:rPr>
      </w:pPr>
    </w:p>
    <w:p w14:paraId="302A66CD">
      <w:pPr>
        <w:rPr>
          <w:rFonts w:hint="eastAsia"/>
          <w:color w:val="auto"/>
        </w:rPr>
      </w:pPr>
    </w:p>
    <w:p w14:paraId="3902CD5C">
      <w:pPr>
        <w:rPr>
          <w:rFonts w:hint="eastAsia"/>
          <w:color w:val="auto"/>
        </w:rPr>
      </w:pPr>
    </w:p>
    <w:p w14:paraId="010F92D7">
      <w:pPr>
        <w:rPr>
          <w:rFonts w:hint="eastAsia"/>
          <w:color w:val="auto"/>
        </w:rPr>
      </w:pPr>
    </w:p>
    <w:p w14:paraId="72E6B36B">
      <w:pPr>
        <w:rPr>
          <w:rFonts w:hint="eastAsia"/>
          <w:color w:val="auto"/>
        </w:rPr>
      </w:pPr>
    </w:p>
    <w:p w14:paraId="48177C83">
      <w:pPr>
        <w:rPr>
          <w:rFonts w:hint="eastAsia"/>
          <w:color w:val="auto"/>
        </w:rPr>
      </w:pPr>
    </w:p>
    <w:p w14:paraId="61F2B97E">
      <w:pPr>
        <w:rPr>
          <w:rFonts w:hint="eastAsia"/>
          <w:color w:val="auto"/>
        </w:rPr>
      </w:pPr>
    </w:p>
    <w:p w14:paraId="31C4EC24">
      <w:pPr>
        <w:rPr>
          <w:rFonts w:hint="eastAsia"/>
          <w:color w:val="auto"/>
        </w:rPr>
      </w:pPr>
    </w:p>
    <w:p w14:paraId="277F696F">
      <w:pPr>
        <w:rPr>
          <w:rFonts w:hint="eastAsia"/>
          <w:color w:val="auto"/>
        </w:rPr>
      </w:pPr>
    </w:p>
    <w:p w14:paraId="09E76015">
      <w:pPr>
        <w:rPr>
          <w:rFonts w:hint="eastAsia"/>
          <w:color w:val="auto"/>
        </w:rPr>
      </w:pPr>
    </w:p>
    <w:p w14:paraId="7A4840B8">
      <w:pPr>
        <w:rPr>
          <w:rFonts w:hint="eastAsia"/>
          <w:color w:val="auto"/>
        </w:rPr>
      </w:pPr>
    </w:p>
    <w:p w14:paraId="167A082C">
      <w:pPr>
        <w:rPr>
          <w:rFonts w:hint="eastAsia"/>
          <w:color w:val="auto"/>
        </w:rPr>
      </w:pPr>
    </w:p>
    <w:p w14:paraId="13B7A076">
      <w:pPr>
        <w:pStyle w:val="94"/>
        <w:rPr>
          <w:rFonts w:hint="eastAsia"/>
          <w:color w:val="auto"/>
        </w:rPr>
      </w:pPr>
    </w:p>
    <w:p w14:paraId="75FD373F">
      <w:pPr>
        <w:pStyle w:val="94"/>
        <w:rPr>
          <w:rFonts w:hint="eastAsia"/>
          <w:color w:val="auto"/>
        </w:rPr>
      </w:pPr>
    </w:p>
    <w:p w14:paraId="0CFBCAE5">
      <w:pPr>
        <w:pStyle w:val="94"/>
        <w:rPr>
          <w:rFonts w:hint="eastAsia"/>
          <w:color w:val="auto"/>
        </w:rPr>
      </w:pPr>
    </w:p>
    <w:p w14:paraId="7C1C2955">
      <w:pPr>
        <w:pStyle w:val="94"/>
        <w:rPr>
          <w:rFonts w:hint="eastAsia"/>
          <w:color w:val="auto"/>
        </w:rPr>
      </w:pPr>
    </w:p>
    <w:p w14:paraId="3489BC3E">
      <w:pPr>
        <w:pStyle w:val="94"/>
        <w:rPr>
          <w:rFonts w:hint="eastAsia"/>
          <w:color w:val="auto"/>
        </w:rPr>
      </w:pPr>
    </w:p>
    <w:p w14:paraId="44457A28">
      <w:pPr>
        <w:pStyle w:val="94"/>
        <w:rPr>
          <w:rFonts w:hint="eastAsia"/>
          <w:color w:val="auto"/>
        </w:rPr>
      </w:pPr>
    </w:p>
    <w:p w14:paraId="7D163E1C">
      <w:pPr>
        <w:pStyle w:val="94"/>
        <w:rPr>
          <w:rFonts w:hint="eastAsia"/>
          <w:color w:val="auto"/>
        </w:rPr>
      </w:pPr>
    </w:p>
    <w:p w14:paraId="0D7F9C40">
      <w:pPr>
        <w:rPr>
          <w:rFonts w:hint="eastAsia"/>
          <w:color w:val="auto"/>
        </w:rPr>
      </w:pPr>
    </w:p>
    <w:p w14:paraId="565A7E89">
      <w:pPr>
        <w:rPr>
          <w:rFonts w:hint="eastAsia"/>
          <w:color w:val="auto"/>
        </w:rPr>
      </w:pPr>
    </w:p>
    <w:p w14:paraId="63B9543F">
      <w:pPr>
        <w:rPr>
          <w:rFonts w:hint="eastAsia"/>
          <w:color w:val="auto"/>
        </w:rPr>
      </w:pPr>
    </w:p>
    <w:p w14:paraId="38CC2144">
      <w:pPr>
        <w:pStyle w:val="2"/>
        <w:jc w:val="both"/>
        <w:rPr>
          <w:rFonts w:hint="eastAsia"/>
          <w:color w:val="auto"/>
          <w:highlight w:val="none"/>
        </w:rPr>
      </w:pPr>
    </w:p>
    <w:p w14:paraId="03369589">
      <w:pPr>
        <w:rPr>
          <w:rFonts w:hint="eastAsia"/>
          <w:color w:val="auto"/>
          <w:highlight w:val="none"/>
        </w:rPr>
      </w:pPr>
    </w:p>
    <w:p w14:paraId="6078E180">
      <w:pPr>
        <w:rPr>
          <w:rFonts w:hint="eastAsia"/>
          <w:color w:val="auto"/>
          <w:highlight w:val="none"/>
        </w:rPr>
      </w:pPr>
    </w:p>
    <w:p w14:paraId="07E48DF2">
      <w:pPr>
        <w:rPr>
          <w:rFonts w:hint="eastAsia"/>
          <w:color w:val="auto"/>
          <w:highlight w:val="none"/>
        </w:rPr>
      </w:pPr>
    </w:p>
    <w:p w14:paraId="673221BE">
      <w:pPr>
        <w:rPr>
          <w:rFonts w:hint="eastAsia"/>
          <w:color w:val="auto"/>
          <w:highlight w:val="none"/>
        </w:rPr>
      </w:pPr>
    </w:p>
    <w:p w14:paraId="7B5154A3">
      <w:pPr>
        <w:rPr>
          <w:rFonts w:hint="eastAsia"/>
          <w:color w:val="auto"/>
          <w:highlight w:val="none"/>
        </w:rPr>
      </w:pPr>
    </w:p>
    <w:p w14:paraId="211B34A3">
      <w:pPr>
        <w:rPr>
          <w:rFonts w:hint="eastAsia"/>
          <w:color w:val="auto"/>
          <w:highlight w:val="none"/>
        </w:rPr>
      </w:pPr>
    </w:p>
    <w:p w14:paraId="0CF9E1E9">
      <w:pPr>
        <w:rPr>
          <w:rFonts w:hint="eastAsia"/>
          <w:color w:val="auto"/>
          <w:highlight w:val="none"/>
        </w:rPr>
      </w:pPr>
    </w:p>
    <w:p w14:paraId="2E2AD3B2">
      <w:pPr>
        <w:rPr>
          <w:rFonts w:hint="eastAsia"/>
          <w:color w:val="auto"/>
          <w:highlight w:val="none"/>
        </w:rPr>
      </w:pPr>
    </w:p>
    <w:p w14:paraId="4869DB77">
      <w:pPr>
        <w:rPr>
          <w:rFonts w:hint="eastAsia"/>
          <w:color w:val="auto"/>
          <w:highlight w:val="none"/>
        </w:rPr>
      </w:pPr>
    </w:p>
    <w:p w14:paraId="27235B8C">
      <w:pPr>
        <w:rPr>
          <w:rFonts w:hint="eastAsia"/>
          <w:color w:val="auto"/>
          <w:highlight w:val="none"/>
        </w:rPr>
      </w:pPr>
    </w:p>
    <w:p w14:paraId="000FE6D7">
      <w:pPr>
        <w:rPr>
          <w:rFonts w:hint="eastAsia"/>
          <w:color w:val="auto"/>
          <w:highlight w:val="none"/>
        </w:rPr>
      </w:pPr>
    </w:p>
    <w:p w14:paraId="6CD8AA97">
      <w:pPr>
        <w:rPr>
          <w:rFonts w:hint="eastAsia"/>
          <w:color w:val="auto"/>
          <w:highlight w:val="none"/>
        </w:rPr>
      </w:pPr>
    </w:p>
    <w:p w14:paraId="24571F8A">
      <w:pPr>
        <w:pStyle w:val="2"/>
        <w:jc w:val="center"/>
        <w:rPr>
          <w:rFonts w:hint="eastAsia"/>
          <w:color w:val="auto"/>
          <w:highlight w:val="none"/>
        </w:rPr>
      </w:pPr>
      <w:r>
        <w:rPr>
          <w:rFonts w:hint="eastAsia"/>
          <w:color w:val="auto"/>
          <w:highlight w:val="none"/>
        </w:rPr>
        <w:t>第四章  评标方法及评标标准</w:t>
      </w:r>
      <w:bookmarkEnd w:id="135"/>
      <w:bookmarkEnd w:id="136"/>
      <w:bookmarkEnd w:id="137"/>
      <w:bookmarkEnd w:id="138"/>
    </w:p>
    <w:p w14:paraId="777AC65F">
      <w:pPr>
        <w:pStyle w:val="26"/>
        <w:spacing w:before="120" w:after="120"/>
        <w:outlineLvl w:val="0"/>
        <w:rPr>
          <w:rFonts w:hint="eastAsia" w:hAnsi="宋体"/>
          <w:b/>
          <w:color w:val="auto"/>
          <w:highlight w:val="none"/>
        </w:rPr>
      </w:pPr>
      <w:bookmarkStart w:id="139" w:name="_Toc254970549"/>
      <w:bookmarkStart w:id="140" w:name="_Toc254970690"/>
    </w:p>
    <w:bookmarkEnd w:id="139"/>
    <w:bookmarkEnd w:id="140"/>
    <w:p w14:paraId="1C35DD00">
      <w:pPr>
        <w:pStyle w:val="26"/>
        <w:spacing w:before="120" w:after="120"/>
        <w:outlineLvl w:val="0"/>
        <w:rPr>
          <w:rFonts w:hint="eastAsia" w:hAnsi="宋体"/>
          <w:bCs/>
          <w:color w:val="auto"/>
          <w:sz w:val="32"/>
          <w:szCs w:val="32"/>
          <w:highlight w:val="none"/>
        </w:rPr>
      </w:pPr>
    </w:p>
    <w:p w14:paraId="7332415D">
      <w:pPr>
        <w:pStyle w:val="26"/>
        <w:spacing w:before="120" w:after="120"/>
        <w:outlineLvl w:val="0"/>
        <w:rPr>
          <w:rFonts w:hint="eastAsia" w:hAnsi="宋体"/>
          <w:bCs/>
          <w:color w:val="auto"/>
          <w:sz w:val="32"/>
          <w:szCs w:val="32"/>
          <w:highlight w:val="none"/>
        </w:rPr>
      </w:pPr>
    </w:p>
    <w:p w14:paraId="7A60E6D8">
      <w:pPr>
        <w:pStyle w:val="26"/>
        <w:spacing w:before="120" w:after="120"/>
        <w:outlineLvl w:val="0"/>
        <w:rPr>
          <w:rFonts w:hint="eastAsia" w:hAnsi="宋体"/>
          <w:bCs/>
          <w:color w:val="auto"/>
          <w:sz w:val="32"/>
          <w:szCs w:val="32"/>
          <w:highlight w:val="none"/>
        </w:rPr>
      </w:pPr>
    </w:p>
    <w:p w14:paraId="49BD02FD">
      <w:pPr>
        <w:spacing w:before="120" w:beforeLines="50" w:after="120" w:afterLines="50" w:line="400" w:lineRule="exact"/>
        <w:rPr>
          <w:rFonts w:hint="eastAsia" w:ascii="宋体" w:hAnsi="宋体"/>
          <w:b/>
          <w:color w:val="auto"/>
          <w:sz w:val="24"/>
          <w:highlight w:val="none"/>
        </w:rPr>
      </w:pPr>
    </w:p>
    <w:p w14:paraId="6454E0F6">
      <w:pPr>
        <w:spacing w:before="120" w:beforeLines="50" w:after="120" w:afterLines="50" w:line="400" w:lineRule="exact"/>
        <w:rPr>
          <w:rFonts w:hint="eastAsia" w:ascii="宋体" w:hAnsi="宋体"/>
          <w:b/>
          <w:color w:val="auto"/>
          <w:sz w:val="24"/>
          <w:highlight w:val="none"/>
        </w:rPr>
      </w:pPr>
    </w:p>
    <w:p w14:paraId="5674A96F">
      <w:pPr>
        <w:spacing w:before="120" w:beforeLines="50" w:after="120" w:afterLines="50" w:line="400" w:lineRule="exact"/>
        <w:rPr>
          <w:rFonts w:hint="eastAsia" w:ascii="宋体" w:hAnsi="宋体"/>
          <w:b/>
          <w:color w:val="auto"/>
          <w:sz w:val="24"/>
          <w:highlight w:val="none"/>
        </w:rPr>
      </w:pPr>
    </w:p>
    <w:p w14:paraId="361FF3CD">
      <w:pPr>
        <w:spacing w:before="120" w:beforeLines="50" w:after="120" w:afterLines="50" w:line="400" w:lineRule="exact"/>
        <w:rPr>
          <w:rFonts w:hint="eastAsia" w:ascii="宋体" w:hAnsi="宋体"/>
          <w:b/>
          <w:color w:val="auto"/>
          <w:sz w:val="24"/>
          <w:highlight w:val="none"/>
        </w:rPr>
      </w:pPr>
    </w:p>
    <w:p w14:paraId="200FB2BD">
      <w:pPr>
        <w:spacing w:before="120" w:beforeLines="50" w:after="120" w:afterLines="50" w:line="400" w:lineRule="exact"/>
        <w:rPr>
          <w:rFonts w:hint="eastAsia" w:ascii="宋体" w:hAnsi="宋体"/>
          <w:b/>
          <w:color w:val="auto"/>
          <w:sz w:val="24"/>
          <w:highlight w:val="none"/>
        </w:rPr>
      </w:pPr>
    </w:p>
    <w:p w14:paraId="0865D771">
      <w:pPr>
        <w:pStyle w:val="26"/>
        <w:spacing w:line="360" w:lineRule="exact"/>
        <w:rPr>
          <w:rFonts w:hint="default" w:hAnsi="宋体" w:eastAsia="宋体"/>
          <w:b/>
          <w:color w:val="auto"/>
          <w:sz w:val="24"/>
          <w:highlight w:val="none"/>
          <w:lang w:val="en-US" w:eastAsia="zh-CN"/>
        </w:rPr>
      </w:pPr>
      <w:r>
        <w:rPr>
          <w:rFonts w:hint="eastAsia" w:hAnsi="宋体"/>
          <w:b/>
          <w:color w:val="auto"/>
          <w:sz w:val="24"/>
          <w:highlight w:val="none"/>
          <w:lang w:val="en-US" w:eastAsia="zh-CN"/>
        </w:rPr>
        <w:t xml:space="preserve">                                   </w:t>
      </w:r>
    </w:p>
    <w:p w14:paraId="6EFFB1DE">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1429B6C">
      <w:pPr>
        <w:pStyle w:val="26"/>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5F4C050C">
      <w:pPr>
        <w:pStyle w:val="26"/>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19E39593">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7B7D939">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符合性审查</w:t>
      </w:r>
    </w:p>
    <w:p w14:paraId="292D973E">
      <w:pPr>
        <w:pStyle w:val="26"/>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71FB4C1F">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0FA264D">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6DACAAE">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360A9ED">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576A2BD7">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82C2457">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3C3752F4">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DB72FBB">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EAF2AB9">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30A92C6">
      <w:pPr>
        <w:pStyle w:val="6"/>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BCFE23D">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448E15AE">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E19C97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3D7A691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58705CC">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6DC959C7">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587E817">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DFAFC3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DB7898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4D7E431">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6F22AED7">
      <w:pPr>
        <w:numPr>
          <w:ilvl w:val="0"/>
          <w:numId w:val="6"/>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5021FCD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5C830CD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184B0C65">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9844A87">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3EB2B827">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0B4855D7">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3396CB48">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1E5EA5E0">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1"/>
    </w:p>
    <w:p w14:paraId="3E600AE6">
      <w:pPr>
        <w:pStyle w:val="21"/>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40F4D42C">
      <w:pPr>
        <w:pStyle w:val="21"/>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6DD09F0B">
      <w:pPr>
        <w:pStyle w:val="7"/>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A42D4B4">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71961BC3">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3BBE02D">
      <w:pPr>
        <w:pStyle w:val="7"/>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391A178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7CE5BBB5">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8AC5542">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EC0215D">
      <w:pPr>
        <w:pStyle w:val="26"/>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DB54BF4">
      <w:pPr>
        <w:pStyle w:val="26"/>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681E32BE">
      <w:pPr>
        <w:pStyle w:val="7"/>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4D6472C">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94CFFC1">
      <w:pPr>
        <w:pStyle w:val="7"/>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05B5EB3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8206AB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32F751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37CF20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根据《关于推动解决政府采购异常低价问题的通知》（财库〔2026〕2号）的规定，评审中出现下列情形之一的，</w:t>
      </w:r>
      <w:r>
        <w:rPr>
          <w:rFonts w:hint="eastAsia" w:ascii="宋体" w:hAnsi="宋体"/>
          <w:color w:val="auto"/>
          <w:szCs w:val="21"/>
          <w:highlight w:val="none"/>
          <w:lang w:val="en-US" w:eastAsia="zh-CN"/>
        </w:rPr>
        <w:t>评标委员会</w:t>
      </w:r>
      <w:r>
        <w:rPr>
          <w:rFonts w:hint="eastAsia" w:ascii="宋体" w:hAnsi="宋体"/>
          <w:color w:val="auto"/>
          <w:szCs w:val="21"/>
          <w:highlight w:val="none"/>
        </w:rPr>
        <w:t>应当启动异常低价投标审查程序：</w:t>
      </w:r>
    </w:p>
    <w:p w14:paraId="0D9BD1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1 \* GB3 </w:instrText>
      </w:r>
      <w:r>
        <w:rPr>
          <w:rFonts w:hint="eastAsia" w:ascii="宋体" w:hAnsi="宋体"/>
          <w:color w:val="auto"/>
          <w:szCs w:val="21"/>
          <w:highlight w:val="none"/>
        </w:rPr>
        <w:fldChar w:fldCharType="separate"/>
      </w:r>
      <w:r>
        <w:rPr>
          <w:rFonts w:hint="eastAsia" w:ascii="宋体" w:hAnsi="宋体"/>
          <w:color w:val="auto"/>
          <w:szCs w:val="21"/>
          <w:highlight w:val="none"/>
        </w:rPr>
        <w:t>①</w:t>
      </w:r>
      <w:r>
        <w:rPr>
          <w:rFonts w:hint="eastAsia" w:ascii="宋体" w:hAnsi="宋体"/>
          <w:color w:val="auto"/>
          <w:szCs w:val="21"/>
          <w:highlight w:val="none"/>
        </w:rPr>
        <w:fldChar w:fldCharType="end"/>
      </w:r>
      <w:r>
        <w:rPr>
          <w:rFonts w:hint="eastAsia" w:ascii="宋体" w:hAnsi="宋体"/>
          <w:color w:val="auto"/>
          <w:szCs w:val="21"/>
          <w:highlight w:val="none"/>
        </w:rPr>
        <w:t xml:space="preserve"> 投标报价低于全部通过符合性审查供应商投标报价平均值50%的，即投标报价＜全部通过符合性审查供应商投标报价平均值×50%；</w:t>
      </w:r>
    </w:p>
    <w:p w14:paraId="451567C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2 \* GB3 </w:instrText>
      </w:r>
      <w:r>
        <w:rPr>
          <w:rFonts w:hint="eastAsia" w:ascii="宋体" w:hAnsi="宋体"/>
          <w:color w:val="auto"/>
          <w:szCs w:val="21"/>
          <w:highlight w:val="none"/>
        </w:rPr>
        <w:fldChar w:fldCharType="separate"/>
      </w:r>
      <w:r>
        <w:rPr>
          <w:rFonts w:hint="eastAsia" w:ascii="宋体" w:hAnsi="宋体"/>
          <w:color w:val="auto"/>
          <w:szCs w:val="21"/>
          <w:highlight w:val="none"/>
        </w:rPr>
        <w:t>②</w:t>
      </w:r>
      <w:r>
        <w:rPr>
          <w:rFonts w:hint="eastAsia" w:ascii="宋体" w:hAnsi="宋体"/>
          <w:color w:val="auto"/>
          <w:szCs w:val="21"/>
          <w:highlight w:val="none"/>
        </w:rPr>
        <w:fldChar w:fldCharType="end"/>
      </w:r>
      <w:r>
        <w:rPr>
          <w:rFonts w:hint="eastAsia" w:ascii="宋体" w:hAnsi="宋体"/>
          <w:color w:val="auto"/>
          <w:szCs w:val="21"/>
          <w:highlight w:val="none"/>
        </w:rPr>
        <w:t>投标报价低于通过符合性审查的次低报价供应商投标报价50%的，即投标报价＜通过符合性审查的次低报价供应商投标报价×50%；</w:t>
      </w:r>
    </w:p>
    <w:p w14:paraId="153A589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3 \* GB3 </w:instrText>
      </w:r>
      <w:r>
        <w:rPr>
          <w:rFonts w:hint="eastAsia" w:ascii="宋体" w:hAnsi="宋体"/>
          <w:color w:val="auto"/>
          <w:szCs w:val="21"/>
          <w:highlight w:val="none"/>
        </w:rPr>
        <w:fldChar w:fldCharType="separate"/>
      </w:r>
      <w:r>
        <w:rPr>
          <w:rFonts w:hint="eastAsia" w:ascii="宋体" w:hAnsi="宋体"/>
          <w:color w:val="auto"/>
          <w:szCs w:val="21"/>
          <w:highlight w:val="none"/>
        </w:rPr>
        <w:t>③</w:t>
      </w:r>
      <w:r>
        <w:rPr>
          <w:rFonts w:hint="eastAsia" w:ascii="宋体" w:hAnsi="宋体"/>
          <w:color w:val="auto"/>
          <w:szCs w:val="21"/>
          <w:highlight w:val="none"/>
        </w:rPr>
        <w:fldChar w:fldCharType="end"/>
      </w:r>
      <w:r>
        <w:rPr>
          <w:rFonts w:hint="eastAsia" w:ascii="宋体" w:hAnsi="宋体"/>
          <w:color w:val="auto"/>
          <w:szCs w:val="21"/>
          <w:highlight w:val="none"/>
        </w:rPr>
        <w:t>投标报价低于采购项目最高限价</w:t>
      </w:r>
      <w:r>
        <w:rPr>
          <w:rFonts w:hint="eastAsia" w:ascii="宋体" w:hAnsi="宋体"/>
          <w:color w:val="auto"/>
          <w:szCs w:val="21"/>
          <w:highlight w:val="none"/>
          <w:lang w:val="en-US" w:eastAsia="zh-CN"/>
        </w:rPr>
        <w:t>45</w:t>
      </w:r>
      <w:r>
        <w:rPr>
          <w:rFonts w:hint="eastAsia" w:ascii="宋体" w:hAnsi="宋体"/>
          <w:color w:val="auto"/>
          <w:szCs w:val="21"/>
          <w:highlight w:val="none"/>
        </w:rPr>
        <w:t>%的，即投标报价＜采购项目最高限价×</w:t>
      </w:r>
      <w:r>
        <w:rPr>
          <w:rFonts w:hint="eastAsia" w:ascii="宋体" w:hAnsi="宋体"/>
          <w:color w:val="auto"/>
          <w:szCs w:val="21"/>
          <w:highlight w:val="none"/>
          <w:lang w:val="en-US" w:eastAsia="zh-CN"/>
        </w:rPr>
        <w:t>45</w:t>
      </w:r>
      <w:r>
        <w:rPr>
          <w:rFonts w:hint="eastAsia" w:ascii="宋体" w:hAnsi="宋体"/>
          <w:color w:val="auto"/>
          <w:szCs w:val="21"/>
          <w:highlight w:val="none"/>
        </w:rPr>
        <w:t>%；</w:t>
      </w:r>
    </w:p>
    <w:p w14:paraId="3528856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4 \* GB3 </w:instrText>
      </w:r>
      <w:r>
        <w:rPr>
          <w:rFonts w:hint="eastAsia" w:ascii="宋体" w:hAnsi="宋体"/>
          <w:color w:val="auto"/>
          <w:szCs w:val="21"/>
          <w:highlight w:val="none"/>
        </w:rPr>
        <w:fldChar w:fldCharType="separate"/>
      </w:r>
      <w:r>
        <w:rPr>
          <w:rFonts w:hint="eastAsia" w:ascii="宋体" w:hAnsi="宋体"/>
          <w:color w:val="auto"/>
          <w:szCs w:val="21"/>
          <w:highlight w:val="none"/>
        </w:rPr>
        <w:t>④</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评标委员会</w:t>
      </w:r>
      <w:r>
        <w:rPr>
          <w:rFonts w:hint="eastAsia" w:ascii="宋体" w:hAnsi="宋体"/>
          <w:color w:val="auto"/>
          <w:szCs w:val="21"/>
          <w:highlight w:val="none"/>
        </w:rPr>
        <w:t>基于专业判断，认为供应商报价过低，有可能影响产品质量或者不能诚信履约的其他情形。</w:t>
      </w:r>
    </w:p>
    <w:p w14:paraId="13225C1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评标委员会</w:t>
      </w:r>
      <w:r>
        <w:rPr>
          <w:rFonts w:hint="eastAsia" w:ascii="宋体" w:hAnsi="宋体"/>
          <w:color w:val="auto"/>
          <w:szCs w:val="21"/>
          <w:highlight w:val="none"/>
        </w:rPr>
        <w:t>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w:t>
      </w:r>
      <w:r>
        <w:rPr>
          <w:rFonts w:hint="eastAsia" w:ascii="宋体" w:hAnsi="宋体"/>
          <w:color w:val="auto"/>
          <w:szCs w:val="21"/>
          <w:highlight w:val="none"/>
          <w:lang w:val="en-US" w:eastAsia="zh-CN"/>
        </w:rPr>
        <w:t>标</w:t>
      </w:r>
      <w:r>
        <w:rPr>
          <w:rFonts w:hint="eastAsia" w:ascii="宋体" w:hAnsi="宋体"/>
          <w:color w:val="auto"/>
          <w:szCs w:val="21"/>
          <w:highlight w:val="none"/>
        </w:rPr>
        <w:t>文件一并提交相关书面说明及必要的证明材料的，在评审现场可不再重复提交。</w:t>
      </w:r>
    </w:p>
    <w:p w14:paraId="74F241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评标委员会</w:t>
      </w:r>
      <w:r>
        <w:rPr>
          <w:rFonts w:hint="eastAsia" w:ascii="宋体" w:hAnsi="宋体"/>
          <w:color w:val="auto"/>
          <w:szCs w:val="21"/>
          <w:highlight w:val="none"/>
        </w:rPr>
        <w:t>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62C0D0A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12C4A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159FDD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2984563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C7FAA4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3CC94DD9">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AF1176F">
      <w:pPr>
        <w:snapToGrid w:val="0"/>
        <w:spacing w:line="360" w:lineRule="auto"/>
        <w:ind w:firstLine="396" w:firstLineChars="200"/>
        <w:rPr>
          <w:rFonts w:hint="eastAsia" w:ascii="宋体" w:hAnsi="宋体"/>
          <w:color w:val="auto"/>
          <w:szCs w:val="21"/>
          <w:highlight w:val="none"/>
        </w:rPr>
      </w:pPr>
      <w:r>
        <w:rPr>
          <w:rFonts w:hint="eastAsia" w:ascii="宋体" w:hAnsi="宋体"/>
          <w:color w:val="auto"/>
          <w:spacing w:val="-6"/>
          <w:szCs w:val="21"/>
          <w:highlight w:val="none"/>
        </w:rPr>
        <w:t>（2）</w:t>
      </w:r>
      <w:r>
        <w:rPr>
          <w:rFonts w:hint="eastAsia" w:ascii="宋体" w:hAnsi="宋体"/>
          <w:color w:val="auto"/>
          <w:szCs w:val="21"/>
          <w:highlight w:val="none"/>
        </w:rPr>
        <w:t>根据《关于推动解决政府采购异常低价问题的通知》（财库〔2026〕2号）的规定，评审中出现下列情形之一的，</w:t>
      </w:r>
      <w:r>
        <w:rPr>
          <w:rFonts w:hint="eastAsia" w:ascii="宋体" w:hAnsi="宋体"/>
          <w:color w:val="auto"/>
          <w:szCs w:val="21"/>
          <w:highlight w:val="none"/>
          <w:lang w:val="en-US" w:eastAsia="zh-CN"/>
        </w:rPr>
        <w:t>评标委员会</w:t>
      </w:r>
      <w:r>
        <w:rPr>
          <w:rFonts w:hint="eastAsia" w:ascii="宋体" w:hAnsi="宋体"/>
          <w:color w:val="auto"/>
          <w:szCs w:val="21"/>
          <w:highlight w:val="none"/>
        </w:rPr>
        <w:t>应当启动异常低价投标审查程序：</w:t>
      </w:r>
    </w:p>
    <w:p w14:paraId="13A3BAD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1 \* GB3 </w:instrText>
      </w:r>
      <w:r>
        <w:rPr>
          <w:rFonts w:hint="eastAsia" w:ascii="宋体" w:hAnsi="宋体"/>
          <w:color w:val="auto"/>
          <w:szCs w:val="21"/>
          <w:highlight w:val="none"/>
        </w:rPr>
        <w:fldChar w:fldCharType="separate"/>
      </w:r>
      <w:r>
        <w:rPr>
          <w:rFonts w:hint="eastAsia" w:ascii="宋体" w:hAnsi="宋体"/>
          <w:color w:val="auto"/>
          <w:szCs w:val="21"/>
          <w:highlight w:val="none"/>
        </w:rPr>
        <w:t>①</w:t>
      </w:r>
      <w:r>
        <w:rPr>
          <w:rFonts w:hint="eastAsia" w:ascii="宋体" w:hAnsi="宋体"/>
          <w:color w:val="auto"/>
          <w:szCs w:val="21"/>
          <w:highlight w:val="none"/>
        </w:rPr>
        <w:fldChar w:fldCharType="end"/>
      </w:r>
      <w:r>
        <w:rPr>
          <w:rFonts w:hint="eastAsia" w:ascii="宋体" w:hAnsi="宋体"/>
          <w:color w:val="auto"/>
          <w:szCs w:val="21"/>
          <w:highlight w:val="none"/>
        </w:rPr>
        <w:t>投标报价低于全部通过符合性审查供应商投标报价平均值50%的，即投标报价＜全部通过符合性审查供应商投标报价平均值×50%；</w:t>
      </w:r>
    </w:p>
    <w:p w14:paraId="4AEAD10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2 \* GB3 </w:instrText>
      </w:r>
      <w:r>
        <w:rPr>
          <w:rFonts w:hint="eastAsia" w:ascii="宋体" w:hAnsi="宋体"/>
          <w:color w:val="auto"/>
          <w:szCs w:val="21"/>
          <w:highlight w:val="none"/>
        </w:rPr>
        <w:fldChar w:fldCharType="separate"/>
      </w:r>
      <w:r>
        <w:rPr>
          <w:rFonts w:hint="eastAsia" w:ascii="宋体" w:hAnsi="宋体"/>
          <w:color w:val="auto"/>
          <w:szCs w:val="21"/>
          <w:highlight w:val="none"/>
        </w:rPr>
        <w:t>②</w:t>
      </w:r>
      <w:r>
        <w:rPr>
          <w:rFonts w:hint="eastAsia" w:ascii="宋体" w:hAnsi="宋体"/>
          <w:color w:val="auto"/>
          <w:szCs w:val="21"/>
          <w:highlight w:val="none"/>
        </w:rPr>
        <w:fldChar w:fldCharType="end"/>
      </w:r>
      <w:r>
        <w:rPr>
          <w:rFonts w:hint="eastAsia" w:ascii="宋体" w:hAnsi="宋体"/>
          <w:color w:val="auto"/>
          <w:szCs w:val="21"/>
          <w:highlight w:val="none"/>
        </w:rPr>
        <w:t>投标报价低于通过符合性审查的次低报价供应商投标报价50%的，即投标报价＜通过符合性审查的次低报价供应商投标报价×50%；</w:t>
      </w:r>
    </w:p>
    <w:p w14:paraId="47ABA06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3 \* GB3 </w:instrText>
      </w:r>
      <w:r>
        <w:rPr>
          <w:rFonts w:hint="eastAsia" w:ascii="宋体" w:hAnsi="宋体"/>
          <w:color w:val="auto"/>
          <w:szCs w:val="21"/>
          <w:highlight w:val="none"/>
        </w:rPr>
        <w:fldChar w:fldCharType="separate"/>
      </w:r>
      <w:r>
        <w:rPr>
          <w:rFonts w:hint="eastAsia" w:ascii="宋体" w:hAnsi="宋体"/>
          <w:color w:val="auto"/>
          <w:szCs w:val="21"/>
          <w:highlight w:val="none"/>
        </w:rPr>
        <w:t>③</w:t>
      </w:r>
      <w:r>
        <w:rPr>
          <w:rFonts w:hint="eastAsia" w:ascii="宋体" w:hAnsi="宋体"/>
          <w:color w:val="auto"/>
          <w:szCs w:val="21"/>
          <w:highlight w:val="none"/>
        </w:rPr>
        <w:fldChar w:fldCharType="end"/>
      </w:r>
      <w:r>
        <w:rPr>
          <w:rFonts w:hint="eastAsia" w:ascii="宋体" w:hAnsi="宋体"/>
          <w:color w:val="auto"/>
          <w:szCs w:val="21"/>
          <w:highlight w:val="none"/>
        </w:rPr>
        <w:t>投标报价低于采购项目最高限价</w:t>
      </w:r>
      <w:r>
        <w:rPr>
          <w:rFonts w:hint="eastAsia" w:ascii="宋体" w:hAnsi="宋体"/>
          <w:color w:val="auto"/>
          <w:szCs w:val="21"/>
          <w:highlight w:val="none"/>
          <w:lang w:val="en-US" w:eastAsia="zh-CN"/>
        </w:rPr>
        <w:t>45</w:t>
      </w:r>
      <w:r>
        <w:rPr>
          <w:rFonts w:hint="eastAsia" w:ascii="宋体" w:hAnsi="宋体"/>
          <w:color w:val="auto"/>
          <w:szCs w:val="21"/>
          <w:highlight w:val="none"/>
        </w:rPr>
        <w:t>%的，即投标报价＜采购项目最高限价×</w:t>
      </w:r>
      <w:r>
        <w:rPr>
          <w:rFonts w:hint="eastAsia" w:ascii="宋体" w:hAnsi="宋体"/>
          <w:color w:val="auto"/>
          <w:szCs w:val="21"/>
          <w:highlight w:val="none"/>
          <w:lang w:val="en-US" w:eastAsia="zh-CN"/>
        </w:rPr>
        <w:t>45</w:t>
      </w:r>
      <w:r>
        <w:rPr>
          <w:rFonts w:hint="eastAsia" w:ascii="宋体" w:hAnsi="宋体"/>
          <w:color w:val="auto"/>
          <w:szCs w:val="21"/>
          <w:highlight w:val="none"/>
        </w:rPr>
        <w:t>%；</w:t>
      </w:r>
    </w:p>
    <w:p w14:paraId="6CE6C65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4 \* GB3 </w:instrText>
      </w:r>
      <w:r>
        <w:rPr>
          <w:rFonts w:hint="eastAsia" w:ascii="宋体" w:hAnsi="宋体"/>
          <w:color w:val="auto"/>
          <w:szCs w:val="21"/>
          <w:highlight w:val="none"/>
        </w:rPr>
        <w:fldChar w:fldCharType="separate"/>
      </w:r>
      <w:r>
        <w:rPr>
          <w:rFonts w:hint="eastAsia" w:ascii="宋体" w:hAnsi="宋体"/>
          <w:color w:val="auto"/>
          <w:szCs w:val="21"/>
          <w:highlight w:val="none"/>
        </w:rPr>
        <w:t>④</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评标委员会</w:t>
      </w:r>
      <w:r>
        <w:rPr>
          <w:rFonts w:hint="eastAsia" w:ascii="宋体" w:hAnsi="宋体"/>
          <w:color w:val="auto"/>
          <w:szCs w:val="21"/>
          <w:highlight w:val="none"/>
        </w:rPr>
        <w:t>基于专业判断，认为供应商报价过低，有可能影响产品质量或者不能诚信履约的其他情形。</w:t>
      </w:r>
    </w:p>
    <w:p w14:paraId="7DC875B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评标委员会</w:t>
      </w:r>
      <w:r>
        <w:rPr>
          <w:rFonts w:hint="eastAsia" w:ascii="宋体" w:hAnsi="宋体"/>
          <w:color w:val="auto"/>
          <w:szCs w:val="21"/>
          <w:highlight w:val="none"/>
        </w:rPr>
        <w:t>启动异常低价投标审查后，属于前述第1项至第4项情形的，应当要求相关供应商在评审现场30分钟内对投标价格作出解释，提供项目具体成本测算等与报价合理性相关的书面说明及必要的证明材料，包括但不限于原材料成本、人工成本、制造费用等。其中，属于第3项情形，供应商已随投</w:t>
      </w:r>
      <w:r>
        <w:rPr>
          <w:rFonts w:hint="eastAsia" w:ascii="宋体" w:hAnsi="宋体"/>
          <w:color w:val="auto"/>
          <w:szCs w:val="21"/>
          <w:highlight w:val="none"/>
          <w:lang w:val="en-US" w:eastAsia="zh-CN"/>
        </w:rPr>
        <w:t>标</w:t>
      </w:r>
      <w:r>
        <w:rPr>
          <w:rFonts w:hint="eastAsia" w:ascii="宋体" w:hAnsi="宋体"/>
          <w:color w:val="auto"/>
          <w:szCs w:val="21"/>
          <w:highlight w:val="none"/>
        </w:rPr>
        <w:t>文件一并提交相关书面说明及必要的证明材料的，在评审现场可不再重复提交。</w:t>
      </w:r>
    </w:p>
    <w:p w14:paraId="15190F94">
      <w:pPr>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lang w:val="en-US" w:eastAsia="zh-CN"/>
        </w:rPr>
        <w:t>评标委员会</w:t>
      </w:r>
      <w:r>
        <w:rPr>
          <w:rFonts w:hint="eastAsia" w:ascii="宋体" w:hAnsi="宋体"/>
          <w:color w:val="auto"/>
          <w:szCs w:val="21"/>
          <w:highlight w:val="none"/>
        </w:rPr>
        <w:t>依据专业经验，参考同类项目中标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磋商小组应当将其作为无效响应处理。</w:t>
      </w:r>
    </w:p>
    <w:p w14:paraId="7E64E043">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50ECE92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20E8A35">
      <w:pPr>
        <w:jc w:val="center"/>
        <w:rPr>
          <w:rFonts w:hint="eastAsia"/>
          <w:b/>
          <w:bCs/>
          <w:sz w:val="36"/>
          <w:szCs w:val="36"/>
        </w:rPr>
      </w:pPr>
      <w:r>
        <w:rPr>
          <w:color w:val="auto"/>
          <w:highlight w:val="none"/>
        </w:rPr>
        <w:br w:type="page"/>
      </w:r>
      <w:r>
        <w:rPr>
          <w:b/>
          <w:bCs/>
          <w:sz w:val="36"/>
          <w:szCs w:val="36"/>
        </w:rPr>
        <w:t>三</w:t>
      </w:r>
      <w:r>
        <w:rPr>
          <w:rFonts w:hint="eastAsia"/>
          <w:b/>
          <w:bCs/>
          <w:sz w:val="36"/>
          <w:szCs w:val="36"/>
        </w:rPr>
        <w:t>、评标标准</w:t>
      </w:r>
    </w:p>
    <w:p w14:paraId="3F9AAA35">
      <w:pPr>
        <w:jc w:val="center"/>
        <w:rPr>
          <w:rFonts w:hint="eastAsia"/>
          <w:b/>
          <w:bCs/>
          <w:sz w:val="36"/>
          <w:szCs w:val="36"/>
        </w:rPr>
      </w:pPr>
    </w:p>
    <w:p w14:paraId="17B5AFA2">
      <w:pPr>
        <w:jc w:val="center"/>
        <w:rPr>
          <w:rFonts w:hint="default"/>
          <w:b/>
          <w:bCs/>
          <w:sz w:val="36"/>
          <w:szCs w:val="36"/>
          <w:lang w:val="en-US" w:eastAsia="zh-CN"/>
        </w:rPr>
      </w:pPr>
      <w:r>
        <w:rPr>
          <w:rFonts w:hint="eastAsia"/>
          <w:b/>
          <w:bCs/>
          <w:sz w:val="36"/>
          <w:szCs w:val="36"/>
        </w:rPr>
        <w:t>综合评分法</w:t>
      </w:r>
    </w:p>
    <w:tbl>
      <w:tblPr>
        <w:tblStyle w:val="50"/>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00"/>
        <w:gridCol w:w="1164"/>
        <w:gridCol w:w="709"/>
        <w:gridCol w:w="6135"/>
      </w:tblGrid>
      <w:tr w14:paraId="5BF7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965BF80">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E3CF48">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FE69177">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619EA5">
            <w:pPr>
              <w:widowControl/>
              <w:spacing w:line="40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c>
          <w:tcPr>
            <w:tcW w:w="6135" w:type="dxa"/>
            <w:tcBorders>
              <w:top w:val="single" w:color="auto" w:sz="4" w:space="0"/>
              <w:left w:val="single" w:color="auto" w:sz="4" w:space="0"/>
              <w:bottom w:val="single" w:color="auto" w:sz="4" w:space="0"/>
              <w:right w:val="single" w:color="auto" w:sz="4" w:space="0"/>
            </w:tcBorders>
            <w:noWrap w:val="0"/>
            <w:vAlign w:val="center"/>
          </w:tcPr>
          <w:p w14:paraId="3A6340B3">
            <w:pPr>
              <w:widowControl/>
              <w:spacing w:line="40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评审因素具体内容</w:t>
            </w:r>
          </w:p>
        </w:tc>
      </w:tr>
      <w:tr w14:paraId="7CBA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5DBE0C9">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p>
        </w:tc>
        <w:tc>
          <w:tcPr>
            <w:tcW w:w="900" w:type="dxa"/>
            <w:tcBorders>
              <w:top w:val="single" w:color="auto" w:sz="4" w:space="0"/>
              <w:left w:val="single" w:color="auto" w:sz="4" w:space="0"/>
              <w:right w:val="single" w:color="auto" w:sz="4" w:space="0"/>
            </w:tcBorders>
            <w:noWrap w:val="0"/>
            <w:vAlign w:val="center"/>
          </w:tcPr>
          <w:p w14:paraId="5B4791F7">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价格分（满分30分）</w:t>
            </w:r>
          </w:p>
        </w:tc>
        <w:tc>
          <w:tcPr>
            <w:tcW w:w="1164" w:type="dxa"/>
            <w:tcBorders>
              <w:top w:val="single" w:color="auto" w:sz="4" w:space="0"/>
              <w:left w:val="single" w:color="auto" w:sz="4" w:space="0"/>
              <w:right w:val="single" w:color="auto" w:sz="4" w:space="0"/>
            </w:tcBorders>
            <w:noWrap w:val="0"/>
            <w:vAlign w:val="center"/>
          </w:tcPr>
          <w:p w14:paraId="467B2471">
            <w:pPr>
              <w:widowControl/>
              <w:spacing w:line="400" w:lineRule="exact"/>
              <w:jc w:val="center"/>
              <w:rPr>
                <w:rFonts w:ascii="宋体" w:hAnsi="宋体" w:cs="宋体"/>
                <w:b/>
                <w:color w:val="auto"/>
                <w:kern w:val="0"/>
                <w:szCs w:val="21"/>
                <w:highlight w:val="none"/>
              </w:rPr>
            </w:pPr>
            <w:bookmarkStart w:id="142" w:name="_Toc20933"/>
            <w:r>
              <w:rPr>
                <w:rFonts w:hint="eastAsia" w:ascii="宋体" w:hAnsi="宋体" w:cs="宋体"/>
                <w:b/>
                <w:color w:val="auto"/>
                <w:kern w:val="0"/>
                <w:szCs w:val="21"/>
                <w:highlight w:val="none"/>
              </w:rPr>
              <w:t>投标报价</w:t>
            </w:r>
          </w:p>
        </w:tc>
        <w:tc>
          <w:tcPr>
            <w:tcW w:w="709" w:type="dxa"/>
            <w:tcBorders>
              <w:top w:val="single" w:color="auto" w:sz="4" w:space="0"/>
              <w:left w:val="single" w:color="auto" w:sz="4" w:space="0"/>
              <w:right w:val="single" w:color="auto" w:sz="4" w:space="0"/>
            </w:tcBorders>
            <w:noWrap w:val="0"/>
            <w:vAlign w:val="center"/>
          </w:tcPr>
          <w:p w14:paraId="1B26743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30分</w:t>
            </w:r>
          </w:p>
        </w:tc>
        <w:tc>
          <w:tcPr>
            <w:tcW w:w="6135" w:type="dxa"/>
            <w:tcBorders>
              <w:top w:val="single" w:color="auto" w:sz="4" w:space="0"/>
              <w:left w:val="single" w:color="auto" w:sz="4" w:space="0"/>
              <w:right w:val="single" w:color="auto" w:sz="4" w:space="0"/>
            </w:tcBorders>
            <w:noWrap w:val="0"/>
            <w:vAlign w:val="center"/>
          </w:tcPr>
          <w:p w14:paraId="7B5BAE54">
            <w:pPr>
              <w:pStyle w:val="26"/>
              <w:spacing w:line="420" w:lineRule="exact"/>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一、政府采购政策性扣除计算方法</w:t>
            </w:r>
          </w:p>
          <w:p w14:paraId="40106D07">
            <w:pPr>
              <w:pStyle w:val="26"/>
              <w:spacing w:line="420" w:lineRule="exact"/>
              <w:ind w:firstLine="420" w:firstLineChars="200"/>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1、根据《政府采购促进中小企业发展管理办法》的规定，投标人在其投标文件中提供《中小企业声明函》，且所投标的全部货物由小型或微型企业制造的，对其投标报价给予 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 30%以上的，采购人、采购代理机构应当对联合体或者大中型企业的报价给予4%的扣除，用扣除后的价格参加评审，扣除后的价格为评标报价，即评标报价=投标报价×（1-4%）。不符合上述给予扣除情形的，评标报价=投标报价。 </w:t>
            </w:r>
          </w:p>
          <w:p w14:paraId="48DFB5DC">
            <w:pPr>
              <w:pStyle w:val="26"/>
              <w:spacing w:line="420" w:lineRule="exac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评审价为供应商的最后报价，评审价只是作为评审时使用。最终中标供应商的中标金额等于最后报价（如有修正，以确认修正的最后报价为准）</w:t>
            </w:r>
          </w:p>
          <w:p w14:paraId="3ED55BA6">
            <w:pPr>
              <w:pStyle w:val="26"/>
              <w:spacing w:line="420" w:lineRule="exact"/>
              <w:ind w:firstLine="420" w:firstLineChars="200"/>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2、按照《财政部、司法部关于政府采购支持监狱企业发展有关问题的通知》（财库〔2014〕68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 </w:t>
            </w:r>
          </w:p>
          <w:p w14:paraId="7164DD54">
            <w:pPr>
              <w:pStyle w:val="26"/>
              <w:spacing w:line="420" w:lineRule="exact"/>
              <w:ind w:firstLine="420" w:firstLineChars="200"/>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10A8B1F">
            <w:pPr>
              <w:pStyle w:val="26"/>
              <w:numPr>
                <w:ilvl w:val="0"/>
                <w:numId w:val="0"/>
              </w:numPr>
              <w:spacing w:line="420" w:lineRule="exact"/>
              <w:ind w:firstLine="422" w:firstLineChars="200"/>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4、本国产品政策性扣除计算方法。</w:t>
            </w:r>
          </w:p>
          <w:p w14:paraId="55F21B09">
            <w:pPr>
              <w:pStyle w:val="26"/>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根据《国务院办公厅关于在政府采购中实施本国产品标准及相关政策的通知》（国办发〔2025〕34 号）的规定，政府采购活动中既有本国产品又有非本国产品参与投标的，依法对本国产品给予价格评审优惠，对本国产品的报价给予 20%的价格扣除，用扣除后的价格参与评审。未达到 80%，不享受价格评审优惠。</w:t>
            </w:r>
          </w:p>
          <w:p w14:paraId="25C6F363">
            <w:pPr>
              <w:pStyle w:val="26"/>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0935E4E5">
            <w:pPr>
              <w:pStyle w:val="26"/>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如果所有参与投标的供应商均可享受本国产品价格评审优惠，则统一不进行价格扣除。</w:t>
            </w:r>
          </w:p>
          <w:p w14:paraId="323DA9DF">
            <w:pPr>
              <w:pStyle w:val="26"/>
              <w:spacing w:line="420" w:lineRule="exact"/>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1793E88E">
            <w:pPr>
              <w:pStyle w:val="26"/>
              <w:spacing w:line="420" w:lineRule="exact"/>
              <w:ind w:firstLine="422" w:firstLineChars="200"/>
              <w:rPr>
                <w:rFonts w:hint="eastAsia" w:hAnsi="宋体"/>
                <w:b/>
                <w:bCs w:val="0"/>
                <w:color w:val="auto"/>
                <w:sz w:val="21"/>
                <w:highlight w:val="none"/>
                <w:lang w:val="en-US" w:eastAsia="zh-CN"/>
              </w:rPr>
            </w:pPr>
            <w:r>
              <w:rPr>
                <w:rFonts w:hint="eastAsia" w:hAnsi="宋体"/>
                <w:b/>
                <w:bCs w:val="0"/>
                <w:color w:val="auto"/>
                <w:sz w:val="21"/>
                <w:highlight w:val="none"/>
                <w:lang w:val="en-US" w:eastAsia="zh-CN"/>
              </w:rPr>
              <w:t>5、中小企业折扣与本国产品折扣进行叠加计算，用扣除后的价格参加评审。</w:t>
            </w:r>
          </w:p>
          <w:p w14:paraId="3AC1D9B0">
            <w:pPr>
              <w:pStyle w:val="26"/>
              <w:spacing w:line="420" w:lineRule="exact"/>
              <w:ind w:firstLine="422" w:firstLineChars="200"/>
              <w:rPr>
                <w:rFonts w:hint="eastAsia" w:hAnsi="宋体"/>
                <w:b/>
                <w:color w:val="auto"/>
                <w:sz w:val="21"/>
                <w:highlight w:val="none"/>
                <w:lang w:val="en-US" w:eastAsia="zh-CN"/>
              </w:rPr>
            </w:pPr>
            <w:r>
              <w:rPr>
                <w:rFonts w:hint="eastAsia" w:hAnsi="宋体"/>
                <w:b/>
                <w:color w:val="auto"/>
                <w:sz w:val="21"/>
                <w:highlight w:val="none"/>
                <w:lang w:val="en-US" w:eastAsia="zh-CN"/>
              </w:rPr>
              <w:t>评标价计算:</w:t>
            </w:r>
          </w:p>
          <w:p w14:paraId="1893BC10">
            <w:pPr>
              <w:pStyle w:val="26"/>
              <w:spacing w:line="420" w:lineRule="exact"/>
              <w:ind w:firstLine="422" w:firstLineChars="200"/>
              <w:rPr>
                <w:rFonts w:hint="eastAsia" w:hAnsi="宋体"/>
                <w:b/>
                <w:color w:val="auto"/>
                <w:sz w:val="21"/>
                <w:highlight w:val="none"/>
                <w:lang w:val="en-US" w:eastAsia="zh-CN"/>
              </w:rPr>
            </w:pPr>
            <w:r>
              <w:rPr>
                <w:rFonts w:ascii="Calibri" w:hAnsi="Calibri" w:cs="Calibri"/>
                <w:b/>
                <w:color w:val="auto"/>
                <w:sz w:val="21"/>
                <w:highlight w:val="none"/>
                <w:lang w:val="en-US" w:eastAsia="zh-CN"/>
              </w:rPr>
              <w:t>①</w:t>
            </w:r>
            <w:r>
              <w:rPr>
                <w:rFonts w:hint="eastAsia" w:hAnsi="宋体"/>
                <w:b/>
                <w:color w:val="auto"/>
                <w:sz w:val="21"/>
                <w:highlight w:val="none"/>
                <w:lang w:val="en-US" w:eastAsia="zh-CN"/>
              </w:rPr>
              <w:t>供应商符合中小企业支持政策的要求时，评审报价=投标报价*(1-10%)</w:t>
            </w:r>
          </w:p>
          <w:p w14:paraId="63CCE2F5">
            <w:pPr>
              <w:pStyle w:val="26"/>
              <w:spacing w:line="420" w:lineRule="exact"/>
              <w:ind w:firstLine="422" w:firstLineChars="200"/>
              <w:rPr>
                <w:rFonts w:hint="eastAsia" w:hAnsi="宋体"/>
                <w:b/>
                <w:color w:val="auto"/>
                <w:sz w:val="21"/>
                <w:highlight w:val="none"/>
                <w:lang w:val="en-US" w:eastAsia="zh-CN"/>
              </w:rPr>
            </w:pPr>
            <w:r>
              <w:rPr>
                <w:rFonts w:hAnsi="宋体"/>
                <w:b/>
                <w:color w:val="auto"/>
                <w:sz w:val="21"/>
                <w:highlight w:val="none"/>
                <w:lang w:val="en-US" w:eastAsia="zh-CN"/>
              </w:rPr>
              <w:t>②</w:t>
            </w:r>
            <w:r>
              <w:rPr>
                <w:rFonts w:hint="eastAsia" w:hAnsi="宋体"/>
                <w:b/>
                <w:color w:val="auto"/>
                <w:sz w:val="21"/>
                <w:highlight w:val="none"/>
                <w:lang w:val="en-US" w:eastAsia="zh-CN"/>
              </w:rPr>
              <w:t>供应商符合本国产品支持政策的要求时，评审报价=投标报价*(1-20%)</w:t>
            </w:r>
          </w:p>
          <w:p w14:paraId="17E54AD2">
            <w:pPr>
              <w:pStyle w:val="26"/>
              <w:spacing w:line="420" w:lineRule="exact"/>
              <w:ind w:firstLine="422" w:firstLineChars="200"/>
              <w:rPr>
                <w:rFonts w:hint="eastAsia" w:hAnsi="宋体"/>
                <w:b/>
                <w:color w:val="auto"/>
                <w:sz w:val="21"/>
                <w:highlight w:val="none"/>
                <w:lang w:val="en-US" w:eastAsia="zh-CN"/>
              </w:rPr>
            </w:pPr>
            <w:r>
              <w:rPr>
                <w:rFonts w:ascii="Calibri" w:hAnsi="Calibri" w:cs="Calibri"/>
                <w:b/>
                <w:color w:val="auto"/>
                <w:sz w:val="21"/>
                <w:highlight w:val="none"/>
                <w:lang w:val="en-US" w:eastAsia="zh-CN"/>
              </w:rPr>
              <w:t>③</w:t>
            </w:r>
            <w:r>
              <w:rPr>
                <w:rFonts w:hint="eastAsia" w:hAnsi="宋体"/>
                <w:b/>
                <w:color w:val="auto"/>
                <w:sz w:val="21"/>
                <w:highlight w:val="none"/>
                <w:lang w:val="en-US" w:eastAsia="zh-CN"/>
              </w:rPr>
              <w:t>供应商同时符合中小企业、本国产品扶持政策的要求时，评审报价=投标报价总报价*(1-10%-20%)</w:t>
            </w:r>
          </w:p>
          <w:p w14:paraId="790FE839">
            <w:pPr>
              <w:pStyle w:val="26"/>
              <w:spacing w:line="420" w:lineRule="exact"/>
              <w:ind w:firstLine="422" w:firstLineChars="200"/>
              <w:rPr>
                <w:rFonts w:hint="eastAsia" w:hAnsi="宋体"/>
                <w:b/>
                <w:color w:val="auto"/>
                <w:sz w:val="21"/>
                <w:highlight w:val="none"/>
                <w:lang w:val="en-US" w:eastAsia="zh-CN"/>
              </w:rPr>
            </w:pPr>
            <w:r>
              <w:rPr>
                <w:rFonts w:hint="eastAsia" w:hAnsi="宋体"/>
                <w:b/>
                <w:color w:val="auto"/>
                <w:sz w:val="21"/>
                <w:highlight w:val="none"/>
                <w:lang w:val="en-US" w:eastAsia="zh-CN"/>
              </w:rPr>
              <w:t>即评审报价=投标报价-中小企业折扣-本国产品折扣，除上述情况外，评审报价=投标报价。</w:t>
            </w:r>
          </w:p>
          <w:p w14:paraId="7553E1C9">
            <w:pPr>
              <w:pStyle w:val="26"/>
              <w:spacing w:line="420" w:lineRule="exact"/>
              <w:outlineLvl w:val="0"/>
              <w:rPr>
                <w:rFonts w:hint="eastAsia" w:hAnsi="宋体"/>
                <w:b/>
                <w:color w:val="auto"/>
                <w:sz w:val="21"/>
                <w:highlight w:val="none"/>
                <w:lang w:val="en-US" w:eastAsia="zh-CN"/>
              </w:rPr>
            </w:pPr>
            <w:bookmarkStart w:id="143" w:name="_Toc193467639"/>
            <w:r>
              <w:rPr>
                <w:rFonts w:hint="eastAsia" w:hAnsi="宋体"/>
                <w:b/>
                <w:color w:val="auto"/>
                <w:sz w:val="21"/>
                <w:highlight w:val="none"/>
                <w:lang w:val="en-US" w:eastAsia="zh-CN"/>
              </w:rPr>
              <w:t>二、报价分（满分30分）</w:t>
            </w:r>
            <w:bookmarkEnd w:id="143"/>
          </w:p>
          <w:p w14:paraId="15DC23E9">
            <w:pPr>
              <w:pStyle w:val="26"/>
              <w:spacing w:line="420" w:lineRule="exact"/>
              <w:ind w:firstLine="420" w:firstLineChars="200"/>
              <w:rPr>
                <w:rFonts w:hint="eastAsia" w:hAnsi="宋体"/>
                <w:bCs/>
                <w:color w:val="auto"/>
                <w:sz w:val="21"/>
                <w:highlight w:val="none"/>
                <w:lang w:val="en-US" w:eastAsia="zh-CN"/>
              </w:rPr>
            </w:pPr>
            <w:r>
              <w:rPr>
                <w:rFonts w:hint="eastAsia"/>
                <w:color w:val="auto"/>
                <w:sz w:val="21"/>
                <w:highlight w:val="none"/>
                <w:lang w:val="en-US" w:eastAsia="zh-CN"/>
              </w:rPr>
              <w:t>1、</w:t>
            </w:r>
            <w:r>
              <w:rPr>
                <w:rFonts w:hint="eastAsia" w:hAnsi="宋体"/>
                <w:bCs/>
                <w:color w:val="auto"/>
                <w:sz w:val="21"/>
                <w:highlight w:val="none"/>
                <w:lang w:val="en-US" w:eastAsia="zh-CN"/>
              </w:rPr>
              <w:t>报价</w:t>
            </w:r>
            <w:r>
              <w:rPr>
                <w:rFonts w:hAnsi="宋体"/>
                <w:bCs/>
                <w:color w:val="auto"/>
                <w:sz w:val="21"/>
                <w:highlight w:val="none"/>
                <w:lang w:val="en-US" w:eastAsia="zh-CN"/>
              </w:rPr>
              <w:t>分采用低价优先法计算，满足</w:t>
            </w:r>
            <w:r>
              <w:rPr>
                <w:rFonts w:hint="eastAsia" w:hAnsi="宋体"/>
                <w:bCs/>
                <w:color w:val="auto"/>
                <w:sz w:val="21"/>
                <w:highlight w:val="none"/>
                <w:lang w:val="en-US" w:eastAsia="zh-CN"/>
              </w:rPr>
              <w:t>招标</w:t>
            </w:r>
            <w:r>
              <w:rPr>
                <w:rFonts w:hAnsi="宋体"/>
                <w:bCs/>
                <w:color w:val="auto"/>
                <w:sz w:val="21"/>
                <w:highlight w:val="none"/>
                <w:lang w:val="en-US" w:eastAsia="zh-CN"/>
              </w:rPr>
              <w:t>文件要求且</w:t>
            </w:r>
            <w:r>
              <w:rPr>
                <w:rFonts w:hint="eastAsia" w:hAnsi="宋体"/>
                <w:bCs/>
                <w:color w:val="auto"/>
                <w:sz w:val="21"/>
                <w:highlight w:val="none"/>
                <w:lang w:val="en-US" w:eastAsia="zh-CN"/>
              </w:rPr>
              <w:t>评标价</w:t>
            </w:r>
            <w:r>
              <w:rPr>
                <w:rFonts w:hAnsi="宋体"/>
                <w:bCs/>
                <w:color w:val="auto"/>
                <w:sz w:val="21"/>
                <w:highlight w:val="none"/>
                <w:lang w:val="en-US" w:eastAsia="zh-CN"/>
              </w:rPr>
              <w:t>最低的</w:t>
            </w:r>
            <w:r>
              <w:rPr>
                <w:rFonts w:hint="eastAsia" w:hAnsi="宋体"/>
                <w:bCs/>
                <w:color w:val="auto"/>
                <w:sz w:val="21"/>
                <w:highlight w:val="none"/>
                <w:lang w:val="en-US" w:eastAsia="zh-CN"/>
              </w:rPr>
              <w:t>有效投标人的评标价</w:t>
            </w:r>
            <w:r>
              <w:rPr>
                <w:rFonts w:hAnsi="宋体"/>
                <w:bCs/>
                <w:color w:val="auto"/>
                <w:sz w:val="21"/>
                <w:highlight w:val="none"/>
                <w:lang w:val="en-US" w:eastAsia="zh-CN"/>
              </w:rPr>
              <w:t>为评标基准价，其</w:t>
            </w:r>
            <w:r>
              <w:rPr>
                <w:rFonts w:hint="eastAsia" w:hAnsi="宋体"/>
                <w:bCs/>
                <w:color w:val="auto"/>
                <w:sz w:val="21"/>
                <w:highlight w:val="none"/>
                <w:lang w:val="en-US" w:eastAsia="zh-CN"/>
              </w:rPr>
              <w:t>投标报价</w:t>
            </w:r>
            <w:r>
              <w:rPr>
                <w:rFonts w:hAnsi="宋体"/>
                <w:bCs/>
                <w:color w:val="auto"/>
                <w:sz w:val="21"/>
                <w:highlight w:val="none"/>
                <w:lang w:val="en-US" w:eastAsia="zh-CN"/>
              </w:rPr>
              <w:t>分为满分。</w:t>
            </w:r>
          </w:p>
          <w:p w14:paraId="220FCCE8">
            <w:pPr>
              <w:pStyle w:val="26"/>
              <w:spacing w:line="420" w:lineRule="exact"/>
              <w:ind w:firstLine="420" w:firstLineChars="200"/>
              <w:rPr>
                <w:rFonts w:hAnsi="宋体"/>
                <w:bCs/>
                <w:color w:val="auto"/>
                <w:sz w:val="21"/>
                <w:highlight w:val="none"/>
                <w:lang w:val="en-US" w:eastAsia="zh-CN"/>
              </w:rPr>
            </w:pPr>
            <w:r>
              <w:rPr>
                <w:rFonts w:hint="eastAsia" w:hAnsi="宋体"/>
                <w:bCs/>
                <w:color w:val="auto"/>
                <w:sz w:val="21"/>
                <w:highlight w:val="none"/>
                <w:lang w:val="en-US" w:eastAsia="zh-CN"/>
              </w:rPr>
              <w:t>2、</w:t>
            </w:r>
            <w:r>
              <w:rPr>
                <w:rFonts w:hAnsi="宋体"/>
                <w:bCs/>
                <w:color w:val="auto"/>
                <w:sz w:val="21"/>
                <w:highlight w:val="none"/>
                <w:lang w:val="en-US" w:eastAsia="zh-CN"/>
              </w:rPr>
              <w:t>其他</w:t>
            </w:r>
            <w:r>
              <w:rPr>
                <w:rFonts w:hint="eastAsia" w:hAnsi="宋体"/>
                <w:bCs/>
                <w:color w:val="auto"/>
                <w:sz w:val="21"/>
                <w:highlight w:val="none"/>
                <w:lang w:val="en-US" w:eastAsia="zh-CN"/>
              </w:rPr>
              <w:t>投标人</w:t>
            </w:r>
            <w:r>
              <w:rPr>
                <w:rFonts w:hAnsi="宋体"/>
                <w:bCs/>
                <w:color w:val="auto"/>
                <w:sz w:val="21"/>
                <w:highlight w:val="none"/>
                <w:lang w:val="en-US" w:eastAsia="zh-CN"/>
              </w:rPr>
              <w:t>的价格分统一按照下列公式计算：</w:t>
            </w:r>
          </w:p>
          <w:p w14:paraId="142A392A">
            <w:pPr>
              <w:pStyle w:val="26"/>
              <w:spacing w:line="420" w:lineRule="exact"/>
              <w:outlineLvl w:val="0"/>
              <w:rPr>
                <w:rFonts w:hint="eastAsia" w:hAnsi="宋体" w:cs="宋体"/>
                <w:bCs/>
                <w:color w:val="auto"/>
                <w:highlight w:val="none"/>
                <w:lang w:val="en-US" w:eastAsia="zh-CN"/>
              </w:rPr>
            </w:pPr>
            <w:bookmarkStart w:id="144" w:name="_Toc193467640"/>
            <w:r>
              <w:rPr>
                <w:rFonts w:hint="eastAsia" w:hAnsi="宋体"/>
                <w:bCs/>
                <w:color w:val="auto"/>
                <w:sz w:val="21"/>
                <w:highlight w:val="none"/>
                <w:lang w:val="en-US" w:eastAsia="zh-CN"/>
              </w:rPr>
              <w:t>某有效投标人的报价</w:t>
            </w:r>
            <w:r>
              <w:rPr>
                <w:rFonts w:hAnsi="宋体"/>
                <w:bCs/>
                <w:color w:val="auto"/>
                <w:sz w:val="21"/>
                <w:highlight w:val="none"/>
                <w:lang w:val="en-US" w:eastAsia="zh-CN"/>
              </w:rPr>
              <w:t>分=</w:t>
            </w:r>
            <w:r>
              <w:rPr>
                <w:rFonts w:hint="eastAsia" w:hAnsi="宋体"/>
                <w:bCs/>
                <w:color w:val="auto"/>
                <w:sz w:val="21"/>
                <w:highlight w:val="none"/>
                <w:lang w:val="en-US" w:eastAsia="zh-CN"/>
              </w:rPr>
              <w:t>（</w:t>
            </w:r>
            <w:r>
              <w:rPr>
                <w:rFonts w:hAnsi="宋体"/>
                <w:bCs/>
                <w:color w:val="auto"/>
                <w:sz w:val="21"/>
                <w:highlight w:val="none"/>
                <w:lang w:val="en-US" w:eastAsia="zh-CN"/>
              </w:rPr>
              <w:t>评标基准价／</w:t>
            </w:r>
            <w:r>
              <w:rPr>
                <w:rFonts w:hint="eastAsia" w:hAnsi="宋体"/>
                <w:bCs/>
                <w:color w:val="auto"/>
                <w:sz w:val="21"/>
                <w:highlight w:val="none"/>
                <w:lang w:val="en-US" w:eastAsia="zh-CN"/>
              </w:rPr>
              <w:t>某有效供应商评标价）</w:t>
            </w:r>
            <w:r>
              <w:rPr>
                <w:rFonts w:hAnsi="宋体"/>
                <w:bCs/>
                <w:color w:val="auto"/>
                <w:sz w:val="21"/>
                <w:highlight w:val="none"/>
                <w:lang w:val="en-US" w:eastAsia="zh-CN"/>
              </w:rPr>
              <w:t>×</w:t>
            </w:r>
            <w:r>
              <w:rPr>
                <w:rFonts w:hint="eastAsia" w:hAnsi="宋体"/>
                <w:bCs/>
                <w:color w:val="auto"/>
                <w:sz w:val="21"/>
                <w:highlight w:val="none"/>
                <w:lang w:val="en-US" w:eastAsia="zh-CN"/>
              </w:rPr>
              <w:t xml:space="preserve"> 30分</w:t>
            </w:r>
            <w:bookmarkEnd w:id="142"/>
            <w:bookmarkEnd w:id="144"/>
          </w:p>
        </w:tc>
      </w:tr>
      <w:tr w14:paraId="2FC2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68E2691">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p>
        </w:tc>
        <w:tc>
          <w:tcPr>
            <w:tcW w:w="900" w:type="dxa"/>
            <w:tcBorders>
              <w:top w:val="single" w:color="auto" w:sz="4" w:space="0"/>
              <w:left w:val="single" w:color="auto" w:sz="4" w:space="0"/>
              <w:right w:val="single" w:color="auto" w:sz="4" w:space="0"/>
            </w:tcBorders>
            <w:noWrap w:val="0"/>
            <w:vAlign w:val="center"/>
          </w:tcPr>
          <w:p w14:paraId="2495E5ED">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技术分（满分</w:t>
            </w:r>
            <w:r>
              <w:rPr>
                <w:rFonts w:hint="eastAsia" w:ascii="宋体" w:hAnsi="宋体" w:cs="宋体"/>
                <w:b/>
                <w:color w:val="auto"/>
                <w:kern w:val="0"/>
                <w:szCs w:val="21"/>
                <w:highlight w:val="none"/>
                <w:lang w:val="en-US" w:eastAsia="zh-CN"/>
              </w:rPr>
              <w:t>30</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38B51D42">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技术性能</w:t>
            </w:r>
          </w:p>
        </w:tc>
        <w:tc>
          <w:tcPr>
            <w:tcW w:w="709" w:type="dxa"/>
            <w:tcBorders>
              <w:top w:val="single" w:color="auto" w:sz="4" w:space="0"/>
              <w:left w:val="single" w:color="auto" w:sz="4" w:space="0"/>
              <w:right w:val="single" w:color="auto" w:sz="4" w:space="0"/>
            </w:tcBorders>
            <w:noWrap w:val="0"/>
            <w:vAlign w:val="center"/>
          </w:tcPr>
          <w:p w14:paraId="3D80CAAA">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30</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72367F7C">
            <w:pPr>
              <w:pStyle w:val="26"/>
              <w:snapToGrid w:val="0"/>
              <w:spacing w:line="400" w:lineRule="exact"/>
              <w:ind w:firstLine="402" w:firstLineChars="200"/>
              <w:rPr>
                <w:rFonts w:ascii="宋体" w:hAnsi="宋体" w:cs="宋体"/>
                <w:b/>
                <w:bCs/>
                <w:color w:val="auto"/>
                <w:szCs w:val="21"/>
                <w:highlight w:val="none"/>
              </w:rPr>
            </w:pPr>
            <w:r>
              <w:rPr>
                <w:rFonts w:hint="eastAsia" w:ascii="宋体" w:hAnsi="宋体" w:cs="宋体"/>
                <w:b/>
                <w:bCs/>
                <w:color w:val="auto"/>
                <w:kern w:val="0"/>
                <w:szCs w:val="21"/>
                <w:highlight w:val="none"/>
              </w:rPr>
              <w:t>对于标有▲符号的主要技术参数和标有</w:t>
            </w:r>
            <w:r>
              <w:rPr>
                <w:rFonts w:hint="eastAsia" w:ascii="宋体" w:hAnsi="宋体" w:eastAsia="宋体" w:cs="宋体"/>
                <w:b/>
                <w:bCs/>
                <w:color w:val="auto"/>
                <w:sz w:val="21"/>
                <w:szCs w:val="21"/>
              </w:rPr>
              <w:t>◆</w:t>
            </w:r>
            <w:r>
              <w:rPr>
                <w:rFonts w:hint="eastAsia" w:ascii="宋体" w:hAnsi="宋体" w:cs="宋体"/>
                <w:b/>
                <w:bCs/>
                <w:color w:val="auto"/>
                <w:kern w:val="0"/>
                <w:szCs w:val="21"/>
                <w:highlight w:val="none"/>
              </w:rPr>
              <w:t>符号的重要技术参数，投标人必须提供相应的技术参数证明文件</w:t>
            </w:r>
            <w:r>
              <w:rPr>
                <w:rFonts w:hint="eastAsia"/>
                <w:b/>
                <w:bCs/>
                <w:color w:val="auto"/>
                <w:highlight w:val="none"/>
              </w:rPr>
              <w:t>【</w:t>
            </w:r>
            <w:r>
              <w:rPr>
                <w:rFonts w:hint="eastAsia" w:ascii="宋体" w:hAnsi="宋体" w:eastAsia="宋体" w:cs="宋体"/>
                <w:b/>
                <w:bCs/>
                <w:color w:val="auto"/>
                <w:sz w:val="21"/>
                <w:szCs w:val="21"/>
              </w:rPr>
              <w:t>可以是投标产品生产厂家</w:t>
            </w:r>
            <w:r>
              <w:rPr>
                <w:rFonts w:hint="eastAsia" w:ascii="宋体" w:hAnsi="宋体" w:eastAsia="宋体" w:cs="宋体"/>
                <w:b/>
                <w:bCs/>
                <w:color w:val="auto"/>
                <w:sz w:val="21"/>
                <w:szCs w:val="21"/>
                <w:lang w:val="en-US" w:eastAsia="zh-CN"/>
              </w:rPr>
              <w:t>出具</w:t>
            </w:r>
            <w:r>
              <w:rPr>
                <w:rFonts w:hint="eastAsia" w:ascii="宋体" w:hAnsi="宋体" w:eastAsia="宋体" w:cs="宋体"/>
                <w:b/>
                <w:bCs/>
                <w:color w:val="auto"/>
                <w:sz w:val="21"/>
                <w:szCs w:val="21"/>
              </w:rPr>
              <w:t>的</w:t>
            </w:r>
            <w:r>
              <w:rPr>
                <w:rFonts w:hint="eastAsia" w:hAnsi="宋体" w:eastAsia="宋体" w:cs="宋体"/>
                <w:b/>
                <w:bCs/>
                <w:color w:val="auto"/>
                <w:sz w:val="21"/>
                <w:szCs w:val="21"/>
                <w:lang w:eastAsia="zh-CN"/>
              </w:rPr>
              <w:t>产品技术白皮书</w:t>
            </w:r>
            <w:r>
              <w:rPr>
                <w:rFonts w:hint="eastAsia" w:ascii="宋体" w:hAnsi="宋体" w:eastAsia="宋体" w:cs="宋体"/>
                <w:b/>
                <w:bCs/>
                <w:color w:val="auto"/>
                <w:sz w:val="21"/>
                <w:szCs w:val="21"/>
              </w:rPr>
              <w:t>或含有技术参数的宣传彩页或第三方检测机构出具的</w:t>
            </w:r>
            <w:r>
              <w:rPr>
                <w:rFonts w:hint="eastAsia" w:ascii="宋体" w:hAnsi="宋体" w:eastAsia="宋体" w:cs="宋体"/>
                <w:b/>
                <w:bCs/>
                <w:color w:val="auto"/>
                <w:sz w:val="21"/>
                <w:szCs w:val="21"/>
                <w:lang w:val="en-US" w:eastAsia="zh-CN"/>
              </w:rPr>
              <w:t>完整有效的</w:t>
            </w:r>
            <w:r>
              <w:rPr>
                <w:rFonts w:hint="eastAsia" w:ascii="宋体" w:hAnsi="宋体" w:eastAsia="宋体" w:cs="宋体"/>
                <w:b/>
                <w:bCs/>
                <w:color w:val="auto"/>
                <w:sz w:val="21"/>
                <w:szCs w:val="21"/>
              </w:rPr>
              <w:t>检验报告复印件</w:t>
            </w:r>
            <w:r>
              <w:rPr>
                <w:rFonts w:hint="eastAsia"/>
                <w:b/>
                <w:bCs/>
                <w:color w:val="auto"/>
                <w:highlight w:val="none"/>
              </w:rPr>
              <w:t>】</w:t>
            </w:r>
            <w:r>
              <w:rPr>
                <w:rFonts w:hint="eastAsia" w:hAnsi="宋体" w:cs="宋体"/>
                <w:b/>
                <w:bCs/>
                <w:color w:val="auto"/>
                <w:szCs w:val="21"/>
                <w:highlight w:val="none"/>
              </w:rPr>
              <w:t>且该证明材料必需包</w:t>
            </w:r>
            <w:r>
              <w:rPr>
                <w:rFonts w:hint="eastAsia" w:ascii="宋体" w:hAnsi="宋体" w:cs="宋体"/>
                <w:b/>
                <w:bCs/>
                <w:color w:val="auto"/>
                <w:szCs w:val="21"/>
                <w:highlight w:val="none"/>
              </w:rPr>
              <w:t>含产品</w:t>
            </w:r>
            <w:r>
              <w:rPr>
                <w:rFonts w:hint="eastAsia" w:ascii="宋体" w:hAnsi="宋体" w:cs="宋体"/>
                <w:b/>
                <w:bCs/>
                <w:color w:val="auto"/>
                <w:szCs w:val="21"/>
                <w:highlight w:val="none"/>
                <w:lang w:eastAsia="zh-CN"/>
              </w:rPr>
              <w:t>全部</w:t>
            </w:r>
            <w:r>
              <w:rPr>
                <w:rFonts w:hint="eastAsia" w:ascii="宋体" w:hAnsi="宋体" w:cs="宋体"/>
                <w:b/>
                <w:bCs/>
                <w:color w:val="auto"/>
                <w:szCs w:val="21"/>
                <w:highlight w:val="none"/>
              </w:rPr>
              <w:t>主要技术参数（标有▲符号的项）和重要技术参数（标有</w:t>
            </w:r>
            <w:r>
              <w:rPr>
                <w:rFonts w:hint="eastAsia" w:ascii="宋体" w:hAnsi="宋体" w:eastAsia="宋体" w:cs="宋体"/>
                <w:b/>
                <w:bCs/>
                <w:color w:val="auto"/>
                <w:sz w:val="21"/>
                <w:szCs w:val="21"/>
              </w:rPr>
              <w:t>◆</w:t>
            </w:r>
            <w:r>
              <w:rPr>
                <w:rFonts w:hint="eastAsia" w:ascii="宋体" w:hAnsi="宋体" w:cs="宋体"/>
                <w:b/>
                <w:bCs/>
                <w:color w:val="auto"/>
                <w:szCs w:val="21"/>
                <w:highlight w:val="none"/>
              </w:rPr>
              <w:t>符号的项）的内容</w:t>
            </w:r>
            <w:r>
              <w:rPr>
                <w:rFonts w:hint="eastAsia"/>
                <w:b/>
                <w:bCs/>
                <w:color w:val="auto"/>
                <w:highlight w:val="none"/>
              </w:rPr>
              <w:t>，</w:t>
            </w:r>
            <w:r>
              <w:rPr>
                <w:rFonts w:hint="eastAsia" w:ascii="宋体" w:hAnsi="宋体" w:cs="宋体"/>
                <w:b/>
                <w:bCs/>
                <w:color w:val="auto"/>
                <w:szCs w:val="21"/>
                <w:highlight w:val="none"/>
              </w:rPr>
              <w:t>不包含主要技术参数内容的技术分得0分，不包含重要技术指标内容的对应参数技术分得0分。当</w:t>
            </w:r>
            <w:r>
              <w:rPr>
                <w:rFonts w:hint="eastAsia" w:ascii="宋体" w:hAnsi="宋体" w:cs="宋体"/>
                <w:b/>
                <w:bCs/>
                <w:color w:val="auto"/>
                <w:szCs w:val="21"/>
                <w:highlight w:val="none"/>
                <w:lang w:val="en-US" w:eastAsia="zh-CN"/>
              </w:rPr>
              <w:t>投</w:t>
            </w:r>
            <w:r>
              <w:rPr>
                <w:rFonts w:hint="eastAsia" w:ascii="宋体" w:hAnsi="宋体" w:cs="宋体"/>
                <w:b/>
                <w:bCs/>
                <w:color w:val="auto"/>
                <w:szCs w:val="21"/>
                <w:highlight w:val="none"/>
              </w:rPr>
              <w:t>标响应技术指标与上述证明文件不一致时，以上述证明文件的指标为准。</w:t>
            </w:r>
          </w:p>
          <w:p w14:paraId="693CD475">
            <w:pPr>
              <w:spacing w:line="400" w:lineRule="exact"/>
              <w:ind w:firstLine="436" w:firstLineChars="200"/>
              <w:jc w:val="left"/>
              <w:rPr>
                <w:rFonts w:hint="eastAsia" w:ascii="宋体" w:hAnsi="宋体" w:eastAsia="宋体" w:cs="宋体"/>
                <w:b/>
                <w:bCs/>
                <w:color w:val="auto"/>
                <w:sz w:val="21"/>
                <w:szCs w:val="21"/>
                <w:highlight w:val="none"/>
              </w:rPr>
            </w:pPr>
            <w:r>
              <w:rPr>
                <w:rFonts w:hint="eastAsia" w:ascii="Times New Roman" w:hAnsi="Times New Roman" w:eastAsia="宋体" w:cs="Times New Roman"/>
                <w:color w:val="auto"/>
                <w:spacing w:val="-1"/>
                <w:sz w:val="22"/>
                <w:szCs w:val="22"/>
              </w:rPr>
              <w:t>资格审查、符合性审查均合格的投标人，对第二章《采购需求》的技术要求参数完全满足招标文件要求的得</w:t>
            </w:r>
            <w:r>
              <w:rPr>
                <w:rFonts w:hint="eastAsia" w:ascii="Times New Roman" w:hAnsi="Times New Roman" w:eastAsia="宋体" w:cs="Times New Roman"/>
                <w:color w:val="auto"/>
                <w:spacing w:val="-1"/>
                <w:sz w:val="22"/>
                <w:szCs w:val="22"/>
                <w:lang w:val="en-US" w:eastAsia="zh-CN"/>
              </w:rPr>
              <w:t>30</w:t>
            </w:r>
            <w:r>
              <w:rPr>
                <w:rFonts w:hint="eastAsia" w:ascii="Times New Roman" w:hAnsi="Times New Roman" w:eastAsia="宋体" w:cs="Times New Roman"/>
                <w:color w:val="auto"/>
                <w:spacing w:val="-1"/>
                <w:sz w:val="22"/>
                <w:szCs w:val="22"/>
              </w:rPr>
              <w:t>分，</w:t>
            </w:r>
            <w:r>
              <w:rPr>
                <w:rFonts w:hint="eastAsia" w:ascii="Times New Roman" w:hAnsi="Times New Roman" w:eastAsia="宋体" w:cs="Times New Roman"/>
                <w:color w:val="auto"/>
                <w:spacing w:val="-1"/>
                <w:sz w:val="22"/>
                <w:szCs w:val="22"/>
                <w:lang w:val="en-US" w:eastAsia="zh-CN"/>
              </w:rPr>
              <w:t>如</w:t>
            </w:r>
            <w:r>
              <w:rPr>
                <w:rFonts w:hint="eastAsia" w:ascii="Times New Roman" w:hAnsi="Times New Roman" w:eastAsia="宋体" w:cs="Times New Roman"/>
                <w:color w:val="auto"/>
                <w:spacing w:val="-1"/>
                <w:sz w:val="22"/>
                <w:szCs w:val="22"/>
              </w:rPr>
              <w:t>标有◆符号的项，经评标委员会评定为负偏离的，</w:t>
            </w:r>
            <w:r>
              <w:rPr>
                <w:rFonts w:hint="eastAsia" w:ascii="Times New Roman" w:hAnsi="Times New Roman" w:eastAsia="宋体" w:cs="Times New Roman"/>
                <w:color w:val="auto"/>
                <w:spacing w:val="-1"/>
                <w:sz w:val="22"/>
                <w:szCs w:val="22"/>
                <w:lang w:val="en-US" w:eastAsia="zh-CN"/>
              </w:rPr>
              <w:t>每项扣10分</w:t>
            </w:r>
            <w:r>
              <w:rPr>
                <w:rFonts w:hint="eastAsia" w:ascii="Times New Roman" w:hAnsi="Times New Roman" w:eastAsia="宋体" w:cs="Times New Roman"/>
                <w:color w:val="auto"/>
                <w:spacing w:val="-1"/>
                <w:sz w:val="22"/>
                <w:szCs w:val="22"/>
              </w:rPr>
              <w:t>，对其它一般性技术指标，经评标委员会评定为负偏离的，每项扣</w:t>
            </w:r>
            <w:r>
              <w:rPr>
                <w:rFonts w:hint="eastAsia" w:ascii="Times New Roman" w:hAnsi="Times New Roman" w:eastAsia="宋体" w:cs="Times New Roman"/>
                <w:color w:val="auto"/>
                <w:spacing w:val="-1"/>
                <w:sz w:val="22"/>
                <w:szCs w:val="22"/>
                <w:lang w:val="en-US" w:eastAsia="zh-CN"/>
              </w:rPr>
              <w:t>5</w:t>
            </w:r>
            <w:r>
              <w:rPr>
                <w:rFonts w:hint="eastAsia" w:ascii="Times New Roman" w:hAnsi="Times New Roman" w:eastAsia="宋体" w:cs="Times New Roman"/>
                <w:color w:val="auto"/>
                <w:spacing w:val="-1"/>
                <w:sz w:val="22"/>
                <w:szCs w:val="22"/>
              </w:rPr>
              <w:t>分，最多扣</w:t>
            </w:r>
            <w:r>
              <w:rPr>
                <w:rFonts w:hint="eastAsia" w:ascii="Times New Roman" w:hAnsi="Times New Roman" w:eastAsia="宋体" w:cs="Times New Roman"/>
                <w:color w:val="auto"/>
                <w:spacing w:val="-1"/>
                <w:sz w:val="22"/>
                <w:szCs w:val="22"/>
                <w:lang w:val="en-US" w:eastAsia="zh-CN"/>
              </w:rPr>
              <w:t>30</w:t>
            </w:r>
            <w:r>
              <w:rPr>
                <w:rFonts w:hint="eastAsia" w:ascii="Times New Roman" w:hAnsi="Times New Roman" w:eastAsia="宋体" w:cs="Times New Roman"/>
                <w:color w:val="auto"/>
                <w:spacing w:val="-1"/>
                <w:sz w:val="22"/>
                <w:szCs w:val="22"/>
              </w:rPr>
              <w:t>分。</w:t>
            </w:r>
          </w:p>
        </w:tc>
      </w:tr>
      <w:tr w14:paraId="3C86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tcBorders>
              <w:top w:val="single" w:color="auto" w:sz="4" w:space="0"/>
              <w:left w:val="single" w:color="auto" w:sz="4" w:space="0"/>
              <w:right w:val="single" w:color="auto" w:sz="4" w:space="0"/>
            </w:tcBorders>
            <w:noWrap w:val="0"/>
            <w:vAlign w:val="center"/>
          </w:tcPr>
          <w:p w14:paraId="1AE69FD8">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3</w:t>
            </w:r>
          </w:p>
        </w:tc>
        <w:tc>
          <w:tcPr>
            <w:tcW w:w="900" w:type="dxa"/>
            <w:vMerge w:val="restart"/>
            <w:tcBorders>
              <w:top w:val="single" w:color="auto" w:sz="4" w:space="0"/>
              <w:left w:val="single" w:color="auto" w:sz="4" w:space="0"/>
              <w:right w:val="single" w:color="auto" w:sz="4" w:space="0"/>
            </w:tcBorders>
            <w:noWrap w:val="0"/>
            <w:vAlign w:val="center"/>
          </w:tcPr>
          <w:p w14:paraId="0DC443E2">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商务分（满分</w:t>
            </w:r>
            <w:r>
              <w:rPr>
                <w:rFonts w:hint="eastAsia" w:ascii="宋体" w:hAnsi="宋体" w:cs="宋体"/>
                <w:b/>
                <w:color w:val="auto"/>
                <w:kern w:val="0"/>
                <w:szCs w:val="21"/>
                <w:highlight w:val="none"/>
                <w:lang w:val="en-US" w:eastAsia="zh-CN"/>
              </w:rPr>
              <w:t>40</w:t>
            </w:r>
            <w:r>
              <w:rPr>
                <w:rFonts w:hint="eastAsia" w:ascii="宋体" w:hAnsi="宋体" w:cs="宋体"/>
                <w:b/>
                <w:color w:val="auto"/>
                <w:kern w:val="0"/>
                <w:szCs w:val="21"/>
                <w:highlight w:val="none"/>
              </w:rPr>
              <w:t>分）</w:t>
            </w:r>
          </w:p>
        </w:tc>
        <w:tc>
          <w:tcPr>
            <w:tcW w:w="1164" w:type="dxa"/>
            <w:tcBorders>
              <w:top w:val="single" w:color="auto" w:sz="4" w:space="0"/>
              <w:left w:val="single" w:color="auto" w:sz="4" w:space="0"/>
              <w:right w:val="single" w:color="auto" w:sz="4" w:space="0"/>
            </w:tcBorders>
            <w:noWrap w:val="0"/>
            <w:vAlign w:val="center"/>
          </w:tcPr>
          <w:p w14:paraId="272A391F">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项目实施方案</w:t>
            </w:r>
          </w:p>
        </w:tc>
        <w:tc>
          <w:tcPr>
            <w:tcW w:w="709" w:type="dxa"/>
            <w:tcBorders>
              <w:top w:val="single" w:color="auto" w:sz="4" w:space="0"/>
              <w:left w:val="single" w:color="auto" w:sz="4" w:space="0"/>
              <w:right w:val="single" w:color="auto" w:sz="4" w:space="0"/>
            </w:tcBorders>
            <w:noWrap w:val="0"/>
            <w:vAlign w:val="center"/>
          </w:tcPr>
          <w:p w14:paraId="6F49A889">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17</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2EF1EAD">
            <w:pPr>
              <w:spacing w:line="400" w:lineRule="exact"/>
              <w:jc w:val="left"/>
              <w:rPr>
                <w:rFonts w:hint="eastAsia" w:ascii="宋体" w:hAnsi="宋体"/>
                <w:bCs/>
                <w:color w:val="auto"/>
                <w:szCs w:val="21"/>
                <w:highlight w:val="none"/>
              </w:rPr>
            </w:pPr>
            <w:r>
              <w:rPr>
                <w:rFonts w:hint="eastAsia" w:ascii="宋体" w:hAnsi="宋体"/>
                <w:b/>
                <w:bCs w:val="0"/>
                <w:color w:val="auto"/>
                <w:szCs w:val="21"/>
                <w:highlight w:val="none"/>
                <w:lang w:val="en-US" w:eastAsia="zh-CN"/>
              </w:rPr>
              <w:t>（1）进度计划方案（满分8分）</w:t>
            </w:r>
            <w:r>
              <w:rPr>
                <w:rFonts w:hint="eastAsia" w:ascii="宋体" w:hAnsi="宋体"/>
                <w:bCs/>
                <w:color w:val="auto"/>
                <w:szCs w:val="21"/>
                <w:highlight w:val="none"/>
                <w:lang w:val="en-US" w:eastAsia="zh-CN"/>
              </w:rPr>
              <w:t xml:space="preserve"> </w:t>
            </w:r>
          </w:p>
          <w:p w14:paraId="112729FD">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一档（0分）：</w:t>
            </w:r>
            <w:r>
              <w:rPr>
                <w:color w:val="auto"/>
                <w:spacing w:val="-1"/>
                <w:sz w:val="22"/>
                <w:szCs w:val="22"/>
              </w:rPr>
              <w:t>未提供</w:t>
            </w:r>
            <w:r>
              <w:rPr>
                <w:rFonts w:hint="eastAsia"/>
                <w:color w:val="auto"/>
                <w:spacing w:val="-1"/>
                <w:sz w:val="22"/>
                <w:szCs w:val="22"/>
                <w:lang w:val="en-US" w:eastAsia="zh-CN"/>
              </w:rPr>
              <w:t>进度计划方案或</w:t>
            </w:r>
            <w:r>
              <w:rPr>
                <w:rFonts w:hint="eastAsia" w:ascii="宋体" w:hAnsi="宋体"/>
                <w:bCs/>
                <w:color w:val="auto"/>
                <w:szCs w:val="21"/>
                <w:highlight w:val="none"/>
                <w:lang w:val="en-US" w:eastAsia="zh-CN"/>
              </w:rPr>
              <w:t xml:space="preserve">所提交的进度计划方案缺乏实际可行性或未能满足采购要求。  </w:t>
            </w:r>
          </w:p>
          <w:p w14:paraId="65FB814F">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二档（2分）：所提供的进度计划方案内容表述简略，不够详尽，且仅勉强符合本项目采购的基本需求。 </w:t>
            </w:r>
          </w:p>
          <w:p w14:paraId="01B4EEBB">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三档（4分）：针对本项目（含设备及安装）所提交的进度计划方案，附有简要的实施日程表、人员配置和实施步骤，但描述简单。 </w:t>
            </w:r>
          </w:p>
          <w:p w14:paraId="0FC57AE9">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四档（6分）：针对本项目（含设备及安装）所提交的进度计划方案，附有较为详细的实施日程表、人员配置和实施步骤</w:t>
            </w:r>
            <w:r>
              <w:rPr>
                <w:rFonts w:hint="eastAsia" w:ascii="宋体" w:hAnsi="宋体"/>
                <w:bCs/>
                <w:color w:val="auto"/>
                <w:szCs w:val="21"/>
                <w:highlight w:val="none"/>
              </w:rPr>
              <w:t>（</w:t>
            </w:r>
            <w:r>
              <w:rPr>
                <w:rFonts w:hint="eastAsia" w:ascii="宋体" w:hAnsi="宋体"/>
                <w:bCs/>
                <w:color w:val="auto"/>
                <w:szCs w:val="21"/>
                <w:highlight w:val="none"/>
                <w:lang w:val="en-US" w:eastAsia="zh-CN"/>
              </w:rPr>
              <w:t>实施骤</w:t>
            </w:r>
            <w:r>
              <w:rPr>
                <w:rFonts w:hint="eastAsia" w:ascii="宋体" w:hAnsi="宋体"/>
                <w:bCs/>
                <w:color w:val="auto"/>
                <w:szCs w:val="21"/>
                <w:highlight w:val="none"/>
              </w:rPr>
              <w:t>包含但不限于订货、</w:t>
            </w:r>
            <w:r>
              <w:rPr>
                <w:rFonts w:hint="eastAsia" w:ascii="宋体" w:hAnsi="宋体"/>
                <w:bCs/>
                <w:color w:val="auto"/>
                <w:szCs w:val="21"/>
                <w:highlight w:val="none"/>
                <w:lang w:val="en-US" w:eastAsia="zh-CN"/>
              </w:rPr>
              <w:t>配送安排、</w:t>
            </w:r>
            <w:r>
              <w:rPr>
                <w:rFonts w:hint="eastAsia" w:ascii="宋体" w:hAnsi="宋体"/>
                <w:bCs/>
                <w:color w:val="auto"/>
                <w:szCs w:val="21"/>
                <w:highlight w:val="none"/>
              </w:rPr>
              <w:t>运输</w:t>
            </w:r>
            <w:r>
              <w:rPr>
                <w:rFonts w:hint="eastAsia" w:ascii="宋体" w:hAnsi="宋体"/>
                <w:bCs/>
                <w:color w:val="auto"/>
                <w:szCs w:val="21"/>
                <w:highlight w:val="none"/>
                <w:lang w:val="en-US" w:eastAsia="zh-CN"/>
              </w:rPr>
              <w:t>方式</w:t>
            </w:r>
            <w:r>
              <w:rPr>
                <w:rFonts w:hint="eastAsia" w:ascii="宋体" w:hAnsi="宋体"/>
                <w:bCs/>
                <w:color w:val="auto"/>
                <w:szCs w:val="21"/>
                <w:highlight w:val="none"/>
              </w:rPr>
              <w:t>、装卸货等内容）</w:t>
            </w:r>
            <w:r>
              <w:rPr>
                <w:rFonts w:hint="eastAsia" w:ascii="宋体" w:hAnsi="宋体"/>
                <w:bCs/>
                <w:color w:val="auto"/>
                <w:szCs w:val="21"/>
                <w:highlight w:val="none"/>
                <w:lang w:val="en-US" w:eastAsia="zh-CN"/>
              </w:rPr>
              <w:t xml:space="preserve">，描述较为详尽，人员安排合理。 </w:t>
            </w:r>
          </w:p>
          <w:p w14:paraId="3B0B41F4">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五档（8分）：针对本项目（含设备及安装）所提交的进度计划方案，附有实施日程表、人员配置和实施步骤</w:t>
            </w:r>
            <w:r>
              <w:rPr>
                <w:rFonts w:hint="eastAsia" w:ascii="宋体" w:hAnsi="宋体"/>
                <w:bCs/>
                <w:color w:val="auto"/>
                <w:szCs w:val="21"/>
                <w:highlight w:val="none"/>
              </w:rPr>
              <w:t>（</w:t>
            </w:r>
            <w:r>
              <w:rPr>
                <w:rFonts w:hint="eastAsia" w:ascii="宋体" w:hAnsi="宋体"/>
                <w:bCs/>
                <w:color w:val="auto"/>
                <w:szCs w:val="21"/>
                <w:highlight w:val="none"/>
                <w:lang w:val="en-US" w:eastAsia="zh-CN"/>
              </w:rPr>
              <w:t>实施骤</w:t>
            </w:r>
            <w:r>
              <w:rPr>
                <w:rFonts w:hint="eastAsia" w:ascii="宋体" w:hAnsi="宋体"/>
                <w:bCs/>
                <w:color w:val="auto"/>
                <w:szCs w:val="21"/>
                <w:highlight w:val="none"/>
              </w:rPr>
              <w:t>包含但不限于订货、</w:t>
            </w:r>
            <w:r>
              <w:rPr>
                <w:rFonts w:hint="eastAsia" w:ascii="宋体" w:hAnsi="宋体"/>
                <w:bCs/>
                <w:color w:val="auto"/>
                <w:szCs w:val="21"/>
                <w:highlight w:val="none"/>
                <w:lang w:val="en-US" w:eastAsia="zh-CN"/>
              </w:rPr>
              <w:t>配送安排、</w:t>
            </w:r>
            <w:r>
              <w:rPr>
                <w:rFonts w:hint="eastAsia" w:ascii="宋体" w:hAnsi="宋体"/>
                <w:bCs/>
                <w:color w:val="auto"/>
                <w:szCs w:val="21"/>
                <w:highlight w:val="none"/>
              </w:rPr>
              <w:t>运输</w:t>
            </w:r>
            <w:r>
              <w:rPr>
                <w:rFonts w:hint="eastAsia" w:ascii="宋体" w:hAnsi="宋体"/>
                <w:bCs/>
                <w:color w:val="auto"/>
                <w:szCs w:val="21"/>
                <w:highlight w:val="none"/>
                <w:lang w:val="en-US" w:eastAsia="zh-CN"/>
              </w:rPr>
              <w:t>方式</w:t>
            </w:r>
            <w:r>
              <w:rPr>
                <w:rFonts w:hint="eastAsia" w:ascii="宋体" w:hAnsi="宋体"/>
                <w:bCs/>
                <w:color w:val="auto"/>
                <w:szCs w:val="21"/>
                <w:highlight w:val="none"/>
              </w:rPr>
              <w:t>、装卸货等内容）</w:t>
            </w:r>
            <w:r>
              <w:rPr>
                <w:rFonts w:hint="eastAsia" w:ascii="宋体" w:hAnsi="宋体"/>
                <w:bCs/>
                <w:color w:val="auto"/>
                <w:szCs w:val="21"/>
                <w:highlight w:val="none"/>
                <w:lang w:val="en-US" w:eastAsia="zh-CN"/>
              </w:rPr>
              <w:t>，描述详尽、清晰、严谨，人员安排科学、合理。</w:t>
            </w:r>
          </w:p>
          <w:p w14:paraId="77EB2439">
            <w:pPr>
              <w:spacing w:line="400" w:lineRule="exact"/>
              <w:jc w:val="left"/>
              <w:rPr>
                <w:rFonts w:hint="eastAsia" w:ascii="宋体" w:hAnsi="宋体"/>
                <w:bCs/>
                <w:color w:val="auto"/>
                <w:szCs w:val="21"/>
                <w:highlight w:val="none"/>
              </w:rPr>
            </w:pPr>
            <w:r>
              <w:rPr>
                <w:rFonts w:hint="eastAsia" w:ascii="宋体" w:hAnsi="宋体"/>
                <w:b/>
                <w:bCs w:val="0"/>
                <w:color w:val="auto"/>
                <w:szCs w:val="21"/>
                <w:highlight w:val="none"/>
                <w:lang w:val="en-US" w:eastAsia="zh-CN"/>
              </w:rPr>
              <w:t>（2）安装方案（满分9分）</w:t>
            </w:r>
            <w:r>
              <w:rPr>
                <w:rFonts w:hint="eastAsia" w:ascii="宋体" w:hAnsi="宋体"/>
                <w:bCs/>
                <w:color w:val="auto"/>
                <w:szCs w:val="21"/>
                <w:highlight w:val="none"/>
                <w:lang w:val="en-US" w:eastAsia="zh-CN"/>
              </w:rPr>
              <w:t xml:space="preserve"> </w:t>
            </w:r>
          </w:p>
          <w:p w14:paraId="720BE4B8">
            <w:pPr>
              <w:spacing w:line="400" w:lineRule="exact"/>
              <w:ind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一档（0分）：</w:t>
            </w:r>
            <w:r>
              <w:rPr>
                <w:color w:val="auto"/>
                <w:spacing w:val="-1"/>
                <w:sz w:val="22"/>
                <w:szCs w:val="22"/>
              </w:rPr>
              <w:t>未提供</w:t>
            </w:r>
            <w:r>
              <w:rPr>
                <w:rFonts w:hint="eastAsia"/>
                <w:color w:val="auto"/>
                <w:spacing w:val="-1"/>
                <w:sz w:val="22"/>
                <w:szCs w:val="22"/>
                <w:lang w:val="en-US" w:eastAsia="zh-CN"/>
              </w:rPr>
              <w:t>安装方案或</w:t>
            </w:r>
            <w:r>
              <w:rPr>
                <w:rFonts w:hint="eastAsia" w:ascii="宋体" w:hAnsi="宋体"/>
                <w:bCs/>
                <w:color w:val="auto"/>
                <w:szCs w:val="21"/>
                <w:highlight w:val="none"/>
                <w:lang w:val="en-US" w:eastAsia="zh-CN"/>
              </w:rPr>
              <w:t xml:space="preserve">所提交的安装方案缺乏实际可行性或未能满足采购要求。 </w:t>
            </w:r>
          </w:p>
          <w:p w14:paraId="318D3BBB">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二档（2分）：所提交的安装方案相对简单，仅包含对接方案；在技术与人力资源配备方面，基本符合项目实施要求。 </w:t>
            </w:r>
          </w:p>
          <w:p w14:paraId="54E11C9E">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三档（4分）：所提交的安装方案较为简单，能够提供对接方案。技术与人力资源安排基本满足项目要求，技术服务、配送服务、调试内容及措施相对简单。 </w:t>
            </w:r>
          </w:p>
          <w:p w14:paraId="338932BD">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四档（6分）：所提交的安装方案较为详细，能够提供对接方案；技术与人力资源安排充分满足项目实施要求，技术服务、配送服务、调试内容及措施完善，表述清晰、完整，措施具体有效。 </w:t>
            </w:r>
          </w:p>
          <w:p w14:paraId="59C1E445">
            <w:pPr>
              <w:spacing w:line="400" w:lineRule="exact"/>
              <w:ind w:firstLine="420" w:firstLineChars="200"/>
              <w:jc w:val="left"/>
              <w:rPr>
                <w:rFonts w:hint="eastAsia" w:ascii="宋体" w:hAnsi="宋体"/>
                <w:bCs/>
                <w:color w:val="auto"/>
                <w:kern w:val="0"/>
                <w:szCs w:val="21"/>
                <w:highlight w:val="none"/>
              </w:rPr>
            </w:pPr>
            <w:r>
              <w:rPr>
                <w:rFonts w:hint="eastAsia" w:ascii="宋体" w:hAnsi="宋体"/>
                <w:bCs/>
                <w:color w:val="auto"/>
                <w:szCs w:val="21"/>
                <w:highlight w:val="none"/>
                <w:lang w:val="en-US" w:eastAsia="zh-CN"/>
              </w:rPr>
              <w:t>五档（9分）：所提交的安装方案详实，能够针对本项目实际情况提供对接方案，且清晰展现对项目的熟悉程度，技术路线明确；技术与人力资源安排充足，技术服务、配送服务、调试内容及措施十分完善且验收方法切实可行，表述清晰、完整、严谨、合理，措施先进。</w:t>
            </w:r>
          </w:p>
        </w:tc>
      </w:tr>
      <w:tr w14:paraId="5F56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25D8A40D">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7F1510CF">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480F5EA5">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售后服务方案</w:t>
            </w:r>
          </w:p>
        </w:tc>
        <w:tc>
          <w:tcPr>
            <w:tcW w:w="709" w:type="dxa"/>
            <w:tcBorders>
              <w:top w:val="single" w:color="auto" w:sz="4" w:space="0"/>
              <w:left w:val="single" w:color="auto" w:sz="4" w:space="0"/>
              <w:right w:val="single" w:color="auto" w:sz="4" w:space="0"/>
            </w:tcBorders>
            <w:noWrap w:val="0"/>
            <w:vAlign w:val="center"/>
          </w:tcPr>
          <w:p w14:paraId="0C9CD468">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20CFEC11">
            <w:pPr>
              <w:spacing w:line="400" w:lineRule="exact"/>
              <w:jc w:val="left"/>
              <w:rPr>
                <w:rFonts w:hint="eastAsia" w:ascii="宋体" w:hAnsi="宋体"/>
                <w:bCs/>
                <w:color w:val="auto"/>
                <w:szCs w:val="21"/>
                <w:highlight w:val="none"/>
              </w:rPr>
            </w:pPr>
            <w:r>
              <w:rPr>
                <w:rFonts w:hint="eastAsia" w:ascii="宋体" w:hAnsi="宋体"/>
                <w:b/>
                <w:bCs w:val="0"/>
                <w:color w:val="auto"/>
                <w:szCs w:val="21"/>
                <w:highlight w:val="none"/>
              </w:rPr>
              <w:t>（1）故障出现解决方案（满分</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p>
          <w:p w14:paraId="1CBDCD21">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一档（0分）：</w:t>
            </w:r>
            <w:r>
              <w:rPr>
                <w:color w:val="auto"/>
                <w:spacing w:val="-1"/>
                <w:sz w:val="22"/>
                <w:szCs w:val="22"/>
              </w:rPr>
              <w:t>未提供</w:t>
            </w:r>
            <w:r>
              <w:rPr>
                <w:rFonts w:hint="eastAsia"/>
                <w:color w:val="auto"/>
                <w:spacing w:val="-1"/>
                <w:sz w:val="22"/>
                <w:szCs w:val="22"/>
              </w:rPr>
              <w:t>故障出现解决方案</w:t>
            </w:r>
            <w:r>
              <w:rPr>
                <w:rFonts w:hint="eastAsia"/>
                <w:color w:val="auto"/>
                <w:spacing w:val="-1"/>
                <w:sz w:val="22"/>
                <w:szCs w:val="22"/>
                <w:lang w:val="en-US" w:eastAsia="zh-CN"/>
              </w:rPr>
              <w:t>或</w:t>
            </w:r>
            <w:r>
              <w:rPr>
                <w:rFonts w:hint="eastAsia" w:ascii="宋体" w:hAnsi="宋体"/>
                <w:bCs/>
                <w:color w:val="auto"/>
                <w:szCs w:val="21"/>
                <w:highlight w:val="none"/>
              </w:rPr>
              <w:t>所提供的故障解决方案</w:t>
            </w:r>
            <w:r>
              <w:rPr>
                <w:rFonts w:hint="eastAsia" w:ascii="宋体" w:hAnsi="宋体"/>
                <w:bCs/>
                <w:color w:val="auto"/>
                <w:szCs w:val="21"/>
                <w:highlight w:val="none"/>
                <w:lang w:val="en-US" w:eastAsia="zh-CN"/>
              </w:rPr>
              <w:t xml:space="preserve">缺乏实际可行性或未能满足采购要求。 </w:t>
            </w:r>
          </w:p>
          <w:p w14:paraId="10C6A8AD">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w:t>
            </w:r>
            <w:r>
              <w:rPr>
                <w:rFonts w:hint="eastAsia" w:ascii="宋体" w:hAnsi="宋体"/>
                <w:bCs/>
                <w:color w:val="auto"/>
                <w:szCs w:val="21"/>
                <w:highlight w:val="none"/>
              </w:rPr>
              <w:t>分）：所提供的故障解决方案内容表述简略，</w:t>
            </w:r>
            <w:r>
              <w:rPr>
                <w:rFonts w:hint="eastAsia" w:ascii="宋体" w:hAnsi="宋体"/>
                <w:bCs/>
                <w:color w:val="auto"/>
                <w:szCs w:val="21"/>
                <w:highlight w:val="none"/>
                <w:lang w:val="en-US" w:eastAsia="zh-CN"/>
              </w:rPr>
              <w:t>不够详尽</w:t>
            </w:r>
            <w:r>
              <w:rPr>
                <w:rFonts w:hint="eastAsia" w:ascii="宋体" w:hAnsi="宋体"/>
                <w:bCs/>
                <w:color w:val="auto"/>
                <w:szCs w:val="21"/>
                <w:highlight w:val="none"/>
              </w:rPr>
              <w:t>，且仅勉强符合本项目采购的基本需求。</w:t>
            </w:r>
          </w:p>
          <w:p w14:paraId="14D5253E">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分）：所提供的故障解决方案基本完备，</w:t>
            </w:r>
            <w:r>
              <w:rPr>
                <w:rFonts w:hint="eastAsia" w:ascii="宋体" w:hAnsi="宋体"/>
                <w:bCs/>
                <w:color w:val="auto"/>
                <w:szCs w:val="21"/>
                <w:highlight w:val="none"/>
                <w:lang w:val="en-US" w:eastAsia="zh-CN"/>
              </w:rPr>
              <w:t>响应时间、故障解决能力</w:t>
            </w:r>
            <w:r>
              <w:rPr>
                <w:rFonts w:hint="eastAsia" w:ascii="宋体" w:hAnsi="宋体"/>
                <w:bCs/>
                <w:color w:val="auto"/>
                <w:szCs w:val="21"/>
                <w:highlight w:val="none"/>
              </w:rPr>
              <w:t>能够基本满足服务要求。</w:t>
            </w:r>
          </w:p>
          <w:p w14:paraId="5A15B8FD">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分）：所提供的故障解决方案内容</w:t>
            </w:r>
            <w:r>
              <w:rPr>
                <w:rFonts w:hint="eastAsia" w:ascii="宋体" w:hAnsi="宋体"/>
                <w:bCs/>
                <w:color w:val="auto"/>
                <w:szCs w:val="21"/>
                <w:highlight w:val="none"/>
                <w:lang w:val="en-US" w:eastAsia="zh-CN"/>
              </w:rPr>
              <w:t>较为详细</w:t>
            </w:r>
            <w:r>
              <w:rPr>
                <w:rFonts w:hint="eastAsia" w:ascii="宋体" w:hAnsi="宋体"/>
                <w:bCs/>
                <w:color w:val="auto"/>
                <w:szCs w:val="21"/>
                <w:highlight w:val="none"/>
              </w:rPr>
              <w:t>，</w:t>
            </w:r>
            <w:r>
              <w:rPr>
                <w:rFonts w:hint="eastAsia" w:ascii="宋体" w:hAnsi="宋体"/>
                <w:bCs/>
                <w:color w:val="auto"/>
                <w:szCs w:val="21"/>
                <w:highlight w:val="none"/>
                <w:lang w:val="en-US" w:eastAsia="zh-CN"/>
              </w:rPr>
              <w:t>响应时间、故障解决能力、</w:t>
            </w:r>
            <w:r>
              <w:rPr>
                <w:color w:val="auto"/>
                <w:spacing w:val="-8"/>
                <w:sz w:val="22"/>
                <w:szCs w:val="22"/>
              </w:rPr>
              <w:t>设备故障预警</w:t>
            </w:r>
            <w:r>
              <w:rPr>
                <w:rFonts w:hint="eastAsia" w:ascii="宋体" w:hAnsi="宋体"/>
                <w:bCs/>
                <w:color w:val="auto"/>
                <w:szCs w:val="21"/>
                <w:highlight w:val="none"/>
              </w:rPr>
              <w:t>能</w:t>
            </w:r>
            <w:r>
              <w:rPr>
                <w:rFonts w:hint="eastAsia" w:ascii="宋体" w:hAnsi="宋体"/>
                <w:bCs/>
                <w:color w:val="auto"/>
                <w:szCs w:val="21"/>
                <w:highlight w:val="none"/>
                <w:lang w:val="en-US" w:eastAsia="zh-CN"/>
              </w:rPr>
              <w:t>满足服务要求</w:t>
            </w:r>
            <w:r>
              <w:rPr>
                <w:rFonts w:hint="eastAsia" w:ascii="宋体" w:hAnsi="宋体"/>
                <w:bCs/>
                <w:color w:val="auto"/>
                <w:szCs w:val="21"/>
                <w:highlight w:val="none"/>
              </w:rPr>
              <w:t>，</w:t>
            </w:r>
            <w:r>
              <w:rPr>
                <w:rFonts w:hint="eastAsia" w:ascii="宋体" w:hAnsi="宋体"/>
                <w:bCs/>
                <w:color w:val="auto"/>
                <w:szCs w:val="21"/>
                <w:highlight w:val="none"/>
                <w:lang w:val="en-US" w:eastAsia="zh-CN"/>
              </w:rPr>
              <w:t>对质量保障方面有清晰描述。</w:t>
            </w:r>
          </w:p>
          <w:p w14:paraId="0AE4FDD7">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五档（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分）：所提供的故障解决方案</w:t>
            </w:r>
            <w:r>
              <w:rPr>
                <w:rFonts w:hint="eastAsia" w:ascii="宋体" w:hAnsi="宋体"/>
                <w:bCs/>
                <w:color w:val="auto"/>
                <w:szCs w:val="21"/>
                <w:highlight w:val="none"/>
                <w:lang w:val="en-US" w:eastAsia="zh-CN"/>
              </w:rPr>
              <w:t>内容详实</w:t>
            </w:r>
            <w:r>
              <w:rPr>
                <w:rFonts w:hint="eastAsia" w:ascii="宋体" w:hAnsi="宋体"/>
                <w:bCs/>
                <w:color w:val="auto"/>
                <w:szCs w:val="21"/>
                <w:highlight w:val="none"/>
              </w:rPr>
              <w:t>，</w:t>
            </w:r>
            <w:r>
              <w:rPr>
                <w:rFonts w:hint="eastAsia" w:ascii="宋体" w:hAnsi="宋体"/>
                <w:bCs/>
                <w:color w:val="auto"/>
                <w:szCs w:val="21"/>
                <w:highlight w:val="none"/>
                <w:lang w:val="en-US" w:eastAsia="zh-CN"/>
              </w:rPr>
              <w:t>响应时间、</w:t>
            </w:r>
            <w:r>
              <w:rPr>
                <w:rFonts w:hint="eastAsia" w:ascii="宋体" w:hAnsi="宋体"/>
                <w:bCs/>
                <w:color w:val="auto"/>
                <w:szCs w:val="21"/>
                <w:highlight w:val="none"/>
              </w:rPr>
              <w:t>对于到达故障现场的时间、</w:t>
            </w:r>
            <w:r>
              <w:rPr>
                <w:rFonts w:hint="eastAsia" w:ascii="宋体" w:hAnsi="宋体"/>
                <w:bCs/>
                <w:color w:val="auto"/>
                <w:szCs w:val="21"/>
                <w:highlight w:val="none"/>
                <w:lang w:val="en-US" w:eastAsia="zh-CN"/>
              </w:rPr>
              <w:t>故障解决能力、</w:t>
            </w:r>
            <w:r>
              <w:rPr>
                <w:color w:val="auto"/>
                <w:spacing w:val="-8"/>
                <w:sz w:val="22"/>
                <w:szCs w:val="22"/>
              </w:rPr>
              <w:t>设备故障预警</w:t>
            </w:r>
            <w:r>
              <w:rPr>
                <w:rFonts w:hint="eastAsia"/>
                <w:color w:val="auto"/>
                <w:spacing w:val="-8"/>
                <w:sz w:val="22"/>
                <w:szCs w:val="22"/>
                <w:lang w:eastAsia="zh-CN"/>
              </w:rPr>
              <w:t>、</w:t>
            </w:r>
            <w:r>
              <w:rPr>
                <w:rFonts w:hint="eastAsia"/>
                <w:color w:val="auto"/>
                <w:spacing w:val="-8"/>
                <w:sz w:val="22"/>
                <w:szCs w:val="22"/>
                <w:lang w:val="en-US" w:eastAsia="zh-CN"/>
              </w:rPr>
              <w:t>应急预案</w:t>
            </w:r>
            <w:r>
              <w:rPr>
                <w:rFonts w:hint="eastAsia" w:ascii="宋体" w:hAnsi="宋体"/>
                <w:bCs/>
                <w:color w:val="auto"/>
                <w:szCs w:val="21"/>
                <w:highlight w:val="none"/>
                <w:lang w:val="en-US" w:eastAsia="zh-CN"/>
              </w:rPr>
              <w:t>满足服务要求</w:t>
            </w:r>
            <w:r>
              <w:rPr>
                <w:rFonts w:hint="eastAsia" w:ascii="宋体" w:hAnsi="宋体"/>
                <w:bCs/>
                <w:color w:val="auto"/>
                <w:szCs w:val="21"/>
                <w:highlight w:val="none"/>
              </w:rPr>
              <w:t>，</w:t>
            </w:r>
            <w:r>
              <w:rPr>
                <w:rFonts w:hint="eastAsia" w:ascii="宋体" w:hAnsi="宋体"/>
                <w:bCs/>
                <w:color w:val="auto"/>
                <w:szCs w:val="21"/>
                <w:highlight w:val="none"/>
                <w:lang w:val="en-US" w:eastAsia="zh-CN"/>
              </w:rPr>
              <w:t>对质量保障方面有清晰描述，</w:t>
            </w:r>
            <w:r>
              <w:rPr>
                <w:rFonts w:hint="eastAsia" w:ascii="宋体" w:hAnsi="宋体"/>
                <w:bCs/>
                <w:color w:val="auto"/>
                <w:szCs w:val="21"/>
                <w:highlight w:val="none"/>
              </w:rPr>
              <w:t>完全符合本项目需求，</w:t>
            </w:r>
            <w:r>
              <w:rPr>
                <w:rFonts w:hint="eastAsia" w:ascii="宋体" w:hAnsi="宋体"/>
                <w:bCs/>
                <w:color w:val="auto"/>
                <w:szCs w:val="21"/>
                <w:highlight w:val="none"/>
                <w:lang w:val="en-US" w:eastAsia="zh-CN"/>
              </w:rPr>
              <w:t>且能</w:t>
            </w:r>
            <w:r>
              <w:rPr>
                <w:rFonts w:hint="eastAsia" w:ascii="宋体" w:hAnsi="宋体"/>
                <w:bCs/>
                <w:color w:val="auto"/>
                <w:szCs w:val="21"/>
                <w:highlight w:val="none"/>
              </w:rPr>
              <w:t>提供其他具有可行性的建议。</w:t>
            </w:r>
          </w:p>
          <w:p w14:paraId="341A1019">
            <w:pPr>
              <w:spacing w:line="400" w:lineRule="exact"/>
              <w:jc w:val="left"/>
              <w:rPr>
                <w:rFonts w:hint="eastAsia" w:ascii="宋体" w:hAnsi="宋体"/>
                <w:b/>
                <w:bCs w:val="0"/>
                <w:color w:val="auto"/>
                <w:szCs w:val="21"/>
                <w:highlight w:val="none"/>
              </w:rPr>
            </w:pPr>
            <w:r>
              <w:rPr>
                <w:rFonts w:hint="eastAsia" w:ascii="宋体" w:hAnsi="宋体"/>
                <w:b/>
                <w:bCs w:val="0"/>
                <w:color w:val="auto"/>
                <w:szCs w:val="21"/>
                <w:highlight w:val="none"/>
              </w:rPr>
              <w:t>（2）维修保养服务方案（满分</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p>
          <w:p w14:paraId="063C635F">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一档（0分）：</w:t>
            </w:r>
            <w:r>
              <w:rPr>
                <w:color w:val="auto"/>
                <w:spacing w:val="-1"/>
                <w:sz w:val="22"/>
                <w:szCs w:val="22"/>
              </w:rPr>
              <w:t>未提供</w:t>
            </w:r>
            <w:r>
              <w:rPr>
                <w:rFonts w:hint="eastAsia"/>
                <w:color w:val="auto"/>
                <w:spacing w:val="-1"/>
                <w:sz w:val="22"/>
                <w:szCs w:val="22"/>
              </w:rPr>
              <w:t>维修保养服务方案</w:t>
            </w:r>
            <w:r>
              <w:rPr>
                <w:rFonts w:hint="eastAsia"/>
                <w:color w:val="auto"/>
                <w:spacing w:val="-1"/>
                <w:sz w:val="22"/>
                <w:szCs w:val="22"/>
                <w:lang w:val="en-US" w:eastAsia="zh-CN"/>
              </w:rPr>
              <w:t>或</w:t>
            </w:r>
            <w:r>
              <w:rPr>
                <w:rFonts w:hint="eastAsia" w:ascii="宋体" w:hAnsi="宋体"/>
                <w:bCs/>
                <w:color w:val="auto"/>
                <w:szCs w:val="21"/>
                <w:highlight w:val="none"/>
              </w:rPr>
              <w:t>维修保养服务方案缺乏实际可行性或未能满足采购要求。</w:t>
            </w:r>
          </w:p>
          <w:p w14:paraId="6036C26F">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二档（1分）：提供的维修保养服务方案内容过于简略，</w:t>
            </w:r>
            <w:r>
              <w:rPr>
                <w:rFonts w:hint="eastAsia" w:ascii="宋体" w:hAnsi="宋体"/>
                <w:bCs/>
                <w:color w:val="auto"/>
                <w:szCs w:val="21"/>
                <w:highlight w:val="none"/>
                <w:lang w:val="en-US" w:eastAsia="zh-CN"/>
              </w:rPr>
              <w:t>不够</w:t>
            </w:r>
            <w:r>
              <w:rPr>
                <w:rFonts w:hint="eastAsia" w:ascii="宋体" w:hAnsi="宋体"/>
                <w:bCs/>
                <w:color w:val="auto"/>
                <w:szCs w:val="21"/>
                <w:highlight w:val="none"/>
              </w:rPr>
              <w:t>详尽，且仅勉强满足本项目采购需求的。</w:t>
            </w:r>
          </w:p>
          <w:p w14:paraId="1BB0FFC8">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w:t>
            </w:r>
            <w:r>
              <w:rPr>
                <w:rFonts w:hint="eastAsia" w:ascii="宋体" w:hAnsi="宋体"/>
                <w:bCs/>
                <w:color w:val="auto"/>
                <w:szCs w:val="21"/>
                <w:highlight w:val="none"/>
              </w:rPr>
              <w:t>分）：提供的维修保养服务方案</w:t>
            </w:r>
            <w:r>
              <w:rPr>
                <w:rFonts w:hint="eastAsia" w:ascii="宋体" w:hAnsi="宋体"/>
                <w:bCs/>
                <w:color w:val="auto"/>
                <w:szCs w:val="21"/>
                <w:highlight w:val="none"/>
                <w:lang w:val="en-US" w:eastAsia="zh-CN"/>
              </w:rPr>
              <w:t>简单</w:t>
            </w:r>
            <w:r>
              <w:rPr>
                <w:rFonts w:hint="eastAsia" w:ascii="宋体" w:hAnsi="宋体"/>
                <w:bCs/>
                <w:color w:val="auto"/>
                <w:szCs w:val="21"/>
                <w:highlight w:val="none"/>
              </w:rPr>
              <w:t>，</w:t>
            </w:r>
            <w:r>
              <w:rPr>
                <w:rFonts w:hint="eastAsia" w:ascii="宋体" w:hAnsi="宋体"/>
                <w:bCs/>
                <w:color w:val="auto"/>
                <w:szCs w:val="21"/>
                <w:highlight w:val="none"/>
                <w:lang w:val="en-US" w:eastAsia="zh-CN"/>
              </w:rPr>
              <w:t>有</w:t>
            </w:r>
            <w:r>
              <w:rPr>
                <w:color w:val="auto"/>
                <w:spacing w:val="-8"/>
                <w:sz w:val="22"/>
                <w:szCs w:val="22"/>
              </w:rPr>
              <w:t>巡检服务</w:t>
            </w:r>
            <w:r>
              <w:rPr>
                <w:rFonts w:hint="eastAsia"/>
                <w:color w:val="auto"/>
                <w:spacing w:val="-8"/>
                <w:sz w:val="22"/>
                <w:szCs w:val="22"/>
                <w:lang w:eastAsia="zh-CN"/>
              </w:rPr>
              <w:t>、</w:t>
            </w:r>
            <w:r>
              <w:rPr>
                <w:rFonts w:hint="eastAsia"/>
                <w:color w:val="auto"/>
                <w:spacing w:val="-8"/>
                <w:sz w:val="22"/>
                <w:szCs w:val="22"/>
                <w:lang w:val="en-US" w:eastAsia="zh-CN"/>
              </w:rPr>
              <w:t>维护人员安排，</w:t>
            </w:r>
            <w:r>
              <w:rPr>
                <w:rFonts w:hint="eastAsia" w:ascii="宋体" w:hAnsi="宋体"/>
                <w:bCs/>
                <w:color w:val="auto"/>
                <w:szCs w:val="21"/>
                <w:highlight w:val="none"/>
              </w:rPr>
              <w:t>能够基本满足采购文件的要求的。</w:t>
            </w:r>
          </w:p>
          <w:p w14:paraId="0A206198">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分）：提供的维修保养服务方案较为</w:t>
            </w:r>
            <w:r>
              <w:rPr>
                <w:rFonts w:hint="eastAsia" w:ascii="宋体" w:hAnsi="宋体"/>
                <w:bCs/>
                <w:color w:val="auto"/>
                <w:szCs w:val="21"/>
                <w:highlight w:val="none"/>
                <w:lang w:val="en-US" w:eastAsia="zh-CN"/>
              </w:rPr>
              <w:t>详细</w:t>
            </w:r>
            <w:r>
              <w:rPr>
                <w:rFonts w:hint="eastAsia" w:ascii="宋体" w:hAnsi="宋体"/>
                <w:bCs/>
                <w:color w:val="auto"/>
                <w:szCs w:val="21"/>
                <w:highlight w:val="none"/>
              </w:rPr>
              <w:t>，</w:t>
            </w:r>
            <w:r>
              <w:rPr>
                <w:rFonts w:hint="eastAsia" w:ascii="宋体" w:hAnsi="宋体"/>
                <w:bCs/>
                <w:color w:val="auto"/>
                <w:szCs w:val="21"/>
                <w:highlight w:val="none"/>
                <w:lang w:val="en-US" w:eastAsia="zh-CN"/>
              </w:rPr>
              <w:t>有</w:t>
            </w:r>
            <w:r>
              <w:rPr>
                <w:color w:val="auto"/>
                <w:spacing w:val="-8"/>
                <w:sz w:val="22"/>
                <w:szCs w:val="22"/>
              </w:rPr>
              <w:t>巡检服务</w:t>
            </w:r>
            <w:r>
              <w:rPr>
                <w:rFonts w:hint="eastAsia"/>
                <w:color w:val="auto"/>
                <w:spacing w:val="-8"/>
                <w:sz w:val="22"/>
                <w:szCs w:val="22"/>
                <w:lang w:eastAsia="zh-CN"/>
              </w:rPr>
              <w:t>、</w:t>
            </w:r>
            <w:r>
              <w:rPr>
                <w:rFonts w:hint="eastAsia"/>
                <w:color w:val="auto"/>
                <w:spacing w:val="-8"/>
                <w:sz w:val="22"/>
                <w:szCs w:val="22"/>
                <w:lang w:val="en-US" w:eastAsia="zh-CN"/>
              </w:rPr>
              <w:t>维护人员安排</w:t>
            </w:r>
            <w:r>
              <w:rPr>
                <w:color w:val="auto"/>
                <w:spacing w:val="-8"/>
                <w:sz w:val="22"/>
                <w:szCs w:val="22"/>
              </w:rPr>
              <w:t>[包含但不限于售后人员名单、售后人员相关专业能力证件(如有)</w:t>
            </w:r>
            <w:r>
              <w:rPr>
                <w:rFonts w:hint="eastAsia"/>
                <w:color w:val="auto"/>
                <w:spacing w:val="-8"/>
                <w:sz w:val="22"/>
                <w:szCs w:val="22"/>
                <w:lang w:eastAsia="zh-CN"/>
              </w:rPr>
              <w:t>、</w:t>
            </w:r>
            <w:r>
              <w:rPr>
                <w:rFonts w:hint="eastAsia"/>
                <w:color w:val="auto"/>
                <w:spacing w:val="-8"/>
                <w:sz w:val="22"/>
                <w:szCs w:val="22"/>
                <w:lang w:val="en-US" w:eastAsia="zh-CN"/>
              </w:rPr>
              <w:t>拟</w:t>
            </w:r>
            <w:r>
              <w:rPr>
                <w:rFonts w:hint="eastAsia" w:ascii="宋体" w:hAnsi="宋体"/>
                <w:color w:val="000000"/>
                <w:szCs w:val="21"/>
                <w:highlight w:val="none"/>
              </w:rPr>
              <w:t>派技术人员的经验介绍</w:t>
            </w:r>
            <w:r>
              <w:rPr>
                <w:color w:val="auto"/>
                <w:spacing w:val="-8"/>
                <w:sz w:val="22"/>
                <w:szCs w:val="22"/>
              </w:rPr>
              <w:t>等内容]</w:t>
            </w:r>
            <w:r>
              <w:rPr>
                <w:rFonts w:hint="eastAsia"/>
                <w:color w:val="auto"/>
                <w:spacing w:val="-8"/>
                <w:sz w:val="22"/>
                <w:szCs w:val="22"/>
                <w:lang w:val="en-US" w:eastAsia="zh-CN"/>
              </w:rPr>
              <w:t>、日常保养安排、有</w:t>
            </w:r>
            <w:r>
              <w:rPr>
                <w:rFonts w:hint="eastAsia" w:ascii="宋体" w:hAnsi="宋体"/>
                <w:bCs/>
                <w:color w:val="auto"/>
                <w:szCs w:val="21"/>
                <w:highlight w:val="none"/>
              </w:rPr>
              <w:t>维护保障流程</w:t>
            </w:r>
            <w:r>
              <w:rPr>
                <w:rFonts w:hint="eastAsia" w:ascii="宋体" w:hAnsi="宋体"/>
                <w:bCs/>
                <w:color w:val="auto"/>
                <w:szCs w:val="21"/>
                <w:highlight w:val="none"/>
                <w:lang w:val="en-US" w:eastAsia="zh-CN"/>
              </w:rPr>
              <w:t>安排</w:t>
            </w:r>
            <w:r>
              <w:rPr>
                <w:rFonts w:hint="eastAsia" w:ascii="宋体" w:hAnsi="宋体"/>
                <w:bCs/>
                <w:color w:val="auto"/>
                <w:szCs w:val="21"/>
                <w:highlight w:val="none"/>
              </w:rPr>
              <w:t>及服务电话</w:t>
            </w:r>
            <w:r>
              <w:rPr>
                <w:rFonts w:hint="eastAsia" w:ascii="宋体" w:hAnsi="宋体"/>
                <w:bCs/>
                <w:color w:val="auto"/>
                <w:szCs w:val="21"/>
                <w:highlight w:val="none"/>
                <w:lang w:val="en-US" w:eastAsia="zh-CN"/>
              </w:rPr>
              <w:t>等，</w:t>
            </w:r>
            <w:r>
              <w:rPr>
                <w:rFonts w:hint="eastAsia" w:ascii="宋体" w:hAnsi="宋体"/>
                <w:bCs/>
                <w:color w:val="auto"/>
                <w:szCs w:val="21"/>
                <w:highlight w:val="none"/>
              </w:rPr>
              <w:t>能够满足采购文件的要求的。</w:t>
            </w:r>
          </w:p>
          <w:p w14:paraId="755C0C5D">
            <w:pPr>
              <w:spacing w:line="400" w:lineRule="exact"/>
              <w:ind w:firstLine="420" w:firstLineChars="200"/>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五档（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分）：提供的维修保养服务方案</w:t>
            </w:r>
            <w:r>
              <w:rPr>
                <w:rFonts w:hint="eastAsia" w:ascii="宋体" w:hAnsi="宋体"/>
                <w:bCs/>
                <w:color w:val="auto"/>
                <w:szCs w:val="21"/>
                <w:highlight w:val="none"/>
                <w:lang w:val="en-US" w:eastAsia="zh-CN"/>
              </w:rPr>
              <w:t>详细</w:t>
            </w:r>
            <w:r>
              <w:rPr>
                <w:rFonts w:hint="eastAsia" w:ascii="宋体" w:hAnsi="宋体"/>
                <w:bCs/>
                <w:color w:val="auto"/>
                <w:szCs w:val="21"/>
                <w:highlight w:val="none"/>
              </w:rPr>
              <w:t>，维护保障流程</w:t>
            </w:r>
            <w:r>
              <w:rPr>
                <w:rFonts w:hint="eastAsia" w:ascii="宋体" w:hAnsi="宋体"/>
                <w:bCs/>
                <w:color w:val="auto"/>
                <w:szCs w:val="21"/>
                <w:highlight w:val="none"/>
                <w:lang w:val="en-US" w:eastAsia="zh-CN"/>
              </w:rPr>
              <w:t>安排有</w:t>
            </w:r>
            <w:r>
              <w:rPr>
                <w:color w:val="auto"/>
                <w:spacing w:val="-8"/>
                <w:sz w:val="22"/>
                <w:szCs w:val="22"/>
              </w:rPr>
              <w:t>巡检服务</w:t>
            </w:r>
            <w:r>
              <w:rPr>
                <w:rFonts w:hint="eastAsia"/>
                <w:color w:val="auto"/>
                <w:spacing w:val="-8"/>
                <w:sz w:val="22"/>
                <w:szCs w:val="22"/>
                <w:lang w:eastAsia="zh-CN"/>
              </w:rPr>
              <w:t>、</w:t>
            </w:r>
            <w:r>
              <w:rPr>
                <w:rFonts w:hint="eastAsia"/>
                <w:color w:val="auto"/>
                <w:spacing w:val="-8"/>
                <w:sz w:val="22"/>
                <w:szCs w:val="22"/>
                <w:lang w:val="en-US" w:eastAsia="zh-CN"/>
              </w:rPr>
              <w:t>维护人员安排</w:t>
            </w:r>
            <w:r>
              <w:rPr>
                <w:color w:val="auto"/>
                <w:spacing w:val="-8"/>
                <w:sz w:val="22"/>
                <w:szCs w:val="22"/>
              </w:rPr>
              <w:t>[包含但不限于售后人员名单、售后人员相关专业能力证件(如有)</w:t>
            </w:r>
            <w:r>
              <w:rPr>
                <w:rFonts w:hint="eastAsia"/>
                <w:color w:val="auto"/>
                <w:spacing w:val="-8"/>
                <w:sz w:val="22"/>
                <w:szCs w:val="22"/>
                <w:lang w:eastAsia="zh-CN"/>
              </w:rPr>
              <w:t>、</w:t>
            </w:r>
            <w:r>
              <w:rPr>
                <w:rFonts w:hint="eastAsia"/>
                <w:color w:val="auto"/>
                <w:spacing w:val="-8"/>
                <w:sz w:val="22"/>
                <w:szCs w:val="22"/>
                <w:lang w:val="en-US" w:eastAsia="zh-CN"/>
              </w:rPr>
              <w:t>拟</w:t>
            </w:r>
            <w:r>
              <w:rPr>
                <w:rFonts w:hint="eastAsia" w:ascii="宋体" w:hAnsi="宋体"/>
                <w:color w:val="000000"/>
                <w:szCs w:val="21"/>
                <w:highlight w:val="none"/>
              </w:rPr>
              <w:t>派技术人员的经验介绍</w:t>
            </w:r>
            <w:r>
              <w:rPr>
                <w:color w:val="auto"/>
                <w:spacing w:val="-8"/>
                <w:sz w:val="22"/>
                <w:szCs w:val="22"/>
              </w:rPr>
              <w:t>等内容]</w:t>
            </w:r>
            <w:r>
              <w:rPr>
                <w:rFonts w:hint="eastAsia"/>
                <w:color w:val="auto"/>
                <w:spacing w:val="-8"/>
                <w:sz w:val="22"/>
                <w:szCs w:val="22"/>
                <w:lang w:eastAsia="zh-CN"/>
              </w:rPr>
              <w:t>、</w:t>
            </w:r>
            <w:r>
              <w:rPr>
                <w:rFonts w:hint="eastAsia"/>
                <w:color w:val="auto"/>
                <w:spacing w:val="-8"/>
                <w:sz w:val="22"/>
                <w:szCs w:val="22"/>
                <w:lang w:val="en-US" w:eastAsia="zh-CN"/>
              </w:rPr>
              <w:t>日常保养安排、</w:t>
            </w:r>
            <w:r>
              <w:rPr>
                <w:rFonts w:hint="eastAsia" w:ascii="宋体" w:hAnsi="宋体"/>
                <w:bCs/>
                <w:color w:val="auto"/>
                <w:szCs w:val="21"/>
                <w:highlight w:val="none"/>
              </w:rPr>
              <w:t>服务电话</w:t>
            </w:r>
            <w:r>
              <w:rPr>
                <w:rFonts w:hint="eastAsia" w:ascii="宋体" w:hAnsi="宋体"/>
                <w:bCs/>
                <w:color w:val="auto"/>
                <w:szCs w:val="21"/>
                <w:highlight w:val="none"/>
                <w:lang w:eastAsia="zh-CN"/>
              </w:rPr>
              <w:t>、</w:t>
            </w:r>
            <w:r>
              <w:rPr>
                <w:color w:val="auto"/>
                <w:spacing w:val="-8"/>
                <w:sz w:val="22"/>
                <w:szCs w:val="22"/>
              </w:rPr>
              <w:t>技术支持(包含但不限于电话技术支持、远程技术支持、现场技术支持等内容)</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且有其它增值服务或保养特色服务或提供更优惠条件等，</w:t>
            </w:r>
            <w:r>
              <w:rPr>
                <w:rFonts w:hint="eastAsia" w:ascii="宋体" w:hAnsi="宋体"/>
                <w:bCs/>
                <w:color w:val="auto"/>
                <w:szCs w:val="21"/>
                <w:highlight w:val="none"/>
              </w:rPr>
              <w:t>能够满足采购文件的要求的</w:t>
            </w:r>
            <w:r>
              <w:rPr>
                <w:rFonts w:hint="eastAsia" w:ascii="宋体" w:hAnsi="宋体"/>
                <w:bCs/>
                <w:color w:val="auto"/>
                <w:szCs w:val="21"/>
                <w:highlight w:val="none"/>
                <w:lang w:eastAsia="zh-CN"/>
              </w:rPr>
              <w:t>。</w:t>
            </w:r>
          </w:p>
          <w:p w14:paraId="267C96A7">
            <w:pPr>
              <w:spacing w:line="400" w:lineRule="exact"/>
              <w:jc w:val="left"/>
              <w:rPr>
                <w:rFonts w:hint="eastAsia" w:ascii="宋体" w:hAnsi="宋体"/>
                <w:bCs/>
                <w:color w:val="auto"/>
                <w:szCs w:val="21"/>
                <w:highlight w:val="none"/>
              </w:rPr>
            </w:pPr>
            <w:r>
              <w:rPr>
                <w:rFonts w:hint="eastAsia" w:ascii="宋体" w:hAnsi="宋体"/>
                <w:b/>
                <w:bCs w:val="0"/>
                <w:color w:val="auto"/>
                <w:szCs w:val="21"/>
                <w:highlight w:val="none"/>
              </w:rPr>
              <w:t>（3）技术培训方案（满分</w:t>
            </w: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分）</w:t>
            </w:r>
          </w:p>
          <w:p w14:paraId="6F1559C0">
            <w:pPr>
              <w:spacing w:line="400" w:lineRule="exact"/>
              <w:ind w:firstLine="420" w:firstLineChars="200"/>
              <w:jc w:val="left"/>
              <w:rPr>
                <w:rFonts w:hint="eastAsia" w:ascii="Times New Roman" w:hAnsi="Times New Roman" w:eastAsia="宋体" w:cs="Times New Roman"/>
                <w:color w:val="auto"/>
                <w:spacing w:val="-1"/>
                <w:sz w:val="22"/>
                <w:szCs w:val="22"/>
              </w:rPr>
            </w:pPr>
            <w:r>
              <w:rPr>
                <w:rFonts w:hint="eastAsia" w:ascii="宋体" w:hAnsi="宋体"/>
                <w:bCs/>
                <w:color w:val="auto"/>
                <w:szCs w:val="21"/>
                <w:highlight w:val="none"/>
              </w:rPr>
              <w:t>一档（0分）：</w:t>
            </w:r>
            <w:r>
              <w:rPr>
                <w:color w:val="auto"/>
                <w:spacing w:val="-1"/>
                <w:sz w:val="22"/>
                <w:szCs w:val="22"/>
              </w:rPr>
              <w:t>未提</w:t>
            </w:r>
            <w:r>
              <w:rPr>
                <w:rFonts w:ascii="Times New Roman" w:hAnsi="Times New Roman" w:eastAsia="宋体" w:cs="Times New Roman"/>
                <w:color w:val="auto"/>
                <w:spacing w:val="-1"/>
                <w:sz w:val="22"/>
                <w:szCs w:val="22"/>
              </w:rPr>
              <w:t>供</w:t>
            </w:r>
            <w:r>
              <w:rPr>
                <w:rFonts w:hint="eastAsia" w:ascii="Times New Roman" w:hAnsi="Times New Roman" w:eastAsia="宋体" w:cs="Times New Roman"/>
                <w:color w:val="auto"/>
                <w:spacing w:val="-1"/>
                <w:sz w:val="22"/>
                <w:szCs w:val="22"/>
              </w:rPr>
              <w:t>技术培训方案</w:t>
            </w:r>
            <w:r>
              <w:rPr>
                <w:rFonts w:hint="eastAsia" w:ascii="Times New Roman" w:hAnsi="Times New Roman" w:eastAsia="宋体" w:cs="Times New Roman"/>
                <w:color w:val="auto"/>
                <w:spacing w:val="-1"/>
                <w:sz w:val="22"/>
                <w:szCs w:val="22"/>
                <w:lang w:val="en-US" w:eastAsia="zh-CN"/>
              </w:rPr>
              <w:t>或</w:t>
            </w:r>
            <w:r>
              <w:rPr>
                <w:rFonts w:hint="eastAsia" w:ascii="Times New Roman" w:hAnsi="Times New Roman" w:eastAsia="宋体" w:cs="Times New Roman"/>
                <w:color w:val="auto"/>
                <w:spacing w:val="-1"/>
                <w:sz w:val="22"/>
                <w:szCs w:val="22"/>
              </w:rPr>
              <w:t>技术培训方案缺乏实际可行性或未能满足采购要求。</w:t>
            </w:r>
          </w:p>
          <w:p w14:paraId="357A43B3">
            <w:pPr>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w:t>
            </w:r>
            <w:r>
              <w:rPr>
                <w:rFonts w:hint="eastAsia" w:ascii="宋体" w:hAnsi="宋体"/>
                <w:bCs/>
                <w:color w:val="auto"/>
                <w:szCs w:val="21"/>
                <w:highlight w:val="none"/>
              </w:rPr>
              <w:t>分）：提供的技术培训方案简</w:t>
            </w:r>
            <w:r>
              <w:rPr>
                <w:rFonts w:hint="eastAsia" w:ascii="宋体" w:hAnsi="宋体"/>
                <w:bCs/>
                <w:color w:val="auto"/>
                <w:szCs w:val="21"/>
                <w:highlight w:val="none"/>
                <w:lang w:val="en-US" w:eastAsia="zh-CN"/>
              </w:rPr>
              <w:t>单，</w:t>
            </w:r>
            <w:r>
              <w:rPr>
                <w:rFonts w:hint="eastAsia" w:ascii="宋体" w:hAnsi="宋体"/>
                <w:bCs/>
                <w:color w:val="auto"/>
                <w:szCs w:val="21"/>
                <w:highlight w:val="none"/>
              </w:rPr>
              <w:t>且仅勉强满足本项目采购的基本需求。</w:t>
            </w:r>
          </w:p>
          <w:p w14:paraId="11ABBC5E">
            <w:pPr>
              <w:spacing w:line="400" w:lineRule="exact"/>
              <w:ind w:firstLine="420" w:firstLineChars="200"/>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2</w:t>
            </w:r>
            <w:r>
              <w:rPr>
                <w:rFonts w:hint="eastAsia" w:ascii="宋体" w:hAnsi="宋体"/>
                <w:bCs/>
                <w:color w:val="auto"/>
                <w:szCs w:val="21"/>
                <w:highlight w:val="none"/>
              </w:rPr>
              <w:t>分）：</w:t>
            </w:r>
            <w:r>
              <w:rPr>
                <w:rFonts w:hint="eastAsia" w:ascii="宋体" w:hAnsi="宋体"/>
                <w:bCs/>
                <w:color w:val="auto"/>
                <w:szCs w:val="21"/>
                <w:highlight w:val="none"/>
                <w:lang w:val="en-US" w:eastAsia="zh-CN"/>
              </w:rPr>
              <w:t>提供</w:t>
            </w:r>
            <w:r>
              <w:rPr>
                <w:rFonts w:hint="eastAsia" w:ascii="宋体" w:hAnsi="宋体"/>
                <w:bCs/>
                <w:color w:val="auto"/>
                <w:szCs w:val="21"/>
                <w:highlight w:val="none"/>
              </w:rPr>
              <w:t>技术培训方案</w:t>
            </w:r>
            <w:r>
              <w:rPr>
                <w:rFonts w:hint="eastAsia" w:ascii="宋体" w:hAnsi="宋体"/>
                <w:bCs/>
                <w:color w:val="auto"/>
                <w:szCs w:val="21"/>
                <w:highlight w:val="none"/>
                <w:lang w:val="en-US" w:eastAsia="zh-CN"/>
              </w:rPr>
              <w:t>较详细</w:t>
            </w:r>
            <w:r>
              <w:rPr>
                <w:rFonts w:hint="eastAsia" w:ascii="宋体" w:hAnsi="宋体"/>
                <w:bCs/>
                <w:color w:val="auto"/>
                <w:szCs w:val="21"/>
                <w:highlight w:val="none"/>
              </w:rPr>
              <w:t>，</w:t>
            </w:r>
            <w:r>
              <w:rPr>
                <w:rFonts w:hint="eastAsia" w:ascii="宋体" w:hAnsi="宋体"/>
                <w:bCs/>
                <w:color w:val="auto"/>
                <w:szCs w:val="21"/>
                <w:highlight w:val="none"/>
                <w:lang w:val="en-US" w:eastAsia="zh-CN"/>
              </w:rPr>
              <w:t>培训安排的人员、培训内容</w:t>
            </w:r>
            <w:r>
              <w:rPr>
                <w:rFonts w:hint="eastAsia" w:ascii="宋体" w:hAnsi="宋体"/>
                <w:bCs/>
                <w:color w:val="auto"/>
                <w:szCs w:val="21"/>
                <w:highlight w:val="none"/>
              </w:rPr>
              <w:t>能够基本满足采购文件的要求的。</w:t>
            </w:r>
          </w:p>
          <w:p w14:paraId="5F544D37">
            <w:pPr>
              <w:spacing w:line="400" w:lineRule="exact"/>
              <w:ind w:firstLine="420" w:firstLineChars="200"/>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4</w:t>
            </w:r>
            <w:r>
              <w:rPr>
                <w:rFonts w:hint="eastAsia" w:ascii="宋体" w:hAnsi="宋体"/>
                <w:bCs/>
                <w:color w:val="auto"/>
                <w:szCs w:val="21"/>
                <w:highlight w:val="none"/>
              </w:rPr>
              <w:t>分）：</w:t>
            </w:r>
            <w:r>
              <w:rPr>
                <w:rFonts w:hint="eastAsia" w:ascii="宋体" w:hAnsi="宋体"/>
                <w:bCs/>
                <w:color w:val="auto"/>
                <w:szCs w:val="21"/>
                <w:highlight w:val="none"/>
                <w:lang w:val="en-US" w:eastAsia="zh-CN"/>
              </w:rPr>
              <w:t>提供</w:t>
            </w:r>
            <w:r>
              <w:rPr>
                <w:rFonts w:hint="eastAsia" w:ascii="宋体" w:hAnsi="宋体"/>
                <w:bCs/>
                <w:color w:val="auto"/>
                <w:szCs w:val="21"/>
                <w:highlight w:val="none"/>
              </w:rPr>
              <w:t>技术培训方案</w:t>
            </w:r>
            <w:r>
              <w:rPr>
                <w:rFonts w:hint="eastAsia" w:ascii="宋体" w:hAnsi="宋体"/>
                <w:bCs/>
                <w:color w:val="auto"/>
                <w:szCs w:val="21"/>
                <w:highlight w:val="none"/>
                <w:lang w:val="en-US" w:eastAsia="zh-CN"/>
              </w:rPr>
              <w:t>详细</w:t>
            </w:r>
            <w:r>
              <w:rPr>
                <w:rFonts w:hint="eastAsia" w:ascii="宋体" w:hAnsi="宋体"/>
                <w:bCs/>
                <w:color w:val="auto"/>
                <w:szCs w:val="21"/>
                <w:highlight w:val="none"/>
              </w:rPr>
              <w:t>，</w:t>
            </w:r>
            <w:r>
              <w:rPr>
                <w:rFonts w:hint="eastAsia" w:ascii="宋体" w:hAnsi="宋体"/>
                <w:bCs/>
                <w:color w:val="auto"/>
                <w:szCs w:val="21"/>
                <w:highlight w:val="none"/>
                <w:lang w:val="en-US" w:eastAsia="zh-CN"/>
              </w:rPr>
              <w:t>培训安排的人员、培训内容</w:t>
            </w:r>
            <w:r>
              <w:rPr>
                <w:rFonts w:hint="eastAsia" w:ascii="宋体" w:hAnsi="宋体"/>
                <w:bCs/>
                <w:color w:val="auto"/>
                <w:szCs w:val="21"/>
                <w:highlight w:val="none"/>
              </w:rPr>
              <w:t>能够明确突出培训的重点与难点</w:t>
            </w:r>
            <w:r>
              <w:rPr>
                <w:rFonts w:hint="eastAsia" w:ascii="宋体" w:hAnsi="宋体"/>
                <w:bCs/>
                <w:color w:val="auto"/>
                <w:szCs w:val="21"/>
                <w:highlight w:val="none"/>
                <w:lang w:eastAsia="zh-CN"/>
              </w:rPr>
              <w:t>，</w:t>
            </w:r>
            <w:r>
              <w:rPr>
                <w:rFonts w:hint="eastAsia" w:ascii="宋体" w:hAnsi="宋体"/>
                <w:bCs/>
                <w:color w:val="auto"/>
                <w:szCs w:val="21"/>
                <w:highlight w:val="none"/>
              </w:rPr>
              <w:t>符合项目实际需求能够满足采购文件的要求的。</w:t>
            </w:r>
          </w:p>
          <w:p w14:paraId="4C27DB7C">
            <w:pPr>
              <w:spacing w:line="400" w:lineRule="exact"/>
              <w:ind w:firstLine="420" w:firstLineChars="200"/>
              <w:jc w:val="left"/>
              <w:rPr>
                <w:rFonts w:ascii="宋体" w:hAnsi="宋体"/>
                <w:bCs/>
                <w:color w:val="auto"/>
                <w:kern w:val="0"/>
                <w:szCs w:val="21"/>
                <w:highlight w:val="none"/>
              </w:rPr>
            </w:pPr>
            <w:r>
              <w:rPr>
                <w:rFonts w:hint="eastAsia" w:ascii="宋体" w:hAnsi="宋体"/>
                <w:bCs/>
                <w:color w:val="auto"/>
                <w:szCs w:val="21"/>
                <w:highlight w:val="none"/>
              </w:rPr>
              <w:t>五档（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r>
              <w:rPr>
                <w:rFonts w:hint="eastAsia" w:ascii="宋体" w:hAnsi="宋体"/>
                <w:bCs/>
                <w:color w:val="auto"/>
                <w:szCs w:val="21"/>
                <w:highlight w:val="none"/>
                <w:lang w:val="en-US" w:eastAsia="zh-CN"/>
              </w:rPr>
              <w:t>提供</w:t>
            </w:r>
            <w:r>
              <w:rPr>
                <w:rFonts w:hint="eastAsia" w:ascii="宋体" w:hAnsi="宋体"/>
                <w:bCs/>
                <w:color w:val="auto"/>
                <w:szCs w:val="21"/>
                <w:highlight w:val="none"/>
              </w:rPr>
              <w:t>技术培训方案</w:t>
            </w:r>
            <w:r>
              <w:rPr>
                <w:rFonts w:hint="eastAsia" w:ascii="宋体" w:hAnsi="宋体"/>
                <w:bCs/>
                <w:color w:val="auto"/>
                <w:szCs w:val="21"/>
                <w:highlight w:val="none"/>
                <w:lang w:val="en-US" w:eastAsia="zh-CN"/>
              </w:rPr>
              <w:t>详细</w:t>
            </w:r>
            <w:r>
              <w:rPr>
                <w:rFonts w:hint="eastAsia" w:ascii="宋体" w:hAnsi="宋体"/>
                <w:bCs/>
                <w:color w:val="auto"/>
                <w:szCs w:val="21"/>
                <w:highlight w:val="none"/>
              </w:rPr>
              <w:t>，</w:t>
            </w:r>
            <w:r>
              <w:rPr>
                <w:rFonts w:hint="eastAsia" w:ascii="宋体" w:hAnsi="宋体"/>
                <w:bCs/>
                <w:color w:val="auto"/>
                <w:szCs w:val="21"/>
                <w:highlight w:val="none"/>
                <w:lang w:val="en-US" w:eastAsia="zh-CN"/>
              </w:rPr>
              <w:t>培训安排的人员、时间能针对采购人自身情况进行，培训内容的</w:t>
            </w:r>
            <w:r>
              <w:rPr>
                <w:rFonts w:hint="eastAsia" w:ascii="宋体" w:hAnsi="宋体"/>
                <w:bCs/>
                <w:color w:val="auto"/>
                <w:szCs w:val="21"/>
                <w:highlight w:val="none"/>
              </w:rPr>
              <w:t>编制思路清晰明确</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能明确突然</w:t>
            </w:r>
            <w:r>
              <w:rPr>
                <w:rFonts w:hint="eastAsia" w:ascii="宋体" w:hAnsi="宋体"/>
                <w:bCs/>
                <w:color w:val="auto"/>
                <w:szCs w:val="21"/>
                <w:highlight w:val="none"/>
              </w:rPr>
              <w:t>培训的重点与难点</w:t>
            </w:r>
            <w:r>
              <w:rPr>
                <w:rFonts w:hint="eastAsia" w:ascii="宋体" w:hAnsi="宋体"/>
                <w:bCs/>
                <w:color w:val="auto"/>
                <w:szCs w:val="21"/>
                <w:highlight w:val="none"/>
                <w:lang w:eastAsia="zh-CN"/>
              </w:rPr>
              <w:t>，</w:t>
            </w:r>
            <w:r>
              <w:rPr>
                <w:rFonts w:hint="eastAsia" w:ascii="宋体" w:hAnsi="宋体"/>
                <w:bCs/>
                <w:color w:val="auto"/>
                <w:szCs w:val="21"/>
                <w:highlight w:val="none"/>
              </w:rPr>
              <w:t>考虑周全</w:t>
            </w:r>
            <w:r>
              <w:rPr>
                <w:rFonts w:hint="eastAsia" w:ascii="宋体" w:hAnsi="宋体"/>
                <w:bCs/>
                <w:color w:val="auto"/>
                <w:szCs w:val="21"/>
                <w:highlight w:val="none"/>
                <w:lang w:eastAsia="zh-CN"/>
              </w:rPr>
              <w:t>，</w:t>
            </w:r>
            <w:r>
              <w:rPr>
                <w:rFonts w:hint="eastAsia" w:ascii="宋体" w:hAnsi="宋体"/>
                <w:bCs/>
                <w:color w:val="auto"/>
                <w:szCs w:val="21"/>
                <w:highlight w:val="none"/>
              </w:rPr>
              <w:t>符合项目实际需求能够满足采购文件的要求的。</w:t>
            </w:r>
          </w:p>
        </w:tc>
      </w:tr>
      <w:tr w14:paraId="43EB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1B3FA9C0">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39D16A5E">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683D52C1">
            <w:pPr>
              <w:widowControl/>
              <w:spacing w:line="400" w:lineRule="exact"/>
              <w:jc w:val="center"/>
              <w:rPr>
                <w:rFonts w:hint="eastAsia" w:ascii="宋体" w:hAnsi="宋体" w:cs="宋体"/>
                <w:b/>
                <w:color w:val="auto"/>
                <w:kern w:val="0"/>
                <w:szCs w:val="21"/>
                <w:highlight w:val="none"/>
              </w:rPr>
            </w:pPr>
            <w:r>
              <w:rPr>
                <w:rFonts w:hint="eastAsia" w:ascii="宋体" w:hAnsi="宋体"/>
                <w:b/>
                <w:color w:val="auto"/>
                <w:szCs w:val="21"/>
                <w:highlight w:val="none"/>
                <w:lang w:val="en-US" w:eastAsia="zh-CN"/>
              </w:rPr>
              <w:t>信誉</w:t>
            </w:r>
          </w:p>
        </w:tc>
        <w:tc>
          <w:tcPr>
            <w:tcW w:w="709" w:type="dxa"/>
            <w:tcBorders>
              <w:top w:val="single" w:color="auto" w:sz="4" w:space="0"/>
              <w:left w:val="single" w:color="auto" w:sz="4" w:space="0"/>
              <w:right w:val="single" w:color="auto" w:sz="4" w:space="0"/>
            </w:tcBorders>
            <w:noWrap w:val="0"/>
            <w:vAlign w:val="center"/>
          </w:tcPr>
          <w:p w14:paraId="249BB871">
            <w:pPr>
              <w:adjustRightInd w:val="0"/>
              <w:spacing w:line="360" w:lineRule="auto"/>
              <w:jc w:val="center"/>
              <w:textAlignment w:val="baseline"/>
              <w:rPr>
                <w:rFonts w:hint="default" w:ascii="宋体" w:hAnsi="宋体" w:cs="宋体"/>
                <w:b/>
                <w:color w:val="auto"/>
                <w:kern w:val="0"/>
                <w:szCs w:val="21"/>
                <w:highlight w:val="none"/>
                <w:lang w:val="en-US"/>
              </w:rPr>
            </w:pPr>
            <w:r>
              <w:rPr>
                <w:rFonts w:hint="eastAsia" w:ascii="宋体" w:hAnsi="宋体"/>
                <w:b/>
                <w:color w:val="auto"/>
                <w:szCs w:val="21"/>
                <w:highlight w:val="none"/>
                <w:lang w:val="en-US" w:eastAsia="zh-CN"/>
              </w:rPr>
              <w:t>2分</w:t>
            </w:r>
          </w:p>
        </w:tc>
        <w:tc>
          <w:tcPr>
            <w:tcW w:w="6135" w:type="dxa"/>
            <w:tcBorders>
              <w:top w:val="single" w:color="auto" w:sz="4" w:space="0"/>
              <w:left w:val="single" w:color="auto" w:sz="4" w:space="0"/>
              <w:right w:val="single" w:color="auto" w:sz="4" w:space="0"/>
            </w:tcBorders>
            <w:noWrap w:val="0"/>
            <w:vAlign w:val="center"/>
          </w:tcPr>
          <w:p w14:paraId="146BAB61">
            <w:pPr>
              <w:spacing w:line="400" w:lineRule="exact"/>
              <w:ind w:firstLine="420" w:firstLineChars="200"/>
              <w:rPr>
                <w:rFonts w:hint="eastAsia" w:ascii="宋体" w:hAnsi="宋体"/>
                <w:bCs/>
                <w:color w:val="auto"/>
                <w:szCs w:val="21"/>
                <w:highlight w:val="none"/>
              </w:rPr>
            </w:pPr>
            <w:r>
              <w:rPr>
                <w:rFonts w:hint="eastAsia" w:ascii="宋体" w:hAnsi="宋体" w:eastAsia="宋体" w:cs="Courier New"/>
                <w:color w:val="auto"/>
                <w:szCs w:val="21"/>
                <w:highlight w:val="none"/>
                <w:lang w:val="en-US" w:eastAsia="zh-CN"/>
              </w:rPr>
              <w:t>投标人或投标产品生产厂家具有IS013485医疗器械质量管理体系认证或IS014001环境管理体系认证的；每有1个得1分，满分2分。(提供有效的证书原件扫描件并加盖投标人电子公章，以上证书能在全国认证认可信息公共服务平台查询，否则不予计分。)</w:t>
            </w:r>
          </w:p>
        </w:tc>
      </w:tr>
      <w:tr w14:paraId="7F97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tcBorders>
              <w:left w:val="single" w:color="auto" w:sz="4" w:space="0"/>
              <w:right w:val="single" w:color="auto" w:sz="4" w:space="0"/>
            </w:tcBorders>
            <w:noWrap w:val="0"/>
            <w:vAlign w:val="center"/>
          </w:tcPr>
          <w:p w14:paraId="7A665E8A">
            <w:pPr>
              <w:widowControl/>
              <w:spacing w:line="400" w:lineRule="exact"/>
              <w:jc w:val="center"/>
              <w:rPr>
                <w:rFonts w:hint="eastAsia" w:ascii="宋体" w:hAnsi="宋体" w:cs="宋体"/>
                <w:b/>
                <w:color w:val="auto"/>
                <w:kern w:val="0"/>
                <w:szCs w:val="21"/>
                <w:highlight w:val="none"/>
              </w:rPr>
            </w:pPr>
          </w:p>
        </w:tc>
        <w:tc>
          <w:tcPr>
            <w:tcW w:w="900" w:type="dxa"/>
            <w:vMerge w:val="continue"/>
            <w:tcBorders>
              <w:left w:val="single" w:color="auto" w:sz="4" w:space="0"/>
              <w:right w:val="single" w:color="auto" w:sz="4" w:space="0"/>
            </w:tcBorders>
            <w:noWrap w:val="0"/>
            <w:vAlign w:val="center"/>
          </w:tcPr>
          <w:p w14:paraId="33E2B2B6">
            <w:pPr>
              <w:widowControl/>
              <w:spacing w:line="400" w:lineRule="exact"/>
              <w:jc w:val="center"/>
              <w:rPr>
                <w:rFonts w:hint="eastAsia" w:ascii="宋体" w:hAnsi="宋体" w:cs="宋体"/>
                <w:b/>
                <w:color w:val="auto"/>
                <w:kern w:val="0"/>
                <w:szCs w:val="21"/>
                <w:highlight w:val="none"/>
              </w:rPr>
            </w:pPr>
          </w:p>
        </w:tc>
        <w:tc>
          <w:tcPr>
            <w:tcW w:w="1164" w:type="dxa"/>
            <w:tcBorders>
              <w:top w:val="single" w:color="auto" w:sz="4" w:space="0"/>
              <w:left w:val="single" w:color="auto" w:sz="4" w:space="0"/>
              <w:right w:val="single" w:color="auto" w:sz="4" w:space="0"/>
            </w:tcBorders>
            <w:noWrap w:val="0"/>
            <w:vAlign w:val="center"/>
          </w:tcPr>
          <w:p w14:paraId="49BC51FA">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业绩</w:t>
            </w:r>
          </w:p>
        </w:tc>
        <w:tc>
          <w:tcPr>
            <w:tcW w:w="709" w:type="dxa"/>
            <w:tcBorders>
              <w:top w:val="single" w:color="auto" w:sz="4" w:space="0"/>
              <w:left w:val="single" w:color="auto" w:sz="4" w:space="0"/>
              <w:right w:val="single" w:color="auto" w:sz="4" w:space="0"/>
            </w:tcBorders>
            <w:noWrap w:val="0"/>
            <w:vAlign w:val="center"/>
          </w:tcPr>
          <w:p w14:paraId="418295B3">
            <w:pPr>
              <w:widowControl/>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分</w:t>
            </w:r>
          </w:p>
        </w:tc>
        <w:tc>
          <w:tcPr>
            <w:tcW w:w="6135" w:type="dxa"/>
            <w:tcBorders>
              <w:top w:val="single" w:color="auto" w:sz="4" w:space="0"/>
              <w:left w:val="single" w:color="auto" w:sz="4" w:space="0"/>
              <w:right w:val="single" w:color="auto" w:sz="4" w:space="0"/>
            </w:tcBorders>
            <w:noWrap w:val="0"/>
            <w:vAlign w:val="center"/>
          </w:tcPr>
          <w:p w14:paraId="6D85ECA1">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投标人自2023年以来完成过同类项目的业绩（同类型业绩是指医疗设备类的产品业绩），每份业绩须包含有效的合同书或中标（成交）通知书及验收单复印件为准，每份得1分，满分</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分。</w:t>
            </w:r>
          </w:p>
          <w:p w14:paraId="694EE45C">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注：</w:t>
            </w:r>
          </w:p>
          <w:p w14:paraId="1A93D9D3">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1、合同书或中标（成交）通知书必须能清晰反映所销售的货物及金额，同一项目（合同）下的业绩只计一次；</w:t>
            </w:r>
          </w:p>
          <w:p w14:paraId="50990B5B">
            <w:pPr>
              <w:spacing w:line="400" w:lineRule="exact"/>
              <w:rPr>
                <w:rFonts w:hint="eastAsia" w:ascii="宋体" w:hAnsi="宋体"/>
                <w:bCs/>
                <w:color w:val="auto"/>
                <w:kern w:val="0"/>
                <w:szCs w:val="21"/>
                <w:highlight w:val="none"/>
              </w:rPr>
            </w:pPr>
            <w:r>
              <w:rPr>
                <w:rFonts w:hint="eastAsia" w:ascii="宋体" w:hAnsi="宋体" w:cs="Courier New"/>
                <w:b/>
                <w:bCs/>
                <w:color w:val="auto"/>
                <w:szCs w:val="21"/>
                <w:highlight w:val="none"/>
              </w:rPr>
              <w:t>2、必须提供合同书或中标（成交）通知书并加盖电子公章，否则不</w:t>
            </w:r>
            <w:r>
              <w:rPr>
                <w:rFonts w:hint="eastAsia" w:ascii="宋体" w:hAnsi="宋体" w:cs="宋体"/>
                <w:b/>
                <w:bCs/>
                <w:color w:val="auto"/>
                <w:highlight w:val="none"/>
              </w:rPr>
              <w:t>予以计分</w:t>
            </w:r>
            <w:r>
              <w:rPr>
                <w:rFonts w:hint="eastAsia" w:ascii="宋体" w:hAnsi="宋体" w:cs="Courier New"/>
                <w:b/>
                <w:bCs/>
                <w:color w:val="auto"/>
                <w:szCs w:val="21"/>
                <w:highlight w:val="none"/>
              </w:rPr>
              <w:t>。</w:t>
            </w:r>
          </w:p>
        </w:tc>
      </w:tr>
      <w:tr w14:paraId="0B2D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578" w:type="dxa"/>
            <w:gridSpan w:val="5"/>
            <w:tcBorders>
              <w:top w:val="single" w:color="auto" w:sz="4" w:space="0"/>
              <w:left w:val="single" w:color="auto" w:sz="4" w:space="0"/>
              <w:bottom w:val="single" w:color="auto" w:sz="4" w:space="0"/>
              <w:right w:val="single" w:color="auto" w:sz="4" w:space="0"/>
            </w:tcBorders>
            <w:noWrap w:val="0"/>
            <w:vAlign w:val="center"/>
          </w:tcPr>
          <w:p w14:paraId="2AFB241F">
            <w:pPr>
              <w:widowControl/>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综合得分=1+2+3</w:t>
            </w:r>
          </w:p>
        </w:tc>
      </w:tr>
    </w:tbl>
    <w:p w14:paraId="3355E302">
      <w:pPr>
        <w:pStyle w:val="26"/>
        <w:spacing w:line="360" w:lineRule="auto"/>
        <w:ind w:firstLine="420" w:firstLineChars="200"/>
        <w:rPr>
          <w:rFonts w:hint="eastAsia" w:hAnsi="宋体"/>
          <w:bCs/>
          <w:color w:val="auto"/>
          <w:sz w:val="21"/>
          <w:highlight w:val="none"/>
        </w:rPr>
      </w:pPr>
    </w:p>
    <w:p w14:paraId="0AFE607A">
      <w:pPr>
        <w:pStyle w:val="26"/>
        <w:spacing w:line="360" w:lineRule="auto"/>
        <w:ind w:firstLine="420" w:firstLineChars="200"/>
        <w:rPr>
          <w:rFonts w:hint="eastAsia" w:hAnsi="宋体"/>
          <w:bCs/>
          <w:color w:val="auto"/>
          <w:sz w:val="21"/>
          <w:highlight w:val="none"/>
        </w:rPr>
      </w:pPr>
      <w:r>
        <w:rPr>
          <w:rFonts w:hint="eastAsia" w:hAnsi="宋体"/>
          <w:bCs/>
          <w:color w:val="auto"/>
          <w:sz w:val="21"/>
          <w:highlight w:val="none"/>
        </w:rPr>
        <w:t>注：1.计分方法按四舍五入取至百分位；</w:t>
      </w:r>
    </w:p>
    <w:p w14:paraId="118B0EEE">
      <w:pPr>
        <w:pStyle w:val="26"/>
        <w:spacing w:line="360" w:lineRule="auto"/>
        <w:ind w:firstLine="420"/>
        <w:rPr>
          <w:rFonts w:hint="eastAsia"/>
          <w:color w:val="auto"/>
          <w:sz w:val="30"/>
          <w:szCs w:val="30"/>
          <w:highlight w:val="none"/>
        </w:rPr>
      </w:pPr>
      <w:r>
        <w:rPr>
          <w:rFonts w:hint="eastAsia" w:hAnsi="宋体"/>
          <w:bCs/>
          <w:color w:val="auto"/>
          <w:sz w:val="21"/>
          <w:highlight w:val="none"/>
        </w:rPr>
        <w:t xml:space="preserve">    2.因落实政府采购政策进行价格调整的，以调整后的价格计算评标基准价和投标报价。</w:t>
      </w:r>
    </w:p>
    <w:p w14:paraId="045ACA5D">
      <w:pPr>
        <w:pStyle w:val="95"/>
        <w:ind w:left="0" w:leftChars="0" w:firstLine="0" w:firstLineChars="0"/>
        <w:rPr>
          <w:rFonts w:hint="eastAsia"/>
          <w:color w:val="auto"/>
          <w:sz w:val="30"/>
          <w:szCs w:val="30"/>
          <w:highlight w:val="none"/>
        </w:rPr>
      </w:pPr>
    </w:p>
    <w:p w14:paraId="1B9E4C27">
      <w:pPr>
        <w:pStyle w:val="4"/>
        <w:keepNext w:val="0"/>
        <w:keepLines w:val="0"/>
        <w:jc w:val="center"/>
        <w:rPr>
          <w:rFonts w:hint="eastAsia"/>
          <w:color w:val="auto"/>
          <w:sz w:val="30"/>
          <w:szCs w:val="30"/>
          <w:highlight w:val="none"/>
        </w:rPr>
      </w:pPr>
    </w:p>
    <w:p w14:paraId="4F5EBC49">
      <w:pPr>
        <w:pStyle w:val="4"/>
        <w:keepNext w:val="0"/>
        <w:keepLines w:val="0"/>
        <w:jc w:val="center"/>
        <w:rPr>
          <w:rFonts w:hint="eastAsia"/>
          <w:color w:val="auto"/>
          <w:sz w:val="30"/>
          <w:szCs w:val="30"/>
          <w:highlight w:val="none"/>
        </w:rPr>
      </w:pPr>
    </w:p>
    <w:p w14:paraId="40C866E4">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090EAF93">
      <w:pPr>
        <w:pStyle w:val="26"/>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1B53B262">
      <w:pPr>
        <w:pStyle w:val="26"/>
        <w:spacing w:line="360" w:lineRule="auto"/>
        <w:ind w:firstLine="420" w:firstLineChars="200"/>
        <w:contextualSpacing/>
        <w:rPr>
          <w:rFonts w:hint="eastAsia" w:ascii="宋体" w:hAnsi="宋体" w:eastAsia="宋体" w:cs="Times New Roman"/>
          <w:color w:val="auto"/>
          <w:sz w:val="21"/>
          <w:highlight w:val="none"/>
        </w:rPr>
      </w:pPr>
      <w:r>
        <w:rPr>
          <w:rFonts w:hint="eastAsia" w:hAnsi="宋体"/>
          <w:color w:val="auto"/>
          <w:sz w:val="21"/>
          <w:highlight w:val="none"/>
        </w:rPr>
        <w:t>评标委员会将根据总得分由高到低排</w:t>
      </w:r>
      <w:r>
        <w:rPr>
          <w:rFonts w:hint="eastAsia" w:ascii="宋体" w:hAnsi="宋体" w:eastAsia="宋体" w:cs="Times New Roman"/>
          <w:color w:val="auto"/>
          <w:sz w:val="21"/>
          <w:highlight w:val="none"/>
        </w:rPr>
        <w:t>列次序并推荐中标候选人。得分相同的，按投标报价由低到高顺序排列。得分且投标报价相同的并列</w:t>
      </w:r>
      <w:r>
        <w:rPr>
          <w:rFonts w:hint="eastAsia" w:ascii="宋体" w:hAnsi="宋体" w:eastAsia="宋体" w:cs="Times New Roman"/>
          <w:color w:val="auto"/>
          <w:sz w:val="21"/>
          <w:highlight w:val="none"/>
          <w:lang w:eastAsia="zh-CN"/>
        </w:rPr>
        <w:t>，按技术</w:t>
      </w:r>
      <w:r>
        <w:rPr>
          <w:rFonts w:hint="eastAsia" w:ascii="宋体" w:hAnsi="宋体" w:eastAsia="宋体" w:cs="Times New Roman"/>
          <w:color w:val="auto"/>
          <w:sz w:val="21"/>
          <w:highlight w:val="none"/>
          <w:lang w:val="en-US" w:eastAsia="zh-CN"/>
        </w:rPr>
        <w:t>分</w:t>
      </w:r>
      <w:r>
        <w:rPr>
          <w:rFonts w:hint="eastAsia" w:ascii="宋体" w:hAnsi="宋体" w:eastAsia="宋体" w:cs="Times New Roman"/>
          <w:color w:val="auto"/>
          <w:sz w:val="21"/>
          <w:highlight w:val="none"/>
        </w:rPr>
        <w:t>、</w:t>
      </w:r>
      <w:r>
        <w:rPr>
          <w:rFonts w:hint="eastAsia" w:ascii="宋体" w:hAnsi="宋体" w:eastAsia="宋体" w:cs="Times New Roman"/>
          <w:color w:val="auto"/>
          <w:sz w:val="21"/>
          <w:highlight w:val="none"/>
          <w:lang w:val="en-US" w:eastAsia="zh-CN"/>
        </w:rPr>
        <w:t>商务分</w:t>
      </w:r>
      <w:r>
        <w:rPr>
          <w:rFonts w:hint="eastAsia" w:ascii="宋体" w:hAnsi="宋体" w:eastAsia="宋体" w:cs="Times New Roman"/>
          <w:color w:val="auto"/>
          <w:sz w:val="21"/>
          <w:highlight w:val="none"/>
        </w:rPr>
        <w:t>得分高低依次确定，推荐排名第一的中标候选人为中标人。</w:t>
      </w:r>
    </w:p>
    <w:p w14:paraId="14773CA6">
      <w:pPr>
        <w:pStyle w:val="26"/>
        <w:spacing w:line="360" w:lineRule="auto"/>
        <w:ind w:firstLine="420" w:firstLineChars="200"/>
        <w:contextualSpacing/>
        <w:rPr>
          <w:rFonts w:hint="eastAsia" w:hAnsi="宋体"/>
          <w:color w:val="auto"/>
          <w:sz w:val="21"/>
          <w:highlight w:val="none"/>
          <w:lang w:eastAsia="zh-CN"/>
        </w:rPr>
      </w:pPr>
    </w:p>
    <w:p w14:paraId="06A951F9">
      <w:pPr>
        <w:pStyle w:val="2"/>
        <w:jc w:val="both"/>
        <w:rPr>
          <w:rFonts w:hint="eastAsia"/>
          <w:color w:val="auto"/>
          <w:sz w:val="44"/>
          <w:szCs w:val="44"/>
          <w:highlight w:val="none"/>
        </w:rPr>
      </w:pPr>
      <w:bookmarkStart w:id="145" w:name="_Toc17135"/>
    </w:p>
    <w:p w14:paraId="0CFDA840">
      <w:pPr>
        <w:rPr>
          <w:rFonts w:hint="eastAsia"/>
          <w:color w:val="auto"/>
          <w:sz w:val="44"/>
          <w:szCs w:val="44"/>
          <w:highlight w:val="none"/>
        </w:rPr>
      </w:pPr>
    </w:p>
    <w:p w14:paraId="3B8C474A">
      <w:pPr>
        <w:pStyle w:val="94"/>
        <w:rPr>
          <w:rFonts w:hint="eastAsia"/>
          <w:color w:val="auto"/>
          <w:sz w:val="44"/>
          <w:szCs w:val="44"/>
          <w:highlight w:val="none"/>
        </w:rPr>
      </w:pPr>
    </w:p>
    <w:p w14:paraId="00F495F4">
      <w:pPr>
        <w:pStyle w:val="94"/>
        <w:rPr>
          <w:rFonts w:hint="eastAsia"/>
          <w:color w:val="auto"/>
          <w:sz w:val="44"/>
          <w:szCs w:val="44"/>
          <w:highlight w:val="none"/>
        </w:rPr>
      </w:pPr>
    </w:p>
    <w:p w14:paraId="2A1A1104">
      <w:pPr>
        <w:pStyle w:val="94"/>
        <w:rPr>
          <w:rFonts w:hint="eastAsia"/>
          <w:color w:val="auto"/>
          <w:sz w:val="44"/>
          <w:szCs w:val="44"/>
          <w:highlight w:val="none"/>
        </w:rPr>
      </w:pPr>
    </w:p>
    <w:p w14:paraId="305A95A2">
      <w:pPr>
        <w:pStyle w:val="94"/>
        <w:rPr>
          <w:rFonts w:hint="eastAsia"/>
          <w:color w:val="auto"/>
          <w:sz w:val="44"/>
          <w:szCs w:val="44"/>
          <w:highlight w:val="none"/>
        </w:rPr>
      </w:pPr>
    </w:p>
    <w:p w14:paraId="1E5BB83A">
      <w:pPr>
        <w:pStyle w:val="94"/>
        <w:rPr>
          <w:rFonts w:hint="eastAsia"/>
          <w:color w:val="auto"/>
          <w:sz w:val="44"/>
          <w:szCs w:val="44"/>
          <w:highlight w:val="none"/>
        </w:rPr>
      </w:pPr>
    </w:p>
    <w:p w14:paraId="2867929D">
      <w:pPr>
        <w:rPr>
          <w:rFonts w:hint="eastAsia"/>
          <w:color w:val="auto"/>
          <w:sz w:val="44"/>
          <w:szCs w:val="44"/>
          <w:highlight w:val="none"/>
        </w:rPr>
      </w:pPr>
    </w:p>
    <w:p w14:paraId="3CB16BF8">
      <w:pPr>
        <w:rPr>
          <w:rFonts w:hint="eastAsia"/>
          <w:color w:val="auto"/>
          <w:sz w:val="44"/>
          <w:szCs w:val="44"/>
          <w:highlight w:val="none"/>
        </w:rPr>
      </w:pPr>
    </w:p>
    <w:p w14:paraId="229C04AC">
      <w:pPr>
        <w:rPr>
          <w:rFonts w:hint="eastAsia"/>
          <w:color w:val="auto"/>
          <w:sz w:val="44"/>
          <w:szCs w:val="44"/>
          <w:highlight w:val="none"/>
        </w:rPr>
      </w:pPr>
    </w:p>
    <w:p w14:paraId="371DC49A">
      <w:pPr>
        <w:rPr>
          <w:rFonts w:hint="eastAsia"/>
          <w:color w:val="auto"/>
          <w:sz w:val="44"/>
          <w:szCs w:val="44"/>
          <w:highlight w:val="none"/>
        </w:rPr>
      </w:pPr>
    </w:p>
    <w:p w14:paraId="0005162D">
      <w:pPr>
        <w:rPr>
          <w:rFonts w:hint="eastAsia"/>
          <w:color w:val="auto"/>
          <w:sz w:val="44"/>
          <w:szCs w:val="44"/>
          <w:highlight w:val="none"/>
        </w:rPr>
      </w:pPr>
    </w:p>
    <w:p w14:paraId="5C9E2B07">
      <w:pPr>
        <w:rPr>
          <w:rFonts w:hint="eastAsia"/>
          <w:color w:val="auto"/>
          <w:sz w:val="44"/>
          <w:szCs w:val="44"/>
          <w:highlight w:val="none"/>
        </w:rPr>
      </w:pPr>
    </w:p>
    <w:p w14:paraId="2B1C0002">
      <w:pPr>
        <w:rPr>
          <w:rFonts w:hint="eastAsia"/>
          <w:color w:val="auto"/>
          <w:sz w:val="44"/>
          <w:szCs w:val="44"/>
          <w:highlight w:val="none"/>
        </w:rPr>
      </w:pPr>
    </w:p>
    <w:p w14:paraId="55E4BA93">
      <w:pPr>
        <w:rPr>
          <w:rFonts w:hint="eastAsia"/>
          <w:color w:val="auto"/>
          <w:sz w:val="44"/>
          <w:szCs w:val="44"/>
          <w:highlight w:val="none"/>
        </w:rPr>
      </w:pPr>
    </w:p>
    <w:p w14:paraId="05B19C74">
      <w:pPr>
        <w:rPr>
          <w:rFonts w:hint="eastAsia"/>
          <w:color w:val="auto"/>
          <w:sz w:val="44"/>
          <w:szCs w:val="44"/>
          <w:highlight w:val="none"/>
        </w:rPr>
      </w:pPr>
    </w:p>
    <w:p w14:paraId="35CDB803">
      <w:pPr>
        <w:rPr>
          <w:rFonts w:hint="eastAsia"/>
          <w:color w:val="auto"/>
          <w:sz w:val="44"/>
          <w:szCs w:val="44"/>
          <w:highlight w:val="none"/>
        </w:rPr>
      </w:pPr>
    </w:p>
    <w:p w14:paraId="0BE62B98">
      <w:pPr>
        <w:rPr>
          <w:rFonts w:hint="eastAsia"/>
          <w:color w:val="auto"/>
          <w:sz w:val="44"/>
          <w:szCs w:val="44"/>
          <w:highlight w:val="none"/>
        </w:rPr>
      </w:pPr>
    </w:p>
    <w:p w14:paraId="00BF6196">
      <w:pPr>
        <w:rPr>
          <w:rFonts w:hint="eastAsia"/>
          <w:color w:val="auto"/>
          <w:sz w:val="44"/>
          <w:szCs w:val="44"/>
          <w:highlight w:val="none"/>
        </w:rPr>
      </w:pPr>
    </w:p>
    <w:p w14:paraId="6AB7A450">
      <w:pPr>
        <w:rPr>
          <w:rFonts w:hint="eastAsia"/>
          <w:color w:val="auto"/>
          <w:sz w:val="44"/>
          <w:szCs w:val="44"/>
          <w:highlight w:val="none"/>
        </w:rPr>
      </w:pPr>
    </w:p>
    <w:p w14:paraId="089CB4A7">
      <w:pPr>
        <w:rPr>
          <w:rFonts w:hint="eastAsia"/>
          <w:color w:val="auto"/>
          <w:sz w:val="44"/>
          <w:szCs w:val="44"/>
          <w:highlight w:val="none"/>
        </w:rPr>
      </w:pPr>
    </w:p>
    <w:p w14:paraId="1A7BDBD9">
      <w:pPr>
        <w:rPr>
          <w:rFonts w:hint="eastAsia"/>
          <w:color w:val="auto"/>
          <w:sz w:val="44"/>
          <w:szCs w:val="44"/>
          <w:highlight w:val="none"/>
        </w:rPr>
      </w:pPr>
    </w:p>
    <w:p w14:paraId="157268F8">
      <w:pPr>
        <w:rPr>
          <w:rFonts w:hint="eastAsia"/>
          <w:color w:val="auto"/>
          <w:sz w:val="44"/>
          <w:szCs w:val="44"/>
          <w:highlight w:val="none"/>
        </w:rPr>
      </w:pPr>
    </w:p>
    <w:p w14:paraId="5D4819D4">
      <w:pPr>
        <w:rPr>
          <w:rFonts w:hint="eastAsia"/>
          <w:color w:val="auto"/>
          <w:sz w:val="44"/>
          <w:szCs w:val="44"/>
          <w:highlight w:val="none"/>
        </w:rPr>
      </w:pPr>
    </w:p>
    <w:p w14:paraId="139E0311">
      <w:pPr>
        <w:rPr>
          <w:rFonts w:hint="eastAsia"/>
          <w:color w:val="auto"/>
          <w:sz w:val="44"/>
          <w:szCs w:val="44"/>
          <w:highlight w:val="none"/>
        </w:rPr>
      </w:pPr>
    </w:p>
    <w:p w14:paraId="26CC9230">
      <w:pPr>
        <w:rPr>
          <w:rFonts w:hint="eastAsia"/>
          <w:color w:val="auto"/>
          <w:sz w:val="44"/>
          <w:szCs w:val="44"/>
          <w:highlight w:val="none"/>
        </w:rPr>
      </w:pPr>
    </w:p>
    <w:p w14:paraId="6BDD895C">
      <w:pPr>
        <w:rPr>
          <w:rFonts w:hint="eastAsia"/>
          <w:color w:val="auto"/>
          <w:sz w:val="44"/>
          <w:szCs w:val="44"/>
          <w:highlight w:val="none"/>
        </w:rPr>
      </w:pPr>
    </w:p>
    <w:p w14:paraId="6C668345">
      <w:pPr>
        <w:rPr>
          <w:rFonts w:hint="eastAsia"/>
          <w:color w:val="auto"/>
          <w:sz w:val="44"/>
          <w:szCs w:val="44"/>
          <w:highlight w:val="none"/>
        </w:rPr>
      </w:pPr>
    </w:p>
    <w:p w14:paraId="2B4252C4">
      <w:pPr>
        <w:rPr>
          <w:rFonts w:hint="eastAsia"/>
          <w:color w:val="auto"/>
          <w:sz w:val="44"/>
          <w:szCs w:val="44"/>
          <w:highlight w:val="none"/>
        </w:rPr>
      </w:pPr>
    </w:p>
    <w:p w14:paraId="15357F6F">
      <w:pPr>
        <w:pStyle w:val="2"/>
        <w:jc w:val="center"/>
        <w:rPr>
          <w:rFonts w:hint="eastAsia"/>
          <w:color w:val="auto"/>
          <w:sz w:val="44"/>
          <w:szCs w:val="44"/>
          <w:highlight w:val="none"/>
        </w:rPr>
      </w:pPr>
      <w:r>
        <w:rPr>
          <w:rFonts w:hint="eastAsia"/>
          <w:color w:val="auto"/>
          <w:sz w:val="44"/>
          <w:szCs w:val="44"/>
          <w:highlight w:val="none"/>
        </w:rPr>
        <w:t>第五章  拟签订的合同文本</w:t>
      </w:r>
      <w:bookmarkEnd w:id="145"/>
    </w:p>
    <w:p w14:paraId="07FB4D31">
      <w:pPr>
        <w:snapToGrid w:val="0"/>
        <w:jc w:val="center"/>
        <w:rPr>
          <w:rFonts w:hint="eastAsia" w:ascii="宋体" w:hAnsi="宋体"/>
          <w:bCs/>
          <w:color w:val="auto"/>
          <w:sz w:val="32"/>
          <w:szCs w:val="32"/>
          <w:highlight w:val="none"/>
        </w:rPr>
      </w:pPr>
    </w:p>
    <w:p w14:paraId="4CB397C3">
      <w:pPr>
        <w:snapToGrid w:val="0"/>
        <w:jc w:val="center"/>
        <w:rPr>
          <w:rFonts w:hint="eastAsia" w:ascii="宋体" w:hAnsi="宋体"/>
          <w:bCs/>
          <w:color w:val="auto"/>
          <w:sz w:val="32"/>
          <w:szCs w:val="32"/>
          <w:highlight w:val="none"/>
        </w:rPr>
      </w:pPr>
    </w:p>
    <w:p w14:paraId="047EC77B">
      <w:pPr>
        <w:pStyle w:val="49"/>
        <w:rPr>
          <w:rFonts w:hint="eastAsia" w:ascii="宋体" w:hAnsi="宋体"/>
          <w:bCs/>
          <w:color w:val="auto"/>
          <w:sz w:val="32"/>
          <w:szCs w:val="32"/>
          <w:highlight w:val="none"/>
        </w:rPr>
      </w:pPr>
    </w:p>
    <w:p w14:paraId="4AB9BE7B">
      <w:pPr>
        <w:pStyle w:val="49"/>
        <w:rPr>
          <w:rFonts w:hint="eastAsia" w:ascii="宋体" w:hAnsi="宋体"/>
          <w:bCs/>
          <w:color w:val="auto"/>
          <w:sz w:val="32"/>
          <w:szCs w:val="32"/>
          <w:highlight w:val="none"/>
        </w:rPr>
      </w:pPr>
    </w:p>
    <w:p w14:paraId="46446CAE">
      <w:pPr>
        <w:snapToGrid w:val="0"/>
        <w:jc w:val="center"/>
        <w:rPr>
          <w:rFonts w:hint="eastAsia" w:ascii="宋体" w:hAnsi="宋体"/>
          <w:bCs/>
          <w:color w:val="auto"/>
          <w:sz w:val="32"/>
          <w:szCs w:val="32"/>
          <w:highlight w:val="none"/>
        </w:rPr>
      </w:pPr>
    </w:p>
    <w:p w14:paraId="61F97B8C">
      <w:pPr>
        <w:snapToGrid w:val="0"/>
        <w:spacing w:line="400" w:lineRule="exact"/>
        <w:jc w:val="both"/>
        <w:rPr>
          <w:rFonts w:hint="eastAsia" w:ascii="宋体" w:hAnsi="宋体"/>
          <w:b/>
          <w:bCs/>
          <w:color w:val="auto"/>
          <w:sz w:val="32"/>
          <w:szCs w:val="32"/>
          <w:highlight w:val="none"/>
        </w:rPr>
      </w:pPr>
      <w:bookmarkStart w:id="146" w:name="_Hlk55381736"/>
    </w:p>
    <w:p w14:paraId="0D3E81D1">
      <w:pPr>
        <w:pStyle w:val="94"/>
        <w:rPr>
          <w:rFonts w:hint="eastAsia" w:ascii="宋体" w:hAnsi="宋体"/>
          <w:b/>
          <w:bCs/>
          <w:color w:val="auto"/>
          <w:sz w:val="32"/>
          <w:szCs w:val="32"/>
          <w:highlight w:val="none"/>
        </w:rPr>
      </w:pPr>
    </w:p>
    <w:p w14:paraId="5D618A16">
      <w:pPr>
        <w:pStyle w:val="94"/>
        <w:rPr>
          <w:rFonts w:hint="eastAsia" w:ascii="宋体" w:hAnsi="宋体"/>
          <w:b/>
          <w:bCs/>
          <w:color w:val="auto"/>
          <w:sz w:val="32"/>
          <w:szCs w:val="32"/>
          <w:highlight w:val="none"/>
        </w:rPr>
      </w:pPr>
    </w:p>
    <w:p w14:paraId="6CDEB03E">
      <w:pPr>
        <w:pStyle w:val="94"/>
        <w:rPr>
          <w:rFonts w:hint="eastAsia" w:ascii="宋体" w:hAnsi="宋体"/>
          <w:b/>
          <w:bCs/>
          <w:color w:val="auto"/>
          <w:sz w:val="32"/>
          <w:szCs w:val="32"/>
          <w:highlight w:val="none"/>
        </w:rPr>
      </w:pPr>
    </w:p>
    <w:p w14:paraId="26BDFD9D">
      <w:pPr>
        <w:pStyle w:val="94"/>
        <w:ind w:left="0" w:leftChars="0" w:firstLine="0" w:firstLineChars="0"/>
        <w:rPr>
          <w:rFonts w:hint="eastAsia" w:ascii="宋体" w:hAnsi="宋体"/>
          <w:b/>
          <w:bCs/>
          <w:color w:val="auto"/>
          <w:sz w:val="32"/>
          <w:szCs w:val="32"/>
          <w:highlight w:val="none"/>
        </w:rPr>
      </w:pPr>
    </w:p>
    <w:p w14:paraId="0EA1BA9E">
      <w:pPr>
        <w:pStyle w:val="94"/>
        <w:ind w:left="0" w:leftChars="0" w:firstLine="0" w:firstLineChars="0"/>
        <w:rPr>
          <w:rFonts w:hint="eastAsia" w:ascii="宋体" w:hAnsi="宋体"/>
          <w:b/>
          <w:bCs/>
          <w:color w:val="auto"/>
          <w:sz w:val="32"/>
          <w:szCs w:val="32"/>
          <w:highlight w:val="none"/>
        </w:rPr>
      </w:pPr>
    </w:p>
    <w:p w14:paraId="1A9D1CD0">
      <w:pPr>
        <w:pStyle w:val="94"/>
        <w:ind w:left="0" w:leftChars="0" w:firstLine="0" w:firstLineChars="0"/>
        <w:rPr>
          <w:rFonts w:hint="eastAsia" w:ascii="宋体" w:hAnsi="宋体"/>
          <w:b/>
          <w:bCs/>
          <w:color w:val="auto"/>
          <w:sz w:val="32"/>
          <w:szCs w:val="32"/>
          <w:highlight w:val="none"/>
        </w:rPr>
      </w:pPr>
    </w:p>
    <w:p w14:paraId="51A46A58">
      <w:pPr>
        <w:pStyle w:val="94"/>
        <w:ind w:left="0" w:leftChars="0" w:firstLine="0" w:firstLineChars="0"/>
        <w:rPr>
          <w:rFonts w:hint="eastAsia" w:ascii="宋体" w:hAnsi="宋体"/>
          <w:b/>
          <w:bCs/>
          <w:color w:val="auto"/>
          <w:sz w:val="32"/>
          <w:szCs w:val="32"/>
          <w:highlight w:val="none"/>
        </w:rPr>
      </w:pPr>
    </w:p>
    <w:p w14:paraId="5FCF6E19">
      <w:pPr>
        <w:pStyle w:val="94"/>
        <w:ind w:left="0" w:leftChars="0" w:firstLine="0" w:firstLineChars="0"/>
        <w:rPr>
          <w:rFonts w:hint="eastAsia" w:ascii="宋体" w:hAnsi="宋体"/>
          <w:b/>
          <w:bCs/>
          <w:color w:val="auto"/>
          <w:sz w:val="32"/>
          <w:szCs w:val="32"/>
          <w:highlight w:val="none"/>
        </w:rPr>
      </w:pPr>
    </w:p>
    <w:bookmarkEnd w:id="146"/>
    <w:p w14:paraId="6254A01E">
      <w:pPr>
        <w:snapToGrid w:val="0"/>
        <w:jc w:val="center"/>
        <w:rPr>
          <w:rFonts w:hint="eastAsia" w:ascii="宋体" w:hAnsi="宋体"/>
          <w:color w:val="auto"/>
          <w:szCs w:val="21"/>
          <w:highlight w:val="none"/>
        </w:rPr>
      </w:pPr>
      <w:r>
        <w:rPr>
          <w:rFonts w:hint="eastAsia" w:ascii="宋体" w:hAnsi="宋体"/>
          <w:b/>
          <w:color w:val="auto"/>
          <w:sz w:val="32"/>
          <w:szCs w:val="32"/>
          <w:highlight w:val="none"/>
        </w:rPr>
        <w:t>广西壮族自治区政府采购合同使用说明</w:t>
      </w:r>
    </w:p>
    <w:p w14:paraId="7D1D9ED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（一般货物类）</w:t>
      </w:r>
    </w:p>
    <w:p w14:paraId="422C3901">
      <w:pPr>
        <w:snapToGrid w:val="0"/>
        <w:spacing w:line="360" w:lineRule="auto"/>
        <w:jc w:val="center"/>
        <w:rPr>
          <w:rFonts w:hint="eastAsia" w:ascii="宋体" w:hAnsi="宋体"/>
          <w:color w:val="auto"/>
          <w:szCs w:val="21"/>
          <w:highlight w:val="none"/>
        </w:rPr>
      </w:pPr>
    </w:p>
    <w:p w14:paraId="4AB60EA2">
      <w:pPr>
        <w:snapToGrid w:val="0"/>
        <w:spacing w:line="360" w:lineRule="auto"/>
        <w:ind w:firstLine="630"/>
        <w:rPr>
          <w:rFonts w:hint="eastAsia" w:ascii="宋体" w:hAnsi="宋体"/>
          <w:color w:val="auto"/>
          <w:szCs w:val="21"/>
          <w:highlight w:val="none"/>
        </w:rPr>
      </w:pPr>
      <w:r>
        <w:rPr>
          <w:rFonts w:hint="eastAsia" w:ascii="宋体" w:hAnsi="宋体"/>
          <w:color w:val="auto"/>
          <w:szCs w:val="21"/>
          <w:highlight w:val="none"/>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14:paraId="47CCDCC1">
      <w:pPr>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一、本合同适用范围</w:t>
      </w:r>
    </w:p>
    <w:p w14:paraId="214E0BC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家用电器、电子产品、教学仪器设备、医疗仪器设备、广播电视仪器设备、体育器材、音响乐器、药品、服装、印刷设备和印刷品等政府采购项目（协议供货除外）适用于本合同。</w:t>
      </w:r>
    </w:p>
    <w:p w14:paraId="1FE6345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二、填写说明</w:t>
      </w:r>
    </w:p>
    <w:p w14:paraId="37BB5EC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（一）合同标题：地市县使用时可在“广西壮族自治区”后再加所在地名称或者将“广西壮族自治区”删除加所在地名称。</w:t>
      </w:r>
    </w:p>
    <w:p w14:paraId="65AC9F6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（二）本合同划线部分所需填写内容，除以下条款特殊要求外，按招标文件规定或者投标文件承诺的要求填写，如招标文件规定或者投标文件承诺的没有明确，按甲乙双方商定意见填写。</w:t>
      </w:r>
    </w:p>
    <w:p w14:paraId="656EDE8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（三）第一条合同标的：按表中各项目要求填写，内容填写不下时可另加附页。</w:t>
      </w:r>
    </w:p>
    <w:p w14:paraId="1C54E5C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（四）第四条包装和运输：货物运输方式包括；汽车、火车、轮船等。</w:t>
      </w:r>
    </w:p>
    <w:p w14:paraId="0368B2A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（五）货物交付和验收：时间按合同签订（或者生效）后多少日（或者工作日）或者直接填X年X月X日前交货。</w:t>
      </w:r>
    </w:p>
    <w:p w14:paraId="26BB51A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（六）第八条付款方式：资金性质按一般预算拨款、财政性基金拨款、纳入财政专户管理的收入安排的资金、未纳入财政专户管理的收入安排的资金、上年结余填写。</w:t>
      </w:r>
    </w:p>
    <w:p w14:paraId="6AC539E5">
      <w:pPr>
        <w:adjustRightInd w:val="0"/>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三、有关要求</w:t>
      </w:r>
    </w:p>
    <w:p w14:paraId="1072B2E1">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（一）各单位现使用的专业合同可作为本合同附件，但专业合同各条款必须符合招标文件规定或者投标文件承诺的和本合同各条款要求，如发生矛盾以本合同为准。</w:t>
      </w:r>
    </w:p>
    <w:p w14:paraId="1DF004F1">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（二）协议供货合同应使用原文本。</w:t>
      </w:r>
    </w:p>
    <w:p w14:paraId="36B01E44">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（三）甲乙双方对本合同各条款均不能改动，只能在划线位置填写，如有改动视同无效合同。</w:t>
      </w:r>
    </w:p>
    <w:p w14:paraId="0CE1DC8C">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（四）本合同统一用</w:t>
      </w:r>
      <w:r>
        <w:rPr>
          <w:rFonts w:hint="eastAsia" w:ascii="宋体" w:hAnsi="宋体"/>
          <w:caps/>
          <w:color w:val="auto"/>
          <w:szCs w:val="21"/>
          <w:highlight w:val="none"/>
        </w:rPr>
        <w:t>A</w:t>
      </w:r>
      <w:r>
        <w:rPr>
          <w:rFonts w:hint="eastAsia" w:ascii="宋体" w:hAnsi="宋体"/>
          <w:color w:val="auto"/>
          <w:szCs w:val="21"/>
          <w:highlight w:val="none"/>
        </w:rPr>
        <w:t>4纸打印。</w:t>
      </w:r>
    </w:p>
    <w:p w14:paraId="36358044">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（五）本合同为试行文本，采购人和中标人在使用过程中如发现不当之处，请及时提出建议，以便修正。</w:t>
      </w:r>
    </w:p>
    <w:p w14:paraId="1E70B444">
      <w:pPr>
        <w:snapToGrid w:val="0"/>
        <w:spacing w:line="360" w:lineRule="auto"/>
        <w:ind w:firstLine="420" w:firstLineChars="200"/>
        <w:rPr>
          <w:rFonts w:hint="eastAsia" w:ascii="仿宋_GB2312" w:hAnsi="华文中宋" w:eastAsia="仿宋_GB2312"/>
          <w:b/>
          <w:bCs/>
          <w:color w:val="auto"/>
          <w:sz w:val="32"/>
          <w:szCs w:val="32"/>
          <w:highlight w:val="none"/>
        </w:rPr>
      </w:pPr>
      <w:r>
        <w:rPr>
          <w:rFonts w:hint="eastAsia" w:ascii="宋体" w:hAnsi="宋体"/>
          <w:color w:val="auto"/>
          <w:szCs w:val="21"/>
          <w:highlight w:val="none"/>
        </w:rPr>
        <w:t>本合同各条款由广西壮族自治区财政厅政府采购监督管理处负责解释。</w:t>
      </w:r>
      <w:r>
        <w:rPr>
          <w:rFonts w:ascii="宋体" w:hAnsi="宋体"/>
          <w:bCs/>
          <w:color w:val="auto"/>
          <w:sz w:val="32"/>
          <w:szCs w:val="32"/>
          <w:highlight w:val="none"/>
        </w:rPr>
        <w:br w:type="page"/>
      </w:r>
      <w:r>
        <w:rPr>
          <w:rFonts w:hint="eastAsia" w:ascii="宋体" w:hAnsi="宋体"/>
          <w:b/>
          <w:color w:val="auto"/>
          <w:sz w:val="32"/>
          <w:szCs w:val="32"/>
          <w:highlight w:val="none"/>
        </w:rPr>
        <w:t xml:space="preserve">一般货物类（参考）： </w:t>
      </w:r>
    </w:p>
    <w:p w14:paraId="034FAFCB">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39131EC7">
      <w:pPr>
        <w:snapToGrid w:val="0"/>
        <w:spacing w:line="400" w:lineRule="exact"/>
        <w:jc w:val="center"/>
        <w:rPr>
          <w:rFonts w:hint="eastAsia" w:ascii="宋体" w:hAnsi="宋体"/>
          <w:b/>
          <w:bCs/>
          <w:color w:val="auto"/>
          <w:sz w:val="32"/>
          <w:szCs w:val="32"/>
          <w:highlight w:val="none"/>
        </w:rPr>
      </w:pPr>
      <w:r>
        <w:rPr>
          <w:rFonts w:hint="eastAsia" w:ascii="宋体" w:hAnsi="宋体"/>
          <w:b/>
          <w:color w:val="auto"/>
          <w:sz w:val="32"/>
          <w:szCs w:val="32"/>
          <w:highlight w:val="none"/>
        </w:rPr>
        <w:t>文本</w:t>
      </w:r>
    </w:p>
    <w:p w14:paraId="4075A68D">
      <w:pPr>
        <w:snapToGrid w:val="0"/>
        <w:spacing w:line="400" w:lineRule="exact"/>
        <w:ind w:right="480" w:firstLine="5250" w:firstLineChars="2500"/>
        <w:rPr>
          <w:rFonts w:hint="eastAsia" w:ascii="宋体" w:hAnsi="宋体"/>
          <w:color w:val="auto"/>
          <w:szCs w:val="21"/>
        </w:rPr>
      </w:pPr>
      <w:r>
        <w:rPr>
          <w:rFonts w:hint="eastAsia" w:ascii="宋体" w:hAnsi="宋体"/>
          <w:bCs/>
          <w:color w:val="auto"/>
          <w:szCs w:val="21"/>
        </w:rPr>
        <w:t>合同编号：</w:t>
      </w:r>
    </w:p>
    <w:p w14:paraId="23AD442A">
      <w:pPr>
        <w:snapToGrid w:val="0"/>
        <w:spacing w:line="276" w:lineRule="auto"/>
        <w:rPr>
          <w:rFonts w:hint="eastAsia" w:hAnsi="宋体"/>
          <w:color w:val="auto"/>
          <w:sz w:val="24"/>
        </w:rPr>
      </w:pPr>
    </w:p>
    <w:p w14:paraId="3E5A7B77">
      <w:pPr>
        <w:spacing w:line="360" w:lineRule="auto"/>
        <w:rPr>
          <w:rFonts w:hint="eastAsia" w:hAnsi="宋体" w:cs="宋体"/>
          <w:color w:val="auto"/>
          <w:szCs w:val="21"/>
        </w:rPr>
      </w:pPr>
      <w:r>
        <w:rPr>
          <w:rFonts w:hint="eastAsia" w:hAnsi="宋体" w:cs="宋体"/>
          <w:color w:val="auto"/>
          <w:szCs w:val="21"/>
        </w:rPr>
        <w:t>采购单位（甲方）</w:t>
      </w:r>
      <w:r>
        <w:rPr>
          <w:rFonts w:hint="eastAsia" w:hAnsi="宋体" w:cs="宋体"/>
          <w:color w:val="auto"/>
          <w:szCs w:val="21"/>
          <w:u w:val="single"/>
        </w:rPr>
        <w:t xml:space="preserve">                  </w:t>
      </w:r>
      <w:r>
        <w:rPr>
          <w:rFonts w:hint="eastAsia" w:hAnsi="宋体" w:cs="宋体"/>
          <w:color w:val="auto"/>
          <w:szCs w:val="21"/>
        </w:rPr>
        <w:t xml:space="preserve">    供 应 商（乙方）</w:t>
      </w:r>
      <w:r>
        <w:rPr>
          <w:rFonts w:hint="eastAsia" w:hAnsi="宋体" w:cs="宋体"/>
          <w:color w:val="auto"/>
          <w:szCs w:val="21"/>
          <w:u w:val="single"/>
        </w:rPr>
        <w:t xml:space="preserve">                   </w:t>
      </w:r>
      <w:r>
        <w:rPr>
          <w:rFonts w:hint="eastAsia" w:hAnsi="宋体" w:cs="宋体"/>
          <w:color w:val="auto"/>
          <w:szCs w:val="21"/>
        </w:rPr>
        <w:t xml:space="preserve">               </w:t>
      </w:r>
    </w:p>
    <w:p w14:paraId="2F4883B1">
      <w:pPr>
        <w:spacing w:line="360" w:lineRule="auto"/>
        <w:rPr>
          <w:rFonts w:hint="eastAsia" w:hAnsi="宋体" w:cs="宋体"/>
          <w:color w:val="auto"/>
          <w:szCs w:val="21"/>
        </w:rPr>
      </w:pPr>
      <w:r>
        <w:rPr>
          <w:rFonts w:hint="eastAsia" w:hAnsi="宋体" w:cs="宋体"/>
          <w:color w:val="auto"/>
          <w:szCs w:val="21"/>
        </w:rPr>
        <w:t xml:space="preserve">签  订  地  点  </w:t>
      </w:r>
      <w:r>
        <w:rPr>
          <w:rFonts w:hint="eastAsia" w:hAnsi="宋体" w:cs="宋体"/>
          <w:color w:val="auto"/>
          <w:szCs w:val="21"/>
          <w:u w:val="single"/>
        </w:rPr>
        <w:t xml:space="preserve">                  </w:t>
      </w:r>
      <w:r>
        <w:rPr>
          <w:rFonts w:hint="eastAsia" w:hAnsi="宋体" w:cs="宋体"/>
          <w:color w:val="auto"/>
          <w:szCs w:val="21"/>
        </w:rPr>
        <w:t xml:space="preserve">    签  订  时  间  </w:t>
      </w:r>
      <w:r>
        <w:rPr>
          <w:rFonts w:hint="eastAsia" w:hAnsi="宋体" w:cs="宋体"/>
          <w:color w:val="auto"/>
          <w:szCs w:val="21"/>
          <w:u w:val="single"/>
        </w:rPr>
        <w:t xml:space="preserve">                   </w:t>
      </w:r>
      <w:r>
        <w:rPr>
          <w:rFonts w:hint="eastAsia" w:hAnsi="宋体" w:cs="宋体"/>
          <w:color w:val="auto"/>
          <w:szCs w:val="21"/>
        </w:rPr>
        <w:t xml:space="preserve">           </w:t>
      </w:r>
    </w:p>
    <w:p w14:paraId="0A1E6B4B">
      <w:pPr>
        <w:snapToGrid w:val="0"/>
        <w:spacing w:line="276" w:lineRule="auto"/>
        <w:ind w:firstLine="420" w:firstLineChars="200"/>
        <w:rPr>
          <w:rFonts w:hint="eastAsia" w:hAnsi="宋体" w:cs="宋体"/>
          <w:color w:val="auto"/>
          <w:szCs w:val="21"/>
        </w:rPr>
      </w:pPr>
    </w:p>
    <w:p w14:paraId="34CB9F43">
      <w:pPr>
        <w:snapToGrid w:val="0"/>
        <w:spacing w:line="276" w:lineRule="auto"/>
        <w:ind w:firstLine="420" w:firstLineChars="200"/>
        <w:rPr>
          <w:rFonts w:hint="eastAsia" w:hAnsi="宋体" w:cs="宋体"/>
          <w:color w:val="auto"/>
          <w:szCs w:val="21"/>
        </w:rPr>
      </w:pPr>
      <w:r>
        <w:rPr>
          <w:rFonts w:hint="eastAsia" w:hAnsi="宋体" w:cs="宋体"/>
          <w:color w:val="auto"/>
          <w:szCs w:val="21"/>
        </w:rPr>
        <w:t>根据《中华人民共和国政府采购法》、《中华人民共和国民法典》等法律、法规规定，按照采购文件规定条款和</w:t>
      </w:r>
      <w:r>
        <w:rPr>
          <w:rFonts w:hint="eastAsia" w:hAnsi="宋体" w:cs="宋体"/>
          <w:color w:val="auto"/>
          <w:szCs w:val="21"/>
          <w:lang w:eastAsia="zh-CN"/>
        </w:rPr>
        <w:t>中标</w:t>
      </w:r>
      <w:r>
        <w:rPr>
          <w:rFonts w:hint="eastAsia" w:hAnsi="宋体" w:cs="宋体"/>
          <w:color w:val="auto"/>
          <w:szCs w:val="21"/>
        </w:rPr>
        <w:t>供应商承诺，甲乙双方特签订本合同，共同遵守。具体条款如下：</w:t>
      </w:r>
    </w:p>
    <w:p w14:paraId="20394E7E">
      <w:pPr>
        <w:keepNext w:val="0"/>
        <w:keepLines w:val="0"/>
        <w:pageBreakBefore w:val="0"/>
        <w:widowControl w:val="0"/>
        <w:kinsoku/>
        <w:wordWrap/>
        <w:overflowPunct/>
        <w:topLinePunct w:val="0"/>
        <w:autoSpaceDE/>
        <w:autoSpaceDN/>
        <w:bidi w:val="0"/>
        <w:adjustRightInd/>
        <w:snapToGrid w:val="0"/>
        <w:spacing w:before="240" w:after="240" w:line="200" w:lineRule="atLeast"/>
        <w:ind w:firstLine="422" w:firstLineChars="200"/>
        <w:textAlignment w:val="auto"/>
        <w:rPr>
          <w:rFonts w:hint="eastAsia" w:hAnsi="宋体" w:cs="宋体"/>
          <w:b/>
          <w:color w:val="auto"/>
          <w:szCs w:val="21"/>
        </w:rPr>
      </w:pPr>
      <w:r>
        <w:rPr>
          <w:rFonts w:hint="eastAsia" w:hAnsi="宋体" w:cs="宋体"/>
          <w:b/>
          <w:color w:val="auto"/>
          <w:szCs w:val="21"/>
        </w:rPr>
        <w:t>第一条　合同标的</w:t>
      </w:r>
    </w:p>
    <w:p w14:paraId="39E3EB3D">
      <w:pPr>
        <w:snapToGrid w:val="0"/>
        <w:spacing w:line="276" w:lineRule="auto"/>
        <w:ind w:firstLine="420" w:firstLineChars="200"/>
        <w:rPr>
          <w:rFonts w:hint="eastAsia" w:hAnsi="宋体" w:cs="宋体"/>
          <w:color w:val="auto"/>
          <w:szCs w:val="21"/>
        </w:rPr>
      </w:pPr>
      <w:r>
        <w:rPr>
          <w:rFonts w:hint="eastAsia" w:hAnsi="宋体" w:cs="宋体"/>
          <w:color w:val="auto"/>
          <w:szCs w:val="21"/>
        </w:rPr>
        <w:t>1.供货一览表</w:t>
      </w:r>
    </w:p>
    <w:tbl>
      <w:tblPr>
        <w:tblStyle w:val="5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95"/>
        <w:gridCol w:w="1196"/>
        <w:gridCol w:w="1196"/>
        <w:gridCol w:w="1537"/>
        <w:gridCol w:w="717"/>
        <w:gridCol w:w="1196"/>
        <w:gridCol w:w="1196"/>
        <w:gridCol w:w="1196"/>
      </w:tblGrid>
      <w:tr w14:paraId="12BE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26" w:type="dxa"/>
            <w:noWrap w:val="0"/>
            <w:vAlign w:val="center"/>
          </w:tcPr>
          <w:p w14:paraId="3F685638">
            <w:pPr>
              <w:snapToGrid w:val="0"/>
              <w:spacing w:line="276" w:lineRule="auto"/>
              <w:jc w:val="center"/>
              <w:rPr>
                <w:rFonts w:hint="eastAsia" w:hAnsi="宋体" w:cs="宋体"/>
                <w:color w:val="auto"/>
                <w:szCs w:val="21"/>
              </w:rPr>
            </w:pPr>
            <w:r>
              <w:rPr>
                <w:rFonts w:hint="eastAsia" w:hAnsi="宋体" w:cs="宋体"/>
                <w:color w:val="auto"/>
                <w:szCs w:val="21"/>
              </w:rPr>
              <w:t>序号</w:t>
            </w:r>
          </w:p>
        </w:tc>
        <w:tc>
          <w:tcPr>
            <w:tcW w:w="1195" w:type="dxa"/>
            <w:noWrap w:val="0"/>
            <w:vAlign w:val="center"/>
          </w:tcPr>
          <w:p w14:paraId="49D31D5F">
            <w:pPr>
              <w:snapToGrid w:val="0"/>
              <w:spacing w:line="276" w:lineRule="auto"/>
              <w:jc w:val="center"/>
              <w:rPr>
                <w:rFonts w:hint="eastAsia" w:hAnsi="宋体" w:cs="宋体"/>
                <w:color w:val="auto"/>
                <w:szCs w:val="21"/>
              </w:rPr>
            </w:pPr>
            <w:r>
              <w:rPr>
                <w:rFonts w:hint="eastAsia" w:hAnsi="宋体" w:cs="宋体"/>
                <w:color w:val="auto"/>
                <w:szCs w:val="21"/>
              </w:rPr>
              <w:t>产品名称</w:t>
            </w:r>
          </w:p>
        </w:tc>
        <w:tc>
          <w:tcPr>
            <w:tcW w:w="1196" w:type="dxa"/>
            <w:noWrap w:val="0"/>
            <w:vAlign w:val="center"/>
          </w:tcPr>
          <w:p w14:paraId="5B02E795">
            <w:pPr>
              <w:snapToGrid w:val="0"/>
              <w:spacing w:line="276" w:lineRule="auto"/>
              <w:jc w:val="center"/>
              <w:rPr>
                <w:rFonts w:hint="eastAsia" w:hAnsi="宋体" w:cs="宋体"/>
                <w:color w:val="auto"/>
                <w:szCs w:val="21"/>
              </w:rPr>
            </w:pPr>
            <w:r>
              <w:rPr>
                <w:rFonts w:hint="eastAsia" w:hAnsi="宋体" w:cs="宋体"/>
                <w:color w:val="auto"/>
                <w:szCs w:val="21"/>
              </w:rPr>
              <w:t>商标品牌</w:t>
            </w:r>
          </w:p>
        </w:tc>
        <w:tc>
          <w:tcPr>
            <w:tcW w:w="1196" w:type="dxa"/>
            <w:noWrap w:val="0"/>
            <w:vAlign w:val="center"/>
          </w:tcPr>
          <w:p w14:paraId="5B9CB498">
            <w:pPr>
              <w:snapToGrid w:val="0"/>
              <w:spacing w:line="276" w:lineRule="auto"/>
              <w:jc w:val="center"/>
              <w:rPr>
                <w:rFonts w:hint="eastAsia" w:hAnsi="宋体" w:cs="宋体"/>
                <w:color w:val="auto"/>
                <w:szCs w:val="21"/>
              </w:rPr>
            </w:pPr>
            <w:r>
              <w:rPr>
                <w:rFonts w:hint="eastAsia" w:hAnsi="宋体" w:cs="宋体"/>
                <w:color w:val="auto"/>
                <w:szCs w:val="21"/>
              </w:rPr>
              <w:t>规格型号</w:t>
            </w:r>
          </w:p>
        </w:tc>
        <w:tc>
          <w:tcPr>
            <w:tcW w:w="1537" w:type="dxa"/>
            <w:noWrap w:val="0"/>
            <w:vAlign w:val="center"/>
          </w:tcPr>
          <w:p w14:paraId="2DB06418">
            <w:pPr>
              <w:snapToGrid w:val="0"/>
              <w:spacing w:line="276" w:lineRule="auto"/>
              <w:jc w:val="center"/>
              <w:rPr>
                <w:rFonts w:hint="eastAsia" w:hAnsi="宋体" w:cs="宋体"/>
                <w:color w:val="auto"/>
                <w:szCs w:val="21"/>
              </w:rPr>
            </w:pPr>
            <w:r>
              <w:rPr>
                <w:rFonts w:hint="eastAsia" w:hAnsi="宋体" w:cs="宋体"/>
                <w:color w:val="auto"/>
                <w:szCs w:val="21"/>
              </w:rPr>
              <w:t>生产厂家</w:t>
            </w:r>
          </w:p>
        </w:tc>
        <w:tc>
          <w:tcPr>
            <w:tcW w:w="717" w:type="dxa"/>
            <w:noWrap w:val="0"/>
            <w:vAlign w:val="center"/>
          </w:tcPr>
          <w:p w14:paraId="4868C890">
            <w:pPr>
              <w:snapToGrid w:val="0"/>
              <w:spacing w:line="276" w:lineRule="auto"/>
              <w:jc w:val="center"/>
              <w:rPr>
                <w:rFonts w:hint="eastAsia" w:hAnsi="宋体" w:cs="宋体"/>
                <w:color w:val="auto"/>
                <w:szCs w:val="21"/>
              </w:rPr>
            </w:pPr>
            <w:r>
              <w:rPr>
                <w:rFonts w:hint="eastAsia" w:hAnsi="宋体" w:cs="宋体"/>
                <w:color w:val="auto"/>
                <w:szCs w:val="21"/>
              </w:rPr>
              <w:t>数  量</w:t>
            </w:r>
          </w:p>
        </w:tc>
        <w:tc>
          <w:tcPr>
            <w:tcW w:w="1196" w:type="dxa"/>
            <w:noWrap w:val="0"/>
            <w:vAlign w:val="center"/>
          </w:tcPr>
          <w:p w14:paraId="09FE9F00">
            <w:pPr>
              <w:snapToGrid w:val="0"/>
              <w:spacing w:line="276" w:lineRule="auto"/>
              <w:jc w:val="center"/>
              <w:rPr>
                <w:rFonts w:hint="eastAsia" w:hAnsi="宋体" w:cs="宋体"/>
                <w:color w:val="auto"/>
                <w:szCs w:val="21"/>
              </w:rPr>
            </w:pPr>
            <w:r>
              <w:rPr>
                <w:rFonts w:hint="eastAsia" w:hAnsi="宋体" w:cs="宋体"/>
                <w:color w:val="auto"/>
                <w:szCs w:val="21"/>
              </w:rPr>
              <w:t>单 位</w:t>
            </w:r>
          </w:p>
        </w:tc>
        <w:tc>
          <w:tcPr>
            <w:tcW w:w="1196" w:type="dxa"/>
            <w:noWrap w:val="0"/>
            <w:vAlign w:val="center"/>
          </w:tcPr>
          <w:p w14:paraId="73118E47">
            <w:pPr>
              <w:snapToGrid w:val="0"/>
              <w:spacing w:line="276" w:lineRule="auto"/>
              <w:jc w:val="center"/>
              <w:rPr>
                <w:rFonts w:hint="eastAsia" w:hAnsi="宋体" w:cs="宋体"/>
                <w:color w:val="auto"/>
                <w:szCs w:val="21"/>
              </w:rPr>
            </w:pPr>
            <w:r>
              <w:rPr>
                <w:rFonts w:hint="eastAsia" w:hAnsi="宋体" w:cs="宋体"/>
                <w:color w:val="auto"/>
                <w:szCs w:val="21"/>
              </w:rPr>
              <w:t>单  价</w:t>
            </w:r>
          </w:p>
          <w:p w14:paraId="58202B25">
            <w:pPr>
              <w:snapToGrid w:val="0"/>
              <w:spacing w:line="276" w:lineRule="auto"/>
              <w:jc w:val="center"/>
              <w:rPr>
                <w:rFonts w:hint="eastAsia" w:hAnsi="宋体" w:cs="宋体"/>
                <w:color w:val="auto"/>
                <w:szCs w:val="21"/>
              </w:rPr>
            </w:pPr>
            <w:r>
              <w:rPr>
                <w:rFonts w:hint="eastAsia" w:hAnsi="宋体" w:cs="宋体"/>
                <w:color w:val="auto"/>
                <w:szCs w:val="21"/>
              </w:rPr>
              <w:t>（元）</w:t>
            </w:r>
          </w:p>
        </w:tc>
        <w:tc>
          <w:tcPr>
            <w:tcW w:w="1196" w:type="dxa"/>
            <w:noWrap w:val="0"/>
            <w:vAlign w:val="center"/>
          </w:tcPr>
          <w:p w14:paraId="48794497">
            <w:pPr>
              <w:snapToGrid w:val="0"/>
              <w:spacing w:line="276" w:lineRule="auto"/>
              <w:jc w:val="center"/>
              <w:rPr>
                <w:rFonts w:hint="eastAsia" w:hAnsi="宋体" w:cs="宋体"/>
                <w:color w:val="auto"/>
                <w:szCs w:val="21"/>
              </w:rPr>
            </w:pPr>
            <w:r>
              <w:rPr>
                <w:rFonts w:hint="eastAsia" w:hAnsi="宋体" w:cs="宋体"/>
                <w:color w:val="auto"/>
                <w:szCs w:val="21"/>
              </w:rPr>
              <w:t>金  额</w:t>
            </w:r>
          </w:p>
          <w:p w14:paraId="030ADB2D">
            <w:pPr>
              <w:snapToGrid w:val="0"/>
              <w:spacing w:line="276" w:lineRule="auto"/>
              <w:jc w:val="center"/>
              <w:rPr>
                <w:rFonts w:hint="eastAsia" w:hAnsi="宋体" w:cs="宋体"/>
                <w:color w:val="auto"/>
                <w:szCs w:val="21"/>
              </w:rPr>
            </w:pPr>
            <w:r>
              <w:rPr>
                <w:rFonts w:hint="eastAsia" w:hAnsi="宋体" w:cs="宋体"/>
                <w:color w:val="auto"/>
                <w:szCs w:val="21"/>
              </w:rPr>
              <w:t>（元）</w:t>
            </w:r>
          </w:p>
        </w:tc>
      </w:tr>
      <w:tr w14:paraId="3771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26" w:type="dxa"/>
            <w:noWrap w:val="0"/>
            <w:vAlign w:val="center"/>
          </w:tcPr>
          <w:p w14:paraId="06F5742C">
            <w:pPr>
              <w:snapToGrid w:val="0"/>
              <w:spacing w:line="276" w:lineRule="auto"/>
              <w:jc w:val="center"/>
              <w:rPr>
                <w:rFonts w:hint="eastAsia" w:hAnsi="宋体" w:cs="宋体"/>
                <w:color w:val="auto"/>
                <w:szCs w:val="21"/>
              </w:rPr>
            </w:pPr>
            <w:r>
              <w:rPr>
                <w:rFonts w:hint="eastAsia" w:hAnsi="宋体" w:cs="宋体"/>
                <w:color w:val="auto"/>
                <w:szCs w:val="21"/>
              </w:rPr>
              <w:t>1</w:t>
            </w:r>
          </w:p>
        </w:tc>
        <w:tc>
          <w:tcPr>
            <w:tcW w:w="1195" w:type="dxa"/>
            <w:noWrap w:val="0"/>
            <w:vAlign w:val="center"/>
          </w:tcPr>
          <w:p w14:paraId="406FABE3">
            <w:pPr>
              <w:snapToGrid w:val="0"/>
              <w:spacing w:line="276" w:lineRule="auto"/>
              <w:jc w:val="center"/>
              <w:rPr>
                <w:rFonts w:hint="eastAsia" w:hAnsi="宋体" w:cs="宋体"/>
                <w:color w:val="auto"/>
                <w:szCs w:val="21"/>
              </w:rPr>
            </w:pPr>
          </w:p>
        </w:tc>
        <w:tc>
          <w:tcPr>
            <w:tcW w:w="1196" w:type="dxa"/>
            <w:noWrap w:val="0"/>
            <w:vAlign w:val="center"/>
          </w:tcPr>
          <w:p w14:paraId="06EFD2E5">
            <w:pPr>
              <w:snapToGrid w:val="0"/>
              <w:spacing w:line="276" w:lineRule="auto"/>
              <w:jc w:val="center"/>
              <w:rPr>
                <w:rFonts w:hint="eastAsia" w:hAnsi="宋体" w:cs="宋体"/>
                <w:color w:val="auto"/>
                <w:szCs w:val="21"/>
              </w:rPr>
            </w:pPr>
          </w:p>
        </w:tc>
        <w:tc>
          <w:tcPr>
            <w:tcW w:w="1196" w:type="dxa"/>
            <w:noWrap w:val="0"/>
            <w:vAlign w:val="center"/>
          </w:tcPr>
          <w:p w14:paraId="779C5558">
            <w:pPr>
              <w:snapToGrid w:val="0"/>
              <w:spacing w:line="276" w:lineRule="auto"/>
              <w:jc w:val="center"/>
              <w:rPr>
                <w:rFonts w:hint="eastAsia" w:hAnsi="宋体" w:cs="宋体"/>
                <w:color w:val="auto"/>
                <w:szCs w:val="21"/>
              </w:rPr>
            </w:pPr>
          </w:p>
        </w:tc>
        <w:tc>
          <w:tcPr>
            <w:tcW w:w="1537" w:type="dxa"/>
            <w:noWrap w:val="0"/>
            <w:vAlign w:val="top"/>
          </w:tcPr>
          <w:p w14:paraId="258C4EEE">
            <w:pPr>
              <w:snapToGrid w:val="0"/>
              <w:spacing w:line="276" w:lineRule="auto"/>
              <w:jc w:val="center"/>
              <w:rPr>
                <w:rFonts w:hint="eastAsia" w:hAnsi="宋体" w:cs="宋体"/>
                <w:color w:val="auto"/>
                <w:szCs w:val="21"/>
              </w:rPr>
            </w:pPr>
          </w:p>
        </w:tc>
        <w:tc>
          <w:tcPr>
            <w:tcW w:w="717" w:type="dxa"/>
            <w:noWrap w:val="0"/>
            <w:vAlign w:val="top"/>
          </w:tcPr>
          <w:p w14:paraId="3DD467E7">
            <w:pPr>
              <w:snapToGrid w:val="0"/>
              <w:spacing w:line="276" w:lineRule="auto"/>
              <w:jc w:val="center"/>
              <w:rPr>
                <w:rFonts w:hint="eastAsia" w:hAnsi="宋体" w:cs="宋体"/>
                <w:color w:val="auto"/>
                <w:szCs w:val="21"/>
              </w:rPr>
            </w:pPr>
          </w:p>
        </w:tc>
        <w:tc>
          <w:tcPr>
            <w:tcW w:w="1196" w:type="dxa"/>
            <w:noWrap w:val="0"/>
            <w:vAlign w:val="top"/>
          </w:tcPr>
          <w:p w14:paraId="1B2AD82D">
            <w:pPr>
              <w:snapToGrid w:val="0"/>
              <w:spacing w:line="276" w:lineRule="auto"/>
              <w:jc w:val="center"/>
              <w:rPr>
                <w:rFonts w:hint="eastAsia" w:hAnsi="宋体" w:cs="宋体"/>
                <w:color w:val="auto"/>
                <w:szCs w:val="21"/>
              </w:rPr>
            </w:pPr>
          </w:p>
        </w:tc>
        <w:tc>
          <w:tcPr>
            <w:tcW w:w="1196" w:type="dxa"/>
            <w:noWrap w:val="0"/>
            <w:vAlign w:val="center"/>
          </w:tcPr>
          <w:p w14:paraId="3577BE71">
            <w:pPr>
              <w:snapToGrid w:val="0"/>
              <w:spacing w:line="276" w:lineRule="auto"/>
              <w:jc w:val="center"/>
              <w:rPr>
                <w:rFonts w:hint="eastAsia" w:hAnsi="宋体" w:cs="宋体"/>
                <w:color w:val="auto"/>
                <w:szCs w:val="21"/>
              </w:rPr>
            </w:pPr>
          </w:p>
        </w:tc>
        <w:tc>
          <w:tcPr>
            <w:tcW w:w="1196" w:type="dxa"/>
            <w:noWrap w:val="0"/>
            <w:vAlign w:val="center"/>
          </w:tcPr>
          <w:p w14:paraId="2EFE461D">
            <w:pPr>
              <w:snapToGrid w:val="0"/>
              <w:spacing w:line="276" w:lineRule="auto"/>
              <w:jc w:val="center"/>
              <w:rPr>
                <w:rFonts w:hint="eastAsia" w:hAnsi="宋体" w:cs="宋体"/>
                <w:color w:val="auto"/>
                <w:szCs w:val="21"/>
              </w:rPr>
            </w:pPr>
          </w:p>
        </w:tc>
      </w:tr>
      <w:tr w14:paraId="3A3E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855" w:type="dxa"/>
            <w:gridSpan w:val="9"/>
            <w:noWrap w:val="0"/>
            <w:vAlign w:val="center"/>
          </w:tcPr>
          <w:p w14:paraId="7F67B563">
            <w:pPr>
              <w:snapToGrid w:val="0"/>
              <w:spacing w:line="276" w:lineRule="auto"/>
              <w:rPr>
                <w:rFonts w:hint="eastAsia" w:hAnsi="宋体" w:cs="宋体"/>
                <w:color w:val="auto"/>
                <w:szCs w:val="21"/>
              </w:rPr>
            </w:pPr>
            <w:r>
              <w:rPr>
                <w:rFonts w:hint="eastAsia" w:hAnsi="宋体" w:cs="宋体"/>
                <w:color w:val="auto"/>
                <w:szCs w:val="21"/>
              </w:rPr>
              <w:t>人民币合计金额（大写）                            （小写）</w:t>
            </w:r>
          </w:p>
        </w:tc>
      </w:tr>
    </w:tbl>
    <w:p w14:paraId="2250FC3B">
      <w:pPr>
        <w:snapToGrid w:val="0"/>
        <w:spacing w:line="276" w:lineRule="auto"/>
        <w:ind w:right="420"/>
        <w:rPr>
          <w:rFonts w:hint="eastAsia" w:hAnsi="宋体" w:cs="宋体"/>
          <w:color w:val="auto"/>
          <w:szCs w:val="21"/>
        </w:rPr>
      </w:pPr>
    </w:p>
    <w:p w14:paraId="6EE08F9C">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合同总金额包括设计、设备制造、备件、专用工具、包装、仓储、运输、安装、调试、检验、技术培训、技术资料、验收合格之前及保修期与备品备件发生的所有含税费用。本合同执行期间合同总金额不变。如招</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对其另有规定的，从其规定。</w:t>
      </w:r>
    </w:p>
    <w:p w14:paraId="19D8DF6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b/>
          <w:bCs/>
          <w:color w:val="auto"/>
          <w:szCs w:val="21"/>
        </w:rPr>
        <w:t>第二条　质量保证</w:t>
      </w:r>
    </w:p>
    <w:p w14:paraId="6BFAADA4">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1.乙方所提供的货物型号、货物性能、技术规格、技术参数、质量标准等必须与</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和承诺相一致。</w:t>
      </w:r>
    </w:p>
    <w:p w14:paraId="0D944552">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2.乙方所提供的合同货物必须是全新、未曾使用过的原装产品，且在正常安装、使用和保养条件下，其使用寿命期内各项指标均达到质量要求。不符合要求者，根据实际情况，经双方协商，可按以下办法处理：</w:t>
      </w:r>
    </w:p>
    <w:p w14:paraId="160C6A4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（1）更换：由乙方承担所发生的全部费用。</w:t>
      </w:r>
    </w:p>
    <w:p w14:paraId="43D10B75">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（2）贬值处理：由甲乙双方合议定价。</w:t>
      </w:r>
    </w:p>
    <w:p w14:paraId="5959E4A1">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（3）退货处理：乙方应退还甲方支付的合同款，同时应承担该货物的直接费用（运输、保险、检验、货款利息及银行手续费等）。</w:t>
      </w:r>
    </w:p>
    <w:p w14:paraId="29D5F2DC">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3.乙方提供的节能和环保产品必须是列入政府采购清单的产品。</w:t>
      </w:r>
    </w:p>
    <w:p w14:paraId="15E06462">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第三条　权利保证</w:t>
      </w:r>
    </w:p>
    <w:p w14:paraId="63C7080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3B1CC466">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2.乙方应按采购文件规定的时间向甲方提供使用货物的有关技术资料。</w:t>
      </w:r>
    </w:p>
    <w:p w14:paraId="06EDA05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D1CA3B7">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4.乙方保证所交付的货物的所有权完全属于乙方且无任何抵押、质押、查封等产权瑕疵。</w:t>
      </w:r>
    </w:p>
    <w:p w14:paraId="4E0A2D40">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b/>
          <w:bCs/>
          <w:color w:val="auto"/>
          <w:szCs w:val="21"/>
        </w:rPr>
        <w:t>第四条　包装及运输</w:t>
      </w:r>
    </w:p>
    <w:p w14:paraId="0C4BFC5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1.乙方提供的货物均应按招</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要求的包装材料、包装标准、包装方式进行包装，使之满足运输距离、防潮、防雨、防震、防锈、防腐和防破损装卸等要求，以保证货物安全运达甲方指定地点。每一包装单元内应附详细的装箱单和质量合格证。</w:t>
      </w:r>
    </w:p>
    <w:p w14:paraId="765EFC0D">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2.使用说明书（货物属于进口产品的，供货时应同时附上中文使用说明书）、质量检验证明书、随配附件和工具以及清单一并附于货物内。</w:t>
      </w:r>
    </w:p>
    <w:p w14:paraId="22F3DD2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3.乙方在货物发运手续办理完毕后二十四小时内或货到甲方四十八小时前通知甲方，以准备接货。</w:t>
      </w:r>
    </w:p>
    <w:p w14:paraId="3FECF22A">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4.货物在交付甲方前发生的风险均由乙方负责。</w:t>
      </w:r>
    </w:p>
    <w:p w14:paraId="2362F35C">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5.货物在规定的交付期限内由乙方送达甲方指定的地点并开箱验货签收视为交付。</w:t>
      </w:r>
    </w:p>
    <w:p w14:paraId="72397DB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6.货物的运输方式：             。</w:t>
      </w:r>
    </w:p>
    <w:p w14:paraId="6B55F23A">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7.乙方负责货物运输，货物运输合理损耗及计算方法：</w:t>
      </w:r>
      <w:r>
        <w:rPr>
          <w:rFonts w:hint="eastAsia" w:ascii="宋体" w:hAnsi="宋体" w:eastAsia="宋体" w:cs="Times New Roman"/>
          <w:color w:val="auto"/>
          <w:szCs w:val="21"/>
          <w:u w:val="single"/>
        </w:rPr>
        <w:t xml:space="preserve">  无  </w:t>
      </w:r>
      <w:r>
        <w:rPr>
          <w:rFonts w:hint="eastAsia" w:ascii="宋体" w:hAnsi="宋体" w:eastAsia="宋体" w:cs="Times New Roman"/>
          <w:color w:val="auto"/>
          <w:szCs w:val="21"/>
        </w:rPr>
        <w:t>。</w:t>
      </w:r>
    </w:p>
    <w:p w14:paraId="0CBA40F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第五条　交货、安装、调试、培训和验收</w:t>
      </w:r>
    </w:p>
    <w:p w14:paraId="387B2C04">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1.乙方</w:t>
      </w:r>
      <w:r>
        <w:rPr>
          <w:rFonts w:hint="eastAsia" w:ascii="宋体" w:hAnsi="宋体" w:eastAsia="宋体" w:cs="Times New Roman"/>
          <w:color w:val="auto"/>
          <w:szCs w:val="21"/>
          <w:lang w:eastAsia="zh-CN"/>
        </w:rPr>
        <w:t>合同履约期限</w:t>
      </w:r>
      <w:r>
        <w:rPr>
          <w:rFonts w:hint="eastAsia" w:ascii="宋体" w:hAnsi="宋体" w:eastAsia="宋体" w:cs="Times New Roman"/>
          <w:color w:val="auto"/>
          <w:szCs w:val="21"/>
        </w:rPr>
        <w:t>：合同签订后</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rPr>
        <w:t>，地点：甲方指定地点 。</w:t>
      </w:r>
    </w:p>
    <w:p w14:paraId="74D8CA58">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2.货物运达约定的交货地点后，甲方应对照货物生产商提供的、随货物运抵的货物清单，对照合同、备忘录、商务谈判记录等有效合法商务文件，对货物及其附属物件进行到货验收。符合</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和本合同规定的货物，甲方给予签收；对不符合</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和本合同规定的货物或货物有质量问题的货物不予签收，可立即要求退换，乙方不得拒绝和延误。</w:t>
      </w:r>
    </w:p>
    <w:p w14:paraId="529E47F6">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3.乙方交货前应对产品作出全面检查和对验收文件进行整理，并列出清单，作为甲方收货验收和使用的技术条件依据，检验的结果应随货物交甲方。</w:t>
      </w:r>
    </w:p>
    <w:p w14:paraId="0430D611">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4.甲方应提供必要安装条件（如场地、电源、水源等），乙方负责合同项下的安装、调试及培训工作。</w:t>
      </w:r>
    </w:p>
    <w:p w14:paraId="34AA7CB4">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5.乙方安装时须对各安装场地内的其他设备、设施有良好的保护措施。若因安装行为改造或损坏场地内其他设备设施，产生的后果以及费用由乙方负责。</w:t>
      </w:r>
    </w:p>
    <w:p w14:paraId="3B3C3E07">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6.乙方负责为甲方有关人员免费的培训。培训时间、地点：                。 </w:t>
      </w:r>
    </w:p>
    <w:p w14:paraId="3950AEF8">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7.合同设备安装、调试、培训完成，乙方完善验收所需材料后 10 个工作日内由甲乙双方共同按国家有关的规定、规范进行最终验收。验收完毕做出验收结果报告并加盖采购单位公章，甲乙双方各执一份。如果中标货物属国家相关法律规定的法定检验设备，检定费用由乙方负责。验收时间应在相关专业机构检验并出具合格证明后进行。</w:t>
      </w:r>
    </w:p>
    <w:p w14:paraId="45E1807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8.对技术复杂的货物，甲方应请国家认可的专业检测机构参与初步验收及最终验收，并由其出具质量检测报告。检测费用由乙方负责。</w:t>
      </w:r>
    </w:p>
    <w:p w14:paraId="0E93652F">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9.属甲乙双方委托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83C1326">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10.甲方对验收有异议的，应当场提出，并在验收后5个工作日内以书面形式向乙方提出，乙方应自收到甲方书面异议后 10 日内及时予以解决。</w:t>
      </w:r>
    </w:p>
    <w:p w14:paraId="44229DD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11.货物商检由乙方负责申报。</w:t>
      </w:r>
    </w:p>
    <w:p w14:paraId="07453892">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第六条 付款方式</w:t>
      </w:r>
    </w:p>
    <w:p w14:paraId="2148BBBC">
      <w:pPr>
        <w:keepNext w:val="0"/>
        <w:keepLines w:val="0"/>
        <w:pageBreakBefore w:val="0"/>
        <w:widowControl w:val="0"/>
        <w:kinsoku/>
        <w:wordWrap/>
        <w:overflowPunct/>
        <w:topLinePunct w:val="0"/>
        <w:autoSpaceDE/>
        <w:autoSpaceDN/>
        <w:bidi w:val="0"/>
        <w:adjustRightInd/>
        <w:snapToGrid w:val="0"/>
        <w:spacing w:line="380" w:lineRule="atLeast"/>
        <w:ind w:left="210" w:leftChars="100" w:firstLine="417" w:firstLineChars="19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1.第一期：预付款为合同金额的30%；签订合同后，</w:t>
      </w:r>
      <w:r>
        <w:rPr>
          <w:rFonts w:hint="eastAsia" w:ascii="宋体" w:hAnsi="宋体" w:eastAsia="宋体" w:cs="Times New Roman"/>
          <w:color w:val="auto"/>
          <w:szCs w:val="21"/>
          <w:lang w:val="en-US" w:eastAsia="zh-CN"/>
        </w:rPr>
        <w:t>甲方</w:t>
      </w:r>
      <w:r>
        <w:rPr>
          <w:rFonts w:hint="eastAsia" w:ascii="宋体" w:hAnsi="宋体" w:eastAsia="宋体" w:cs="Times New Roman"/>
          <w:color w:val="auto"/>
          <w:szCs w:val="21"/>
        </w:rPr>
        <w:t>收到</w:t>
      </w:r>
      <w:r>
        <w:rPr>
          <w:rFonts w:hint="eastAsia" w:ascii="宋体" w:hAnsi="宋体" w:eastAsia="宋体" w:cs="Times New Roman"/>
          <w:color w:val="auto"/>
          <w:szCs w:val="21"/>
          <w:lang w:val="en-US" w:eastAsia="zh-CN"/>
        </w:rPr>
        <w:t>乙方</w:t>
      </w:r>
      <w:r>
        <w:rPr>
          <w:rFonts w:hint="eastAsia" w:ascii="宋体" w:hAnsi="宋体" w:eastAsia="宋体" w:cs="Times New Roman"/>
          <w:color w:val="auto"/>
          <w:szCs w:val="21"/>
        </w:rPr>
        <w:t>开具合法有效的合同款30%等额发票后，30个工作日内，向</w:t>
      </w:r>
      <w:r>
        <w:rPr>
          <w:rFonts w:hint="eastAsia" w:ascii="宋体" w:hAnsi="宋体" w:eastAsia="宋体" w:cs="Times New Roman"/>
          <w:color w:val="auto"/>
          <w:szCs w:val="21"/>
          <w:lang w:val="en-US" w:eastAsia="zh-CN"/>
        </w:rPr>
        <w:t>乙方</w:t>
      </w:r>
      <w:r>
        <w:rPr>
          <w:rFonts w:hint="eastAsia" w:ascii="宋体" w:hAnsi="宋体" w:eastAsia="宋体" w:cs="Times New Roman"/>
          <w:color w:val="auto"/>
          <w:szCs w:val="21"/>
        </w:rPr>
        <w:t>支付预付款；</w:t>
      </w:r>
    </w:p>
    <w:p w14:paraId="5EF703E2">
      <w:pPr>
        <w:keepNext w:val="0"/>
        <w:keepLines w:val="0"/>
        <w:pageBreakBefore w:val="0"/>
        <w:widowControl w:val="0"/>
        <w:kinsoku/>
        <w:wordWrap/>
        <w:overflowPunct/>
        <w:topLinePunct w:val="0"/>
        <w:autoSpaceDE/>
        <w:autoSpaceDN/>
        <w:bidi w:val="0"/>
        <w:adjustRightInd/>
        <w:snapToGrid w:val="0"/>
        <w:spacing w:line="380" w:lineRule="atLeast"/>
        <w:ind w:left="210" w:leftChars="100" w:firstLine="417" w:firstLineChars="19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2.第二期：所有货物交货安装调试完毕并验收合格，双方签署验收报告后，</w:t>
      </w:r>
      <w:r>
        <w:rPr>
          <w:rFonts w:hint="eastAsia" w:ascii="宋体" w:hAnsi="宋体" w:eastAsia="宋体" w:cs="Times New Roman"/>
          <w:color w:val="auto"/>
          <w:szCs w:val="21"/>
          <w:lang w:val="en-US" w:eastAsia="zh-CN"/>
        </w:rPr>
        <w:t>甲方</w:t>
      </w:r>
      <w:r>
        <w:rPr>
          <w:rFonts w:hint="eastAsia" w:ascii="宋体" w:hAnsi="宋体" w:eastAsia="宋体" w:cs="Times New Roman"/>
          <w:color w:val="auto"/>
          <w:szCs w:val="21"/>
        </w:rPr>
        <w:t>收到</w:t>
      </w:r>
      <w:r>
        <w:rPr>
          <w:rFonts w:hint="eastAsia" w:ascii="宋体" w:hAnsi="宋体" w:eastAsia="宋体" w:cs="Times New Roman"/>
          <w:color w:val="auto"/>
          <w:szCs w:val="21"/>
          <w:lang w:val="en-US" w:eastAsia="zh-CN"/>
        </w:rPr>
        <w:t>乙方</w:t>
      </w:r>
      <w:r>
        <w:rPr>
          <w:rFonts w:hint="eastAsia" w:ascii="宋体" w:hAnsi="宋体" w:eastAsia="宋体" w:cs="Times New Roman"/>
          <w:color w:val="auto"/>
          <w:szCs w:val="21"/>
        </w:rPr>
        <w:t>开具合法有效的合同款70%等额发票后，60个工作日内，支付至合同款的100%。</w:t>
      </w:r>
    </w:p>
    <w:p w14:paraId="5092E6C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w:t>
      </w:r>
      <w:r>
        <w:rPr>
          <w:rFonts w:hint="eastAsia" w:ascii="宋体" w:hAnsi="宋体" w:eastAsia="宋体" w:cs="Times New Roman"/>
          <w:color w:val="auto"/>
          <w:szCs w:val="21"/>
          <w:lang w:val="en-US" w:eastAsia="zh-CN"/>
        </w:rPr>
        <w:t>乙方</w:t>
      </w:r>
      <w:r>
        <w:rPr>
          <w:rFonts w:hint="eastAsia" w:ascii="宋体" w:hAnsi="宋体" w:eastAsia="宋体" w:cs="Times New Roman"/>
          <w:color w:val="auto"/>
          <w:szCs w:val="21"/>
        </w:rPr>
        <w:t>未开具合法有效的等额发票的，</w:t>
      </w:r>
      <w:r>
        <w:rPr>
          <w:rFonts w:hint="eastAsia" w:ascii="宋体" w:hAnsi="宋体" w:eastAsia="宋体" w:cs="Times New Roman"/>
          <w:color w:val="auto"/>
          <w:szCs w:val="21"/>
          <w:lang w:val="en-US" w:eastAsia="zh-CN"/>
        </w:rPr>
        <w:t>甲方</w:t>
      </w:r>
      <w:r>
        <w:rPr>
          <w:rFonts w:hint="eastAsia" w:ascii="宋体" w:hAnsi="宋体" w:eastAsia="宋体" w:cs="Times New Roman"/>
          <w:color w:val="auto"/>
          <w:szCs w:val="21"/>
        </w:rPr>
        <w:t>有权不支付合同款。</w:t>
      </w:r>
    </w:p>
    <w:p w14:paraId="074061B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第七条 履约保证金：无。</w:t>
      </w:r>
    </w:p>
    <w:p w14:paraId="4986603C">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第八条 税费 </w:t>
      </w:r>
    </w:p>
    <w:p w14:paraId="2DFABE1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本合同执行中相关的一切税费均由乙方负担。</w:t>
      </w:r>
    </w:p>
    <w:p w14:paraId="2FE6B014">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第九条  保修期及售后服务</w:t>
      </w:r>
    </w:p>
    <w:p w14:paraId="330757AD">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1.乙方应按照国家有关法律法规和“三包”规定以及招</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和本合同所附的《服务承诺》，为甲方提供售后服务。</w:t>
      </w:r>
    </w:p>
    <w:p w14:paraId="266FBDF6">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2.货物保修期：</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年，保修期自货物最终验收合格之日算起。在质保期内，乙方应对货物出现的质量及安全问题负责处理解决并承担一切费用。因人为因素出现的故障不在免费保修范围内。</w:t>
      </w:r>
    </w:p>
    <w:p w14:paraId="337A93C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4.超过保修期的机器设备，终生维修，维修时只收部件成本费。</w:t>
      </w:r>
    </w:p>
    <w:p w14:paraId="023F1723">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5.如在使用过程中发生质量问题，乙方在接到甲方通知后在</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小时内到达甲方现场处理。</w:t>
      </w:r>
    </w:p>
    <w:p w14:paraId="7F42241A">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6.乙方提供的服务承诺和售后服务及保修期责任等其它具体约定事项。（如有，见合同附件）</w:t>
      </w:r>
    </w:p>
    <w:p w14:paraId="0A952D3C">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7.乙方应当向甲方提供维护手册、维修手册、软件备份、故障代码表、备件清单、零部件、维修密码等维护维修必需的材料和信息，以便甲方维护维修使用。</w:t>
      </w:r>
    </w:p>
    <w:p w14:paraId="33D4940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第十条  违约责任</w:t>
      </w:r>
    </w:p>
    <w:p w14:paraId="2BC079D8">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2A611E2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2.因包装、运输引起的货物损坏，按质量不合格处理，乙方负责更换。</w:t>
      </w:r>
    </w:p>
    <w:p w14:paraId="68253EF0">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3.甲方无故延期接收货物、乙方逾期交货的，每天向对方偿付违约货款额3‰违约金，但违约金累计不得超过违约货款额5%，超过30天对方有权解除合同，违约方承担因此给对方造成经济损失。</w:t>
      </w:r>
    </w:p>
    <w:p w14:paraId="0DB807D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4.乙方未按本合同和</w:t>
      </w:r>
      <w:r>
        <w:rPr>
          <w:rFonts w:hint="eastAsia" w:ascii="宋体" w:hAnsi="宋体" w:eastAsia="宋体" w:cs="Times New Roman"/>
          <w:color w:val="auto"/>
          <w:szCs w:val="21"/>
          <w:lang w:eastAsia="zh-CN"/>
        </w:rPr>
        <w:t>投标文件</w:t>
      </w:r>
      <w:r>
        <w:rPr>
          <w:rFonts w:hint="eastAsia" w:ascii="宋体" w:hAnsi="宋体" w:eastAsia="宋体" w:cs="Times New Roman"/>
          <w:color w:val="auto"/>
          <w:szCs w:val="21"/>
        </w:rPr>
        <w:t>中规定的服务承诺提供售后服务的，乙方应按本合同合计金额 5%向甲方支付违约金。</w:t>
      </w:r>
    </w:p>
    <w:p w14:paraId="473E18C1">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5.乙方提供的货物在质量保证期内，因设计、工艺或材料的缺陷和其它质量原因造成的问题，由乙方负责，费用从剩余5%货款中扣除，不足另补。</w:t>
      </w:r>
    </w:p>
    <w:p w14:paraId="0B6C8CF0">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6.其它违约行为按违约货款额5%收取违约金并赔偿经济损失。</w:t>
      </w:r>
    </w:p>
    <w:p w14:paraId="03165043">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第十一条  不可抗力事件处理</w:t>
      </w:r>
    </w:p>
    <w:p w14:paraId="5235113F">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1.在合同有效期内，任何一方因不可抗力事件导致不能履行合同，则合同履行期可延长，其延长期与不可抗力影响期相同。</w:t>
      </w:r>
    </w:p>
    <w:p w14:paraId="1AE7419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2.不可抗力事件发生后，应立即通知对方，并寄送有关权威机构出具的证明。</w:t>
      </w:r>
    </w:p>
    <w:p w14:paraId="6F1F543D">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3.不可抗力事件延续一百二十天以上，双方应通过友好协商，确定是否继续履行合同。</w:t>
      </w:r>
    </w:p>
    <w:p w14:paraId="0B0BC795">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b/>
          <w:bCs/>
          <w:color w:val="auto"/>
          <w:szCs w:val="21"/>
        </w:rPr>
        <w:t>第十二条　合同争议解决</w:t>
      </w:r>
    </w:p>
    <w:p w14:paraId="394AA95D">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1.因货物质量问题发生争议的，应邀请国家认可的质量检测机构对货物质量进行鉴定。货物符合标准的，鉴定费由甲方承担；货物不符合标准的，鉴定费由乙方承担。</w:t>
      </w:r>
    </w:p>
    <w:p w14:paraId="5B1685A5">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2.因履行本合同引起的或与本合同有关的争议，甲乙双方应首先通过友好协商解决，如果协商不能解决，可向项目所在地的仲裁委员会申请仲裁或向项目所在地人民法院提起诉讼。</w:t>
      </w:r>
    </w:p>
    <w:p w14:paraId="66321BA7">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3.诉讼期间，本合同继续履行。</w:t>
      </w:r>
    </w:p>
    <w:p w14:paraId="626B9DC6">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b/>
          <w:bCs/>
          <w:color w:val="auto"/>
          <w:szCs w:val="21"/>
        </w:rPr>
        <w:t>第十三条  合同生效及其它</w:t>
      </w:r>
    </w:p>
    <w:p w14:paraId="1C6C92B9">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 1.合同经双方法定代表人或授权代表签字并加盖单位公章后生效。</w:t>
      </w:r>
    </w:p>
    <w:p w14:paraId="3273C5BB">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2.合同执行中涉及采购资金和采购内容修改或补充的，须经甲乙双方协商同意，并签书面补充协议，方可作为主合同不可分割的一部分。</w:t>
      </w:r>
    </w:p>
    <w:p w14:paraId="78E6B84F">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3.本合同未尽事宜，遵照《中华人民共和国民法典》有关条文执行。</w:t>
      </w:r>
    </w:p>
    <w:p w14:paraId="30EB290E">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第十四条  合同的变更、终止与转让</w:t>
      </w:r>
    </w:p>
    <w:p w14:paraId="3643AEDD">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1.本合同一经签订，甲乙双方不得擅自变更、中止或终止。</w:t>
      </w:r>
    </w:p>
    <w:p w14:paraId="1A98AFE1">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2.乙方不得擅自转让（无进口资格的供应商委托进口货物除外）其应履行的合同义务。</w:t>
      </w:r>
    </w:p>
    <w:p w14:paraId="0A8AB508">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b/>
          <w:bCs/>
          <w:color w:val="auto"/>
          <w:szCs w:val="21"/>
        </w:rPr>
        <w:t xml:space="preserve">第十五条 </w:t>
      </w:r>
      <w:r>
        <w:rPr>
          <w:rFonts w:hint="eastAsia" w:ascii="宋体" w:hAnsi="宋体" w:eastAsia="宋体" w:cs="Times New Roman"/>
          <w:color w:val="auto"/>
          <w:szCs w:val="21"/>
        </w:rPr>
        <w:t xml:space="preserve"> 本合同一式</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份，具有同等法律效力。甲方执</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 xml:space="preserve">  </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份，乙方执</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份，招标代理机构</w:t>
      </w:r>
      <w:r>
        <w:rPr>
          <w:rFonts w:hint="eastAsia" w:ascii="宋体" w:hAnsi="宋体" w:eastAsia="宋体" w:cs="Times New Roman"/>
          <w:color w:val="auto"/>
          <w:szCs w:val="21"/>
          <w:u w:val="single"/>
        </w:rPr>
        <w:t>　壹　</w:t>
      </w:r>
      <w:r>
        <w:rPr>
          <w:rFonts w:hint="eastAsia" w:ascii="宋体" w:hAnsi="宋体" w:eastAsia="宋体" w:cs="Times New Roman"/>
          <w:color w:val="auto"/>
          <w:szCs w:val="21"/>
        </w:rPr>
        <w:t>份（可根据需要另增加）。</w:t>
      </w:r>
    </w:p>
    <w:p w14:paraId="6428DC61">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本合同甲乙双方签字盖章后生效。</w:t>
      </w:r>
    </w:p>
    <w:p w14:paraId="40BAAA84">
      <w:pPr>
        <w:keepNext w:val="0"/>
        <w:keepLines w:val="0"/>
        <w:pageBreakBefore w:val="0"/>
        <w:widowControl w:val="0"/>
        <w:kinsoku/>
        <w:wordWrap/>
        <w:overflowPunct/>
        <w:topLinePunct w:val="0"/>
        <w:autoSpaceDE/>
        <w:autoSpaceDN/>
        <w:bidi w:val="0"/>
        <w:adjustRightInd/>
        <w:snapToGrid w:val="0"/>
        <w:spacing w:line="380" w:lineRule="atLeast"/>
        <w:ind w:firstLine="629"/>
        <w:textAlignment w:val="auto"/>
        <w:rPr>
          <w:rFonts w:hint="eastAsia" w:ascii="宋体" w:hAnsi="宋体" w:eastAsia="宋体" w:cs="Times New Roman"/>
          <w:color w:val="auto"/>
          <w:szCs w:val="21"/>
        </w:rPr>
      </w:pPr>
    </w:p>
    <w:tbl>
      <w:tblPr>
        <w:tblStyle w:val="50"/>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4837"/>
      </w:tblGrid>
      <w:tr w14:paraId="5F05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4662" w:type="dxa"/>
            <w:noWrap w:val="0"/>
            <w:vAlign w:val="center"/>
          </w:tcPr>
          <w:p w14:paraId="03B7BB3A">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 xml:space="preserve">甲方（章）           </w:t>
            </w:r>
          </w:p>
          <w:p w14:paraId="578F7BBA">
            <w:pPr>
              <w:snapToGrid w:val="0"/>
              <w:spacing w:line="360" w:lineRule="auto"/>
              <w:ind w:firstLine="630"/>
              <w:rPr>
                <w:rFonts w:hint="eastAsia" w:ascii="宋体" w:hAnsi="宋体" w:eastAsia="宋体" w:cs="Times New Roman"/>
                <w:color w:val="auto"/>
                <w:szCs w:val="21"/>
              </w:rPr>
            </w:pPr>
          </w:p>
          <w:p w14:paraId="51AB7FA2">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年   月   日</w:t>
            </w:r>
          </w:p>
        </w:tc>
        <w:tc>
          <w:tcPr>
            <w:tcW w:w="4837" w:type="dxa"/>
            <w:noWrap w:val="0"/>
            <w:vAlign w:val="center"/>
          </w:tcPr>
          <w:p w14:paraId="0BDFB2E9">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 xml:space="preserve">乙方（章）              </w:t>
            </w:r>
          </w:p>
          <w:p w14:paraId="19A08605">
            <w:pPr>
              <w:snapToGrid w:val="0"/>
              <w:spacing w:line="360" w:lineRule="auto"/>
              <w:ind w:firstLine="630"/>
              <w:rPr>
                <w:rFonts w:hint="eastAsia" w:ascii="宋体" w:hAnsi="宋体" w:eastAsia="宋体" w:cs="Times New Roman"/>
                <w:color w:val="auto"/>
                <w:szCs w:val="21"/>
              </w:rPr>
            </w:pPr>
          </w:p>
          <w:p w14:paraId="2E3B8E85">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 xml:space="preserve"> 年   月   日</w:t>
            </w:r>
          </w:p>
        </w:tc>
      </w:tr>
      <w:tr w14:paraId="485A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28745633">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单位地址：</w:t>
            </w:r>
          </w:p>
        </w:tc>
        <w:tc>
          <w:tcPr>
            <w:tcW w:w="4837" w:type="dxa"/>
            <w:noWrap w:val="0"/>
            <w:vAlign w:val="top"/>
          </w:tcPr>
          <w:p w14:paraId="5A6CC00E">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单位地址：</w:t>
            </w:r>
          </w:p>
        </w:tc>
      </w:tr>
      <w:tr w14:paraId="1E8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2961ECCB">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法定代表人：</w:t>
            </w:r>
          </w:p>
        </w:tc>
        <w:tc>
          <w:tcPr>
            <w:tcW w:w="4837" w:type="dxa"/>
            <w:noWrap w:val="0"/>
            <w:vAlign w:val="top"/>
          </w:tcPr>
          <w:p w14:paraId="26B60F9B">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法定代表人：</w:t>
            </w:r>
          </w:p>
        </w:tc>
      </w:tr>
      <w:tr w14:paraId="1E52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58807F7F">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委托代理人：</w:t>
            </w:r>
          </w:p>
        </w:tc>
        <w:tc>
          <w:tcPr>
            <w:tcW w:w="4837" w:type="dxa"/>
            <w:noWrap w:val="0"/>
            <w:vAlign w:val="top"/>
          </w:tcPr>
          <w:p w14:paraId="35CD8E9E">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委托代理人</w:t>
            </w:r>
          </w:p>
        </w:tc>
      </w:tr>
      <w:tr w14:paraId="1EF6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3C14908E">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电话：</w:t>
            </w:r>
          </w:p>
        </w:tc>
        <w:tc>
          <w:tcPr>
            <w:tcW w:w="4837" w:type="dxa"/>
            <w:noWrap w:val="0"/>
            <w:vAlign w:val="top"/>
          </w:tcPr>
          <w:p w14:paraId="124A9971">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电话：</w:t>
            </w:r>
          </w:p>
        </w:tc>
      </w:tr>
      <w:tr w14:paraId="7792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4A5957AC">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电子邮箱：</w:t>
            </w:r>
          </w:p>
        </w:tc>
        <w:tc>
          <w:tcPr>
            <w:tcW w:w="4837" w:type="dxa"/>
            <w:noWrap w:val="0"/>
            <w:vAlign w:val="top"/>
          </w:tcPr>
          <w:p w14:paraId="44840E57">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电子邮箱：</w:t>
            </w:r>
          </w:p>
        </w:tc>
      </w:tr>
      <w:tr w14:paraId="2E99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662" w:type="dxa"/>
            <w:noWrap w:val="0"/>
            <w:vAlign w:val="top"/>
          </w:tcPr>
          <w:p w14:paraId="3489A0E1">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开户银行：</w:t>
            </w:r>
          </w:p>
        </w:tc>
        <w:tc>
          <w:tcPr>
            <w:tcW w:w="4837" w:type="dxa"/>
            <w:noWrap w:val="0"/>
            <w:vAlign w:val="top"/>
          </w:tcPr>
          <w:p w14:paraId="19312068">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开户银行：</w:t>
            </w:r>
          </w:p>
          <w:p w14:paraId="06328A56">
            <w:pPr>
              <w:snapToGrid w:val="0"/>
              <w:spacing w:line="360" w:lineRule="auto"/>
              <w:ind w:firstLine="630"/>
              <w:jc w:val="left"/>
              <w:rPr>
                <w:rFonts w:hint="eastAsia" w:ascii="宋体" w:hAnsi="宋体" w:eastAsia="宋体" w:cs="Times New Roman"/>
                <w:color w:val="auto"/>
                <w:szCs w:val="21"/>
              </w:rPr>
            </w:pPr>
          </w:p>
        </w:tc>
      </w:tr>
      <w:tr w14:paraId="45AC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607C27F">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账号：</w:t>
            </w:r>
          </w:p>
        </w:tc>
        <w:tc>
          <w:tcPr>
            <w:tcW w:w="4837" w:type="dxa"/>
            <w:noWrap w:val="0"/>
            <w:vAlign w:val="top"/>
          </w:tcPr>
          <w:p w14:paraId="7C447320">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账号：</w:t>
            </w:r>
          </w:p>
        </w:tc>
      </w:tr>
      <w:tr w14:paraId="11F4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0F756215">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纳税人识别号:</w:t>
            </w:r>
          </w:p>
        </w:tc>
        <w:tc>
          <w:tcPr>
            <w:tcW w:w="4837" w:type="dxa"/>
            <w:noWrap w:val="0"/>
            <w:vAlign w:val="top"/>
          </w:tcPr>
          <w:p w14:paraId="15DDB783">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纳税人识别号:</w:t>
            </w:r>
          </w:p>
        </w:tc>
      </w:tr>
      <w:tr w14:paraId="041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4662" w:type="dxa"/>
            <w:noWrap w:val="0"/>
            <w:vAlign w:val="top"/>
          </w:tcPr>
          <w:p w14:paraId="25A1BC05">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邮政编码：</w:t>
            </w:r>
          </w:p>
        </w:tc>
        <w:tc>
          <w:tcPr>
            <w:tcW w:w="4837" w:type="dxa"/>
            <w:noWrap w:val="0"/>
            <w:vAlign w:val="top"/>
          </w:tcPr>
          <w:p w14:paraId="35129BB4">
            <w:pPr>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邮政编码：</w:t>
            </w:r>
          </w:p>
        </w:tc>
      </w:tr>
      <w:tr w14:paraId="0716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499" w:type="dxa"/>
            <w:gridSpan w:val="2"/>
            <w:noWrap w:val="0"/>
            <w:vAlign w:val="top"/>
          </w:tcPr>
          <w:p w14:paraId="7F3FE737">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 xml:space="preserve">经办人：                      </w:t>
            </w:r>
          </w:p>
          <w:p w14:paraId="1FCD4F4F">
            <w:pPr>
              <w:snapToGrid w:val="0"/>
              <w:spacing w:line="360" w:lineRule="auto"/>
              <w:ind w:firstLine="630"/>
              <w:rPr>
                <w:rFonts w:hint="eastAsia" w:ascii="宋体" w:hAnsi="宋体" w:eastAsia="宋体" w:cs="Times New Roman"/>
                <w:color w:val="auto"/>
                <w:szCs w:val="21"/>
              </w:rPr>
            </w:pPr>
          </w:p>
          <w:p w14:paraId="4ECDB98B">
            <w:pPr>
              <w:snapToGrid w:val="0"/>
              <w:spacing w:line="360" w:lineRule="auto"/>
              <w:ind w:firstLine="7350" w:firstLineChars="3500"/>
              <w:rPr>
                <w:rFonts w:hint="eastAsia" w:ascii="宋体" w:hAnsi="宋体" w:eastAsia="宋体" w:cs="Times New Roman"/>
                <w:color w:val="auto"/>
                <w:szCs w:val="21"/>
              </w:rPr>
            </w:pPr>
            <w:r>
              <w:rPr>
                <w:rFonts w:hint="eastAsia" w:ascii="宋体" w:hAnsi="宋体" w:eastAsia="宋体" w:cs="Times New Roman"/>
                <w:color w:val="auto"/>
                <w:szCs w:val="21"/>
              </w:rPr>
              <w:t>年    月    日</w:t>
            </w:r>
          </w:p>
        </w:tc>
      </w:tr>
    </w:tbl>
    <w:p w14:paraId="6EC79DAD">
      <w:pPr>
        <w:spacing w:line="560" w:lineRule="exact"/>
        <w:jc w:val="both"/>
        <w:rPr>
          <w:rFonts w:hint="eastAsia" w:ascii="方正小标宋简体" w:hAnsi="??" w:eastAsia="方正小标宋简体"/>
          <w:color w:val="auto"/>
          <w:sz w:val="44"/>
          <w:szCs w:val="44"/>
        </w:rPr>
      </w:pPr>
    </w:p>
    <w:p w14:paraId="606C595F">
      <w:pPr>
        <w:spacing w:line="56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购销廉洁协议</w:t>
      </w:r>
    </w:p>
    <w:p w14:paraId="73F761B7">
      <w:pPr>
        <w:pStyle w:val="96"/>
        <w:rPr>
          <w:color w:val="auto"/>
        </w:rPr>
      </w:pPr>
    </w:p>
    <w:p w14:paraId="19A073CB">
      <w:pPr>
        <w:spacing w:line="400" w:lineRule="exact"/>
        <w:ind w:firstLine="422" w:firstLineChars="200"/>
        <w:rPr>
          <w:rFonts w:hint="eastAsia" w:hAnsi="宋体" w:eastAsia="宋体" w:cs="宋体"/>
          <w:color w:val="auto"/>
          <w:szCs w:val="21"/>
          <w:u w:val="single"/>
          <w:lang w:eastAsia="zh-CN"/>
        </w:rPr>
      </w:pPr>
      <w:r>
        <w:rPr>
          <w:rFonts w:hint="eastAsia" w:hAnsi="宋体" w:cs="宋体"/>
          <w:b/>
          <w:color w:val="auto"/>
          <w:szCs w:val="21"/>
        </w:rPr>
        <w:t>甲方：</w:t>
      </w:r>
    </w:p>
    <w:p w14:paraId="5FA69AA9">
      <w:pPr>
        <w:spacing w:line="400" w:lineRule="exact"/>
        <w:ind w:firstLine="422" w:firstLineChars="200"/>
        <w:rPr>
          <w:rFonts w:hAnsi="宋体" w:cs="宋体"/>
          <w:color w:val="auto"/>
          <w:szCs w:val="21"/>
        </w:rPr>
      </w:pPr>
      <w:r>
        <w:rPr>
          <w:rFonts w:hint="eastAsia" w:hAnsi="宋体" w:cs="宋体"/>
          <w:b/>
          <w:color w:val="auto"/>
          <w:szCs w:val="21"/>
        </w:rPr>
        <w:t>乙方：</w:t>
      </w:r>
    </w:p>
    <w:p w14:paraId="31408947">
      <w:pPr>
        <w:spacing w:line="400" w:lineRule="exact"/>
        <w:ind w:firstLine="420" w:firstLineChars="200"/>
        <w:rPr>
          <w:rFonts w:hAnsi="宋体" w:cs="宋体"/>
          <w:color w:val="auto"/>
          <w:szCs w:val="21"/>
        </w:rPr>
      </w:pPr>
      <w:r>
        <w:rPr>
          <w:rFonts w:hint="eastAsia" w:hAnsi="宋体" w:cs="宋体"/>
          <w:color w:val="auto"/>
          <w:szCs w:val="21"/>
        </w:rPr>
        <w:t>为进一步加强医疗卫生行风建设，规范医疗机构购销行为，有效防范商业贿赂行为，营造公平交易、诚实守信的购销环境，经甲、乙双方协商，同意签订本协议，并共同遵守：</w:t>
      </w:r>
    </w:p>
    <w:p w14:paraId="5AA1A6F4">
      <w:pPr>
        <w:spacing w:line="400" w:lineRule="exact"/>
        <w:ind w:firstLine="420" w:firstLineChars="200"/>
        <w:rPr>
          <w:rFonts w:hAnsi="宋体" w:cs="宋体"/>
          <w:color w:val="auto"/>
          <w:szCs w:val="21"/>
        </w:rPr>
      </w:pPr>
      <w:r>
        <w:rPr>
          <w:rFonts w:hint="eastAsia" w:hAnsi="宋体" w:cs="宋体"/>
          <w:color w:val="auto"/>
          <w:szCs w:val="21"/>
        </w:rPr>
        <w:t>一、甲乙双方按照《中华人民共和国政府采购法》、《中华人民共和国民法典》及购销合同约定购销相关产品及服务。</w:t>
      </w:r>
    </w:p>
    <w:p w14:paraId="2AB56BA5">
      <w:pPr>
        <w:spacing w:line="400" w:lineRule="exact"/>
        <w:ind w:firstLine="420" w:firstLineChars="200"/>
        <w:rPr>
          <w:rFonts w:hAnsi="宋体" w:cs="宋体"/>
          <w:color w:val="auto"/>
          <w:szCs w:val="21"/>
        </w:rPr>
      </w:pPr>
      <w:r>
        <w:rPr>
          <w:rFonts w:hint="eastAsia" w:hAnsi="宋体" w:cs="宋体"/>
          <w:color w:val="auto"/>
          <w:szCs w:val="21"/>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55991BA8">
      <w:pPr>
        <w:spacing w:line="400" w:lineRule="exact"/>
        <w:ind w:firstLine="420" w:firstLineChars="200"/>
        <w:rPr>
          <w:rFonts w:hAnsi="宋体" w:cs="宋体"/>
          <w:color w:val="auto"/>
          <w:szCs w:val="21"/>
        </w:rPr>
      </w:pPr>
      <w:r>
        <w:rPr>
          <w:rFonts w:hint="eastAsia" w:hAnsi="宋体" w:cs="宋体"/>
          <w:color w:val="auto"/>
          <w:szCs w:val="21"/>
        </w:rPr>
        <w:t>三、严禁甲方工作人员利用任何途径和方式，为乙方统计医师个人及临床科室有关医用耗材用量信息，或为乙方统计提供便利。</w:t>
      </w:r>
    </w:p>
    <w:p w14:paraId="4E392B8B">
      <w:pPr>
        <w:spacing w:line="400" w:lineRule="exact"/>
        <w:ind w:firstLine="420" w:firstLineChars="200"/>
        <w:rPr>
          <w:rFonts w:hAnsi="宋体" w:cs="宋体"/>
          <w:color w:val="auto"/>
          <w:szCs w:val="21"/>
        </w:rPr>
      </w:pPr>
      <w:r>
        <w:rPr>
          <w:rFonts w:hint="eastAsia" w:hAnsi="宋体" w:cs="宋体"/>
          <w:color w:val="auto"/>
          <w:szCs w:val="21"/>
        </w:rPr>
        <w:t>四、乙方不得以回扣、宴请等方式影响甲方工作人员采购或使用医用耗材的选择权，不得在学术活动中提供旅游、超标准支付食宿费用。</w:t>
      </w:r>
    </w:p>
    <w:p w14:paraId="4144BA56">
      <w:pPr>
        <w:spacing w:line="400" w:lineRule="exact"/>
        <w:ind w:firstLine="420" w:firstLineChars="200"/>
        <w:rPr>
          <w:rFonts w:hAnsi="宋体" w:cs="宋体"/>
          <w:color w:val="auto"/>
          <w:szCs w:val="21"/>
        </w:rPr>
      </w:pPr>
      <w:r>
        <w:rPr>
          <w:rFonts w:hint="eastAsia" w:hAnsi="宋体" w:cs="宋体"/>
          <w:color w:val="auto"/>
          <w:szCs w:val="21"/>
        </w:rPr>
        <w:t>五、乙方指定</w:t>
      </w:r>
      <w:r>
        <w:rPr>
          <w:rFonts w:hint="eastAsia" w:hAnsi="宋体" w:cs="宋体"/>
          <w:color w:val="auto"/>
          <w:szCs w:val="21"/>
          <w:u w:val="single"/>
          <w:lang w:eastAsia="zh-CN"/>
        </w:rPr>
        <w:t>姓名：</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u w:val="single"/>
          <w:lang w:eastAsia="zh-CN"/>
        </w:rPr>
        <w:t>（联系方式：</w:t>
      </w:r>
      <w:r>
        <w:rPr>
          <w:rFonts w:hint="eastAsia" w:hAnsi="宋体" w:cs="宋体"/>
          <w:color w:val="auto"/>
          <w:szCs w:val="21"/>
          <w:u w:val="single"/>
          <w:lang w:val="en-US" w:eastAsia="zh-CN"/>
        </w:rPr>
        <w:t xml:space="preserve">          ）</w:t>
      </w:r>
      <w:r>
        <w:rPr>
          <w:rFonts w:hint="eastAsia" w:hAnsi="宋体" w:cs="宋体"/>
          <w:color w:val="auto"/>
          <w:szCs w:val="21"/>
        </w:rPr>
        <w:t>作为销售代表洽谈业务。销售代表必须在工作时间到甲方指定地点联系商谈，不得到住院部、门诊部、医技科室等推销医用耗材，不得借故到甲方相关领导、部门负责人及相关工作人员家中访谈并提供任何好处费。</w:t>
      </w:r>
    </w:p>
    <w:p w14:paraId="62B02798">
      <w:pPr>
        <w:spacing w:line="400" w:lineRule="exact"/>
        <w:ind w:firstLine="420" w:firstLineChars="200"/>
        <w:rPr>
          <w:rFonts w:hAnsi="宋体" w:cs="宋体"/>
          <w:color w:val="auto"/>
          <w:szCs w:val="21"/>
        </w:rPr>
      </w:pPr>
      <w:r>
        <w:rPr>
          <w:rFonts w:hint="eastAsia" w:hAnsi="宋体" w:cs="宋体"/>
          <w:color w:val="auto"/>
          <w:szCs w:val="21"/>
        </w:rPr>
        <w:t>六、乙方如违反本协议，一经发现，甲方有权终止购销合同，并向有关卫生健康行政部门报告。如乙方被列入商业贿赂不良记录，则严格按照《国家卫生计生委关于建立医药购销领域商业贿赂不良记录的规定》（国卫法制发〔2013〕50号）相关规定处理。</w:t>
      </w:r>
    </w:p>
    <w:p w14:paraId="4529547C">
      <w:pPr>
        <w:spacing w:line="400" w:lineRule="exact"/>
        <w:ind w:firstLine="420" w:firstLineChars="200"/>
        <w:rPr>
          <w:rFonts w:hAnsi="宋体" w:cs="宋体"/>
          <w:color w:val="auto"/>
          <w:szCs w:val="21"/>
        </w:rPr>
      </w:pPr>
      <w:r>
        <w:rPr>
          <w:rFonts w:hint="eastAsia" w:hAnsi="宋体" w:cs="宋体"/>
          <w:color w:val="auto"/>
          <w:szCs w:val="21"/>
        </w:rPr>
        <w:t>七、本协议作为购销合同的重要组成部分，与购销合同一并执行，具有同等的法律效力。</w:t>
      </w:r>
    </w:p>
    <w:p w14:paraId="5F8B8CE4">
      <w:pPr>
        <w:spacing w:line="400" w:lineRule="exact"/>
        <w:ind w:left="105" w:leftChars="50" w:firstLine="315" w:firstLineChars="150"/>
        <w:rPr>
          <w:rFonts w:hAnsi="宋体" w:cs="宋体"/>
          <w:color w:val="auto"/>
          <w:szCs w:val="21"/>
        </w:rPr>
      </w:pPr>
      <w:r>
        <w:rPr>
          <w:rFonts w:hint="eastAsia" w:hAnsi="宋体" w:cs="宋体"/>
          <w:color w:val="auto"/>
          <w:szCs w:val="21"/>
        </w:rPr>
        <w:t>八、本协议一式</w:t>
      </w:r>
      <w:r>
        <w:rPr>
          <w:rFonts w:hint="eastAsia" w:hAnsi="宋体" w:cs="宋体"/>
          <w:color w:val="auto"/>
          <w:szCs w:val="21"/>
          <w:u w:val="single"/>
        </w:rPr>
        <w:t xml:space="preserve"> </w:t>
      </w:r>
      <w:r>
        <w:rPr>
          <w:rFonts w:hint="eastAsia" w:hAnsi="宋体" w:cs="宋体"/>
          <w:color w:val="auto"/>
          <w:szCs w:val="21"/>
          <w:u w:val="single"/>
          <w:lang w:eastAsia="zh-CN"/>
        </w:rPr>
        <w:t>叁</w:t>
      </w:r>
      <w:r>
        <w:rPr>
          <w:rFonts w:hint="eastAsia" w:hAnsi="宋体" w:cs="宋体"/>
          <w:color w:val="auto"/>
          <w:szCs w:val="21"/>
          <w:u w:val="single"/>
        </w:rPr>
        <w:t xml:space="preserve"> </w:t>
      </w:r>
      <w:r>
        <w:rPr>
          <w:rFonts w:hint="eastAsia" w:hAnsi="宋体" w:cs="宋体"/>
          <w:color w:val="auto"/>
          <w:szCs w:val="21"/>
        </w:rPr>
        <w:t>份，甲方执</w:t>
      </w:r>
      <w:r>
        <w:rPr>
          <w:rFonts w:hint="eastAsia" w:hAnsi="宋体" w:cs="宋体"/>
          <w:color w:val="auto"/>
          <w:szCs w:val="21"/>
          <w:lang w:eastAsia="zh-CN"/>
        </w:rPr>
        <w:t>壹</w:t>
      </w:r>
      <w:r>
        <w:rPr>
          <w:rFonts w:hint="eastAsia" w:hAnsi="宋体" w:cs="宋体"/>
          <w:color w:val="auto"/>
          <w:szCs w:val="21"/>
        </w:rPr>
        <w:t>份，乙方执</w:t>
      </w:r>
      <w:r>
        <w:rPr>
          <w:rFonts w:hint="eastAsia" w:hAnsi="宋体" w:cs="宋体"/>
          <w:color w:val="auto"/>
          <w:szCs w:val="21"/>
          <w:u w:val="single"/>
        </w:rPr>
        <w:t xml:space="preserve"> 壹 </w:t>
      </w:r>
      <w:r>
        <w:rPr>
          <w:rFonts w:hint="eastAsia" w:hAnsi="宋体" w:cs="宋体"/>
          <w:color w:val="auto"/>
          <w:szCs w:val="21"/>
        </w:rPr>
        <w:t>份，招标代理机构壹份，从签订之日起生效。</w:t>
      </w:r>
    </w:p>
    <w:p w14:paraId="59735019">
      <w:pPr>
        <w:spacing w:line="400" w:lineRule="exact"/>
        <w:ind w:firstLine="420" w:firstLineChars="200"/>
        <w:rPr>
          <w:rFonts w:hAnsi="宋体" w:cs="宋体"/>
          <w:color w:val="auto"/>
          <w:szCs w:val="21"/>
        </w:rPr>
      </w:pPr>
    </w:p>
    <w:p w14:paraId="2AA8E6F2">
      <w:pPr>
        <w:spacing w:line="480" w:lineRule="auto"/>
        <w:ind w:firstLine="422" w:firstLineChars="200"/>
        <w:rPr>
          <w:rFonts w:hAnsi="宋体" w:cs="宋体"/>
          <w:b/>
          <w:color w:val="auto"/>
          <w:szCs w:val="21"/>
        </w:rPr>
      </w:pPr>
      <w:r>
        <w:rPr>
          <w:rFonts w:hint="eastAsia" w:hAnsi="宋体" w:cs="宋体"/>
          <w:b/>
          <w:color w:val="auto"/>
          <w:szCs w:val="21"/>
        </w:rPr>
        <w:t>甲方（盖章）：                                乙方（盖章）：</w:t>
      </w:r>
    </w:p>
    <w:p w14:paraId="76CE442B">
      <w:pPr>
        <w:spacing w:line="480" w:lineRule="auto"/>
        <w:ind w:firstLine="422" w:firstLineChars="200"/>
        <w:rPr>
          <w:rFonts w:hAnsi="宋体" w:cs="宋体"/>
          <w:b/>
          <w:color w:val="auto"/>
          <w:szCs w:val="21"/>
        </w:rPr>
      </w:pPr>
      <w:r>
        <w:rPr>
          <w:rFonts w:hint="eastAsia" w:hAnsi="宋体" w:cs="宋体"/>
          <w:b/>
          <w:color w:val="auto"/>
          <w:szCs w:val="21"/>
        </w:rPr>
        <w:t>法定代表人（负责人）：                        法定代表人（负责人）：</w:t>
      </w:r>
    </w:p>
    <w:p w14:paraId="2E67DA2C">
      <w:pPr>
        <w:spacing w:line="480" w:lineRule="auto"/>
        <w:ind w:firstLine="422" w:firstLineChars="200"/>
        <w:rPr>
          <w:rFonts w:hAnsi="宋体" w:cs="宋体"/>
          <w:b/>
          <w:color w:val="auto"/>
          <w:szCs w:val="21"/>
        </w:rPr>
      </w:pPr>
      <w:r>
        <w:rPr>
          <w:rFonts w:hint="eastAsia" w:hAnsi="宋体" w:cs="宋体"/>
          <w:b/>
          <w:color w:val="auto"/>
          <w:szCs w:val="21"/>
        </w:rPr>
        <w:t xml:space="preserve">经办人签名：                                </w:t>
      </w:r>
      <w:r>
        <w:rPr>
          <w:rFonts w:hint="eastAsia" w:hAnsi="宋体" w:cs="宋体"/>
          <w:b/>
          <w:color w:val="auto"/>
          <w:szCs w:val="21"/>
          <w:lang w:val="en-US" w:eastAsia="zh-CN"/>
        </w:rPr>
        <w:t xml:space="preserve"> </w:t>
      </w:r>
      <w:r>
        <w:rPr>
          <w:rFonts w:hint="eastAsia" w:hAnsi="宋体" w:cs="宋体"/>
          <w:b/>
          <w:color w:val="auto"/>
          <w:szCs w:val="21"/>
        </w:rPr>
        <w:t xml:space="preserve"> 经办人签名：</w:t>
      </w:r>
    </w:p>
    <w:p w14:paraId="0B9DA94E">
      <w:pPr>
        <w:pStyle w:val="35"/>
        <w:tabs>
          <w:tab w:val="left" w:pos="540"/>
          <w:tab w:val="right" w:leader="dot" w:pos="9742"/>
          <w:tab w:val="clear" w:pos="8398"/>
        </w:tabs>
        <w:spacing w:line="480" w:lineRule="auto"/>
        <w:ind w:firstLine="1160" w:firstLineChars="550"/>
        <w:rPr>
          <w:rFonts w:ascii="宋体" w:hAnsi="宋体" w:cs="宋体"/>
          <w:b/>
          <w:color w:val="auto"/>
          <w:sz w:val="21"/>
          <w:szCs w:val="21"/>
        </w:rPr>
      </w:pPr>
      <w:r>
        <w:rPr>
          <w:rFonts w:hint="eastAsia" w:ascii="宋体" w:hAnsi="宋体" w:cs="宋体"/>
          <w:b/>
          <w:color w:val="auto"/>
          <w:sz w:val="21"/>
          <w:szCs w:val="21"/>
          <w:lang w:val="en-US" w:eastAsia="zh-CN"/>
        </w:rPr>
        <w:t xml:space="preserve"> </w:t>
      </w:r>
      <w:r>
        <w:rPr>
          <w:rFonts w:hint="eastAsia" w:ascii="宋体" w:hAnsi="宋体" w:cs="宋体"/>
          <w:b/>
          <w:color w:val="auto"/>
          <w:sz w:val="21"/>
          <w:szCs w:val="21"/>
        </w:rPr>
        <w:t xml:space="preserve">年    月   日                            </w:t>
      </w:r>
      <w:r>
        <w:rPr>
          <w:rFonts w:hint="eastAsia" w:ascii="宋体" w:hAnsi="宋体" w:cs="宋体"/>
          <w:b/>
          <w:color w:val="auto"/>
          <w:sz w:val="21"/>
          <w:szCs w:val="21"/>
          <w:lang w:val="en-US" w:eastAsia="zh-CN"/>
        </w:rPr>
        <w:t xml:space="preserve"> </w:t>
      </w:r>
      <w:r>
        <w:rPr>
          <w:rFonts w:hint="eastAsia" w:ascii="宋体" w:hAnsi="宋体" w:cs="宋体"/>
          <w:b/>
          <w:color w:val="auto"/>
          <w:sz w:val="21"/>
          <w:szCs w:val="21"/>
        </w:rPr>
        <w:t>年    月   日</w:t>
      </w:r>
    </w:p>
    <w:p w14:paraId="4D41E079">
      <w:pPr>
        <w:snapToGrid w:val="0"/>
        <w:jc w:val="both"/>
        <w:rPr>
          <w:rFonts w:hint="eastAsia" w:ascii="宋体" w:hAnsi="宋体"/>
          <w:bCs/>
          <w:color w:val="auto"/>
          <w:sz w:val="32"/>
          <w:szCs w:val="32"/>
          <w:highlight w:val="none"/>
        </w:rPr>
      </w:pPr>
    </w:p>
    <w:p w14:paraId="60A36F4B">
      <w:pPr>
        <w:pStyle w:val="96"/>
        <w:rPr>
          <w:rFonts w:hint="eastAsia" w:ascii="宋体" w:hAnsi="宋体"/>
          <w:bCs w:val="0"/>
          <w:color w:val="auto"/>
          <w:sz w:val="32"/>
          <w:szCs w:val="32"/>
          <w:highlight w:val="none"/>
        </w:rPr>
      </w:pPr>
    </w:p>
    <w:p w14:paraId="00F5F1E4">
      <w:pPr>
        <w:pStyle w:val="96"/>
        <w:rPr>
          <w:rFonts w:hint="eastAsia" w:ascii="宋体" w:hAnsi="宋体"/>
          <w:bCs w:val="0"/>
          <w:color w:val="auto"/>
          <w:sz w:val="32"/>
          <w:szCs w:val="32"/>
          <w:highlight w:val="none"/>
        </w:rPr>
      </w:pPr>
    </w:p>
    <w:p w14:paraId="5BD9AF04">
      <w:pPr>
        <w:pStyle w:val="96"/>
        <w:rPr>
          <w:rFonts w:hint="eastAsia" w:ascii="宋体" w:hAnsi="宋体"/>
          <w:bCs w:val="0"/>
          <w:color w:val="auto"/>
          <w:sz w:val="32"/>
          <w:szCs w:val="32"/>
          <w:highlight w:val="none"/>
        </w:rPr>
      </w:pPr>
    </w:p>
    <w:p w14:paraId="0508E5A3">
      <w:pPr>
        <w:pStyle w:val="96"/>
        <w:rPr>
          <w:rFonts w:hint="eastAsia" w:ascii="宋体" w:hAnsi="宋体"/>
          <w:bCs w:val="0"/>
          <w:color w:val="auto"/>
          <w:sz w:val="32"/>
          <w:szCs w:val="32"/>
          <w:highlight w:val="none"/>
        </w:rPr>
      </w:pPr>
    </w:p>
    <w:p w14:paraId="19541C76">
      <w:pPr>
        <w:snapToGrid w:val="0"/>
        <w:jc w:val="center"/>
        <w:rPr>
          <w:rFonts w:hint="eastAsia" w:ascii="宋体" w:hAnsi="宋体"/>
          <w:bCs/>
          <w:color w:val="auto"/>
          <w:sz w:val="32"/>
          <w:szCs w:val="32"/>
          <w:highlight w:val="none"/>
        </w:rPr>
      </w:pPr>
    </w:p>
    <w:p w14:paraId="2731E66C">
      <w:pPr>
        <w:snapToGrid w:val="0"/>
        <w:jc w:val="center"/>
        <w:rPr>
          <w:rFonts w:hint="eastAsia" w:ascii="宋体" w:hAnsi="宋体"/>
          <w:bCs/>
          <w:color w:val="auto"/>
          <w:sz w:val="32"/>
          <w:szCs w:val="32"/>
          <w:highlight w:val="none"/>
        </w:rPr>
      </w:pPr>
    </w:p>
    <w:p w14:paraId="49ED40CA">
      <w:pPr>
        <w:pStyle w:val="96"/>
        <w:rPr>
          <w:rFonts w:hint="eastAsia" w:ascii="宋体" w:hAnsi="宋体"/>
          <w:bCs w:val="0"/>
          <w:color w:val="auto"/>
          <w:sz w:val="32"/>
          <w:szCs w:val="32"/>
          <w:highlight w:val="none"/>
        </w:rPr>
      </w:pPr>
    </w:p>
    <w:p w14:paraId="4CE4F2FF">
      <w:pPr>
        <w:pStyle w:val="96"/>
        <w:rPr>
          <w:rFonts w:hint="eastAsia" w:ascii="宋体" w:hAnsi="宋体"/>
          <w:bCs w:val="0"/>
          <w:color w:val="auto"/>
          <w:sz w:val="32"/>
          <w:szCs w:val="32"/>
          <w:highlight w:val="none"/>
        </w:rPr>
      </w:pPr>
    </w:p>
    <w:p w14:paraId="0DCD5714">
      <w:pPr>
        <w:pStyle w:val="96"/>
        <w:rPr>
          <w:rFonts w:hint="eastAsia" w:ascii="宋体" w:hAnsi="宋体"/>
          <w:bCs w:val="0"/>
          <w:color w:val="auto"/>
          <w:sz w:val="32"/>
          <w:szCs w:val="32"/>
          <w:highlight w:val="none"/>
        </w:rPr>
      </w:pPr>
    </w:p>
    <w:p w14:paraId="3AE338C9">
      <w:pPr>
        <w:pStyle w:val="96"/>
        <w:rPr>
          <w:rFonts w:hint="eastAsia" w:ascii="宋体" w:hAnsi="宋体"/>
          <w:bCs w:val="0"/>
          <w:color w:val="auto"/>
          <w:sz w:val="32"/>
          <w:szCs w:val="32"/>
          <w:highlight w:val="none"/>
        </w:rPr>
      </w:pPr>
    </w:p>
    <w:p w14:paraId="115BC782">
      <w:pPr>
        <w:pStyle w:val="96"/>
        <w:rPr>
          <w:rFonts w:hint="eastAsia" w:ascii="宋体" w:hAnsi="宋体"/>
          <w:bCs w:val="0"/>
          <w:color w:val="auto"/>
          <w:sz w:val="32"/>
          <w:szCs w:val="32"/>
          <w:highlight w:val="none"/>
        </w:rPr>
      </w:pPr>
    </w:p>
    <w:p w14:paraId="3EC4230E">
      <w:pPr>
        <w:pStyle w:val="96"/>
        <w:rPr>
          <w:rFonts w:hint="eastAsia" w:ascii="宋体" w:hAnsi="宋体"/>
          <w:bCs w:val="0"/>
          <w:color w:val="auto"/>
          <w:sz w:val="32"/>
          <w:szCs w:val="32"/>
          <w:highlight w:val="none"/>
        </w:rPr>
      </w:pPr>
    </w:p>
    <w:p w14:paraId="08084EFD">
      <w:pPr>
        <w:pStyle w:val="96"/>
        <w:rPr>
          <w:rFonts w:hint="eastAsia" w:ascii="宋体" w:hAnsi="宋体"/>
          <w:bCs w:val="0"/>
          <w:color w:val="auto"/>
          <w:sz w:val="32"/>
          <w:szCs w:val="32"/>
          <w:highlight w:val="none"/>
        </w:rPr>
      </w:pPr>
    </w:p>
    <w:p w14:paraId="5DD60C14">
      <w:pPr>
        <w:pStyle w:val="96"/>
        <w:rPr>
          <w:rFonts w:hint="eastAsia" w:ascii="宋体" w:hAnsi="宋体"/>
          <w:bCs w:val="0"/>
          <w:color w:val="auto"/>
          <w:sz w:val="32"/>
          <w:szCs w:val="32"/>
          <w:highlight w:val="none"/>
        </w:rPr>
      </w:pPr>
    </w:p>
    <w:p w14:paraId="04268170">
      <w:pPr>
        <w:pStyle w:val="96"/>
        <w:rPr>
          <w:rFonts w:hint="eastAsia" w:ascii="宋体" w:hAnsi="宋体"/>
          <w:bCs w:val="0"/>
          <w:color w:val="auto"/>
          <w:sz w:val="32"/>
          <w:szCs w:val="32"/>
          <w:highlight w:val="none"/>
        </w:rPr>
      </w:pPr>
    </w:p>
    <w:p w14:paraId="14BB3A4C">
      <w:pPr>
        <w:pStyle w:val="96"/>
        <w:rPr>
          <w:rFonts w:hint="eastAsia" w:ascii="宋体" w:hAnsi="宋体"/>
          <w:bCs w:val="0"/>
          <w:color w:val="auto"/>
          <w:sz w:val="32"/>
          <w:szCs w:val="32"/>
          <w:highlight w:val="none"/>
        </w:rPr>
      </w:pPr>
    </w:p>
    <w:p w14:paraId="22C8AAD9">
      <w:pPr>
        <w:pStyle w:val="2"/>
        <w:jc w:val="center"/>
        <w:rPr>
          <w:rFonts w:hint="eastAsia"/>
          <w:color w:val="auto"/>
          <w:highlight w:val="none"/>
        </w:rPr>
      </w:pPr>
      <w:bookmarkStart w:id="147" w:name="_Toc23176"/>
      <w:r>
        <w:rPr>
          <w:rFonts w:hint="eastAsia"/>
          <w:color w:val="auto"/>
          <w:highlight w:val="none"/>
        </w:rPr>
        <w:t>第六章　投标文件格式</w:t>
      </w:r>
      <w:bookmarkEnd w:id="147"/>
    </w:p>
    <w:p w14:paraId="2489E2D5">
      <w:pPr>
        <w:snapToGrid w:val="0"/>
        <w:spacing w:before="50" w:after="50"/>
        <w:outlineLvl w:val="1"/>
        <w:rPr>
          <w:rFonts w:hint="eastAsia" w:ascii="宋体" w:hAnsi="宋体"/>
          <w:color w:val="auto"/>
          <w:sz w:val="32"/>
          <w:szCs w:val="20"/>
          <w:highlight w:val="none"/>
        </w:rPr>
      </w:pPr>
    </w:p>
    <w:p w14:paraId="3CF28DD7">
      <w:pPr>
        <w:snapToGrid w:val="0"/>
        <w:spacing w:before="50" w:after="50"/>
        <w:outlineLvl w:val="1"/>
        <w:rPr>
          <w:rFonts w:hint="eastAsia" w:ascii="宋体" w:hAnsi="宋体"/>
          <w:color w:val="auto"/>
          <w:sz w:val="32"/>
          <w:szCs w:val="20"/>
          <w:highlight w:val="none"/>
        </w:rPr>
      </w:pPr>
    </w:p>
    <w:p w14:paraId="72F5D247">
      <w:pPr>
        <w:snapToGrid w:val="0"/>
        <w:spacing w:before="50" w:after="50"/>
        <w:outlineLvl w:val="1"/>
        <w:rPr>
          <w:rFonts w:hint="eastAsia" w:ascii="宋体" w:hAnsi="宋体"/>
          <w:color w:val="auto"/>
          <w:sz w:val="32"/>
          <w:szCs w:val="20"/>
          <w:highlight w:val="none"/>
        </w:rPr>
      </w:pPr>
    </w:p>
    <w:p w14:paraId="13B80359">
      <w:pPr>
        <w:snapToGrid w:val="0"/>
        <w:spacing w:before="50" w:after="50"/>
        <w:outlineLvl w:val="1"/>
        <w:rPr>
          <w:rFonts w:hint="eastAsia" w:ascii="宋体" w:hAnsi="宋体"/>
          <w:color w:val="auto"/>
          <w:sz w:val="32"/>
          <w:szCs w:val="20"/>
          <w:highlight w:val="none"/>
        </w:rPr>
      </w:pPr>
    </w:p>
    <w:p w14:paraId="622953F6">
      <w:pPr>
        <w:snapToGrid w:val="0"/>
        <w:spacing w:before="50" w:after="50"/>
        <w:outlineLvl w:val="1"/>
        <w:rPr>
          <w:rFonts w:hint="eastAsia" w:ascii="宋体" w:hAnsi="宋体"/>
          <w:color w:val="auto"/>
          <w:sz w:val="32"/>
          <w:szCs w:val="20"/>
          <w:highlight w:val="none"/>
        </w:rPr>
      </w:pPr>
    </w:p>
    <w:p w14:paraId="5C87EEC1">
      <w:pPr>
        <w:snapToGrid w:val="0"/>
        <w:spacing w:before="50" w:after="50"/>
        <w:outlineLvl w:val="1"/>
        <w:rPr>
          <w:rFonts w:hint="eastAsia" w:ascii="宋体" w:hAnsi="宋体"/>
          <w:color w:val="auto"/>
          <w:sz w:val="32"/>
          <w:szCs w:val="20"/>
          <w:highlight w:val="none"/>
        </w:rPr>
      </w:pPr>
    </w:p>
    <w:p w14:paraId="29310786">
      <w:pPr>
        <w:snapToGrid w:val="0"/>
        <w:spacing w:before="50" w:after="50"/>
        <w:outlineLvl w:val="1"/>
        <w:rPr>
          <w:rFonts w:hint="eastAsia" w:ascii="宋体" w:hAnsi="宋体"/>
          <w:color w:val="auto"/>
          <w:sz w:val="32"/>
          <w:szCs w:val="20"/>
          <w:highlight w:val="none"/>
        </w:rPr>
      </w:pPr>
    </w:p>
    <w:p w14:paraId="2E1294F2">
      <w:pPr>
        <w:snapToGrid w:val="0"/>
        <w:spacing w:before="50" w:after="50"/>
        <w:outlineLvl w:val="1"/>
        <w:rPr>
          <w:rFonts w:hint="eastAsia" w:ascii="宋体" w:hAnsi="宋体"/>
          <w:color w:val="auto"/>
          <w:sz w:val="32"/>
          <w:szCs w:val="20"/>
          <w:highlight w:val="none"/>
        </w:rPr>
      </w:pPr>
    </w:p>
    <w:p w14:paraId="6084B9DB">
      <w:pPr>
        <w:snapToGrid w:val="0"/>
        <w:spacing w:before="50" w:after="50"/>
        <w:outlineLvl w:val="1"/>
        <w:rPr>
          <w:rFonts w:hint="eastAsia" w:ascii="宋体" w:hAnsi="宋体"/>
          <w:color w:val="auto"/>
          <w:sz w:val="32"/>
          <w:szCs w:val="20"/>
          <w:highlight w:val="none"/>
        </w:rPr>
      </w:pPr>
    </w:p>
    <w:p w14:paraId="050A3A55">
      <w:pPr>
        <w:snapToGrid w:val="0"/>
        <w:spacing w:before="50" w:after="50"/>
        <w:outlineLvl w:val="1"/>
        <w:rPr>
          <w:rFonts w:hint="eastAsia" w:ascii="宋体" w:hAnsi="宋体"/>
          <w:color w:val="auto"/>
          <w:sz w:val="32"/>
          <w:szCs w:val="20"/>
          <w:highlight w:val="none"/>
        </w:rPr>
      </w:pPr>
    </w:p>
    <w:p w14:paraId="2A528CB6">
      <w:pPr>
        <w:snapToGrid w:val="0"/>
        <w:spacing w:before="50" w:after="50"/>
        <w:outlineLvl w:val="1"/>
        <w:rPr>
          <w:rFonts w:hint="eastAsia" w:ascii="宋体" w:hAnsi="宋体"/>
          <w:color w:val="auto"/>
          <w:sz w:val="32"/>
          <w:szCs w:val="20"/>
          <w:highlight w:val="none"/>
        </w:rPr>
      </w:pPr>
    </w:p>
    <w:p w14:paraId="06978F3E">
      <w:pPr>
        <w:snapToGrid w:val="0"/>
        <w:spacing w:before="120" w:beforeLines="50" w:after="50"/>
        <w:jc w:val="center"/>
        <w:outlineLvl w:val="1"/>
        <w:rPr>
          <w:rFonts w:hint="eastAsia" w:ascii="宋体" w:hAnsi="宋体"/>
          <w:color w:val="auto"/>
          <w:highlight w:val="none"/>
        </w:rPr>
      </w:pPr>
    </w:p>
    <w:p w14:paraId="622DB1B4">
      <w:pPr>
        <w:rPr>
          <w:rFonts w:hint="eastAsia"/>
          <w:b/>
          <w:color w:val="auto"/>
          <w:sz w:val="28"/>
          <w:szCs w:val="28"/>
          <w:highlight w:val="none"/>
        </w:rPr>
      </w:pPr>
      <w:bookmarkStart w:id="148" w:name="_Toc19686836"/>
      <w:bookmarkStart w:id="149" w:name="_Toc254970698"/>
      <w:bookmarkStart w:id="150" w:name="_Toc254970557"/>
      <w:r>
        <w:rPr>
          <w:b/>
          <w:color w:val="auto"/>
          <w:sz w:val="28"/>
          <w:szCs w:val="28"/>
          <w:highlight w:val="none"/>
        </w:rPr>
        <w:br w:type="page"/>
      </w:r>
      <w:r>
        <w:rPr>
          <w:rFonts w:hint="eastAsia"/>
          <w:b/>
          <w:color w:val="auto"/>
          <w:sz w:val="28"/>
          <w:szCs w:val="28"/>
          <w:highlight w:val="none"/>
        </w:rPr>
        <w:t>一、报价文件格式</w:t>
      </w:r>
      <w:bookmarkEnd w:id="148"/>
    </w:p>
    <w:p w14:paraId="62830C58">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EE531FA">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7DEDD92A">
      <w:pPr>
        <w:snapToGrid w:val="0"/>
        <w:spacing w:before="120" w:beforeLines="50" w:after="50" w:line="400" w:lineRule="exact"/>
        <w:jc w:val="center"/>
        <w:rPr>
          <w:rFonts w:hint="eastAsia" w:ascii="宋体" w:hAnsi="宋体"/>
          <w:bCs/>
          <w:color w:val="auto"/>
          <w:sz w:val="24"/>
          <w:szCs w:val="20"/>
          <w:highlight w:val="none"/>
        </w:rPr>
      </w:pPr>
    </w:p>
    <w:p w14:paraId="1C659206">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A067363">
      <w:pPr>
        <w:snapToGrid w:val="0"/>
        <w:spacing w:before="120" w:beforeLines="50" w:after="50" w:line="400" w:lineRule="exact"/>
        <w:jc w:val="center"/>
        <w:rPr>
          <w:rFonts w:hint="eastAsia" w:ascii="宋体" w:hAnsi="宋体"/>
          <w:bCs/>
          <w:color w:val="auto"/>
          <w:sz w:val="32"/>
          <w:szCs w:val="32"/>
          <w:highlight w:val="none"/>
        </w:rPr>
      </w:pPr>
    </w:p>
    <w:p w14:paraId="429B6577">
      <w:pPr>
        <w:snapToGrid w:val="0"/>
        <w:spacing w:before="120" w:beforeLines="50" w:after="50" w:line="4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28448722">
      <w:pPr>
        <w:snapToGrid w:val="0"/>
        <w:spacing w:before="120" w:beforeLines="50" w:after="50" w:line="400" w:lineRule="exact"/>
        <w:rPr>
          <w:rFonts w:hint="eastAsia" w:ascii="宋体" w:hAnsi="宋体"/>
          <w:bCs/>
          <w:color w:val="auto"/>
          <w:sz w:val="24"/>
          <w:szCs w:val="20"/>
          <w:highlight w:val="none"/>
        </w:rPr>
      </w:pPr>
    </w:p>
    <w:p w14:paraId="5418F7F8">
      <w:pPr>
        <w:snapToGrid w:val="0"/>
        <w:spacing w:before="120" w:beforeLines="50" w:after="50" w:line="400" w:lineRule="exact"/>
        <w:rPr>
          <w:rFonts w:hint="eastAsia" w:ascii="宋体" w:hAnsi="宋体"/>
          <w:bCs/>
          <w:color w:val="auto"/>
          <w:sz w:val="24"/>
          <w:szCs w:val="20"/>
          <w:highlight w:val="none"/>
        </w:rPr>
      </w:pPr>
    </w:p>
    <w:p w14:paraId="5BF3D193">
      <w:pPr>
        <w:snapToGrid w:val="0"/>
        <w:spacing w:before="120" w:beforeLines="50" w:after="50" w:line="400" w:lineRule="exact"/>
        <w:rPr>
          <w:rFonts w:hint="eastAsia" w:ascii="宋体" w:hAnsi="宋体"/>
          <w:bCs/>
          <w:color w:val="auto"/>
          <w:sz w:val="24"/>
          <w:szCs w:val="20"/>
          <w:highlight w:val="none"/>
        </w:rPr>
      </w:pPr>
    </w:p>
    <w:p w14:paraId="781C3758">
      <w:pPr>
        <w:snapToGrid w:val="0"/>
        <w:spacing w:before="120" w:beforeLines="50" w:after="50" w:line="400" w:lineRule="exact"/>
        <w:rPr>
          <w:rFonts w:hint="eastAsia" w:ascii="宋体" w:hAnsi="宋体"/>
          <w:bCs/>
          <w:color w:val="auto"/>
          <w:sz w:val="24"/>
          <w:szCs w:val="20"/>
          <w:highlight w:val="none"/>
        </w:rPr>
      </w:pPr>
    </w:p>
    <w:p w14:paraId="55A1A7B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F403DB9">
      <w:pPr>
        <w:snapToGrid w:val="0"/>
        <w:spacing w:before="120" w:beforeLines="50" w:after="50" w:line="400" w:lineRule="exact"/>
        <w:ind w:firstLine="360" w:firstLineChars="150"/>
        <w:rPr>
          <w:rFonts w:hint="eastAsia" w:ascii="宋体" w:hAnsi="宋体"/>
          <w:bCs/>
          <w:color w:val="auto"/>
          <w:sz w:val="24"/>
          <w:highlight w:val="none"/>
        </w:rPr>
      </w:pPr>
    </w:p>
    <w:p w14:paraId="5845B88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413CDDA9">
      <w:pPr>
        <w:snapToGrid w:val="0"/>
        <w:spacing w:before="120" w:beforeLines="50" w:after="50" w:line="400" w:lineRule="exact"/>
        <w:ind w:firstLine="360" w:firstLineChars="150"/>
        <w:rPr>
          <w:rFonts w:hint="eastAsia" w:ascii="宋体" w:hAnsi="宋体"/>
          <w:bCs/>
          <w:color w:val="auto"/>
          <w:sz w:val="24"/>
          <w:highlight w:val="none"/>
        </w:rPr>
      </w:pPr>
    </w:p>
    <w:p w14:paraId="2C8E9D4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0A17BAFD">
      <w:pPr>
        <w:snapToGrid w:val="0"/>
        <w:spacing w:before="120" w:beforeLines="50" w:after="50" w:line="400" w:lineRule="exact"/>
        <w:ind w:firstLine="360" w:firstLineChars="150"/>
        <w:rPr>
          <w:rFonts w:hint="eastAsia" w:ascii="宋体" w:hAnsi="宋体"/>
          <w:bCs/>
          <w:color w:val="auto"/>
          <w:sz w:val="24"/>
          <w:highlight w:val="none"/>
        </w:rPr>
      </w:pPr>
    </w:p>
    <w:p w14:paraId="498BBA7C">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3BE5268">
      <w:pPr>
        <w:snapToGrid w:val="0"/>
        <w:spacing w:before="120" w:beforeLines="50" w:after="50" w:line="400" w:lineRule="exact"/>
        <w:ind w:firstLine="360" w:firstLineChars="150"/>
        <w:rPr>
          <w:rFonts w:hint="eastAsia" w:ascii="宋体" w:hAnsi="宋体"/>
          <w:bCs/>
          <w:color w:val="auto"/>
          <w:sz w:val="24"/>
          <w:highlight w:val="none"/>
        </w:rPr>
      </w:pPr>
    </w:p>
    <w:p w14:paraId="362FCFC2">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74F562B">
      <w:pPr>
        <w:pStyle w:val="6"/>
        <w:snapToGrid w:val="0"/>
        <w:spacing w:before="50" w:after="50" w:line="400" w:lineRule="exact"/>
        <w:ind w:firstLine="960" w:firstLineChars="400"/>
        <w:rPr>
          <w:rFonts w:hint="eastAsia" w:ascii="宋体" w:hAnsi="宋体"/>
          <w:bCs/>
          <w:color w:val="auto"/>
          <w:sz w:val="24"/>
          <w:szCs w:val="24"/>
          <w:highlight w:val="none"/>
        </w:rPr>
      </w:pPr>
    </w:p>
    <w:p w14:paraId="5557274E">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72203B49">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5AD01618">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FDBD191">
      <w:pPr>
        <w:snapToGrid w:val="0"/>
        <w:spacing w:before="120" w:beforeLines="50" w:after="50"/>
        <w:rPr>
          <w:rFonts w:hint="eastAsia" w:ascii="宋体" w:hAnsi="宋体"/>
          <w:b/>
          <w:color w:val="auto"/>
          <w:sz w:val="24"/>
          <w:highlight w:val="none"/>
        </w:rPr>
      </w:pPr>
    </w:p>
    <w:p w14:paraId="3AC2B587">
      <w:pPr>
        <w:snapToGrid w:val="0"/>
        <w:spacing w:before="120" w:beforeLines="50" w:after="50"/>
        <w:rPr>
          <w:rFonts w:hint="eastAsia" w:ascii="宋体" w:hAnsi="宋体"/>
          <w:b/>
          <w:color w:val="auto"/>
          <w:sz w:val="24"/>
          <w:highlight w:val="none"/>
        </w:rPr>
      </w:pPr>
    </w:p>
    <w:p w14:paraId="01BAFAE7">
      <w:pPr>
        <w:snapToGrid w:val="0"/>
        <w:spacing w:before="120" w:beforeLines="50" w:after="50"/>
        <w:rPr>
          <w:rFonts w:hint="eastAsia" w:ascii="宋体" w:hAnsi="宋体"/>
          <w:b/>
          <w:color w:val="auto"/>
          <w:sz w:val="24"/>
          <w:highlight w:val="none"/>
        </w:rPr>
      </w:pPr>
    </w:p>
    <w:p w14:paraId="446F2944">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69980B24">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1D74DC1C">
      <w:pPr>
        <w:spacing w:line="44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0610190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390CD07F">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5068B217">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C11845E">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DEA6493">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154CF836">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CD34E4D">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20F280F">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FE96316">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9DBF8B5">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D1CE84B">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B744756">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AB10FF1">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3EC42A14">
      <w:pPr>
        <w:spacing w:line="44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C144249">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08C40947">
      <w:pPr>
        <w:spacing w:line="44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7F3BFE84">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7926AF5">
      <w:pPr>
        <w:spacing w:line="44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6091DCF0">
      <w:pPr>
        <w:pStyle w:val="26"/>
        <w:spacing w:line="44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7CD31432">
      <w:pPr>
        <w:pStyle w:val="26"/>
        <w:spacing w:line="44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2B30350">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w:t>
      </w:r>
      <w:r>
        <w:rPr>
          <w:rFonts w:hint="eastAsia" w:ascii="宋体" w:hAnsi="宋体"/>
          <w:b/>
          <w:color w:val="auto"/>
          <w:sz w:val="24"/>
          <w:highlight w:val="none"/>
          <w:lang w:eastAsia="zh-CN"/>
        </w:rPr>
        <w:t>货物</w:t>
      </w:r>
      <w:r>
        <w:rPr>
          <w:rFonts w:hint="eastAsia" w:ascii="宋体" w:hAnsi="宋体"/>
          <w:b/>
          <w:color w:val="auto"/>
          <w:sz w:val="24"/>
          <w:highlight w:val="none"/>
        </w:rPr>
        <w:t>类格式）</w:t>
      </w:r>
    </w:p>
    <w:p w14:paraId="3AE96061">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5DCCE08">
      <w:pPr>
        <w:snapToGrid w:val="0"/>
        <w:spacing w:before="50" w:after="50"/>
        <w:jc w:val="center"/>
        <w:rPr>
          <w:rFonts w:hint="eastAsia" w:ascii="宋体" w:hAnsi="宋体"/>
          <w:b/>
          <w:color w:val="auto"/>
          <w:sz w:val="30"/>
          <w:szCs w:val="20"/>
          <w:highlight w:val="none"/>
        </w:rPr>
      </w:pPr>
    </w:p>
    <w:p w14:paraId="3F2138A3">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F95DFD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50"/>
        <w:tblW w:w="54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0"/>
        <w:gridCol w:w="1550"/>
        <w:gridCol w:w="850"/>
        <w:gridCol w:w="1160"/>
        <w:gridCol w:w="1450"/>
        <w:gridCol w:w="1130"/>
        <w:gridCol w:w="1140"/>
        <w:gridCol w:w="1500"/>
        <w:gridCol w:w="1299"/>
      </w:tblGrid>
      <w:tr w14:paraId="4427C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7E4D3DF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7D7DA328">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32CBBE66">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36AA1A4A">
            <w:pPr>
              <w:snapToGrid w:val="0"/>
              <w:spacing w:before="50" w:after="50" w:line="360" w:lineRule="auto"/>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规格型号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50425891">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生产厂家</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472442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34" w:type="pct"/>
            <w:tcBorders>
              <w:top w:val="single" w:color="auto" w:sz="4" w:space="0"/>
              <w:left w:val="single" w:color="auto" w:sz="4" w:space="0"/>
              <w:bottom w:val="single" w:color="auto" w:sz="4" w:space="0"/>
              <w:right w:val="single" w:color="auto" w:sz="4" w:space="0"/>
            </w:tcBorders>
            <w:noWrap w:val="0"/>
            <w:vAlign w:val="center"/>
          </w:tcPr>
          <w:p w14:paraId="7264E59D">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0132A83B">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B58A684">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1CB5B728">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c>
          <w:tcPr>
            <w:tcW w:w="608" w:type="pct"/>
            <w:tcBorders>
              <w:top w:val="single" w:color="auto" w:sz="4" w:space="0"/>
              <w:left w:val="single" w:color="auto" w:sz="4" w:space="0"/>
              <w:bottom w:val="single" w:color="auto" w:sz="4" w:space="0"/>
              <w:right w:val="single" w:color="auto" w:sz="4" w:space="0"/>
            </w:tcBorders>
            <w:noWrap w:val="0"/>
            <w:vAlign w:val="center"/>
          </w:tcPr>
          <w:p w14:paraId="7E161008">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 xml:space="preserve"> </w:t>
            </w:r>
            <w:r>
              <w:rPr>
                <w:rFonts w:hint="eastAsia" w:ascii="宋体" w:hAnsi="宋体"/>
                <w:b/>
                <w:color w:val="auto"/>
                <w:sz w:val="24"/>
                <w:highlight w:val="none"/>
                <w:lang w:eastAsia="zh-CN"/>
              </w:rPr>
              <w:t>制造商规模</w:t>
            </w:r>
          </w:p>
        </w:tc>
      </w:tr>
      <w:tr w14:paraId="16F9D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3C8F930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08B8892A">
            <w:pPr>
              <w:snapToGrid w:val="0"/>
              <w:spacing w:before="50" w:after="50" w:line="360" w:lineRule="auto"/>
              <w:jc w:val="center"/>
              <w:rPr>
                <w:rFonts w:hint="eastAsia" w:ascii="宋体" w:hAnsi="宋体"/>
                <w:b/>
                <w:color w:val="auto"/>
                <w:sz w:val="24"/>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2302E3AD">
            <w:pPr>
              <w:snapToGrid w:val="0"/>
              <w:spacing w:before="50" w:after="50" w:line="360" w:lineRule="auto"/>
              <w:rPr>
                <w:rFonts w:hint="eastAsia" w:ascii="宋体" w:hAnsi="宋体"/>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F2A00C5">
            <w:pPr>
              <w:snapToGrid w:val="0"/>
              <w:spacing w:before="50" w:after="50" w:line="360" w:lineRule="auto"/>
              <w:rPr>
                <w:rFonts w:hint="eastAsia" w:ascii="宋体" w:hAnsi="宋体"/>
                <w:color w:val="auto"/>
                <w:sz w:val="24"/>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7CA02F68">
            <w:pPr>
              <w:snapToGrid w:val="0"/>
              <w:spacing w:before="50" w:after="50" w:line="360" w:lineRule="auto"/>
              <w:rPr>
                <w:rFonts w:hint="eastAsia" w:ascii="宋体" w:hAnsi="宋体"/>
                <w:color w:val="auto"/>
                <w:sz w:val="24"/>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18E568D2">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0A12DE0C">
            <w:pPr>
              <w:snapToGrid w:val="0"/>
              <w:spacing w:before="50" w:after="50" w:line="360" w:lineRule="auto"/>
              <w:rPr>
                <w:rFonts w:hint="eastAsia" w:ascii="宋体" w:hAnsi="宋体"/>
                <w:color w:val="auto"/>
                <w:sz w:val="24"/>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2B8A4D64">
            <w:pPr>
              <w:snapToGrid w:val="0"/>
              <w:spacing w:before="50" w:after="50" w:line="360" w:lineRule="auto"/>
              <w:rPr>
                <w:rFonts w:hint="eastAsia" w:ascii="宋体" w:hAnsi="宋体"/>
                <w:color w:val="auto"/>
                <w:sz w:val="24"/>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5EC601AA">
            <w:pPr>
              <w:snapToGrid w:val="0"/>
              <w:spacing w:before="50" w:after="50" w:line="360" w:lineRule="auto"/>
              <w:rPr>
                <w:rFonts w:hint="eastAsia" w:ascii="宋体" w:hAnsi="宋体"/>
                <w:color w:val="auto"/>
                <w:sz w:val="24"/>
                <w:highlight w:val="none"/>
              </w:rPr>
            </w:pPr>
          </w:p>
        </w:tc>
      </w:tr>
      <w:tr w14:paraId="26F5D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29E4B955">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424B5F21">
            <w:pPr>
              <w:snapToGrid w:val="0"/>
              <w:spacing w:before="50" w:after="50" w:line="360" w:lineRule="auto"/>
              <w:jc w:val="center"/>
              <w:rPr>
                <w:rFonts w:hint="eastAsia" w:ascii="宋体" w:hAnsi="宋体"/>
                <w:b/>
                <w:color w:val="auto"/>
                <w:sz w:val="24"/>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14:paraId="05548C7C">
            <w:pPr>
              <w:snapToGrid w:val="0"/>
              <w:spacing w:before="50" w:after="50" w:line="360" w:lineRule="auto"/>
              <w:rPr>
                <w:rFonts w:hint="eastAsia" w:ascii="宋体" w:hAnsi="宋体"/>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62DF3940">
            <w:pPr>
              <w:snapToGrid w:val="0"/>
              <w:spacing w:before="50" w:after="50" w:line="360" w:lineRule="auto"/>
              <w:rPr>
                <w:rFonts w:hint="eastAsia" w:ascii="宋体" w:hAnsi="宋体"/>
                <w:color w:val="auto"/>
                <w:sz w:val="24"/>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4F5C7D78">
            <w:pPr>
              <w:snapToGrid w:val="0"/>
              <w:spacing w:before="50" w:after="50" w:line="360" w:lineRule="auto"/>
              <w:rPr>
                <w:rFonts w:hint="eastAsia" w:ascii="宋体" w:hAnsi="宋体"/>
                <w:color w:val="auto"/>
                <w:sz w:val="24"/>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7F060620">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6C0B9B34">
            <w:pPr>
              <w:snapToGrid w:val="0"/>
              <w:spacing w:before="50" w:after="50" w:line="360" w:lineRule="auto"/>
              <w:rPr>
                <w:rFonts w:hint="eastAsia" w:ascii="宋体" w:hAnsi="宋体"/>
                <w:color w:val="auto"/>
                <w:sz w:val="24"/>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211788F9">
            <w:pPr>
              <w:snapToGrid w:val="0"/>
              <w:spacing w:before="50" w:after="50" w:line="360" w:lineRule="auto"/>
              <w:rPr>
                <w:rFonts w:hint="eastAsia" w:ascii="宋体" w:hAnsi="宋体"/>
                <w:color w:val="auto"/>
                <w:sz w:val="24"/>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2063388F">
            <w:pPr>
              <w:snapToGrid w:val="0"/>
              <w:spacing w:before="50" w:after="50" w:line="360" w:lineRule="auto"/>
              <w:rPr>
                <w:rFonts w:hint="eastAsia" w:ascii="宋体" w:hAnsi="宋体"/>
                <w:color w:val="auto"/>
                <w:sz w:val="24"/>
                <w:highlight w:val="none"/>
              </w:rPr>
            </w:pPr>
          </w:p>
        </w:tc>
      </w:tr>
      <w:tr w14:paraId="1F5CE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1E2AF84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2722DC07">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4AC330D">
            <w:pPr>
              <w:snapToGrid w:val="0"/>
              <w:spacing w:before="50" w:after="50" w:line="360" w:lineRule="auto"/>
              <w:rPr>
                <w:rFonts w:hint="eastAsia" w:ascii="宋体" w:hAnsi="宋体"/>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9D18C83">
            <w:pPr>
              <w:snapToGrid w:val="0"/>
              <w:spacing w:before="50" w:after="50" w:line="360" w:lineRule="auto"/>
              <w:rPr>
                <w:rFonts w:hint="eastAsia" w:ascii="宋体" w:hAnsi="宋体"/>
                <w:color w:val="auto"/>
                <w:sz w:val="24"/>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38257225">
            <w:pPr>
              <w:snapToGrid w:val="0"/>
              <w:spacing w:before="50" w:after="50" w:line="360" w:lineRule="auto"/>
              <w:rPr>
                <w:rFonts w:hint="eastAsia" w:ascii="宋体" w:hAnsi="宋体"/>
                <w:color w:val="auto"/>
                <w:sz w:val="24"/>
                <w:highlight w:val="none"/>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A4628B5">
            <w:pPr>
              <w:snapToGrid w:val="0"/>
              <w:spacing w:before="50" w:after="50" w:line="360" w:lineRule="auto"/>
              <w:rPr>
                <w:rFonts w:hint="eastAsia" w:ascii="宋体" w:hAnsi="宋体"/>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noWrap w:val="0"/>
            <w:vAlign w:val="center"/>
          </w:tcPr>
          <w:p w14:paraId="323AE106">
            <w:pPr>
              <w:snapToGrid w:val="0"/>
              <w:spacing w:before="50" w:after="50" w:line="360" w:lineRule="auto"/>
              <w:rPr>
                <w:rFonts w:hint="eastAsia" w:ascii="宋体" w:hAnsi="宋体"/>
                <w:color w:val="auto"/>
                <w:sz w:val="24"/>
                <w:highlight w:val="none"/>
              </w:rPr>
            </w:pPr>
          </w:p>
        </w:tc>
        <w:tc>
          <w:tcPr>
            <w:tcW w:w="702" w:type="pct"/>
            <w:tcBorders>
              <w:top w:val="single" w:color="auto" w:sz="4" w:space="0"/>
              <w:left w:val="single" w:color="auto" w:sz="4" w:space="0"/>
              <w:bottom w:val="single" w:color="auto" w:sz="4" w:space="0"/>
              <w:right w:val="single" w:color="auto" w:sz="4" w:space="0"/>
            </w:tcBorders>
            <w:noWrap w:val="0"/>
            <w:vAlign w:val="center"/>
          </w:tcPr>
          <w:p w14:paraId="12FF0DB5">
            <w:pPr>
              <w:snapToGrid w:val="0"/>
              <w:spacing w:before="50" w:after="50" w:line="360" w:lineRule="auto"/>
              <w:rPr>
                <w:rFonts w:hint="eastAsia" w:ascii="宋体" w:hAnsi="宋体"/>
                <w:color w:val="auto"/>
                <w:sz w:val="24"/>
                <w:highlight w:val="none"/>
              </w:rPr>
            </w:pPr>
          </w:p>
        </w:tc>
        <w:tc>
          <w:tcPr>
            <w:tcW w:w="608" w:type="pct"/>
            <w:tcBorders>
              <w:top w:val="single" w:color="auto" w:sz="4" w:space="0"/>
              <w:left w:val="single" w:color="auto" w:sz="4" w:space="0"/>
              <w:bottom w:val="single" w:color="auto" w:sz="4" w:space="0"/>
              <w:right w:val="single" w:color="auto" w:sz="4" w:space="0"/>
            </w:tcBorders>
            <w:noWrap w:val="0"/>
            <w:vAlign w:val="center"/>
          </w:tcPr>
          <w:p w14:paraId="4079FD2C">
            <w:pPr>
              <w:snapToGrid w:val="0"/>
              <w:spacing w:before="50" w:after="50" w:line="360" w:lineRule="auto"/>
              <w:rPr>
                <w:rFonts w:hint="eastAsia" w:ascii="宋体" w:hAnsi="宋体"/>
                <w:color w:val="auto"/>
                <w:sz w:val="24"/>
                <w:highlight w:val="none"/>
              </w:rPr>
            </w:pPr>
          </w:p>
        </w:tc>
      </w:tr>
      <w:tr w14:paraId="294FA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DB3DE8F">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default"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p w14:paraId="7436413E">
            <w:pPr>
              <w:snapToGrid w:val="0"/>
              <w:spacing w:before="50" w:after="50" w:line="360" w:lineRule="auto"/>
              <w:rPr>
                <w:rFonts w:hint="eastAsia" w:ascii="宋体" w:hAnsi="宋体" w:cs="仿宋_GB2312"/>
                <w:color w:val="auto"/>
                <w:sz w:val="24"/>
                <w:u w:val="none"/>
              </w:rPr>
            </w:pPr>
            <w:r>
              <w:rPr>
                <w:rFonts w:hint="eastAsia" w:ascii="宋体" w:hAnsi="宋体" w:cs="仿宋_GB2312"/>
                <w:color w:val="auto"/>
                <w:sz w:val="24"/>
                <w:highlight w:val="none"/>
              </w:rPr>
              <w:t>合同履行期限：</w:t>
            </w:r>
          </w:p>
        </w:tc>
      </w:tr>
    </w:tbl>
    <w:p w14:paraId="1CFE995A">
      <w:pPr>
        <w:snapToGrid w:val="0"/>
        <w:spacing w:before="50" w:after="50"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6C4EB89E">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621B6F77">
      <w:pPr>
        <w:snapToGrid w:val="0"/>
        <w:spacing w:before="50" w:after="50"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63167ABE">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3.招标文件中列明采购专用耗材的，应按招标文件规定的耗材量或者按耗材的常规试用量提供报价。</w:t>
      </w:r>
    </w:p>
    <w:p w14:paraId="6F1DEA4D">
      <w:pPr>
        <w:snapToGrid w:val="0"/>
        <w:spacing w:before="50" w:after="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4.如为联合体投标，“投标人名称”处必须列明联合体各方名称，并标注联合体牵头人名称，</w:t>
      </w:r>
      <w:r>
        <w:rPr>
          <w:rFonts w:hint="eastAsia" w:ascii="宋体" w:hAnsi="宋体"/>
          <w:b/>
          <w:color w:val="auto"/>
          <w:sz w:val="24"/>
          <w:highlight w:val="none"/>
        </w:rPr>
        <w:t>否则其投标作无效标处理。</w:t>
      </w:r>
    </w:p>
    <w:p w14:paraId="22BE5A02">
      <w:pPr>
        <w:snapToGrid w:val="0"/>
        <w:spacing w:before="50" w:after="50"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5.如为联合体投标，盖章处须加盖联合体各方公章，</w:t>
      </w:r>
      <w:r>
        <w:rPr>
          <w:rFonts w:hint="eastAsia" w:ascii="宋体" w:hAnsi="宋体"/>
          <w:b/>
          <w:color w:val="auto"/>
          <w:spacing w:val="-6"/>
          <w:sz w:val="24"/>
          <w:highlight w:val="none"/>
        </w:rPr>
        <w:t>否则其投标作无效标处理。</w:t>
      </w:r>
    </w:p>
    <w:p w14:paraId="7645317D">
      <w:pPr>
        <w:snapToGrid w:val="0"/>
        <w:spacing w:before="50" w:after="50"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6.如有多分标，按分标分别提供开标一览表，</w:t>
      </w:r>
      <w:r>
        <w:rPr>
          <w:rFonts w:hint="eastAsia" w:ascii="宋体" w:hAnsi="宋体"/>
          <w:b/>
          <w:color w:val="auto"/>
          <w:sz w:val="24"/>
          <w:highlight w:val="none"/>
        </w:rPr>
        <w:t>否则投标无效。</w:t>
      </w:r>
    </w:p>
    <w:p w14:paraId="276DAD92">
      <w:pPr>
        <w:snapToGrid w:val="0"/>
        <w:spacing w:before="50" w:after="50" w:line="360" w:lineRule="auto"/>
        <w:ind w:firstLine="482" w:firstLineChars="200"/>
        <w:rPr>
          <w:rFonts w:hint="eastAsia" w:ascii="宋体" w:hAnsi="宋体"/>
          <w:b/>
          <w:color w:val="auto"/>
          <w:sz w:val="24"/>
          <w:highlight w:val="none"/>
        </w:rPr>
      </w:pPr>
    </w:p>
    <w:p w14:paraId="2C0782BF">
      <w:pPr>
        <w:snapToGrid w:val="0"/>
        <w:spacing w:before="50" w:after="50"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49723C7E">
      <w:pPr>
        <w:snapToGrid w:val="0"/>
        <w:spacing w:before="50" w:after="50"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投标人（盖公章）：                                 日期：    年   月   日</w:t>
      </w:r>
    </w:p>
    <w:p w14:paraId="115F2024">
      <w:pPr>
        <w:rPr>
          <w:rFonts w:hint="eastAsia"/>
          <w:b/>
          <w:color w:val="auto"/>
          <w:sz w:val="28"/>
          <w:szCs w:val="28"/>
          <w:highlight w:val="none"/>
        </w:rPr>
      </w:pPr>
      <w:r>
        <w:rPr>
          <w:rFonts w:ascii="宋体" w:hAnsi="宋体"/>
          <w:b/>
          <w:bCs/>
          <w:color w:val="auto"/>
          <w:sz w:val="24"/>
          <w:highlight w:val="none"/>
        </w:rPr>
        <w:br w:type="page"/>
      </w:r>
      <w:bookmarkStart w:id="151" w:name="_Toc19686837"/>
      <w:r>
        <w:rPr>
          <w:rFonts w:hint="eastAsia"/>
          <w:b/>
          <w:color w:val="auto"/>
          <w:sz w:val="28"/>
          <w:szCs w:val="28"/>
          <w:highlight w:val="none"/>
        </w:rPr>
        <w:t>二、资格证明文件格式</w:t>
      </w:r>
      <w:bookmarkEnd w:id="149"/>
      <w:bookmarkEnd w:id="150"/>
      <w:bookmarkEnd w:id="151"/>
    </w:p>
    <w:p w14:paraId="00E70003">
      <w:pPr>
        <w:numPr>
          <w:ilvl w:val="2"/>
          <w:numId w:val="7"/>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0F9814E8">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E53B7B2">
      <w:pPr>
        <w:snapToGrid w:val="0"/>
        <w:spacing w:before="120" w:beforeLines="50" w:after="50"/>
        <w:rPr>
          <w:rFonts w:hint="eastAsia" w:ascii="宋体" w:hAnsi="宋体"/>
          <w:color w:val="auto"/>
          <w:sz w:val="24"/>
          <w:szCs w:val="20"/>
          <w:highlight w:val="none"/>
        </w:rPr>
      </w:pPr>
    </w:p>
    <w:p w14:paraId="30EFAE4F">
      <w:pPr>
        <w:snapToGrid w:val="0"/>
        <w:spacing w:before="120" w:beforeLines="50" w:after="50"/>
        <w:rPr>
          <w:rFonts w:hint="eastAsia" w:ascii="宋体" w:hAnsi="宋体"/>
          <w:color w:val="auto"/>
          <w:sz w:val="24"/>
          <w:szCs w:val="20"/>
          <w:highlight w:val="none"/>
        </w:rPr>
      </w:pPr>
    </w:p>
    <w:p w14:paraId="1CE500E9">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53F9DAE4">
      <w:pPr>
        <w:snapToGrid w:val="0"/>
        <w:spacing w:before="120" w:beforeLines="50" w:after="50"/>
        <w:rPr>
          <w:rFonts w:hint="eastAsia" w:ascii="宋体" w:hAnsi="宋体"/>
          <w:color w:val="auto"/>
          <w:sz w:val="24"/>
          <w:szCs w:val="20"/>
          <w:highlight w:val="none"/>
        </w:rPr>
      </w:pPr>
    </w:p>
    <w:p w14:paraId="54E1705B">
      <w:pPr>
        <w:snapToGrid w:val="0"/>
        <w:spacing w:before="120" w:beforeLines="50" w:after="50"/>
        <w:rPr>
          <w:rFonts w:hint="eastAsia" w:ascii="宋体" w:hAnsi="宋体"/>
          <w:color w:val="auto"/>
          <w:sz w:val="24"/>
          <w:szCs w:val="20"/>
          <w:highlight w:val="none"/>
        </w:rPr>
      </w:pPr>
    </w:p>
    <w:p w14:paraId="7FE5706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5D718977">
      <w:pPr>
        <w:snapToGrid w:val="0"/>
        <w:spacing w:before="120" w:beforeLines="50" w:after="50"/>
        <w:rPr>
          <w:rFonts w:ascii="宋体" w:hAnsi="宋体"/>
          <w:bCs/>
          <w:color w:val="auto"/>
          <w:sz w:val="24"/>
          <w:szCs w:val="20"/>
          <w:highlight w:val="none"/>
        </w:rPr>
      </w:pPr>
    </w:p>
    <w:p w14:paraId="695B8E7F">
      <w:pPr>
        <w:snapToGrid w:val="0"/>
        <w:spacing w:before="120" w:beforeLines="50" w:after="50"/>
        <w:rPr>
          <w:rFonts w:ascii="宋体" w:hAnsi="宋体"/>
          <w:bCs/>
          <w:color w:val="auto"/>
          <w:sz w:val="24"/>
          <w:szCs w:val="20"/>
          <w:highlight w:val="none"/>
        </w:rPr>
      </w:pPr>
    </w:p>
    <w:p w14:paraId="687342A8">
      <w:pPr>
        <w:snapToGrid w:val="0"/>
        <w:spacing w:before="120" w:beforeLines="50" w:after="50"/>
        <w:rPr>
          <w:rFonts w:ascii="宋体" w:hAnsi="宋体"/>
          <w:bCs/>
          <w:color w:val="auto"/>
          <w:sz w:val="24"/>
          <w:szCs w:val="20"/>
          <w:highlight w:val="none"/>
        </w:rPr>
      </w:pPr>
    </w:p>
    <w:p w14:paraId="71470E6F">
      <w:pPr>
        <w:snapToGrid w:val="0"/>
        <w:spacing w:before="120" w:beforeLines="50" w:after="50"/>
        <w:rPr>
          <w:rFonts w:ascii="宋体" w:hAnsi="宋体"/>
          <w:bCs/>
          <w:color w:val="auto"/>
          <w:sz w:val="24"/>
          <w:szCs w:val="20"/>
          <w:highlight w:val="none"/>
        </w:rPr>
      </w:pPr>
    </w:p>
    <w:p w14:paraId="67DDEF55">
      <w:pPr>
        <w:snapToGrid w:val="0"/>
        <w:spacing w:before="120" w:beforeLines="50" w:after="50"/>
        <w:rPr>
          <w:rFonts w:hint="eastAsia" w:ascii="宋体" w:hAnsi="宋体"/>
          <w:bCs/>
          <w:color w:val="auto"/>
          <w:sz w:val="24"/>
          <w:szCs w:val="20"/>
          <w:highlight w:val="none"/>
        </w:rPr>
      </w:pPr>
    </w:p>
    <w:p w14:paraId="608292A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DE4A101">
      <w:pPr>
        <w:snapToGrid w:val="0"/>
        <w:spacing w:before="120" w:beforeLines="50" w:after="50"/>
        <w:ind w:firstLine="540" w:firstLineChars="225"/>
        <w:rPr>
          <w:rFonts w:hint="eastAsia" w:ascii="宋体" w:hAnsi="宋体"/>
          <w:bCs/>
          <w:color w:val="auto"/>
          <w:sz w:val="24"/>
          <w:szCs w:val="20"/>
          <w:highlight w:val="none"/>
        </w:rPr>
      </w:pPr>
    </w:p>
    <w:p w14:paraId="5E8C32B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124A251">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7F4588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7D359CD9">
      <w:pPr>
        <w:pStyle w:val="6"/>
        <w:snapToGrid w:val="0"/>
        <w:spacing w:before="50" w:after="50"/>
        <w:ind w:firstLine="540" w:firstLineChars="225"/>
        <w:rPr>
          <w:rFonts w:hint="eastAsia" w:ascii="宋体" w:hAnsi="宋体"/>
          <w:bCs/>
          <w:color w:val="auto"/>
          <w:sz w:val="24"/>
          <w:szCs w:val="24"/>
          <w:highlight w:val="none"/>
        </w:rPr>
      </w:pPr>
    </w:p>
    <w:p w14:paraId="6D549A97">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8759548">
      <w:pPr>
        <w:pStyle w:val="6"/>
        <w:snapToGrid w:val="0"/>
        <w:spacing w:before="50" w:after="50"/>
        <w:ind w:firstLine="540" w:firstLineChars="225"/>
        <w:rPr>
          <w:rFonts w:hint="eastAsia" w:ascii="宋体" w:hAnsi="宋体"/>
          <w:bCs/>
          <w:color w:val="auto"/>
          <w:sz w:val="24"/>
          <w:szCs w:val="24"/>
          <w:highlight w:val="none"/>
        </w:rPr>
      </w:pPr>
    </w:p>
    <w:p w14:paraId="26AC9B3F">
      <w:pPr>
        <w:pStyle w:val="6"/>
        <w:snapToGrid w:val="0"/>
        <w:spacing w:before="50" w:after="50"/>
        <w:ind w:firstLine="960" w:firstLineChars="400"/>
        <w:rPr>
          <w:rFonts w:hint="eastAsia" w:ascii="宋体" w:hAnsi="宋体"/>
          <w:bCs/>
          <w:color w:val="auto"/>
          <w:sz w:val="24"/>
          <w:szCs w:val="24"/>
          <w:highlight w:val="none"/>
        </w:rPr>
      </w:pPr>
    </w:p>
    <w:p w14:paraId="793F53A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6C7497A">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7D5B3FB">
      <w:pPr>
        <w:snapToGrid w:val="0"/>
        <w:spacing w:before="120" w:beforeLines="50" w:after="50"/>
        <w:rPr>
          <w:rFonts w:hint="eastAsia" w:ascii="宋体" w:hAnsi="宋体"/>
          <w:color w:val="auto"/>
          <w:sz w:val="24"/>
          <w:szCs w:val="20"/>
          <w:highlight w:val="none"/>
        </w:rPr>
      </w:pPr>
    </w:p>
    <w:p w14:paraId="3936C358">
      <w:pPr>
        <w:numPr>
          <w:ilvl w:val="2"/>
          <w:numId w:val="7"/>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18F721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2EDC2C9">
      <w:pPr>
        <w:snapToGrid w:val="0"/>
        <w:spacing w:before="50" w:after="120" w:afterLines="50"/>
        <w:jc w:val="left"/>
        <w:rPr>
          <w:rFonts w:hint="eastAsia" w:ascii="宋体" w:hAnsi="宋体"/>
          <w:color w:val="auto"/>
          <w:sz w:val="24"/>
          <w:highlight w:val="none"/>
        </w:rPr>
      </w:pPr>
    </w:p>
    <w:p w14:paraId="07731CDD">
      <w:pPr>
        <w:snapToGrid w:val="0"/>
        <w:spacing w:before="50" w:after="120" w:afterLines="50"/>
        <w:jc w:val="left"/>
        <w:rPr>
          <w:rFonts w:hint="eastAsia" w:ascii="宋体" w:hAnsi="宋体"/>
          <w:color w:val="auto"/>
          <w:sz w:val="24"/>
          <w:highlight w:val="none"/>
        </w:rPr>
      </w:pPr>
    </w:p>
    <w:p w14:paraId="0F3B4439">
      <w:pPr>
        <w:numPr>
          <w:ilvl w:val="2"/>
          <w:numId w:val="7"/>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3DB7C9ED">
      <w:pPr>
        <w:snapToGrid w:val="0"/>
        <w:spacing w:before="50" w:after="120" w:afterLines="50"/>
        <w:jc w:val="center"/>
        <w:rPr>
          <w:rFonts w:hint="eastAsia" w:ascii="宋体" w:hAnsi="宋体"/>
          <w:b/>
          <w:color w:val="auto"/>
          <w:sz w:val="28"/>
          <w:szCs w:val="28"/>
          <w:highlight w:val="none"/>
        </w:rPr>
      </w:pPr>
    </w:p>
    <w:p w14:paraId="103657A5">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5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4F952E4">
        <w:tblPrEx>
          <w:tblCellMar>
            <w:top w:w="0" w:type="dxa"/>
            <w:left w:w="0" w:type="dxa"/>
            <w:bottom w:w="0" w:type="dxa"/>
            <w:right w:w="0" w:type="dxa"/>
          </w:tblCellMar>
        </w:tblPrEx>
        <w:trPr>
          <w:wBefore w:w="0" w:type="dxa"/>
          <w:wAfter w:w="0" w:type="dxa"/>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E6170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C71B7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8AEAE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0F068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6A7F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17767">
        <w:tblPrEx>
          <w:tblCellMar>
            <w:top w:w="0" w:type="dxa"/>
            <w:left w:w="0" w:type="dxa"/>
            <w:bottom w:w="0" w:type="dxa"/>
            <w:right w:w="0" w:type="dxa"/>
          </w:tblCellMar>
        </w:tblPrEx>
        <w:trPr>
          <w:wBefore w:w="0" w:type="dxa"/>
          <w:wAfter w:w="0" w:type="dxa"/>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BED88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63221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50D1E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71B8C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09C9D">
            <w:pPr>
              <w:spacing w:line="360" w:lineRule="auto"/>
              <w:jc w:val="center"/>
              <w:rPr>
                <w:rFonts w:ascii="宋体" w:hAnsi="宋体" w:cs="宋体"/>
                <w:color w:val="auto"/>
                <w:kern w:val="0"/>
                <w:sz w:val="24"/>
                <w:highlight w:val="none"/>
              </w:rPr>
            </w:pPr>
          </w:p>
        </w:tc>
      </w:tr>
      <w:tr w14:paraId="61E2797D">
        <w:tblPrEx>
          <w:shd w:val="clear" w:color="auto" w:fill="FBFBFB"/>
          <w:tblCellMar>
            <w:top w:w="0" w:type="dxa"/>
            <w:left w:w="0" w:type="dxa"/>
            <w:bottom w:w="0" w:type="dxa"/>
            <w:right w:w="0" w:type="dxa"/>
          </w:tblCellMar>
        </w:tblPrEx>
        <w:trPr>
          <w:wBefore w:w="0" w:type="dxa"/>
          <w:wAfter w:w="0" w:type="dxa"/>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E2836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E70E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C159A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99975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E2B886">
            <w:pPr>
              <w:spacing w:line="360" w:lineRule="auto"/>
              <w:jc w:val="center"/>
              <w:rPr>
                <w:rFonts w:ascii="宋体" w:hAnsi="宋体" w:cs="宋体"/>
                <w:color w:val="auto"/>
                <w:kern w:val="0"/>
                <w:sz w:val="24"/>
                <w:highlight w:val="none"/>
              </w:rPr>
            </w:pPr>
          </w:p>
        </w:tc>
      </w:tr>
      <w:tr w14:paraId="0436D6B7">
        <w:tblPrEx>
          <w:tblCellMar>
            <w:top w:w="0" w:type="dxa"/>
            <w:left w:w="0" w:type="dxa"/>
            <w:bottom w:w="0" w:type="dxa"/>
            <w:right w:w="0" w:type="dxa"/>
          </w:tblCellMar>
        </w:tblPrEx>
        <w:trPr>
          <w:wBefore w:w="0" w:type="dxa"/>
          <w:wAfter w:w="0" w:type="dxa"/>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DC216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2E2FE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D853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6C383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5DA9AD">
            <w:pPr>
              <w:spacing w:line="360" w:lineRule="auto"/>
              <w:jc w:val="center"/>
              <w:rPr>
                <w:rFonts w:ascii="宋体" w:hAnsi="宋体" w:cs="宋体"/>
                <w:color w:val="auto"/>
                <w:kern w:val="0"/>
                <w:sz w:val="24"/>
                <w:highlight w:val="none"/>
              </w:rPr>
            </w:pPr>
          </w:p>
        </w:tc>
      </w:tr>
      <w:tr w14:paraId="5A933148">
        <w:tblPrEx>
          <w:shd w:val="clear" w:color="auto" w:fill="FBFBFB"/>
          <w:tblCellMar>
            <w:top w:w="0" w:type="dxa"/>
            <w:left w:w="0" w:type="dxa"/>
            <w:bottom w:w="0" w:type="dxa"/>
            <w:right w:w="0" w:type="dxa"/>
          </w:tblCellMar>
        </w:tblPrEx>
        <w:trPr>
          <w:wBefore w:w="0" w:type="dxa"/>
          <w:wAfter w:w="0" w:type="dxa"/>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2B5F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A1EC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5CE7E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4956C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6BDE23">
            <w:pPr>
              <w:spacing w:line="360" w:lineRule="auto"/>
              <w:jc w:val="center"/>
              <w:rPr>
                <w:rFonts w:ascii="宋体" w:hAnsi="宋体" w:cs="宋体"/>
                <w:color w:val="auto"/>
                <w:kern w:val="0"/>
                <w:sz w:val="24"/>
                <w:highlight w:val="none"/>
              </w:rPr>
            </w:pPr>
          </w:p>
        </w:tc>
      </w:tr>
    </w:tbl>
    <w:p w14:paraId="79986FB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1DFBFC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388D8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A57318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775B810C">
      <w:pPr>
        <w:snapToGrid w:val="0"/>
        <w:spacing w:line="360" w:lineRule="auto"/>
        <w:jc w:val="left"/>
        <w:rPr>
          <w:rFonts w:hint="eastAsia" w:ascii="宋体" w:hAnsi="宋体"/>
          <w:color w:val="auto"/>
          <w:sz w:val="24"/>
          <w:highlight w:val="none"/>
        </w:rPr>
      </w:pPr>
    </w:p>
    <w:p w14:paraId="42A0E120">
      <w:pPr>
        <w:snapToGrid w:val="0"/>
        <w:spacing w:line="360" w:lineRule="auto"/>
        <w:jc w:val="left"/>
        <w:rPr>
          <w:rFonts w:hint="eastAsia" w:ascii="宋体" w:hAnsi="宋体"/>
          <w:color w:val="auto"/>
          <w:sz w:val="24"/>
          <w:highlight w:val="none"/>
        </w:rPr>
      </w:pPr>
    </w:p>
    <w:p w14:paraId="7A36238E">
      <w:pPr>
        <w:snapToGrid w:val="0"/>
        <w:spacing w:line="360" w:lineRule="auto"/>
        <w:jc w:val="left"/>
        <w:rPr>
          <w:rFonts w:hint="eastAsia" w:ascii="宋体" w:hAnsi="宋体"/>
          <w:color w:val="auto"/>
          <w:sz w:val="24"/>
          <w:highlight w:val="none"/>
        </w:rPr>
      </w:pPr>
    </w:p>
    <w:p w14:paraId="22332F37">
      <w:pPr>
        <w:snapToGrid w:val="0"/>
        <w:spacing w:line="360" w:lineRule="auto"/>
        <w:jc w:val="left"/>
        <w:rPr>
          <w:rFonts w:hint="eastAsia" w:ascii="宋体" w:hAnsi="宋体"/>
          <w:color w:val="auto"/>
          <w:sz w:val="24"/>
          <w:highlight w:val="none"/>
        </w:rPr>
      </w:pPr>
    </w:p>
    <w:p w14:paraId="73629BBB">
      <w:pPr>
        <w:snapToGrid w:val="0"/>
        <w:spacing w:line="360" w:lineRule="auto"/>
        <w:jc w:val="left"/>
        <w:rPr>
          <w:rFonts w:hint="eastAsia" w:ascii="宋体" w:hAnsi="宋体"/>
          <w:color w:val="auto"/>
          <w:sz w:val="24"/>
          <w:highlight w:val="none"/>
        </w:rPr>
      </w:pPr>
    </w:p>
    <w:p w14:paraId="759D015F">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650284EA">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05513804">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69DFE59C">
      <w:pPr>
        <w:snapToGrid w:val="0"/>
        <w:jc w:val="center"/>
        <w:rPr>
          <w:rFonts w:hint="eastAsia" w:ascii="宋体" w:hAnsi="宋体"/>
          <w:b/>
          <w:color w:val="auto"/>
          <w:sz w:val="28"/>
          <w:szCs w:val="28"/>
          <w:highlight w:val="none"/>
        </w:rPr>
      </w:pPr>
    </w:p>
    <w:p w14:paraId="5F5441B4">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50"/>
        <w:tblW w:w="0" w:type="auto"/>
        <w:tblInd w:w="0" w:type="dxa"/>
        <w:tblLayout w:type="fixed"/>
        <w:tblCellMar>
          <w:top w:w="0" w:type="dxa"/>
          <w:left w:w="0" w:type="dxa"/>
          <w:bottom w:w="0" w:type="dxa"/>
          <w:right w:w="0" w:type="dxa"/>
        </w:tblCellMar>
      </w:tblPr>
      <w:tblGrid>
        <w:gridCol w:w="1005"/>
        <w:gridCol w:w="2659"/>
        <w:gridCol w:w="3924"/>
        <w:gridCol w:w="2064"/>
      </w:tblGrid>
      <w:tr w14:paraId="7A814DCC">
        <w:tblPrEx>
          <w:tblCellMar>
            <w:top w:w="0" w:type="dxa"/>
            <w:left w:w="0" w:type="dxa"/>
            <w:bottom w:w="0" w:type="dxa"/>
            <w:right w:w="0" w:type="dxa"/>
          </w:tblCellMar>
        </w:tblPrEx>
        <w:trPr>
          <w:wBefore w:w="0" w:type="dxa"/>
          <w:wAfter w:w="0" w:type="dxa"/>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9804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E73B1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0B945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EA8C7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C33B2E7">
        <w:tblPrEx>
          <w:tblCellMar>
            <w:top w:w="0" w:type="dxa"/>
            <w:left w:w="0" w:type="dxa"/>
            <w:bottom w:w="0" w:type="dxa"/>
            <w:right w:w="0" w:type="dxa"/>
          </w:tblCellMar>
        </w:tblPrEx>
        <w:trPr>
          <w:wBefore w:w="0" w:type="dxa"/>
          <w:wAfter w:w="0" w:type="dxa"/>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4F41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F4758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BC797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BF4ABF">
            <w:pPr>
              <w:spacing w:line="360" w:lineRule="auto"/>
              <w:jc w:val="center"/>
              <w:rPr>
                <w:rFonts w:ascii="宋体" w:hAnsi="宋体" w:cs="宋体"/>
                <w:color w:val="auto"/>
                <w:kern w:val="0"/>
                <w:sz w:val="24"/>
                <w:highlight w:val="none"/>
              </w:rPr>
            </w:pPr>
          </w:p>
        </w:tc>
      </w:tr>
      <w:tr w14:paraId="2396018F">
        <w:tblPrEx>
          <w:tblCellMar>
            <w:top w:w="0" w:type="dxa"/>
            <w:left w:w="0" w:type="dxa"/>
            <w:bottom w:w="0" w:type="dxa"/>
            <w:right w:w="0" w:type="dxa"/>
          </w:tblCellMar>
        </w:tblPrEx>
        <w:trPr>
          <w:wBefore w:w="0" w:type="dxa"/>
          <w:wAfter w:w="0" w:type="dxa"/>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E40AF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4930D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39C5D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261BB92">
            <w:pPr>
              <w:spacing w:line="360" w:lineRule="auto"/>
              <w:jc w:val="center"/>
              <w:rPr>
                <w:rFonts w:ascii="宋体" w:hAnsi="宋体" w:cs="宋体"/>
                <w:color w:val="auto"/>
                <w:kern w:val="0"/>
                <w:sz w:val="24"/>
                <w:highlight w:val="none"/>
              </w:rPr>
            </w:pPr>
          </w:p>
        </w:tc>
      </w:tr>
      <w:tr w14:paraId="24D117E8">
        <w:tblPrEx>
          <w:tblCellMar>
            <w:top w:w="0" w:type="dxa"/>
            <w:left w:w="0" w:type="dxa"/>
            <w:bottom w:w="0" w:type="dxa"/>
            <w:right w:w="0" w:type="dxa"/>
          </w:tblCellMar>
        </w:tblPrEx>
        <w:trPr>
          <w:wBefore w:w="0" w:type="dxa"/>
          <w:wAfter w:w="0" w:type="dxa"/>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D0579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4B8BA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5D112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B17A92">
            <w:pPr>
              <w:spacing w:line="360" w:lineRule="auto"/>
              <w:jc w:val="center"/>
              <w:rPr>
                <w:rFonts w:ascii="宋体" w:hAnsi="宋体" w:cs="宋体"/>
                <w:color w:val="auto"/>
                <w:kern w:val="0"/>
                <w:sz w:val="24"/>
                <w:highlight w:val="none"/>
              </w:rPr>
            </w:pPr>
          </w:p>
        </w:tc>
      </w:tr>
      <w:tr w14:paraId="72F059DD">
        <w:tblPrEx>
          <w:tblCellMar>
            <w:top w:w="0" w:type="dxa"/>
            <w:left w:w="0" w:type="dxa"/>
            <w:bottom w:w="0" w:type="dxa"/>
            <w:right w:w="0" w:type="dxa"/>
          </w:tblCellMar>
        </w:tblPrEx>
        <w:trPr>
          <w:wBefore w:w="0" w:type="dxa"/>
          <w:wAfter w:w="0" w:type="dxa"/>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7C99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F898B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AE3F6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26D234">
            <w:pPr>
              <w:spacing w:line="360" w:lineRule="auto"/>
              <w:jc w:val="center"/>
              <w:rPr>
                <w:rFonts w:ascii="宋体" w:hAnsi="宋体" w:cs="宋体"/>
                <w:color w:val="auto"/>
                <w:kern w:val="0"/>
                <w:sz w:val="24"/>
                <w:highlight w:val="none"/>
              </w:rPr>
            </w:pPr>
          </w:p>
        </w:tc>
      </w:tr>
    </w:tbl>
    <w:p w14:paraId="4E522C7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CD1016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841C46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0952B3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0AB8A5C6">
      <w:pPr>
        <w:snapToGrid w:val="0"/>
        <w:spacing w:line="360" w:lineRule="auto"/>
        <w:jc w:val="left"/>
        <w:rPr>
          <w:rFonts w:hint="eastAsia" w:ascii="宋体" w:hAnsi="宋体"/>
          <w:color w:val="auto"/>
          <w:sz w:val="24"/>
          <w:highlight w:val="none"/>
        </w:rPr>
      </w:pPr>
    </w:p>
    <w:p w14:paraId="5545A662">
      <w:pPr>
        <w:snapToGrid w:val="0"/>
        <w:spacing w:line="360" w:lineRule="auto"/>
        <w:jc w:val="left"/>
        <w:rPr>
          <w:rFonts w:hint="eastAsia" w:ascii="宋体" w:hAnsi="宋体"/>
          <w:color w:val="auto"/>
          <w:sz w:val="24"/>
          <w:highlight w:val="none"/>
        </w:rPr>
      </w:pPr>
    </w:p>
    <w:p w14:paraId="2BE4DC30">
      <w:pPr>
        <w:snapToGrid w:val="0"/>
        <w:spacing w:line="360" w:lineRule="auto"/>
        <w:jc w:val="left"/>
        <w:rPr>
          <w:rFonts w:hint="eastAsia" w:ascii="宋体" w:hAnsi="宋体"/>
          <w:color w:val="auto"/>
          <w:sz w:val="24"/>
          <w:highlight w:val="none"/>
        </w:rPr>
      </w:pPr>
    </w:p>
    <w:p w14:paraId="63EDCF06">
      <w:pPr>
        <w:snapToGrid w:val="0"/>
        <w:spacing w:line="360" w:lineRule="auto"/>
        <w:jc w:val="left"/>
        <w:rPr>
          <w:rFonts w:hint="eastAsia"/>
          <w:color w:val="auto"/>
          <w:sz w:val="24"/>
          <w:highlight w:val="none"/>
        </w:rPr>
      </w:pPr>
    </w:p>
    <w:p w14:paraId="4EB5672B">
      <w:pPr>
        <w:snapToGrid w:val="0"/>
        <w:spacing w:line="360" w:lineRule="auto"/>
        <w:jc w:val="left"/>
        <w:rPr>
          <w:rFonts w:hint="eastAsia"/>
          <w:color w:val="auto"/>
          <w:sz w:val="24"/>
          <w:highlight w:val="none"/>
        </w:rPr>
      </w:pPr>
    </w:p>
    <w:p w14:paraId="743BFA09">
      <w:pPr>
        <w:snapToGrid w:val="0"/>
        <w:spacing w:line="360" w:lineRule="auto"/>
        <w:jc w:val="left"/>
        <w:rPr>
          <w:rFonts w:hint="eastAsia"/>
          <w:color w:val="auto"/>
          <w:sz w:val="24"/>
          <w:highlight w:val="none"/>
        </w:rPr>
      </w:pPr>
    </w:p>
    <w:p w14:paraId="6FAD9331">
      <w:pPr>
        <w:snapToGrid w:val="0"/>
        <w:spacing w:line="360" w:lineRule="auto"/>
        <w:jc w:val="left"/>
        <w:rPr>
          <w:rFonts w:hint="eastAsia" w:ascii="宋体" w:hAnsi="宋体"/>
          <w:color w:val="auto"/>
          <w:sz w:val="24"/>
          <w:highlight w:val="none"/>
        </w:rPr>
      </w:pPr>
    </w:p>
    <w:p w14:paraId="7C0D9561">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04C4C36B">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026D37B1">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3724682A">
      <w:pPr>
        <w:snapToGrid w:val="0"/>
        <w:spacing w:before="50" w:after="120" w:afterLines="50"/>
        <w:jc w:val="left"/>
        <w:rPr>
          <w:rFonts w:hint="eastAsia" w:ascii="宋体" w:hAnsi="宋体"/>
          <w:color w:val="auto"/>
          <w:szCs w:val="21"/>
          <w:highlight w:val="none"/>
        </w:rPr>
      </w:pPr>
    </w:p>
    <w:p w14:paraId="61125AB0">
      <w:pPr>
        <w:snapToGrid w:val="0"/>
        <w:spacing w:before="120" w:beforeLines="50" w:after="50"/>
        <w:jc w:val="left"/>
        <w:rPr>
          <w:rFonts w:hint="eastAsia" w:ascii="宋体" w:hAnsi="宋体"/>
          <w:b/>
          <w:color w:val="auto"/>
          <w:sz w:val="24"/>
          <w:szCs w:val="20"/>
          <w:highlight w:val="none"/>
        </w:rPr>
      </w:pPr>
    </w:p>
    <w:p w14:paraId="25CEB44D">
      <w:pPr>
        <w:numPr>
          <w:ilvl w:val="2"/>
          <w:numId w:val="7"/>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28FFE594">
      <w:pPr>
        <w:snapToGrid w:val="0"/>
        <w:spacing w:before="50" w:after="120" w:afterLines="50"/>
        <w:jc w:val="left"/>
        <w:rPr>
          <w:rFonts w:hint="eastAsia" w:ascii="宋体" w:hAnsi="宋体"/>
          <w:color w:val="auto"/>
          <w:highlight w:val="none"/>
        </w:rPr>
      </w:pPr>
    </w:p>
    <w:p w14:paraId="2062107F">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01DC424C">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p>
    <w:p w14:paraId="58B30BF4">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132B8D3B">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04AF03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olor w:val="auto"/>
          <w:sz w:val="24"/>
          <w:highlight w:val="none"/>
          <w:lang w:val="en-US" w:eastAsia="zh-CN"/>
        </w:rPr>
        <w:t>重大税收违法失信主体</w:t>
      </w:r>
      <w:r>
        <w:rPr>
          <w:rFonts w:hint="eastAsia" w:ascii="宋体" w:hAnsi="宋体"/>
          <w:color w:val="auto"/>
          <w:sz w:val="24"/>
          <w:highlight w:val="none"/>
        </w:rPr>
        <w:t>、政府采购严重违法失信行为记录名单，完全符合《中华人民共和国政府采购法》第二十二条规定的供应商资格条件，我方对此声明负全部法律责任。</w:t>
      </w:r>
    </w:p>
    <w:p w14:paraId="24CF5CE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42C5AB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78C8BE2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2944DA7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2DABB86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289BA54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A4EEE6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66E41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34CAF954">
      <w:pPr>
        <w:spacing w:line="400" w:lineRule="exact"/>
        <w:ind w:firstLine="480" w:firstLineChars="200"/>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4.</w:t>
      </w:r>
      <w:r>
        <w:rPr>
          <w:rFonts w:hint="eastAsia" w:ascii="宋体" w:hAnsi="宋体"/>
          <w:color w:val="auto"/>
          <w:sz w:val="24"/>
          <w:highlight w:val="none"/>
          <w:lang w:eastAsia="zh-CN"/>
        </w:rPr>
        <w:t>我方承诺近两年内参加本采购单位的采购项目中标（成交）后未有拒签订采购合同的行为。</w:t>
      </w:r>
    </w:p>
    <w:p w14:paraId="55424D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以上事项如有虚假或者隐瞒，我方愿意承担一切后果，并不再寻求任何旨在减轻或者免除法律责任的辩解。</w:t>
      </w:r>
    </w:p>
    <w:p w14:paraId="7B3FD81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014B387">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35BB92EA">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w:t>
      </w:r>
    </w:p>
    <w:p w14:paraId="0E813FEB">
      <w:pPr>
        <w:spacing w:line="400" w:lineRule="exact"/>
        <w:ind w:firstLine="4080" w:firstLineChars="17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1DA171A">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41979E08">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1A63F53A">
      <w:pPr>
        <w:rPr>
          <w:b/>
          <w:color w:val="auto"/>
          <w:sz w:val="28"/>
          <w:szCs w:val="28"/>
          <w:highlight w:val="none"/>
        </w:rPr>
      </w:pPr>
      <w:bookmarkStart w:id="152" w:name="_Toc19686838"/>
    </w:p>
    <w:p w14:paraId="562DC785">
      <w:pPr>
        <w:keepNext w:val="0"/>
        <w:keepLines w:val="0"/>
        <w:pageBreakBefore w:val="0"/>
        <w:widowControl w:val="0"/>
        <w:numPr>
          <w:ilvl w:val="0"/>
          <w:numId w:val="0"/>
        </w:numPr>
        <w:kinsoku/>
        <w:wordWrap/>
        <w:overflowPunct/>
        <w:topLinePunct w:val="0"/>
        <w:autoSpaceDE/>
        <w:autoSpaceDN/>
        <w:bidi w:val="0"/>
        <w:adjustRightInd/>
        <w:snapToGrid w:val="0"/>
        <w:spacing w:before="120" w:beforeLines="50" w:after="50" w:line="400" w:lineRule="exact"/>
        <w:ind w:leftChars="0"/>
        <w:jc w:val="left"/>
        <w:textAlignment w:val="auto"/>
        <w:rPr>
          <w:rFonts w:hint="eastAsia" w:ascii="宋体" w:hAnsi="宋体" w:eastAsia="宋体" w:cs="宋体"/>
          <w:bCs/>
          <w:color w:val="auto"/>
          <w:sz w:val="24"/>
          <w:szCs w:val="24"/>
          <w:highlight w:val="none"/>
          <w:lang w:val="en-US" w:eastAsia="zh-CN"/>
        </w:rPr>
      </w:pPr>
    </w:p>
    <w:p w14:paraId="7585F40E">
      <w:pPr>
        <w:rPr>
          <w:rFonts w:hint="eastAsia"/>
          <w:b/>
          <w:color w:val="auto"/>
          <w:sz w:val="28"/>
          <w:szCs w:val="28"/>
          <w:highlight w:val="none"/>
        </w:rPr>
      </w:pPr>
      <w:r>
        <w:rPr>
          <w:rFonts w:hint="eastAsia"/>
          <w:b/>
          <w:color w:val="auto"/>
          <w:sz w:val="28"/>
          <w:szCs w:val="28"/>
          <w:highlight w:val="none"/>
        </w:rPr>
        <w:t>三、商务文件格式</w:t>
      </w:r>
      <w:bookmarkEnd w:id="152"/>
    </w:p>
    <w:p w14:paraId="1F073BDA">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5DD53B08">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81DC06D">
      <w:pPr>
        <w:snapToGrid w:val="0"/>
        <w:spacing w:before="120" w:beforeLines="50" w:after="50"/>
        <w:rPr>
          <w:rFonts w:hint="eastAsia" w:ascii="宋体" w:hAnsi="宋体"/>
          <w:color w:val="auto"/>
          <w:sz w:val="24"/>
          <w:szCs w:val="20"/>
          <w:highlight w:val="none"/>
        </w:rPr>
      </w:pPr>
    </w:p>
    <w:p w14:paraId="7DC168C6">
      <w:pPr>
        <w:snapToGrid w:val="0"/>
        <w:spacing w:before="120" w:beforeLines="50" w:after="50"/>
        <w:rPr>
          <w:rFonts w:hint="eastAsia" w:ascii="宋体" w:hAnsi="宋体"/>
          <w:color w:val="auto"/>
          <w:sz w:val="24"/>
          <w:szCs w:val="20"/>
          <w:highlight w:val="none"/>
        </w:rPr>
      </w:pPr>
    </w:p>
    <w:p w14:paraId="5A5609D8">
      <w:pPr>
        <w:snapToGrid w:val="0"/>
        <w:spacing w:before="120" w:beforeLines="50" w:after="50"/>
        <w:rPr>
          <w:rFonts w:hint="eastAsia" w:ascii="宋体" w:hAnsi="宋体"/>
          <w:color w:val="auto"/>
          <w:sz w:val="24"/>
          <w:szCs w:val="20"/>
          <w:highlight w:val="none"/>
        </w:rPr>
      </w:pPr>
    </w:p>
    <w:p w14:paraId="139F1C48">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267C39DF">
      <w:pPr>
        <w:snapToGrid w:val="0"/>
        <w:spacing w:before="120" w:beforeLines="50" w:after="50"/>
        <w:rPr>
          <w:rFonts w:hint="eastAsia" w:ascii="宋体" w:hAnsi="宋体"/>
          <w:color w:val="auto"/>
          <w:sz w:val="24"/>
          <w:szCs w:val="20"/>
          <w:highlight w:val="none"/>
        </w:rPr>
      </w:pPr>
    </w:p>
    <w:p w14:paraId="61BE07A4">
      <w:pPr>
        <w:snapToGrid w:val="0"/>
        <w:spacing w:before="120" w:beforeLines="50" w:after="50"/>
        <w:rPr>
          <w:rFonts w:hint="eastAsia" w:ascii="宋体" w:hAnsi="宋体"/>
          <w:color w:val="auto"/>
          <w:sz w:val="24"/>
          <w:szCs w:val="20"/>
          <w:highlight w:val="none"/>
        </w:rPr>
      </w:pPr>
    </w:p>
    <w:p w14:paraId="290C6A26">
      <w:pPr>
        <w:snapToGrid w:val="0"/>
        <w:spacing w:before="120"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410C7FEC">
      <w:pPr>
        <w:snapToGrid w:val="0"/>
        <w:spacing w:before="120" w:beforeLines="50" w:after="50"/>
        <w:rPr>
          <w:rFonts w:hint="eastAsia" w:ascii="宋体" w:hAnsi="宋体"/>
          <w:bCs/>
          <w:color w:val="auto"/>
          <w:sz w:val="24"/>
          <w:szCs w:val="20"/>
          <w:highlight w:val="none"/>
        </w:rPr>
      </w:pPr>
    </w:p>
    <w:p w14:paraId="020F846A">
      <w:pPr>
        <w:snapToGrid w:val="0"/>
        <w:spacing w:before="120" w:beforeLines="50" w:after="50"/>
        <w:ind w:firstLine="540" w:firstLineChars="225"/>
        <w:rPr>
          <w:rFonts w:hint="eastAsia" w:ascii="宋体" w:hAnsi="宋体"/>
          <w:bCs/>
          <w:color w:val="auto"/>
          <w:sz w:val="24"/>
          <w:highlight w:val="none"/>
        </w:rPr>
      </w:pPr>
    </w:p>
    <w:p w14:paraId="2D8F88E2">
      <w:pPr>
        <w:snapToGrid w:val="0"/>
        <w:spacing w:before="120" w:beforeLines="50" w:after="50"/>
        <w:ind w:firstLine="540" w:firstLineChars="225"/>
        <w:rPr>
          <w:rFonts w:hint="eastAsia" w:ascii="宋体" w:hAnsi="宋体"/>
          <w:bCs/>
          <w:color w:val="auto"/>
          <w:sz w:val="24"/>
          <w:highlight w:val="none"/>
        </w:rPr>
      </w:pPr>
    </w:p>
    <w:p w14:paraId="47DCCBCB">
      <w:pPr>
        <w:snapToGrid w:val="0"/>
        <w:spacing w:before="120" w:beforeLines="50" w:after="50"/>
        <w:ind w:firstLine="540" w:firstLineChars="225"/>
        <w:rPr>
          <w:rFonts w:hint="eastAsia" w:ascii="宋体" w:hAnsi="宋体"/>
          <w:bCs/>
          <w:color w:val="auto"/>
          <w:sz w:val="24"/>
          <w:highlight w:val="none"/>
        </w:rPr>
      </w:pPr>
    </w:p>
    <w:p w14:paraId="6D95D54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AB108CB">
      <w:pPr>
        <w:snapToGrid w:val="0"/>
        <w:spacing w:before="120" w:beforeLines="50" w:after="50"/>
        <w:ind w:firstLine="540" w:firstLineChars="225"/>
        <w:rPr>
          <w:rFonts w:hint="eastAsia" w:ascii="宋体" w:hAnsi="宋体"/>
          <w:bCs/>
          <w:color w:val="auto"/>
          <w:sz w:val="24"/>
          <w:szCs w:val="20"/>
          <w:highlight w:val="none"/>
        </w:rPr>
      </w:pPr>
    </w:p>
    <w:p w14:paraId="11ACB81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3F6D1A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C9333C6">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所投分标：(如有则填写，无分标时填写“无”或者留空）</w:t>
      </w:r>
    </w:p>
    <w:p w14:paraId="482D3F45">
      <w:pPr>
        <w:pStyle w:val="6"/>
        <w:snapToGrid w:val="0"/>
        <w:spacing w:before="50" w:after="50"/>
        <w:ind w:firstLine="540" w:firstLineChars="225"/>
        <w:rPr>
          <w:rFonts w:hint="eastAsia" w:ascii="宋体" w:hAnsi="宋体"/>
          <w:bCs/>
          <w:color w:val="auto"/>
          <w:sz w:val="24"/>
          <w:szCs w:val="24"/>
          <w:highlight w:val="none"/>
        </w:rPr>
      </w:pPr>
    </w:p>
    <w:p w14:paraId="52A66544">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8BAA358">
      <w:pPr>
        <w:pStyle w:val="6"/>
        <w:snapToGrid w:val="0"/>
        <w:spacing w:before="50" w:after="50"/>
        <w:ind w:firstLine="540" w:firstLineChars="225"/>
        <w:rPr>
          <w:rFonts w:hint="eastAsia" w:ascii="宋体" w:hAnsi="宋体"/>
          <w:bCs/>
          <w:color w:val="auto"/>
          <w:sz w:val="24"/>
          <w:szCs w:val="24"/>
          <w:highlight w:val="none"/>
        </w:rPr>
      </w:pPr>
    </w:p>
    <w:p w14:paraId="51B4EF3E">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133B3C56">
      <w:pPr>
        <w:pStyle w:val="6"/>
        <w:snapToGrid w:val="0"/>
        <w:spacing w:before="50" w:after="50"/>
        <w:ind w:firstLine="960" w:firstLineChars="400"/>
        <w:rPr>
          <w:rFonts w:hint="eastAsia" w:ascii="宋体" w:hAnsi="宋体"/>
          <w:bCs/>
          <w:color w:val="auto"/>
          <w:sz w:val="24"/>
          <w:szCs w:val="24"/>
          <w:highlight w:val="none"/>
        </w:rPr>
      </w:pPr>
    </w:p>
    <w:p w14:paraId="09E948C8">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C1D075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1ACE5DA">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20B4C3E3">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EEFF40C">
      <w:pPr>
        <w:snapToGrid w:val="0"/>
        <w:spacing w:before="50" w:after="120" w:afterLines="50"/>
        <w:jc w:val="left"/>
        <w:rPr>
          <w:rFonts w:hint="eastAsia" w:ascii="宋体" w:hAnsi="宋体"/>
          <w:color w:val="auto"/>
          <w:highlight w:val="none"/>
        </w:rPr>
      </w:pPr>
    </w:p>
    <w:p w14:paraId="5CF1FA1B">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2F897F09">
      <w:pPr>
        <w:snapToGrid w:val="0"/>
        <w:spacing w:before="120" w:beforeLines="50" w:after="50"/>
        <w:jc w:val="left"/>
        <w:rPr>
          <w:rFonts w:hint="eastAsia" w:ascii="宋体" w:hAnsi="宋体"/>
          <w:b/>
          <w:color w:val="auto"/>
          <w:sz w:val="24"/>
          <w:highlight w:val="none"/>
        </w:rPr>
      </w:pPr>
    </w:p>
    <w:p w14:paraId="1BABDF0C">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050A26C3">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EFA8618">
      <w:pPr>
        <w:spacing w:line="440" w:lineRule="exact"/>
        <w:ind w:firstLine="470" w:firstLineChars="196"/>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1.不同投标人的投标文件由同一单位或者个人编制或不同供应商报名的IP地址一致的</w:t>
      </w:r>
      <w:r>
        <w:rPr>
          <w:rFonts w:hint="eastAsia" w:ascii="宋体" w:hAnsi="宋体"/>
          <w:color w:val="auto"/>
          <w:sz w:val="24"/>
          <w:highlight w:val="none"/>
          <w:lang w:eastAsia="zh-CN"/>
        </w:rPr>
        <w:t>；</w:t>
      </w:r>
    </w:p>
    <w:p w14:paraId="3219C6A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526B6EE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4427778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FF5DFF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08D0CAF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23CA448">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38867D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w:t>
      </w:r>
      <w:r>
        <w:rPr>
          <w:rFonts w:hint="eastAsia" w:ascii="宋体" w:hAnsi="宋体"/>
          <w:color w:val="auto"/>
          <w:sz w:val="24"/>
          <w:highlight w:val="none"/>
          <w:lang w:eastAsia="zh-CN"/>
        </w:rPr>
        <w:t>招标代理</w:t>
      </w:r>
      <w:r>
        <w:rPr>
          <w:rFonts w:hint="eastAsia" w:ascii="宋体" w:hAnsi="宋体"/>
          <w:color w:val="auto"/>
          <w:sz w:val="24"/>
          <w:highlight w:val="none"/>
        </w:rPr>
        <w:t>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4E554B5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w:t>
      </w:r>
      <w:r>
        <w:rPr>
          <w:rFonts w:hint="eastAsia" w:ascii="宋体" w:hAnsi="宋体"/>
          <w:color w:val="auto"/>
          <w:sz w:val="24"/>
          <w:highlight w:val="none"/>
          <w:lang w:eastAsia="zh-CN"/>
        </w:rPr>
        <w:t>招标代理</w:t>
      </w:r>
      <w:r>
        <w:rPr>
          <w:rFonts w:hint="eastAsia" w:ascii="宋体" w:hAnsi="宋体"/>
          <w:color w:val="auto"/>
          <w:sz w:val="24"/>
          <w:highlight w:val="none"/>
        </w:rPr>
        <w:t>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4AC9541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11F0031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1D90C54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D45026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2893978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w:t>
      </w:r>
      <w:r>
        <w:rPr>
          <w:rFonts w:hint="eastAsia" w:ascii="宋体" w:hAnsi="宋体"/>
          <w:color w:val="auto"/>
          <w:sz w:val="24"/>
          <w:highlight w:val="none"/>
          <w:lang w:eastAsia="zh-CN"/>
        </w:rPr>
        <w:t>招标代理</w:t>
      </w:r>
      <w:r>
        <w:rPr>
          <w:rFonts w:hint="eastAsia" w:ascii="宋体" w:hAnsi="宋体"/>
          <w:color w:val="auto"/>
          <w:sz w:val="24"/>
          <w:highlight w:val="none"/>
        </w:rPr>
        <w:t>机构之间、投标人相互之间，为谋求特定投标人中标或者排斥其他投标人的其他串通行为。</w:t>
      </w:r>
    </w:p>
    <w:p w14:paraId="2D5E0C73">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BC248FC">
      <w:pPr>
        <w:pStyle w:val="26"/>
        <w:spacing w:line="440" w:lineRule="exact"/>
        <w:ind w:firstLine="6840" w:firstLineChars="2850"/>
        <w:contextualSpacing/>
        <w:rPr>
          <w:rFonts w:hint="eastAsia" w:hAnsi="宋体"/>
          <w:color w:val="auto"/>
          <w:sz w:val="24"/>
          <w:szCs w:val="24"/>
          <w:highlight w:val="none"/>
        </w:rPr>
      </w:pPr>
    </w:p>
    <w:p w14:paraId="18F1601C">
      <w:pPr>
        <w:pStyle w:val="26"/>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56ACBC3D">
      <w:pPr>
        <w:pStyle w:val="26"/>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D9E7691">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38921E5E">
      <w:pPr>
        <w:spacing w:before="240" w:beforeLines="100" w:after="120" w:afterLines="50"/>
        <w:ind w:left="540"/>
        <w:jc w:val="center"/>
        <w:rPr>
          <w:rFonts w:hint="eastAsia" w:ascii="宋体" w:hAnsi="Courier New"/>
          <w:b/>
          <w:color w:val="auto"/>
          <w:sz w:val="32"/>
          <w:szCs w:val="32"/>
          <w:highlight w:val="none"/>
        </w:rPr>
      </w:pPr>
    </w:p>
    <w:p w14:paraId="7EFED90A">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法定代表人身份证明</w:t>
      </w:r>
    </w:p>
    <w:p w14:paraId="6702209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28A557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45CB8A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918466A">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88EC73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204DCDF">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98B8737">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0616596">
      <w:pPr>
        <w:spacing w:line="500" w:lineRule="exact"/>
        <w:ind w:left="540"/>
        <w:rPr>
          <w:rFonts w:hint="eastAsia" w:ascii="宋体" w:hAnsi="宋体"/>
          <w:color w:val="auto"/>
          <w:sz w:val="24"/>
          <w:highlight w:val="none"/>
        </w:rPr>
      </w:pPr>
    </w:p>
    <w:p w14:paraId="37937327">
      <w:pPr>
        <w:spacing w:line="500" w:lineRule="exact"/>
        <w:ind w:left="540"/>
        <w:rPr>
          <w:rFonts w:hint="eastAsia" w:ascii="宋体" w:hAnsi="宋体"/>
          <w:color w:val="auto"/>
          <w:sz w:val="24"/>
          <w:highlight w:val="none"/>
        </w:rPr>
      </w:pPr>
    </w:p>
    <w:p w14:paraId="76928AAF">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72C5FB60">
      <w:pPr>
        <w:spacing w:line="500" w:lineRule="exact"/>
        <w:ind w:left="540"/>
        <w:rPr>
          <w:rFonts w:hint="eastAsia" w:ascii="宋体" w:hAnsi="宋体"/>
          <w:color w:val="auto"/>
          <w:sz w:val="24"/>
          <w:highlight w:val="none"/>
        </w:rPr>
      </w:pPr>
    </w:p>
    <w:p w14:paraId="292D9DF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0B3DAD24">
      <w:pPr>
        <w:spacing w:line="500" w:lineRule="exact"/>
        <w:ind w:left="540"/>
        <w:jc w:val="right"/>
        <w:rPr>
          <w:rFonts w:hint="eastAsia" w:ascii="宋体" w:hAnsi="宋体"/>
          <w:color w:val="auto"/>
          <w:sz w:val="24"/>
          <w:highlight w:val="none"/>
        </w:rPr>
      </w:pPr>
    </w:p>
    <w:p w14:paraId="0917251D">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995A21C">
      <w:pPr>
        <w:snapToGrid w:val="0"/>
        <w:spacing w:before="120" w:beforeLines="50" w:after="50"/>
        <w:jc w:val="center"/>
        <w:rPr>
          <w:rFonts w:hint="eastAsia" w:ascii="宋体" w:hAnsi="宋体"/>
          <w:b/>
          <w:color w:val="auto"/>
          <w:sz w:val="24"/>
          <w:highlight w:val="none"/>
        </w:rPr>
      </w:pPr>
    </w:p>
    <w:p w14:paraId="3E4F43C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72EAD6A3">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7D33DE1">
      <w:pPr>
        <w:snapToGrid w:val="0"/>
        <w:spacing w:before="120" w:beforeLines="50" w:after="50"/>
        <w:jc w:val="center"/>
        <w:rPr>
          <w:rFonts w:hint="eastAsia" w:ascii="宋体" w:hAnsi="宋体"/>
          <w:b/>
          <w:color w:val="auto"/>
          <w:sz w:val="44"/>
          <w:szCs w:val="44"/>
          <w:highlight w:val="none"/>
        </w:rPr>
      </w:pPr>
    </w:p>
    <w:p w14:paraId="3B7C7BF2">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04758AC">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6598D25D">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0352A063">
      <w:pPr>
        <w:spacing w:line="440" w:lineRule="exact"/>
        <w:contextualSpacing/>
        <w:jc w:val="center"/>
        <w:rPr>
          <w:rFonts w:hint="eastAsia" w:ascii="宋体" w:hAnsi="宋体"/>
          <w:b/>
          <w:color w:val="auto"/>
          <w:sz w:val="24"/>
          <w:highlight w:val="none"/>
        </w:rPr>
      </w:pPr>
    </w:p>
    <w:p w14:paraId="6D5B85F6">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3FEE45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9C38D8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2D5A944F">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C01703E">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35C06B8">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CBC634B">
      <w:pPr>
        <w:spacing w:line="440" w:lineRule="exact"/>
        <w:contextualSpacing/>
        <w:rPr>
          <w:rFonts w:hint="eastAsia" w:ascii="宋体" w:hAnsi="宋体"/>
          <w:color w:val="auto"/>
          <w:sz w:val="24"/>
          <w:highlight w:val="none"/>
        </w:rPr>
      </w:pPr>
    </w:p>
    <w:p w14:paraId="669EC3BB">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0A433E06">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05D7DA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48B105C2">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B1683F7">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3" w:name="_Hlk65851555"/>
      <w:bookmarkStart w:id="154" w:name="_Hlk65851620"/>
      <w:r>
        <w:rPr>
          <w:rFonts w:hint="eastAsia" w:ascii="宋体" w:hAnsi="宋体" w:cs="仿宋_GB2312"/>
          <w:color w:val="auto"/>
          <w:sz w:val="24"/>
          <w:highlight w:val="none"/>
        </w:rPr>
        <w:t>法定代表人必须在授权委托书上亲笔签字或者盖章，</w:t>
      </w:r>
      <w:bookmarkEnd w:id="153"/>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4"/>
    </w:p>
    <w:p w14:paraId="0ADA6FAD">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7066CFA">
      <w:pPr>
        <w:snapToGrid w:val="0"/>
        <w:spacing w:before="120" w:beforeLines="50" w:after="50"/>
        <w:ind w:firstLine="566" w:firstLineChars="23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68A6C6E8">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145E0228">
      <w:pPr>
        <w:snapToGrid w:val="0"/>
        <w:spacing w:before="120" w:beforeLines="50" w:after="50"/>
        <w:ind w:firstLine="755" w:firstLineChars="236"/>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60B96169">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5D4D3B1">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B19126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7983E9F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0CC758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1644E120">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81D21FF">
      <w:pPr>
        <w:spacing w:line="440" w:lineRule="exact"/>
        <w:ind w:firstLine="566" w:firstLineChars="236"/>
        <w:contextualSpacing/>
        <w:rPr>
          <w:rFonts w:hint="eastAsia" w:ascii="宋体" w:hAnsi="宋体"/>
          <w:color w:val="auto"/>
          <w:sz w:val="24"/>
          <w:highlight w:val="none"/>
        </w:rPr>
      </w:pPr>
    </w:p>
    <w:p w14:paraId="122EB40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61E5CA6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600AB386">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8CE5AC5">
      <w:pPr>
        <w:spacing w:line="440" w:lineRule="exact"/>
        <w:ind w:firstLine="566" w:firstLineChars="236"/>
        <w:contextualSpacing/>
        <w:rPr>
          <w:rFonts w:hint="eastAsia" w:ascii="宋体" w:hAnsi="宋体"/>
          <w:color w:val="auto"/>
          <w:sz w:val="24"/>
          <w:highlight w:val="none"/>
        </w:rPr>
      </w:pPr>
    </w:p>
    <w:p w14:paraId="0F2B6775">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23A899FD">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32670B2A">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7251363">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0A312267">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4AF05CB8">
      <w:pPr>
        <w:snapToGrid w:val="0"/>
        <w:spacing w:before="50" w:after="120" w:afterLines="50"/>
        <w:ind w:firstLine="480" w:firstLineChars="200"/>
        <w:jc w:val="left"/>
        <w:rPr>
          <w:rFonts w:hint="eastAsia" w:ascii="宋体" w:hAnsi="宋体"/>
          <w:color w:val="auto"/>
          <w:sz w:val="24"/>
          <w:highlight w:val="none"/>
        </w:rPr>
        <w:sectPr>
          <w:footerReference r:id="rId8" w:type="first"/>
          <w:headerReference r:id="rId5" w:type="default"/>
          <w:footerReference r:id="rId6" w:type="default"/>
          <w:footerReference r:id="rId7" w:type="even"/>
          <w:pgSz w:w="11906" w:h="16838"/>
          <w:pgMar w:top="1134" w:right="1134" w:bottom="1134" w:left="1134" w:header="851" w:footer="567" w:gutter="0"/>
          <w:pgNumType w:fmt="decimal"/>
          <w:cols w:space="720" w:num="1"/>
          <w:titlePg/>
          <w:docGrid w:linePitch="312" w:charSpace="0"/>
        </w:sectPr>
      </w:pPr>
    </w:p>
    <w:p w14:paraId="22326E21">
      <w:pPr>
        <w:rPr>
          <w:rFonts w:hint="eastAsia" w:ascii="宋体" w:hAnsi="宋体"/>
          <w:color w:val="auto"/>
          <w:sz w:val="24"/>
          <w:highlight w:val="none"/>
        </w:rPr>
      </w:pPr>
    </w:p>
    <w:p w14:paraId="52BF2457">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3EF05B2D">
      <w:pPr>
        <w:snapToGrid w:val="0"/>
        <w:spacing w:before="50"/>
        <w:jc w:val="left"/>
        <w:rPr>
          <w:rFonts w:hint="eastAsia" w:ascii="宋体" w:hAnsi="宋体"/>
          <w:color w:val="auto"/>
          <w:sz w:val="24"/>
          <w:highlight w:val="none"/>
        </w:rPr>
      </w:pPr>
    </w:p>
    <w:p w14:paraId="03C67967">
      <w:pPr>
        <w:pStyle w:val="26"/>
        <w:rPr>
          <w:rFonts w:hint="eastAsia" w:ascii="宋体" w:hAnsi="宋体"/>
          <w:color w:val="auto"/>
          <w:sz w:val="24"/>
          <w:highlight w:val="none"/>
          <w:u w:val="singl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50"/>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3981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06CD968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BEBB97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70872C0">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3A190710">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5613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62239DE">
            <w:pPr>
              <w:spacing w:line="400" w:lineRule="atLeast"/>
              <w:jc w:val="center"/>
              <w:rPr>
                <w:rFonts w:ascii="宋体" w:hAnsi="宋体"/>
                <w:color w:val="auto"/>
                <w:sz w:val="24"/>
                <w:highlight w:val="none"/>
              </w:rPr>
            </w:pPr>
            <w:r>
              <w:rPr>
                <w:rFonts w:hint="eastAsia" w:ascii="宋体" w:hAnsi="宋体"/>
                <w:b w:val="0"/>
                <w:bCs w:val="0"/>
                <w:color w:val="auto"/>
                <w:sz w:val="21"/>
                <w:szCs w:val="21"/>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D494AB6">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4EFE323">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5B8AF6">
            <w:pPr>
              <w:snapToGrid w:val="0"/>
              <w:spacing w:before="120" w:beforeLines="50"/>
              <w:jc w:val="center"/>
              <w:rPr>
                <w:rFonts w:hint="eastAsia" w:ascii="宋体" w:hAnsi="宋体"/>
                <w:color w:val="auto"/>
                <w:sz w:val="24"/>
                <w:highlight w:val="none"/>
              </w:rPr>
            </w:pPr>
          </w:p>
        </w:tc>
      </w:tr>
      <w:tr w14:paraId="4F73C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93F2CFD">
            <w:pPr>
              <w:spacing w:line="400" w:lineRule="atLeast"/>
              <w:jc w:val="center"/>
              <w:rPr>
                <w:rFonts w:ascii="宋体" w:hAnsi="宋体"/>
                <w:color w:val="auto"/>
                <w:sz w:val="24"/>
                <w:highlight w:val="none"/>
              </w:rPr>
            </w:pPr>
            <w:r>
              <w:rPr>
                <w:rFonts w:hint="eastAsia" w:ascii="宋体" w:hAnsi="宋体" w:cs="宋体"/>
                <w:b w:val="0"/>
                <w:bCs w:val="0"/>
                <w:color w:val="auto"/>
                <w:sz w:val="21"/>
                <w:szCs w:val="21"/>
              </w:rPr>
              <w:t>合同履行期限和地点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378E329">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95D3645">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2C23603">
            <w:pPr>
              <w:snapToGrid w:val="0"/>
              <w:spacing w:before="120" w:beforeLines="50"/>
              <w:ind w:left="43"/>
              <w:jc w:val="center"/>
              <w:rPr>
                <w:rFonts w:hint="eastAsia" w:ascii="宋体" w:hAnsi="宋体"/>
                <w:color w:val="auto"/>
                <w:sz w:val="24"/>
                <w:highlight w:val="none"/>
              </w:rPr>
            </w:pPr>
          </w:p>
        </w:tc>
      </w:tr>
      <w:tr w14:paraId="579D1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E4EF40E">
            <w:pPr>
              <w:spacing w:line="400" w:lineRule="atLeast"/>
              <w:jc w:val="center"/>
              <w:rPr>
                <w:rFonts w:hint="eastAsia" w:ascii="宋体" w:hAnsi="宋体" w:cs="宋体"/>
                <w:color w:val="auto"/>
                <w:szCs w:val="21"/>
              </w:rPr>
            </w:pPr>
            <w:r>
              <w:rPr>
                <w:rFonts w:hint="eastAsia" w:ascii="宋体" w:hAnsi="宋体"/>
                <w:b w:val="0"/>
                <w:bCs w:val="0"/>
                <w:color w:val="auto"/>
                <w:sz w:val="21"/>
                <w:szCs w:val="21"/>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11FDBBA">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DA5B3ED">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7A90122">
            <w:pPr>
              <w:snapToGrid w:val="0"/>
              <w:spacing w:before="120" w:beforeLines="50"/>
              <w:ind w:left="43"/>
              <w:jc w:val="center"/>
              <w:rPr>
                <w:rFonts w:hint="eastAsia" w:ascii="宋体" w:hAnsi="宋体"/>
                <w:color w:val="auto"/>
                <w:sz w:val="24"/>
                <w:highlight w:val="none"/>
              </w:rPr>
            </w:pPr>
          </w:p>
        </w:tc>
      </w:tr>
      <w:tr w14:paraId="7ED7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6E98BCA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E906EE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E081583">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5AD601B">
            <w:pPr>
              <w:snapToGrid w:val="0"/>
              <w:spacing w:before="120" w:beforeLines="50"/>
              <w:jc w:val="center"/>
              <w:rPr>
                <w:rFonts w:hint="eastAsia" w:ascii="宋体" w:hAnsi="宋体"/>
                <w:color w:val="auto"/>
                <w:sz w:val="24"/>
                <w:highlight w:val="none"/>
              </w:rPr>
            </w:pPr>
          </w:p>
        </w:tc>
      </w:tr>
    </w:tbl>
    <w:p w14:paraId="2184776A">
      <w:pPr>
        <w:pStyle w:val="19"/>
        <w:rPr>
          <w:rFonts w:hint="eastAsia" w:ascii="宋体" w:hAnsi="宋体"/>
          <w:color w:val="auto"/>
          <w:highlight w:val="none"/>
        </w:rPr>
      </w:pPr>
      <w:r>
        <w:rPr>
          <w:rFonts w:hint="eastAsia" w:ascii="宋体" w:hAnsi="宋体"/>
          <w:color w:val="auto"/>
          <w:highlight w:val="none"/>
        </w:rPr>
        <w:t>注：</w:t>
      </w:r>
    </w:p>
    <w:p w14:paraId="07E4DDEF">
      <w:pPr>
        <w:pStyle w:val="21"/>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w:t>
      </w:r>
      <w:r>
        <w:rPr>
          <w:rFonts w:hint="eastAsia" w:ascii="宋体" w:hAnsi="宋体" w:eastAsia="宋体"/>
          <w:color w:val="auto"/>
          <w:sz w:val="24"/>
          <w:szCs w:val="24"/>
          <w:highlight w:val="none"/>
        </w:rPr>
        <w:t>并作出偏离说明</w:t>
      </w:r>
      <w:r>
        <w:rPr>
          <w:rFonts w:hint="eastAsia" w:ascii="宋体" w:hAnsi="宋体" w:eastAsia="宋体"/>
          <w:color w:val="auto"/>
          <w:sz w:val="24"/>
          <w:szCs w:val="24"/>
          <w:highlight w:val="none"/>
          <w:lang w:eastAsia="zh-CN"/>
        </w:rPr>
        <w:t>，否则投标文件按无效投标处理</w:t>
      </w:r>
      <w:r>
        <w:rPr>
          <w:rFonts w:hint="eastAsia" w:ascii="宋体" w:hAnsi="宋体" w:eastAsia="宋体"/>
          <w:color w:val="auto"/>
          <w:sz w:val="24"/>
          <w:szCs w:val="24"/>
          <w:highlight w:val="none"/>
        </w:rPr>
        <w:t>。</w:t>
      </w:r>
    </w:p>
    <w:p w14:paraId="5663DD26">
      <w:pPr>
        <w:pStyle w:val="19"/>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CB0F0C1">
      <w:pPr>
        <w:snapToGrid w:val="0"/>
        <w:spacing w:before="50" w:after="50"/>
        <w:rPr>
          <w:rFonts w:ascii="宋体" w:hAnsi="宋体"/>
          <w:color w:val="auto"/>
          <w:sz w:val="24"/>
          <w:highlight w:val="none"/>
        </w:rPr>
      </w:pPr>
    </w:p>
    <w:p w14:paraId="3EB4F084">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182588F4">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1CFB9FD">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821216C">
      <w:pPr>
        <w:snapToGrid w:val="0"/>
        <w:spacing w:before="120" w:beforeLines="50"/>
        <w:rPr>
          <w:rFonts w:hint="eastAsia" w:ascii="宋体" w:hAnsi="宋体"/>
          <w:color w:val="auto"/>
          <w:sz w:val="24"/>
          <w:szCs w:val="20"/>
          <w:highlight w:val="none"/>
        </w:rPr>
      </w:pPr>
    </w:p>
    <w:p w14:paraId="58744B0F">
      <w:pPr>
        <w:snapToGrid w:val="0"/>
        <w:spacing w:before="120" w:beforeLines="50"/>
        <w:rPr>
          <w:rFonts w:hint="eastAsia" w:ascii="宋体" w:hAnsi="宋体"/>
          <w:color w:val="auto"/>
          <w:sz w:val="24"/>
          <w:szCs w:val="20"/>
          <w:highlight w:val="none"/>
        </w:rPr>
      </w:pPr>
    </w:p>
    <w:p w14:paraId="67A6CE69">
      <w:pPr>
        <w:snapToGrid w:val="0"/>
        <w:spacing w:before="120" w:beforeLines="50"/>
        <w:rPr>
          <w:rFonts w:hint="eastAsia" w:ascii="宋体" w:hAnsi="宋体"/>
          <w:color w:val="auto"/>
          <w:sz w:val="24"/>
          <w:szCs w:val="20"/>
          <w:highlight w:val="none"/>
        </w:rPr>
      </w:pPr>
    </w:p>
    <w:p w14:paraId="694C90BD">
      <w:pPr>
        <w:snapToGrid w:val="0"/>
        <w:spacing w:before="120" w:beforeLines="50"/>
        <w:rPr>
          <w:rFonts w:hint="eastAsia" w:ascii="宋体" w:hAnsi="宋体"/>
          <w:color w:val="auto"/>
          <w:sz w:val="24"/>
          <w:szCs w:val="20"/>
          <w:highlight w:val="none"/>
        </w:rPr>
      </w:pPr>
    </w:p>
    <w:p w14:paraId="1AE71FAE">
      <w:pPr>
        <w:snapToGrid w:val="0"/>
        <w:spacing w:before="120" w:beforeLines="50"/>
        <w:rPr>
          <w:rFonts w:hint="eastAsia" w:ascii="宋体" w:hAnsi="宋体"/>
          <w:color w:val="auto"/>
          <w:sz w:val="24"/>
          <w:szCs w:val="20"/>
          <w:highlight w:val="none"/>
        </w:rPr>
      </w:pPr>
    </w:p>
    <w:p w14:paraId="64D6025C">
      <w:pPr>
        <w:snapToGrid w:val="0"/>
        <w:spacing w:before="120" w:beforeLines="50"/>
        <w:rPr>
          <w:rFonts w:hint="eastAsia" w:ascii="宋体" w:hAnsi="宋体"/>
          <w:color w:val="auto"/>
          <w:sz w:val="24"/>
          <w:szCs w:val="20"/>
          <w:highlight w:val="none"/>
        </w:rPr>
      </w:pPr>
    </w:p>
    <w:p w14:paraId="6F8A754F">
      <w:pPr>
        <w:snapToGrid w:val="0"/>
        <w:spacing w:before="120" w:beforeLines="50"/>
        <w:rPr>
          <w:rFonts w:hint="eastAsia" w:ascii="宋体" w:hAnsi="宋体"/>
          <w:color w:val="auto"/>
          <w:sz w:val="24"/>
          <w:szCs w:val="20"/>
          <w:highlight w:val="none"/>
        </w:rPr>
      </w:pPr>
    </w:p>
    <w:p w14:paraId="05BC01E4">
      <w:pPr>
        <w:snapToGrid w:val="0"/>
        <w:spacing w:before="120" w:beforeLines="50"/>
        <w:rPr>
          <w:rFonts w:hint="eastAsia" w:ascii="宋体" w:hAnsi="宋体"/>
          <w:color w:val="auto"/>
          <w:sz w:val="24"/>
          <w:szCs w:val="20"/>
          <w:highlight w:val="none"/>
        </w:rPr>
      </w:pPr>
    </w:p>
    <w:p w14:paraId="2946AA80">
      <w:pPr>
        <w:snapToGrid w:val="0"/>
        <w:spacing w:before="120" w:beforeLines="50"/>
        <w:rPr>
          <w:rFonts w:hint="eastAsia" w:ascii="宋体" w:hAnsi="宋体"/>
          <w:color w:val="auto"/>
          <w:sz w:val="24"/>
          <w:szCs w:val="20"/>
          <w:highlight w:val="none"/>
        </w:rPr>
      </w:pPr>
    </w:p>
    <w:p w14:paraId="00A4082C">
      <w:pPr>
        <w:snapToGrid w:val="0"/>
        <w:spacing w:before="120" w:beforeLines="50"/>
        <w:rPr>
          <w:rFonts w:hint="eastAsia" w:ascii="宋体" w:hAnsi="宋体"/>
          <w:color w:val="auto"/>
          <w:sz w:val="24"/>
          <w:szCs w:val="20"/>
          <w:highlight w:val="none"/>
        </w:rPr>
      </w:pPr>
    </w:p>
    <w:p w14:paraId="466306E1">
      <w:pPr>
        <w:snapToGrid w:val="0"/>
        <w:spacing w:before="120" w:beforeLines="50"/>
        <w:rPr>
          <w:rFonts w:hint="eastAsia" w:ascii="宋体" w:hAnsi="宋体"/>
          <w:color w:val="auto"/>
          <w:sz w:val="24"/>
          <w:szCs w:val="20"/>
          <w:highlight w:val="none"/>
        </w:rPr>
      </w:pPr>
    </w:p>
    <w:p w14:paraId="245DECB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2F6E9E9F">
      <w:pPr>
        <w:pStyle w:val="37"/>
        <w:snapToGrid w:val="0"/>
        <w:ind w:left="480" w:hanging="480"/>
        <w:rPr>
          <w:rFonts w:hint="eastAsia" w:ascii="宋体" w:hAnsi="宋体"/>
          <w:color w:val="auto"/>
          <w:sz w:val="24"/>
          <w:highlight w:val="none"/>
        </w:rPr>
      </w:pPr>
    </w:p>
    <w:p w14:paraId="5E87B73C">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5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53FF8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1D6B75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A394F8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EBE9D2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04FA15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8BDB502">
            <w:pPr>
              <w:keepNext w:val="0"/>
              <w:keepLines w:val="0"/>
              <w:pageBreakBefore w:val="0"/>
              <w:widowControl/>
              <w:suppressLineNumbers w:val="0"/>
              <w:kinsoku/>
              <w:wordWrap/>
              <w:overflowPunct/>
              <w:topLinePunct w:val="0"/>
              <w:autoSpaceDE/>
              <w:autoSpaceDN/>
              <w:bidi w:val="0"/>
              <w:adjustRightInd/>
              <w:spacing w:line="360" w:lineRule="auto"/>
              <w:ind w:firstLine="240" w:firstLineChars="100"/>
              <w:jc w:val="left"/>
              <w:textAlignment w:val="auto"/>
              <w:rPr>
                <w:b w:val="0"/>
                <w:bCs w:val="0"/>
                <w:color w:val="auto"/>
              </w:rPr>
            </w:pPr>
            <w:r>
              <w:rPr>
                <w:rFonts w:hint="eastAsia" w:ascii="宋体" w:hAnsi="宋体" w:eastAsia="宋体" w:cs="宋体"/>
                <w:b w:val="0"/>
                <w:bCs w:val="0"/>
                <w:color w:val="auto"/>
                <w:kern w:val="0"/>
                <w:sz w:val="24"/>
                <w:szCs w:val="24"/>
                <w:lang w:val="en-US" w:eastAsia="zh-CN" w:bidi="ar"/>
              </w:rPr>
              <w:t xml:space="preserve">采购人联系人及 </w:t>
            </w:r>
          </w:p>
          <w:p w14:paraId="0AAE1656">
            <w:pPr>
              <w:keepNext w:val="0"/>
              <w:keepLines w:val="0"/>
              <w:pageBreakBefore w:val="0"/>
              <w:widowControl/>
              <w:suppressLineNumbers w:val="0"/>
              <w:kinsoku/>
              <w:wordWrap/>
              <w:overflowPunct/>
              <w:topLinePunct w:val="0"/>
              <w:autoSpaceDE/>
              <w:autoSpaceDN/>
              <w:bidi w:val="0"/>
              <w:adjustRightInd/>
              <w:spacing w:line="360" w:lineRule="auto"/>
              <w:ind w:firstLine="720" w:firstLineChars="300"/>
              <w:jc w:val="left"/>
              <w:textAlignment w:val="auto"/>
              <w:rPr>
                <w:rFonts w:hint="eastAsia" w:ascii="宋体" w:hAnsi="宋体"/>
                <w:color w:val="auto"/>
                <w:sz w:val="24"/>
                <w:highlight w:val="none"/>
              </w:rPr>
            </w:pPr>
            <w:r>
              <w:rPr>
                <w:rFonts w:hint="eastAsia" w:ascii="宋体" w:hAnsi="宋体" w:eastAsia="宋体" w:cs="宋体"/>
                <w:b w:val="0"/>
                <w:bCs w:val="0"/>
                <w:color w:val="auto"/>
                <w:kern w:val="0"/>
                <w:sz w:val="24"/>
                <w:szCs w:val="24"/>
                <w:lang w:val="en-US" w:eastAsia="zh-CN" w:bidi="ar"/>
              </w:rPr>
              <w:t xml:space="preserve">联系电话 </w:t>
            </w:r>
          </w:p>
        </w:tc>
      </w:tr>
      <w:tr w14:paraId="5FD58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6B48507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08C37E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516C0B8F">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006E0FF2">
            <w:pPr>
              <w:jc w:val="left"/>
              <w:rPr>
                <w:rFonts w:hint="eastAsia" w:ascii="宋体" w:hAnsi="宋体"/>
                <w:color w:val="auto"/>
                <w:sz w:val="24"/>
                <w:highlight w:val="none"/>
              </w:rPr>
            </w:pPr>
          </w:p>
        </w:tc>
      </w:tr>
      <w:tr w14:paraId="4CDFE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E69BB85">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3B37DBF">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115BC46">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E79754F">
            <w:pPr>
              <w:snapToGrid w:val="0"/>
              <w:spacing w:line="240" w:lineRule="exact"/>
              <w:jc w:val="left"/>
              <w:rPr>
                <w:rFonts w:hint="eastAsia" w:ascii="宋体" w:hAnsi="宋体"/>
                <w:color w:val="auto"/>
                <w:sz w:val="24"/>
                <w:highlight w:val="none"/>
              </w:rPr>
            </w:pPr>
          </w:p>
        </w:tc>
      </w:tr>
      <w:tr w14:paraId="15F04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250" w:type="pct"/>
            <w:tcBorders>
              <w:top w:val="single" w:color="auto" w:sz="4" w:space="0"/>
              <w:left w:val="single" w:color="auto" w:sz="4" w:space="0"/>
              <w:bottom w:val="single" w:color="auto" w:sz="4" w:space="0"/>
              <w:right w:val="single" w:color="auto" w:sz="4" w:space="0"/>
            </w:tcBorders>
            <w:noWrap w:val="0"/>
            <w:vAlign w:val="top"/>
          </w:tcPr>
          <w:p w14:paraId="5D60D3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490959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61AE703">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B32F2EF">
            <w:pPr>
              <w:snapToGrid w:val="0"/>
              <w:spacing w:before="50" w:after="120" w:afterLines="50" w:line="400" w:lineRule="exact"/>
              <w:jc w:val="left"/>
              <w:rPr>
                <w:rFonts w:hint="eastAsia" w:ascii="宋体" w:hAnsi="宋体"/>
                <w:color w:val="auto"/>
                <w:sz w:val="24"/>
                <w:highlight w:val="none"/>
              </w:rPr>
            </w:pPr>
          </w:p>
        </w:tc>
      </w:tr>
      <w:tr w14:paraId="6BDC4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56174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9598206">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B5D66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3125756">
            <w:pPr>
              <w:snapToGrid w:val="0"/>
              <w:spacing w:before="50" w:after="120" w:afterLines="50" w:line="400" w:lineRule="exact"/>
              <w:jc w:val="left"/>
              <w:rPr>
                <w:rFonts w:hint="eastAsia" w:ascii="宋体" w:hAnsi="宋体"/>
                <w:color w:val="auto"/>
                <w:sz w:val="24"/>
                <w:highlight w:val="none"/>
              </w:rPr>
            </w:pPr>
          </w:p>
        </w:tc>
      </w:tr>
      <w:tr w14:paraId="1E56E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250" w:type="pct"/>
            <w:tcBorders>
              <w:top w:val="single" w:color="auto" w:sz="4" w:space="0"/>
              <w:left w:val="single" w:color="auto" w:sz="4" w:space="0"/>
              <w:bottom w:val="single" w:color="auto" w:sz="4" w:space="0"/>
              <w:right w:val="single" w:color="auto" w:sz="4" w:space="0"/>
            </w:tcBorders>
            <w:noWrap w:val="0"/>
            <w:vAlign w:val="top"/>
          </w:tcPr>
          <w:p w14:paraId="15F66C3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42E27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C2D2A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1D7C444">
            <w:pPr>
              <w:snapToGrid w:val="0"/>
              <w:spacing w:before="50" w:after="120" w:afterLines="50" w:line="400" w:lineRule="exact"/>
              <w:jc w:val="left"/>
              <w:rPr>
                <w:rFonts w:hint="eastAsia" w:ascii="宋体" w:hAnsi="宋体"/>
                <w:color w:val="auto"/>
                <w:sz w:val="24"/>
                <w:highlight w:val="none"/>
              </w:rPr>
            </w:pPr>
          </w:p>
        </w:tc>
      </w:tr>
      <w:tr w14:paraId="42E8F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1250" w:type="pct"/>
            <w:tcBorders>
              <w:top w:val="single" w:color="auto" w:sz="4" w:space="0"/>
              <w:left w:val="single" w:color="auto" w:sz="4" w:space="0"/>
              <w:bottom w:val="single" w:color="auto" w:sz="4" w:space="0"/>
              <w:right w:val="single" w:color="auto" w:sz="4" w:space="0"/>
            </w:tcBorders>
            <w:noWrap w:val="0"/>
            <w:vAlign w:val="top"/>
          </w:tcPr>
          <w:p w14:paraId="366F30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8F8667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9317A76">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ACEF6EE">
            <w:pPr>
              <w:snapToGrid w:val="0"/>
              <w:spacing w:before="50" w:after="120" w:afterLines="50" w:line="400" w:lineRule="exact"/>
              <w:jc w:val="left"/>
              <w:rPr>
                <w:rFonts w:hint="eastAsia" w:ascii="宋体" w:hAnsi="宋体"/>
                <w:color w:val="auto"/>
                <w:sz w:val="24"/>
                <w:highlight w:val="none"/>
              </w:rPr>
            </w:pPr>
          </w:p>
        </w:tc>
      </w:tr>
    </w:tbl>
    <w:p w14:paraId="695C5D43">
      <w:pPr>
        <w:pStyle w:val="16"/>
        <w:spacing w:before="0" w:after="0" w:line="360" w:lineRule="auto"/>
        <w:contextualSpacing/>
        <w:rPr>
          <w:rFonts w:hint="eastAsia" w:ascii="宋体" w:hAnsi="宋体" w:eastAsia="宋体"/>
          <w:color w:val="auto"/>
          <w:sz w:val="24"/>
          <w:szCs w:val="24"/>
          <w:highlight w:val="none"/>
        </w:rPr>
      </w:pPr>
    </w:p>
    <w:p w14:paraId="0986F09E">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6D322C3A">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594C31C">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0E53BEA2">
      <w:pPr>
        <w:snapToGrid w:val="0"/>
        <w:spacing w:before="50"/>
        <w:ind w:firstLine="480" w:firstLineChars="200"/>
        <w:jc w:val="left"/>
        <w:rPr>
          <w:rFonts w:hint="eastAsia" w:ascii="宋体" w:hAnsi="宋体"/>
          <w:color w:val="auto"/>
          <w:sz w:val="24"/>
          <w:szCs w:val="20"/>
          <w:highlight w:val="none"/>
        </w:rPr>
      </w:pPr>
    </w:p>
    <w:p w14:paraId="033B8AF1">
      <w:pPr>
        <w:snapToGrid w:val="0"/>
        <w:spacing w:before="50"/>
        <w:jc w:val="left"/>
        <w:rPr>
          <w:rFonts w:hint="eastAsia" w:ascii="宋体" w:hAnsi="宋体"/>
          <w:color w:val="auto"/>
          <w:sz w:val="24"/>
          <w:highlight w:val="none"/>
        </w:rPr>
      </w:pPr>
    </w:p>
    <w:p w14:paraId="1664CE7E">
      <w:pPr>
        <w:rPr>
          <w:rFonts w:hint="eastAsia"/>
          <w:b/>
          <w:color w:val="auto"/>
          <w:sz w:val="28"/>
          <w:szCs w:val="28"/>
          <w:highlight w:val="none"/>
        </w:rPr>
      </w:pPr>
    </w:p>
    <w:p w14:paraId="68A6ADA6">
      <w:pPr>
        <w:rPr>
          <w:rFonts w:hint="eastAsia"/>
          <w:b/>
          <w:color w:val="auto"/>
          <w:sz w:val="28"/>
          <w:szCs w:val="28"/>
          <w:highlight w:val="none"/>
        </w:rPr>
      </w:pPr>
    </w:p>
    <w:p w14:paraId="51B2600D">
      <w:pPr>
        <w:rPr>
          <w:rFonts w:hint="eastAsia"/>
          <w:b/>
          <w:color w:val="auto"/>
          <w:sz w:val="28"/>
          <w:szCs w:val="28"/>
          <w:highlight w:val="none"/>
        </w:rPr>
      </w:pPr>
    </w:p>
    <w:p w14:paraId="134E246D">
      <w:pPr>
        <w:rPr>
          <w:rFonts w:hint="eastAsia"/>
          <w:b/>
          <w:color w:val="auto"/>
          <w:sz w:val="28"/>
          <w:szCs w:val="28"/>
          <w:highlight w:val="none"/>
        </w:rPr>
      </w:pPr>
    </w:p>
    <w:p w14:paraId="6F5754EC">
      <w:pPr>
        <w:rPr>
          <w:rFonts w:hint="eastAsia"/>
          <w:b/>
          <w:color w:val="auto"/>
          <w:sz w:val="28"/>
          <w:szCs w:val="28"/>
          <w:highlight w:val="none"/>
        </w:rPr>
      </w:pPr>
    </w:p>
    <w:p w14:paraId="346A8C18">
      <w:pPr>
        <w:rPr>
          <w:rFonts w:hint="eastAsia"/>
          <w:b/>
          <w:color w:val="auto"/>
          <w:sz w:val="28"/>
          <w:szCs w:val="28"/>
          <w:highlight w:val="none"/>
        </w:rPr>
      </w:pPr>
    </w:p>
    <w:p w14:paraId="2053B8D5">
      <w:pPr>
        <w:rPr>
          <w:rFonts w:hint="eastAsia"/>
          <w:b/>
          <w:color w:val="auto"/>
          <w:sz w:val="28"/>
          <w:szCs w:val="28"/>
          <w:highlight w:val="none"/>
        </w:rPr>
      </w:pPr>
    </w:p>
    <w:p w14:paraId="134AFCF5">
      <w:pPr>
        <w:rPr>
          <w:rFonts w:hint="eastAsia"/>
          <w:b/>
          <w:color w:val="auto"/>
          <w:sz w:val="28"/>
          <w:szCs w:val="28"/>
          <w:highlight w:val="none"/>
        </w:rPr>
      </w:pPr>
    </w:p>
    <w:p w14:paraId="15702288">
      <w:pPr>
        <w:rPr>
          <w:rFonts w:hint="eastAsia"/>
          <w:b/>
          <w:color w:val="auto"/>
          <w:sz w:val="28"/>
          <w:szCs w:val="28"/>
          <w:highlight w:val="none"/>
        </w:rPr>
      </w:pPr>
    </w:p>
    <w:p w14:paraId="63014473">
      <w:pPr>
        <w:rPr>
          <w:rFonts w:hint="eastAsia"/>
          <w:b/>
          <w:color w:val="auto"/>
          <w:sz w:val="28"/>
          <w:szCs w:val="28"/>
          <w:highlight w:val="none"/>
        </w:rPr>
      </w:pPr>
    </w:p>
    <w:p w14:paraId="2A506368">
      <w:pPr>
        <w:rPr>
          <w:rFonts w:hint="eastAsia"/>
          <w:b/>
          <w:color w:val="auto"/>
          <w:sz w:val="28"/>
          <w:szCs w:val="28"/>
          <w:highlight w:val="none"/>
        </w:rPr>
      </w:pPr>
    </w:p>
    <w:p w14:paraId="65860929">
      <w:pPr>
        <w:rPr>
          <w:rFonts w:hint="eastAsia"/>
          <w:b/>
          <w:color w:val="auto"/>
          <w:sz w:val="28"/>
          <w:szCs w:val="28"/>
          <w:highlight w:val="none"/>
        </w:rPr>
      </w:pPr>
    </w:p>
    <w:p w14:paraId="5AE74FE4">
      <w:pPr>
        <w:rPr>
          <w:rFonts w:hint="eastAsia"/>
          <w:b/>
          <w:color w:val="auto"/>
          <w:sz w:val="28"/>
          <w:szCs w:val="28"/>
          <w:highlight w:val="none"/>
        </w:rPr>
      </w:pPr>
    </w:p>
    <w:p w14:paraId="75DC4969">
      <w:pPr>
        <w:rPr>
          <w:rFonts w:hint="eastAsia"/>
          <w:b/>
          <w:color w:val="auto"/>
          <w:sz w:val="28"/>
          <w:szCs w:val="28"/>
          <w:highlight w:val="none"/>
        </w:rPr>
      </w:pPr>
    </w:p>
    <w:p w14:paraId="452B7C56">
      <w:pPr>
        <w:rPr>
          <w:rFonts w:hint="eastAsia"/>
          <w:b/>
          <w:color w:val="auto"/>
          <w:sz w:val="28"/>
          <w:szCs w:val="28"/>
          <w:highlight w:val="none"/>
        </w:rPr>
      </w:pPr>
    </w:p>
    <w:p w14:paraId="032CE75C">
      <w:pPr>
        <w:rPr>
          <w:rFonts w:hint="eastAsia"/>
          <w:b/>
          <w:color w:val="auto"/>
          <w:sz w:val="28"/>
          <w:szCs w:val="28"/>
          <w:highlight w:val="none"/>
        </w:rPr>
      </w:pPr>
    </w:p>
    <w:p w14:paraId="371DF1FE">
      <w:pPr>
        <w:rPr>
          <w:rFonts w:hint="eastAsia"/>
          <w:b/>
          <w:color w:val="auto"/>
          <w:sz w:val="28"/>
          <w:szCs w:val="28"/>
          <w:highlight w:val="none"/>
        </w:rPr>
      </w:pPr>
      <w:r>
        <w:rPr>
          <w:rFonts w:hint="eastAsia"/>
          <w:b/>
          <w:color w:val="auto"/>
          <w:sz w:val="28"/>
          <w:szCs w:val="28"/>
          <w:highlight w:val="none"/>
        </w:rPr>
        <w:t>四、技术文件格式</w:t>
      </w:r>
    </w:p>
    <w:p w14:paraId="74A8332B">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2C34B716">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68B94847">
      <w:pPr>
        <w:snapToGrid w:val="0"/>
        <w:spacing w:before="120" w:beforeLines="50" w:after="50"/>
        <w:rPr>
          <w:rFonts w:hint="eastAsia" w:ascii="宋体" w:hAnsi="宋体"/>
          <w:color w:val="auto"/>
          <w:sz w:val="24"/>
          <w:szCs w:val="20"/>
          <w:highlight w:val="none"/>
        </w:rPr>
      </w:pPr>
    </w:p>
    <w:p w14:paraId="470C94FE">
      <w:pPr>
        <w:snapToGrid w:val="0"/>
        <w:spacing w:before="120" w:beforeLines="50" w:after="50"/>
        <w:rPr>
          <w:rFonts w:hint="eastAsia" w:ascii="宋体" w:hAnsi="宋体"/>
          <w:color w:val="auto"/>
          <w:sz w:val="24"/>
          <w:szCs w:val="20"/>
          <w:highlight w:val="none"/>
        </w:rPr>
      </w:pPr>
    </w:p>
    <w:p w14:paraId="56D42C47">
      <w:pPr>
        <w:snapToGrid w:val="0"/>
        <w:spacing w:before="120" w:beforeLines="50" w:after="50"/>
        <w:jc w:val="center"/>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42D6D0AE">
      <w:pPr>
        <w:snapToGrid w:val="0"/>
        <w:spacing w:before="120" w:beforeLines="50" w:after="50"/>
        <w:rPr>
          <w:rFonts w:hint="eastAsia" w:ascii="宋体" w:hAnsi="宋体"/>
          <w:color w:val="auto"/>
          <w:sz w:val="24"/>
          <w:szCs w:val="20"/>
          <w:highlight w:val="none"/>
        </w:rPr>
      </w:pPr>
    </w:p>
    <w:p w14:paraId="1651BA18">
      <w:pPr>
        <w:snapToGrid w:val="0"/>
        <w:spacing w:before="120" w:beforeLines="50" w:after="50"/>
        <w:rPr>
          <w:rFonts w:hint="eastAsia" w:ascii="宋体" w:hAnsi="宋体"/>
          <w:color w:val="auto"/>
          <w:sz w:val="24"/>
          <w:szCs w:val="20"/>
          <w:highlight w:val="none"/>
        </w:rPr>
      </w:pPr>
    </w:p>
    <w:p w14:paraId="79D94737">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7486FC44">
      <w:pPr>
        <w:snapToGrid w:val="0"/>
        <w:spacing w:before="120" w:beforeLines="50" w:after="50"/>
        <w:rPr>
          <w:rFonts w:hint="eastAsia" w:ascii="宋体" w:hAnsi="宋体"/>
          <w:bCs/>
          <w:color w:val="auto"/>
          <w:sz w:val="24"/>
          <w:szCs w:val="20"/>
          <w:highlight w:val="none"/>
        </w:rPr>
      </w:pPr>
    </w:p>
    <w:p w14:paraId="1BB02AA7">
      <w:pPr>
        <w:snapToGrid w:val="0"/>
        <w:spacing w:before="120" w:beforeLines="50" w:after="50"/>
        <w:rPr>
          <w:rFonts w:hint="eastAsia" w:ascii="宋体" w:hAnsi="宋体"/>
          <w:bCs/>
          <w:color w:val="auto"/>
          <w:sz w:val="24"/>
          <w:szCs w:val="20"/>
          <w:highlight w:val="none"/>
        </w:rPr>
      </w:pPr>
    </w:p>
    <w:p w14:paraId="0287883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1191E286">
      <w:pPr>
        <w:snapToGrid w:val="0"/>
        <w:spacing w:before="120" w:beforeLines="50" w:after="50" w:line="400" w:lineRule="exact"/>
        <w:ind w:firstLine="360" w:firstLineChars="150"/>
        <w:rPr>
          <w:rFonts w:hint="eastAsia" w:ascii="宋体" w:hAnsi="宋体"/>
          <w:bCs/>
          <w:color w:val="auto"/>
          <w:sz w:val="24"/>
          <w:szCs w:val="20"/>
          <w:highlight w:val="none"/>
        </w:rPr>
      </w:pPr>
    </w:p>
    <w:p w14:paraId="46141CDB">
      <w:pPr>
        <w:snapToGrid w:val="0"/>
        <w:spacing w:before="120"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bCs/>
          <w:color w:val="auto"/>
          <w:sz w:val="24"/>
          <w:highlight w:val="none"/>
        </w:rPr>
        <w:t xml:space="preserve">项目编号： </w:t>
      </w:r>
    </w:p>
    <w:p w14:paraId="77AFC057">
      <w:pPr>
        <w:snapToGrid w:val="0"/>
        <w:spacing w:before="120" w:beforeLines="50" w:after="50" w:line="400" w:lineRule="exact"/>
        <w:ind w:firstLine="360" w:firstLineChars="150"/>
        <w:rPr>
          <w:rFonts w:hint="eastAsia" w:ascii="宋体" w:hAnsi="宋体" w:eastAsia="宋体" w:cs="Times New Roman"/>
          <w:bCs/>
          <w:color w:val="auto"/>
          <w:sz w:val="24"/>
          <w:highlight w:val="none"/>
        </w:rPr>
      </w:pPr>
    </w:p>
    <w:p w14:paraId="3F824976">
      <w:pPr>
        <w:snapToGrid w:val="0"/>
        <w:spacing w:before="120"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06871947">
      <w:pPr>
        <w:snapToGrid w:val="0"/>
        <w:spacing w:before="120" w:beforeLines="50" w:after="50" w:line="400" w:lineRule="exact"/>
        <w:ind w:firstLine="360" w:firstLineChars="150"/>
        <w:rPr>
          <w:rFonts w:hint="eastAsia" w:ascii="宋体" w:hAnsi="宋体" w:eastAsia="宋体" w:cs="Times New Roman"/>
          <w:bCs/>
          <w:color w:val="auto"/>
          <w:sz w:val="24"/>
          <w:highlight w:val="none"/>
        </w:rPr>
      </w:pPr>
    </w:p>
    <w:p w14:paraId="2DD8590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D268AD2">
      <w:pPr>
        <w:snapToGrid w:val="0"/>
        <w:spacing w:before="120" w:beforeLines="50" w:after="50" w:line="400" w:lineRule="exact"/>
        <w:ind w:firstLine="360" w:firstLineChars="150"/>
        <w:rPr>
          <w:rFonts w:hint="eastAsia" w:ascii="宋体" w:hAnsi="宋体"/>
          <w:bCs/>
          <w:color w:val="auto"/>
          <w:sz w:val="24"/>
          <w:highlight w:val="none"/>
        </w:rPr>
      </w:pPr>
    </w:p>
    <w:p w14:paraId="4E7D0D4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C175EE4">
      <w:pPr>
        <w:snapToGrid w:val="0"/>
        <w:spacing w:before="120" w:beforeLines="50" w:after="50" w:line="400" w:lineRule="exact"/>
        <w:ind w:firstLine="360" w:firstLineChars="150"/>
        <w:rPr>
          <w:rFonts w:hint="eastAsia" w:ascii="宋体" w:hAnsi="宋体"/>
          <w:bCs/>
          <w:color w:val="auto"/>
          <w:sz w:val="24"/>
          <w:highlight w:val="none"/>
        </w:rPr>
      </w:pPr>
    </w:p>
    <w:p w14:paraId="199483DD">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751BEE45">
      <w:pPr>
        <w:snapToGrid w:val="0"/>
        <w:spacing w:before="120" w:beforeLines="50" w:after="50"/>
        <w:ind w:firstLine="645"/>
        <w:jc w:val="center"/>
        <w:rPr>
          <w:rFonts w:hint="eastAsia" w:ascii="宋体" w:hAnsi="宋体"/>
          <w:color w:val="auto"/>
          <w:sz w:val="24"/>
          <w:highlight w:val="none"/>
        </w:rPr>
      </w:pPr>
    </w:p>
    <w:p w14:paraId="442ED160">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1AD77161">
      <w:pPr>
        <w:snapToGrid w:val="0"/>
        <w:spacing w:before="120" w:beforeLines="50" w:after="50"/>
        <w:ind w:firstLine="645"/>
        <w:jc w:val="center"/>
        <w:rPr>
          <w:rFonts w:hint="eastAsia" w:ascii="宋体" w:hAnsi="宋体"/>
          <w:color w:val="auto"/>
          <w:sz w:val="24"/>
          <w:szCs w:val="20"/>
          <w:highlight w:val="none"/>
        </w:rPr>
      </w:pPr>
    </w:p>
    <w:p w14:paraId="161D3FE1">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06BA6E6C">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6199D068">
      <w:pPr>
        <w:snapToGrid w:val="0"/>
        <w:spacing w:before="50" w:after="120" w:afterLines="50"/>
        <w:jc w:val="left"/>
        <w:rPr>
          <w:rFonts w:hint="eastAsia" w:ascii="宋体" w:hAnsi="宋体"/>
          <w:color w:val="auto"/>
          <w:sz w:val="24"/>
          <w:szCs w:val="20"/>
          <w:highlight w:val="none"/>
        </w:rPr>
      </w:pPr>
    </w:p>
    <w:p w14:paraId="2D5A25C3">
      <w:pPr>
        <w:snapToGrid w:val="0"/>
        <w:spacing w:before="120" w:beforeLines="50" w:after="50"/>
        <w:ind w:left="142"/>
        <w:jc w:val="left"/>
        <w:rPr>
          <w:rFonts w:hint="eastAsia" w:ascii="宋体" w:hAnsi="宋体"/>
          <w:b/>
          <w:color w:val="auto"/>
          <w:sz w:val="24"/>
        </w:rPr>
      </w:pPr>
      <w:r>
        <w:rPr>
          <w:rFonts w:ascii="宋体" w:hAnsi="宋体"/>
          <w:b/>
          <w:color w:val="auto"/>
          <w:sz w:val="24"/>
          <w:highlight w:val="none"/>
        </w:rPr>
        <w:br w:type="page"/>
      </w:r>
      <w:r>
        <w:rPr>
          <w:rFonts w:hint="eastAsia" w:ascii="宋体" w:hAnsi="宋体"/>
          <w:b/>
          <w:color w:val="auto"/>
          <w:sz w:val="24"/>
        </w:rPr>
        <w:t>3. 设备性能配置清单格式</w:t>
      </w:r>
    </w:p>
    <w:p w14:paraId="2EE19766">
      <w:pPr>
        <w:snapToGrid w:val="0"/>
        <w:spacing w:before="120" w:beforeLines="50" w:after="50"/>
        <w:ind w:left="142"/>
        <w:jc w:val="left"/>
        <w:rPr>
          <w:rFonts w:hint="eastAsia" w:ascii="宋体" w:hAnsi="宋体"/>
          <w:b/>
          <w:color w:val="auto"/>
          <w:sz w:val="24"/>
        </w:rPr>
      </w:pPr>
    </w:p>
    <w:p w14:paraId="45820D8B">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设备性能配置清单</w:t>
      </w:r>
    </w:p>
    <w:p w14:paraId="17961DFE">
      <w:pPr>
        <w:pStyle w:val="26"/>
        <w:rPr>
          <w:rFonts w:hint="eastAsia"/>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5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4"/>
        <w:gridCol w:w="1187"/>
        <w:gridCol w:w="766"/>
        <w:gridCol w:w="853"/>
        <w:gridCol w:w="1702"/>
        <w:gridCol w:w="1187"/>
        <w:gridCol w:w="703"/>
        <w:gridCol w:w="1426"/>
      </w:tblGrid>
      <w:tr w14:paraId="7CFC2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96E7DC8">
            <w:pPr>
              <w:snapToGrid w:val="0"/>
              <w:spacing w:before="50" w:after="50"/>
              <w:jc w:val="center"/>
              <w:rPr>
                <w:rFonts w:hint="eastAsia" w:ascii="宋体" w:hAnsi="宋体"/>
                <w:color w:val="auto"/>
                <w:sz w:val="24"/>
              </w:rPr>
            </w:pPr>
            <w:r>
              <w:rPr>
                <w:rFonts w:hint="eastAsia" w:ascii="宋体" w:hAnsi="宋体"/>
                <w:color w:val="auto"/>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D44ED9F">
            <w:pPr>
              <w:snapToGrid w:val="0"/>
              <w:spacing w:before="50" w:after="50"/>
              <w:jc w:val="center"/>
              <w:rPr>
                <w:rFonts w:hint="eastAsia" w:ascii="宋体" w:hAnsi="宋体"/>
                <w:color w:val="auto"/>
                <w:sz w:val="24"/>
              </w:rPr>
            </w:pPr>
            <w:r>
              <w:rPr>
                <w:rFonts w:hint="eastAsia" w:ascii="宋体" w:hAnsi="宋体" w:eastAsia="宋体" w:cs="Times New Roman"/>
                <w:color w:val="auto"/>
                <w:sz w:val="24"/>
              </w:rPr>
              <w:t>标的的名称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511AB9E1">
            <w:pPr>
              <w:snapToGrid w:val="0"/>
              <w:spacing w:before="50" w:after="50"/>
              <w:jc w:val="center"/>
              <w:rPr>
                <w:rFonts w:hint="eastAsia" w:ascii="宋体" w:hAnsi="宋体"/>
                <w:color w:val="auto"/>
                <w:sz w:val="24"/>
              </w:rPr>
            </w:pPr>
            <w:r>
              <w:rPr>
                <w:rFonts w:hint="eastAsia" w:ascii="宋体" w:hAnsi="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56FA440">
            <w:pPr>
              <w:snapToGrid w:val="0"/>
              <w:spacing w:before="50" w:after="50"/>
              <w:jc w:val="center"/>
              <w:rPr>
                <w:rFonts w:hint="eastAsia" w:ascii="宋体" w:hAnsi="宋体"/>
                <w:color w:val="auto"/>
                <w:sz w:val="24"/>
              </w:rPr>
            </w:pPr>
            <w:r>
              <w:rPr>
                <w:rFonts w:hint="eastAsia" w:ascii="宋体" w:hAnsi="宋体"/>
                <w:color w:val="auto"/>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600E9935">
            <w:pPr>
              <w:snapToGrid w:val="0"/>
              <w:spacing w:before="50" w:after="50"/>
              <w:jc w:val="center"/>
              <w:rPr>
                <w:rFonts w:ascii="宋体" w:hAnsi="宋体"/>
                <w:color w:val="auto"/>
                <w:sz w:val="24"/>
              </w:rPr>
            </w:pPr>
          </w:p>
          <w:p w14:paraId="2E60C531">
            <w:pPr>
              <w:snapToGrid w:val="0"/>
              <w:spacing w:before="50" w:after="50"/>
              <w:jc w:val="center"/>
              <w:rPr>
                <w:rFonts w:hint="eastAsia"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1A574BD">
            <w:pPr>
              <w:snapToGrid w:val="0"/>
              <w:spacing w:before="50" w:after="50"/>
              <w:jc w:val="center"/>
              <w:rPr>
                <w:rFonts w:hint="eastAsia"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5C64FD">
            <w:pPr>
              <w:snapToGrid w:val="0"/>
              <w:spacing w:before="50" w:after="50"/>
              <w:jc w:val="center"/>
              <w:rPr>
                <w:rFonts w:hint="eastAsia"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4BFE0E82">
            <w:pPr>
              <w:snapToGrid w:val="0"/>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7FA43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DC2F74E">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059C781">
            <w:pPr>
              <w:snapToGrid w:val="0"/>
              <w:spacing w:before="50" w:after="50"/>
              <w:jc w:val="center"/>
              <w:rPr>
                <w:rFonts w:hint="eastAsia"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27B6E1A">
            <w:pPr>
              <w:snapToGrid w:val="0"/>
              <w:spacing w:before="50" w:after="50"/>
              <w:jc w:val="center"/>
              <w:rPr>
                <w:rFonts w:hint="eastAsia"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42848D0">
            <w:pPr>
              <w:snapToGrid w:val="0"/>
              <w:spacing w:before="50" w:after="50"/>
              <w:jc w:val="center"/>
              <w:rPr>
                <w:rFonts w:hint="eastAsia"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2E0A6B6">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A9C4B62">
            <w:pPr>
              <w:snapToGrid w:val="0"/>
              <w:spacing w:before="50" w:after="50"/>
              <w:jc w:val="center"/>
              <w:rPr>
                <w:rFonts w:hint="eastAsia"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412A630">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9566B78">
            <w:pPr>
              <w:snapToGrid w:val="0"/>
              <w:spacing w:before="50" w:after="50"/>
              <w:jc w:val="center"/>
              <w:rPr>
                <w:rFonts w:hint="eastAsia" w:ascii="宋体" w:hAnsi="宋体"/>
                <w:color w:val="auto"/>
                <w:sz w:val="24"/>
              </w:rPr>
            </w:pPr>
          </w:p>
        </w:tc>
      </w:tr>
      <w:tr w14:paraId="15B02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4A7FF65">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1575136">
            <w:pPr>
              <w:snapToGrid w:val="0"/>
              <w:spacing w:before="50" w:after="50"/>
              <w:jc w:val="center"/>
              <w:rPr>
                <w:rFonts w:hint="eastAsia"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029697D">
            <w:pPr>
              <w:snapToGrid w:val="0"/>
              <w:spacing w:before="50" w:after="50"/>
              <w:jc w:val="center"/>
              <w:rPr>
                <w:rFonts w:hint="eastAsia"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5408381">
            <w:pPr>
              <w:snapToGrid w:val="0"/>
              <w:spacing w:before="50" w:after="50"/>
              <w:jc w:val="center"/>
              <w:rPr>
                <w:rFonts w:hint="eastAsia"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76105BB">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2DA2C36">
            <w:pPr>
              <w:snapToGrid w:val="0"/>
              <w:spacing w:before="50" w:after="50"/>
              <w:jc w:val="center"/>
              <w:rPr>
                <w:rFonts w:hint="eastAsia"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2AD42FE">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9BB2F44">
            <w:pPr>
              <w:snapToGrid w:val="0"/>
              <w:spacing w:before="50" w:after="50"/>
              <w:jc w:val="center"/>
              <w:rPr>
                <w:rFonts w:hint="eastAsia" w:ascii="宋体" w:hAnsi="宋体"/>
                <w:color w:val="auto"/>
                <w:sz w:val="24"/>
              </w:rPr>
            </w:pPr>
          </w:p>
        </w:tc>
      </w:tr>
      <w:tr w14:paraId="090C3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91D7C37">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AAD3208">
            <w:pPr>
              <w:snapToGrid w:val="0"/>
              <w:spacing w:before="50" w:after="50"/>
              <w:jc w:val="center"/>
              <w:rPr>
                <w:rFonts w:hint="eastAsia"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652082A">
            <w:pPr>
              <w:snapToGrid w:val="0"/>
              <w:spacing w:before="50" w:after="50"/>
              <w:jc w:val="center"/>
              <w:rPr>
                <w:rFonts w:hint="eastAsia"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3EDB132">
            <w:pPr>
              <w:snapToGrid w:val="0"/>
              <w:spacing w:before="50" w:after="50"/>
              <w:jc w:val="center"/>
              <w:rPr>
                <w:rFonts w:hint="eastAsia"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58A7D68">
            <w:pPr>
              <w:snapToGrid w:val="0"/>
              <w:spacing w:before="50" w:after="50"/>
              <w:jc w:val="center"/>
              <w:rPr>
                <w:rFonts w:hint="eastAsia"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9E370A">
            <w:pPr>
              <w:snapToGrid w:val="0"/>
              <w:spacing w:before="50" w:after="50"/>
              <w:jc w:val="center"/>
              <w:rPr>
                <w:rFonts w:hint="eastAsia"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CDC5B21">
            <w:pPr>
              <w:snapToGrid w:val="0"/>
              <w:spacing w:before="50" w:after="50"/>
              <w:jc w:val="center"/>
              <w:rPr>
                <w:rFonts w:hint="eastAsia"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9D80FAB">
            <w:pPr>
              <w:snapToGrid w:val="0"/>
              <w:spacing w:before="50" w:after="50"/>
              <w:jc w:val="center"/>
              <w:rPr>
                <w:rFonts w:hint="eastAsia" w:ascii="宋体" w:hAnsi="宋体"/>
                <w:color w:val="auto"/>
                <w:sz w:val="24"/>
              </w:rPr>
            </w:pPr>
          </w:p>
        </w:tc>
      </w:tr>
    </w:tbl>
    <w:p w14:paraId="65D72216">
      <w:pPr>
        <w:spacing w:line="360" w:lineRule="auto"/>
        <w:contextualSpacing/>
        <w:rPr>
          <w:rFonts w:hint="eastAsia" w:ascii="宋体" w:hAnsi="宋体"/>
          <w:color w:val="auto"/>
          <w:sz w:val="24"/>
        </w:rPr>
      </w:pPr>
      <w:r>
        <w:rPr>
          <w:rFonts w:hint="eastAsia" w:ascii="宋体" w:hAnsi="宋体"/>
          <w:color w:val="auto"/>
          <w:sz w:val="24"/>
        </w:rPr>
        <w:t>备注：</w:t>
      </w:r>
    </w:p>
    <w:p w14:paraId="41BB6FEF">
      <w:pPr>
        <w:spacing w:line="360" w:lineRule="auto"/>
        <w:ind w:firstLine="480" w:firstLineChars="200"/>
        <w:contextualSpacing/>
        <w:rPr>
          <w:rFonts w:hint="eastAsia" w:ascii="宋体" w:hAnsi="宋体"/>
          <w:b/>
          <w:color w:val="auto"/>
          <w:sz w:val="24"/>
        </w:rPr>
      </w:pPr>
      <w:r>
        <w:rPr>
          <w:rFonts w:hint="eastAsia" w:ascii="宋体" w:hAnsi="宋体"/>
          <w:color w:val="auto"/>
          <w:sz w:val="24"/>
        </w:rPr>
        <w:t>以上设备性能配置清单中“</w:t>
      </w:r>
      <w:r>
        <w:rPr>
          <w:rFonts w:hint="eastAsia" w:ascii="宋体" w:hAnsi="宋体" w:eastAsia="宋体" w:cs="Times New Roman"/>
          <w:color w:val="auto"/>
          <w:sz w:val="24"/>
        </w:rPr>
        <w:t>标的的名称、</w:t>
      </w:r>
      <w:r>
        <w:rPr>
          <w:rFonts w:hint="eastAsia" w:ascii="宋体" w:hAnsi="宋体"/>
          <w:color w:val="auto"/>
          <w:sz w:val="24"/>
        </w:rPr>
        <w:t>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ascii="宋体" w:hAnsi="宋体" w:eastAsia="宋体" w:cs="Times New Roman"/>
          <w:color w:val="auto"/>
          <w:sz w:val="24"/>
        </w:rPr>
        <w:t>标的的名称</w:t>
      </w:r>
      <w:r>
        <w:rPr>
          <w:rFonts w:hint="eastAsia" w:ascii="宋体" w:hAnsi="宋体"/>
          <w:color w:val="auto"/>
          <w:sz w:val="24"/>
        </w:rPr>
        <w:t>、数量及单位、品牌</w:t>
      </w:r>
      <w:r>
        <w:rPr>
          <w:rFonts w:hint="eastAsia" w:ascii="宋体" w:hAnsi="宋体"/>
          <w:color w:val="auto"/>
          <w:sz w:val="24"/>
          <w:lang w:eastAsia="zh-CN"/>
        </w:rPr>
        <w:t>、</w:t>
      </w:r>
      <w:r>
        <w:rPr>
          <w:rFonts w:hint="eastAsia" w:ascii="宋体" w:hAnsi="宋体"/>
          <w:color w:val="auto"/>
          <w:sz w:val="24"/>
        </w:rPr>
        <w:t>规格型号</w:t>
      </w:r>
      <w:r>
        <w:rPr>
          <w:rFonts w:hint="eastAsia" w:ascii="宋体" w:hAnsi="宋体"/>
          <w:color w:val="auto"/>
          <w:sz w:val="24"/>
        </w:rPr>
        <w:t>必须与“开标一览表”一致，</w:t>
      </w:r>
      <w:r>
        <w:rPr>
          <w:rFonts w:hint="eastAsia" w:ascii="宋体" w:hAnsi="宋体"/>
          <w:b/>
          <w:color w:val="auto"/>
          <w:sz w:val="24"/>
        </w:rPr>
        <w:t>否则按无效投标处理。</w:t>
      </w:r>
    </w:p>
    <w:p w14:paraId="71762952">
      <w:pPr>
        <w:spacing w:line="360" w:lineRule="auto"/>
        <w:ind w:firstLine="480" w:firstLineChars="200"/>
        <w:contextualSpacing/>
        <w:rPr>
          <w:rFonts w:hint="eastAsia" w:ascii="宋体" w:hAnsi="宋体"/>
          <w:color w:val="auto"/>
          <w:sz w:val="24"/>
        </w:rPr>
      </w:pPr>
    </w:p>
    <w:p w14:paraId="1B1B82B2">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0F734BA2">
      <w:pPr>
        <w:spacing w:line="360" w:lineRule="auto"/>
        <w:contextualSpacing/>
        <w:rPr>
          <w:rFonts w:hint="eastAsia" w:ascii="宋体" w:hAnsi="宋体"/>
          <w:color w:val="auto"/>
          <w:spacing w:val="20"/>
          <w:sz w:val="24"/>
        </w:rPr>
      </w:pPr>
      <w:r>
        <w:rPr>
          <w:rFonts w:hint="eastAsia" w:ascii="宋体" w:hAnsi="宋体"/>
          <w:color w:val="auto"/>
          <w:spacing w:val="20"/>
          <w:sz w:val="24"/>
        </w:rPr>
        <w:t>投标人（盖公章）：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E914140">
      <w:pPr>
        <w:spacing w:line="360" w:lineRule="auto"/>
        <w:contextualSpacing/>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DE4F453">
      <w:pPr>
        <w:snapToGrid w:val="0"/>
        <w:spacing w:before="50" w:after="120" w:afterLines="50"/>
        <w:jc w:val="left"/>
        <w:rPr>
          <w:rFonts w:hint="eastAsia" w:ascii="宋体" w:hAnsi="宋体"/>
          <w:color w:val="auto"/>
          <w:sz w:val="24"/>
          <w:szCs w:val="20"/>
        </w:rPr>
      </w:pPr>
    </w:p>
    <w:p w14:paraId="69429A8D">
      <w:pPr>
        <w:snapToGrid w:val="0"/>
        <w:spacing w:before="50" w:after="120" w:afterLines="50"/>
        <w:jc w:val="left"/>
        <w:rPr>
          <w:rFonts w:hint="eastAsia" w:ascii="宋体" w:hAnsi="宋体"/>
          <w:color w:val="auto"/>
          <w:sz w:val="24"/>
          <w:szCs w:val="20"/>
        </w:rPr>
      </w:pPr>
    </w:p>
    <w:p w14:paraId="176B91E5">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rPr>
        <w:br w:type="page"/>
      </w:r>
      <w:r>
        <w:rPr>
          <w:rFonts w:hint="eastAsia" w:ascii="宋体" w:hAnsi="宋体"/>
          <w:b/>
          <w:color w:val="auto"/>
          <w:sz w:val="24"/>
          <w:highlight w:val="none"/>
          <w:lang w:val="en-US" w:eastAsia="zh-CN"/>
        </w:rPr>
        <w:t>4</w:t>
      </w:r>
      <w:r>
        <w:rPr>
          <w:rFonts w:hint="eastAsia" w:ascii="宋体" w:hAnsi="宋体"/>
          <w:b/>
          <w:color w:val="auto"/>
          <w:sz w:val="24"/>
          <w:highlight w:val="none"/>
        </w:rPr>
        <w:t>. 技术要求偏离表格式</w:t>
      </w:r>
    </w:p>
    <w:p w14:paraId="5BC769FE">
      <w:pPr>
        <w:snapToGrid w:val="0"/>
        <w:spacing w:before="120" w:beforeLines="50" w:after="50"/>
        <w:ind w:left="142"/>
        <w:jc w:val="left"/>
        <w:rPr>
          <w:rFonts w:hint="eastAsia" w:ascii="宋体" w:hAnsi="宋体"/>
          <w:b/>
          <w:color w:val="auto"/>
          <w:sz w:val="24"/>
          <w:highlight w:val="none"/>
        </w:rPr>
      </w:pPr>
    </w:p>
    <w:p w14:paraId="1EF6C34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2BCD76D1">
      <w:pPr>
        <w:pStyle w:val="26"/>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5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6AE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3" w:hRule="atLeast"/>
          <w:jc w:val="center"/>
        </w:trPr>
        <w:tc>
          <w:tcPr>
            <w:tcW w:w="852" w:type="dxa"/>
            <w:noWrap w:val="0"/>
            <w:vAlign w:val="center"/>
          </w:tcPr>
          <w:p w14:paraId="25046186">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noWrap w:val="0"/>
            <w:vAlign w:val="center"/>
          </w:tcPr>
          <w:p w14:paraId="456A41A1">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noWrap w:val="0"/>
            <w:vAlign w:val="center"/>
          </w:tcPr>
          <w:p w14:paraId="1DDE9644">
            <w:pPr>
              <w:pStyle w:val="26"/>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noWrap w:val="0"/>
            <w:vAlign w:val="center"/>
          </w:tcPr>
          <w:p w14:paraId="583A07E7">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投标响应</w:t>
            </w:r>
          </w:p>
        </w:tc>
        <w:tc>
          <w:tcPr>
            <w:tcW w:w="1934" w:type="dxa"/>
            <w:noWrap w:val="0"/>
            <w:vAlign w:val="center"/>
          </w:tcPr>
          <w:p w14:paraId="2F2F6E46">
            <w:pPr>
              <w:pStyle w:val="26"/>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38BD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7711BD86">
            <w:pPr>
              <w:pStyle w:val="26"/>
              <w:spacing w:line="600" w:lineRule="exact"/>
              <w:jc w:val="center"/>
              <w:rPr>
                <w:rFonts w:hint="eastAsia" w:hAnsi="宋体" w:cs="Courier New"/>
                <w:color w:val="auto"/>
                <w:kern w:val="2"/>
                <w:sz w:val="24"/>
                <w:szCs w:val="24"/>
                <w:highlight w:val="none"/>
                <w:lang w:val="en-US" w:eastAsia="zh-CN"/>
              </w:rPr>
            </w:pPr>
          </w:p>
        </w:tc>
        <w:tc>
          <w:tcPr>
            <w:tcW w:w="2143" w:type="dxa"/>
            <w:noWrap w:val="0"/>
            <w:vAlign w:val="center"/>
          </w:tcPr>
          <w:p w14:paraId="51EB21CB">
            <w:pPr>
              <w:pStyle w:val="26"/>
              <w:spacing w:line="600" w:lineRule="exact"/>
              <w:jc w:val="center"/>
              <w:rPr>
                <w:rFonts w:hint="eastAsia" w:hAnsi="宋体" w:cs="Courier New"/>
                <w:color w:val="auto"/>
                <w:kern w:val="2"/>
                <w:sz w:val="24"/>
                <w:szCs w:val="24"/>
                <w:highlight w:val="none"/>
                <w:lang w:val="en-US" w:eastAsia="zh-CN"/>
              </w:rPr>
            </w:pPr>
          </w:p>
        </w:tc>
        <w:tc>
          <w:tcPr>
            <w:tcW w:w="1834" w:type="dxa"/>
            <w:noWrap w:val="0"/>
            <w:vAlign w:val="center"/>
          </w:tcPr>
          <w:p w14:paraId="4A0B0A6A">
            <w:pPr>
              <w:pStyle w:val="26"/>
              <w:spacing w:line="600" w:lineRule="exact"/>
              <w:jc w:val="center"/>
              <w:rPr>
                <w:rFonts w:hint="eastAsia" w:hAnsi="宋体" w:cs="Courier New"/>
                <w:color w:val="auto"/>
                <w:kern w:val="2"/>
                <w:sz w:val="24"/>
                <w:szCs w:val="24"/>
                <w:highlight w:val="none"/>
                <w:lang w:val="en-US" w:eastAsia="zh-CN"/>
              </w:rPr>
            </w:pPr>
          </w:p>
        </w:tc>
        <w:tc>
          <w:tcPr>
            <w:tcW w:w="2181" w:type="dxa"/>
            <w:noWrap w:val="0"/>
            <w:vAlign w:val="center"/>
          </w:tcPr>
          <w:p w14:paraId="271F55A1">
            <w:pPr>
              <w:pStyle w:val="26"/>
              <w:spacing w:line="600" w:lineRule="exact"/>
              <w:jc w:val="center"/>
              <w:rPr>
                <w:rFonts w:hint="eastAsia" w:hAnsi="宋体" w:cs="Courier New"/>
                <w:color w:val="auto"/>
                <w:kern w:val="2"/>
                <w:sz w:val="24"/>
                <w:szCs w:val="24"/>
                <w:highlight w:val="none"/>
                <w:lang w:val="en-US" w:eastAsia="zh-CN"/>
              </w:rPr>
            </w:pPr>
          </w:p>
        </w:tc>
        <w:tc>
          <w:tcPr>
            <w:tcW w:w="1934" w:type="dxa"/>
            <w:noWrap w:val="0"/>
            <w:vAlign w:val="center"/>
          </w:tcPr>
          <w:p w14:paraId="584EE4E1">
            <w:pPr>
              <w:pStyle w:val="26"/>
              <w:spacing w:line="600" w:lineRule="exact"/>
              <w:jc w:val="center"/>
              <w:rPr>
                <w:rFonts w:hint="eastAsia" w:hAnsi="宋体" w:cs="Courier New"/>
                <w:color w:val="auto"/>
                <w:kern w:val="2"/>
                <w:sz w:val="24"/>
                <w:szCs w:val="24"/>
                <w:highlight w:val="none"/>
                <w:lang w:val="en-US" w:eastAsia="zh-CN"/>
              </w:rPr>
            </w:pPr>
          </w:p>
        </w:tc>
      </w:tr>
      <w:tr w14:paraId="14ED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151089A5">
            <w:pPr>
              <w:pStyle w:val="26"/>
              <w:spacing w:line="600" w:lineRule="exact"/>
              <w:rPr>
                <w:rFonts w:hint="eastAsia" w:hAnsi="宋体" w:cs="Courier New"/>
                <w:color w:val="auto"/>
                <w:kern w:val="2"/>
                <w:sz w:val="24"/>
                <w:szCs w:val="24"/>
                <w:highlight w:val="none"/>
                <w:lang w:val="en-US" w:eastAsia="zh-CN"/>
              </w:rPr>
            </w:pPr>
          </w:p>
        </w:tc>
        <w:tc>
          <w:tcPr>
            <w:tcW w:w="2143" w:type="dxa"/>
            <w:noWrap w:val="0"/>
            <w:vAlign w:val="top"/>
          </w:tcPr>
          <w:p w14:paraId="0E995495">
            <w:pPr>
              <w:pStyle w:val="26"/>
              <w:spacing w:line="600" w:lineRule="exact"/>
              <w:rPr>
                <w:rFonts w:hint="eastAsia" w:hAnsi="宋体" w:cs="Courier New"/>
                <w:color w:val="auto"/>
                <w:kern w:val="2"/>
                <w:sz w:val="24"/>
                <w:szCs w:val="24"/>
                <w:highlight w:val="none"/>
                <w:lang w:val="en-US" w:eastAsia="zh-CN"/>
              </w:rPr>
            </w:pPr>
          </w:p>
        </w:tc>
        <w:tc>
          <w:tcPr>
            <w:tcW w:w="1834" w:type="dxa"/>
            <w:noWrap w:val="0"/>
            <w:vAlign w:val="top"/>
          </w:tcPr>
          <w:p w14:paraId="47D2D44F">
            <w:pPr>
              <w:pStyle w:val="26"/>
              <w:spacing w:line="600" w:lineRule="exact"/>
              <w:rPr>
                <w:rFonts w:hint="eastAsia" w:hAnsi="宋体" w:cs="Courier New"/>
                <w:color w:val="auto"/>
                <w:kern w:val="2"/>
                <w:sz w:val="24"/>
                <w:szCs w:val="24"/>
                <w:highlight w:val="none"/>
                <w:lang w:val="en-US" w:eastAsia="zh-CN"/>
              </w:rPr>
            </w:pPr>
          </w:p>
        </w:tc>
        <w:tc>
          <w:tcPr>
            <w:tcW w:w="2181" w:type="dxa"/>
            <w:noWrap w:val="0"/>
            <w:vAlign w:val="top"/>
          </w:tcPr>
          <w:p w14:paraId="02640CCB">
            <w:pPr>
              <w:pStyle w:val="26"/>
              <w:spacing w:line="600" w:lineRule="exact"/>
              <w:rPr>
                <w:rFonts w:hint="eastAsia" w:hAnsi="宋体" w:cs="Courier New"/>
                <w:color w:val="auto"/>
                <w:kern w:val="2"/>
                <w:sz w:val="24"/>
                <w:szCs w:val="24"/>
                <w:highlight w:val="none"/>
                <w:lang w:val="en-US" w:eastAsia="zh-CN"/>
              </w:rPr>
            </w:pPr>
          </w:p>
        </w:tc>
        <w:tc>
          <w:tcPr>
            <w:tcW w:w="1934" w:type="dxa"/>
            <w:noWrap w:val="0"/>
            <w:vAlign w:val="top"/>
          </w:tcPr>
          <w:p w14:paraId="5FE36C16">
            <w:pPr>
              <w:pStyle w:val="26"/>
              <w:spacing w:line="600" w:lineRule="exact"/>
              <w:rPr>
                <w:rFonts w:hint="eastAsia" w:hAnsi="宋体" w:cs="Courier New"/>
                <w:color w:val="auto"/>
                <w:kern w:val="2"/>
                <w:sz w:val="24"/>
                <w:szCs w:val="24"/>
                <w:highlight w:val="none"/>
                <w:lang w:val="en-US" w:eastAsia="zh-CN"/>
              </w:rPr>
            </w:pPr>
          </w:p>
        </w:tc>
      </w:tr>
      <w:tr w14:paraId="34A0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31AAF414">
            <w:pPr>
              <w:pStyle w:val="26"/>
              <w:spacing w:line="600" w:lineRule="exact"/>
              <w:rPr>
                <w:rFonts w:hint="eastAsia" w:hAnsi="宋体" w:cs="Courier New"/>
                <w:color w:val="auto"/>
                <w:kern w:val="2"/>
                <w:sz w:val="24"/>
                <w:szCs w:val="24"/>
                <w:highlight w:val="none"/>
                <w:lang w:val="en-US" w:eastAsia="zh-CN"/>
              </w:rPr>
            </w:pPr>
          </w:p>
        </w:tc>
        <w:tc>
          <w:tcPr>
            <w:tcW w:w="2143" w:type="dxa"/>
            <w:noWrap w:val="0"/>
            <w:vAlign w:val="top"/>
          </w:tcPr>
          <w:p w14:paraId="18E85315">
            <w:pPr>
              <w:pStyle w:val="26"/>
              <w:spacing w:line="600" w:lineRule="exact"/>
              <w:rPr>
                <w:rFonts w:hint="eastAsia" w:hAnsi="宋体" w:cs="Courier New"/>
                <w:color w:val="auto"/>
                <w:kern w:val="2"/>
                <w:sz w:val="24"/>
                <w:szCs w:val="24"/>
                <w:highlight w:val="none"/>
                <w:lang w:val="en-US" w:eastAsia="zh-CN"/>
              </w:rPr>
            </w:pPr>
          </w:p>
        </w:tc>
        <w:tc>
          <w:tcPr>
            <w:tcW w:w="1834" w:type="dxa"/>
            <w:noWrap w:val="0"/>
            <w:vAlign w:val="top"/>
          </w:tcPr>
          <w:p w14:paraId="44178EB1">
            <w:pPr>
              <w:pStyle w:val="26"/>
              <w:spacing w:line="600" w:lineRule="exact"/>
              <w:rPr>
                <w:rFonts w:hint="eastAsia" w:hAnsi="宋体" w:cs="Courier New"/>
                <w:color w:val="auto"/>
                <w:kern w:val="2"/>
                <w:sz w:val="24"/>
                <w:szCs w:val="24"/>
                <w:highlight w:val="none"/>
                <w:lang w:val="en-US" w:eastAsia="zh-CN"/>
              </w:rPr>
            </w:pPr>
          </w:p>
        </w:tc>
        <w:tc>
          <w:tcPr>
            <w:tcW w:w="2181" w:type="dxa"/>
            <w:noWrap w:val="0"/>
            <w:vAlign w:val="top"/>
          </w:tcPr>
          <w:p w14:paraId="06178DA5">
            <w:pPr>
              <w:pStyle w:val="26"/>
              <w:spacing w:line="600" w:lineRule="exact"/>
              <w:rPr>
                <w:rFonts w:hint="eastAsia" w:hAnsi="宋体" w:cs="Courier New"/>
                <w:color w:val="auto"/>
                <w:kern w:val="2"/>
                <w:sz w:val="24"/>
                <w:szCs w:val="24"/>
                <w:highlight w:val="none"/>
                <w:lang w:val="en-US" w:eastAsia="zh-CN"/>
              </w:rPr>
            </w:pPr>
          </w:p>
        </w:tc>
        <w:tc>
          <w:tcPr>
            <w:tcW w:w="1934" w:type="dxa"/>
            <w:noWrap w:val="0"/>
            <w:vAlign w:val="top"/>
          </w:tcPr>
          <w:p w14:paraId="5BE670D3">
            <w:pPr>
              <w:pStyle w:val="26"/>
              <w:spacing w:line="600" w:lineRule="exact"/>
              <w:rPr>
                <w:rFonts w:hint="eastAsia" w:hAnsi="宋体" w:cs="Courier New"/>
                <w:color w:val="auto"/>
                <w:kern w:val="2"/>
                <w:sz w:val="24"/>
                <w:szCs w:val="24"/>
                <w:highlight w:val="none"/>
                <w:lang w:val="en-US" w:eastAsia="zh-CN"/>
              </w:rPr>
            </w:pPr>
          </w:p>
        </w:tc>
      </w:tr>
      <w:tr w14:paraId="39DA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65F2457A">
            <w:pPr>
              <w:pStyle w:val="26"/>
              <w:spacing w:line="600" w:lineRule="exact"/>
              <w:rPr>
                <w:rFonts w:hint="eastAsia" w:hAnsi="宋体" w:cs="Courier New"/>
                <w:color w:val="auto"/>
                <w:kern w:val="2"/>
                <w:sz w:val="24"/>
                <w:szCs w:val="24"/>
                <w:highlight w:val="none"/>
                <w:lang w:val="en-US" w:eastAsia="zh-CN"/>
              </w:rPr>
            </w:pPr>
          </w:p>
        </w:tc>
        <w:tc>
          <w:tcPr>
            <w:tcW w:w="2143" w:type="dxa"/>
            <w:noWrap w:val="0"/>
            <w:vAlign w:val="top"/>
          </w:tcPr>
          <w:p w14:paraId="163965C3">
            <w:pPr>
              <w:pStyle w:val="26"/>
              <w:spacing w:line="600" w:lineRule="exact"/>
              <w:rPr>
                <w:rFonts w:hint="eastAsia" w:hAnsi="宋体" w:cs="Courier New"/>
                <w:color w:val="auto"/>
                <w:kern w:val="2"/>
                <w:sz w:val="24"/>
                <w:szCs w:val="24"/>
                <w:highlight w:val="none"/>
                <w:lang w:val="en-US" w:eastAsia="zh-CN"/>
              </w:rPr>
            </w:pPr>
          </w:p>
        </w:tc>
        <w:tc>
          <w:tcPr>
            <w:tcW w:w="1834" w:type="dxa"/>
            <w:noWrap w:val="0"/>
            <w:vAlign w:val="top"/>
          </w:tcPr>
          <w:p w14:paraId="573B02A0">
            <w:pPr>
              <w:pStyle w:val="26"/>
              <w:spacing w:line="600" w:lineRule="exact"/>
              <w:rPr>
                <w:rFonts w:hint="eastAsia" w:hAnsi="宋体" w:cs="Courier New"/>
                <w:color w:val="auto"/>
                <w:kern w:val="2"/>
                <w:sz w:val="24"/>
                <w:szCs w:val="24"/>
                <w:highlight w:val="none"/>
                <w:lang w:val="en-US" w:eastAsia="zh-CN"/>
              </w:rPr>
            </w:pPr>
          </w:p>
        </w:tc>
        <w:tc>
          <w:tcPr>
            <w:tcW w:w="2181" w:type="dxa"/>
            <w:noWrap w:val="0"/>
            <w:vAlign w:val="top"/>
          </w:tcPr>
          <w:p w14:paraId="1B5ECCF8">
            <w:pPr>
              <w:pStyle w:val="26"/>
              <w:spacing w:line="600" w:lineRule="exact"/>
              <w:rPr>
                <w:rFonts w:hint="eastAsia" w:hAnsi="宋体" w:cs="Courier New"/>
                <w:color w:val="auto"/>
                <w:kern w:val="2"/>
                <w:sz w:val="24"/>
                <w:szCs w:val="24"/>
                <w:highlight w:val="none"/>
                <w:lang w:val="en-US" w:eastAsia="zh-CN"/>
              </w:rPr>
            </w:pPr>
          </w:p>
        </w:tc>
        <w:tc>
          <w:tcPr>
            <w:tcW w:w="1934" w:type="dxa"/>
            <w:noWrap w:val="0"/>
            <w:vAlign w:val="top"/>
          </w:tcPr>
          <w:p w14:paraId="37257B44">
            <w:pPr>
              <w:pStyle w:val="26"/>
              <w:spacing w:line="600" w:lineRule="exact"/>
              <w:rPr>
                <w:rFonts w:hint="eastAsia" w:hAnsi="宋体" w:cs="Courier New"/>
                <w:color w:val="auto"/>
                <w:kern w:val="2"/>
                <w:sz w:val="24"/>
                <w:szCs w:val="24"/>
                <w:highlight w:val="none"/>
                <w:lang w:val="en-US" w:eastAsia="zh-CN"/>
              </w:rPr>
            </w:pPr>
          </w:p>
        </w:tc>
      </w:tr>
      <w:tr w14:paraId="68E7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097C3EEF">
            <w:pPr>
              <w:pStyle w:val="26"/>
              <w:spacing w:line="600" w:lineRule="exact"/>
              <w:rPr>
                <w:rFonts w:hint="eastAsia" w:hAnsi="宋体" w:cs="Courier New"/>
                <w:color w:val="auto"/>
                <w:kern w:val="2"/>
                <w:sz w:val="24"/>
                <w:szCs w:val="24"/>
                <w:highlight w:val="none"/>
                <w:lang w:val="en-US" w:eastAsia="zh-CN"/>
              </w:rPr>
            </w:pPr>
          </w:p>
        </w:tc>
        <w:tc>
          <w:tcPr>
            <w:tcW w:w="2143" w:type="dxa"/>
            <w:noWrap w:val="0"/>
            <w:vAlign w:val="top"/>
          </w:tcPr>
          <w:p w14:paraId="421555A2">
            <w:pPr>
              <w:pStyle w:val="26"/>
              <w:spacing w:line="600" w:lineRule="exact"/>
              <w:rPr>
                <w:rFonts w:hint="eastAsia" w:hAnsi="宋体" w:cs="Courier New"/>
                <w:color w:val="auto"/>
                <w:kern w:val="2"/>
                <w:sz w:val="24"/>
                <w:szCs w:val="24"/>
                <w:highlight w:val="none"/>
                <w:lang w:val="en-US" w:eastAsia="zh-CN"/>
              </w:rPr>
            </w:pPr>
          </w:p>
        </w:tc>
        <w:tc>
          <w:tcPr>
            <w:tcW w:w="1834" w:type="dxa"/>
            <w:noWrap w:val="0"/>
            <w:vAlign w:val="top"/>
          </w:tcPr>
          <w:p w14:paraId="12F8CC05">
            <w:pPr>
              <w:pStyle w:val="26"/>
              <w:spacing w:line="600" w:lineRule="exact"/>
              <w:rPr>
                <w:rFonts w:hint="eastAsia" w:hAnsi="宋体" w:cs="Courier New"/>
                <w:color w:val="auto"/>
                <w:kern w:val="2"/>
                <w:sz w:val="24"/>
                <w:szCs w:val="24"/>
                <w:highlight w:val="none"/>
                <w:lang w:val="en-US" w:eastAsia="zh-CN"/>
              </w:rPr>
            </w:pPr>
          </w:p>
        </w:tc>
        <w:tc>
          <w:tcPr>
            <w:tcW w:w="2181" w:type="dxa"/>
            <w:noWrap w:val="0"/>
            <w:vAlign w:val="top"/>
          </w:tcPr>
          <w:p w14:paraId="3FFBE8CD">
            <w:pPr>
              <w:pStyle w:val="26"/>
              <w:spacing w:line="600" w:lineRule="exact"/>
              <w:rPr>
                <w:rFonts w:hint="eastAsia" w:hAnsi="宋体" w:cs="Courier New"/>
                <w:color w:val="auto"/>
                <w:kern w:val="2"/>
                <w:sz w:val="24"/>
                <w:szCs w:val="24"/>
                <w:highlight w:val="none"/>
                <w:lang w:val="en-US" w:eastAsia="zh-CN"/>
              </w:rPr>
            </w:pPr>
          </w:p>
        </w:tc>
        <w:tc>
          <w:tcPr>
            <w:tcW w:w="1934" w:type="dxa"/>
            <w:noWrap w:val="0"/>
            <w:vAlign w:val="top"/>
          </w:tcPr>
          <w:p w14:paraId="7F2EDCBD">
            <w:pPr>
              <w:pStyle w:val="26"/>
              <w:spacing w:line="600" w:lineRule="exact"/>
              <w:rPr>
                <w:rFonts w:hint="eastAsia" w:hAnsi="宋体" w:cs="Courier New"/>
                <w:color w:val="auto"/>
                <w:kern w:val="2"/>
                <w:sz w:val="24"/>
                <w:szCs w:val="24"/>
                <w:highlight w:val="none"/>
                <w:lang w:val="en-US" w:eastAsia="zh-CN"/>
              </w:rPr>
            </w:pPr>
          </w:p>
        </w:tc>
      </w:tr>
      <w:tr w14:paraId="0B92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 w:type="dxa"/>
            <w:noWrap w:val="0"/>
            <w:vAlign w:val="top"/>
          </w:tcPr>
          <w:p w14:paraId="748B1382">
            <w:pPr>
              <w:pStyle w:val="26"/>
              <w:spacing w:line="600" w:lineRule="exact"/>
              <w:rPr>
                <w:rFonts w:hint="eastAsia" w:hAnsi="宋体" w:cs="Courier New"/>
                <w:color w:val="auto"/>
                <w:kern w:val="2"/>
                <w:sz w:val="24"/>
                <w:szCs w:val="24"/>
                <w:highlight w:val="none"/>
                <w:lang w:val="en-US" w:eastAsia="zh-CN"/>
              </w:rPr>
            </w:pPr>
          </w:p>
        </w:tc>
        <w:tc>
          <w:tcPr>
            <w:tcW w:w="2143" w:type="dxa"/>
            <w:noWrap w:val="0"/>
            <w:vAlign w:val="top"/>
          </w:tcPr>
          <w:p w14:paraId="05BA0AF7">
            <w:pPr>
              <w:pStyle w:val="26"/>
              <w:spacing w:line="600" w:lineRule="exact"/>
              <w:rPr>
                <w:rFonts w:hint="eastAsia" w:hAnsi="宋体" w:cs="Courier New"/>
                <w:color w:val="auto"/>
                <w:kern w:val="2"/>
                <w:sz w:val="24"/>
                <w:szCs w:val="24"/>
                <w:highlight w:val="none"/>
                <w:lang w:val="en-US" w:eastAsia="zh-CN"/>
              </w:rPr>
            </w:pPr>
          </w:p>
        </w:tc>
        <w:tc>
          <w:tcPr>
            <w:tcW w:w="1834" w:type="dxa"/>
            <w:noWrap w:val="0"/>
            <w:vAlign w:val="top"/>
          </w:tcPr>
          <w:p w14:paraId="2041AB0C">
            <w:pPr>
              <w:pStyle w:val="26"/>
              <w:spacing w:line="600" w:lineRule="exact"/>
              <w:rPr>
                <w:rFonts w:hint="eastAsia" w:hAnsi="宋体" w:cs="Courier New"/>
                <w:color w:val="auto"/>
                <w:kern w:val="2"/>
                <w:sz w:val="24"/>
                <w:szCs w:val="24"/>
                <w:highlight w:val="none"/>
                <w:lang w:val="en-US" w:eastAsia="zh-CN"/>
              </w:rPr>
            </w:pPr>
          </w:p>
        </w:tc>
        <w:tc>
          <w:tcPr>
            <w:tcW w:w="2181" w:type="dxa"/>
            <w:noWrap w:val="0"/>
            <w:vAlign w:val="top"/>
          </w:tcPr>
          <w:p w14:paraId="193B164E">
            <w:pPr>
              <w:pStyle w:val="26"/>
              <w:spacing w:line="600" w:lineRule="exact"/>
              <w:rPr>
                <w:rFonts w:hint="eastAsia" w:hAnsi="宋体" w:cs="Courier New"/>
                <w:color w:val="auto"/>
                <w:kern w:val="2"/>
                <w:sz w:val="24"/>
                <w:szCs w:val="24"/>
                <w:highlight w:val="none"/>
                <w:lang w:val="en-US" w:eastAsia="zh-CN"/>
              </w:rPr>
            </w:pPr>
          </w:p>
        </w:tc>
        <w:tc>
          <w:tcPr>
            <w:tcW w:w="1934" w:type="dxa"/>
            <w:noWrap w:val="0"/>
            <w:vAlign w:val="top"/>
          </w:tcPr>
          <w:p w14:paraId="0887B2B4">
            <w:pPr>
              <w:pStyle w:val="26"/>
              <w:spacing w:line="600" w:lineRule="exact"/>
              <w:rPr>
                <w:rFonts w:hint="eastAsia" w:hAnsi="宋体" w:cs="Courier New"/>
                <w:color w:val="auto"/>
                <w:kern w:val="2"/>
                <w:sz w:val="24"/>
                <w:szCs w:val="24"/>
                <w:highlight w:val="none"/>
                <w:lang w:val="en-US" w:eastAsia="zh-CN"/>
              </w:rPr>
            </w:pPr>
          </w:p>
        </w:tc>
      </w:tr>
    </w:tbl>
    <w:p w14:paraId="1127A16B">
      <w:pPr>
        <w:pStyle w:val="19"/>
        <w:rPr>
          <w:rFonts w:hint="eastAsia" w:ascii="宋体" w:hAnsi="宋体"/>
          <w:color w:val="auto"/>
          <w:highlight w:val="none"/>
        </w:rPr>
      </w:pPr>
      <w:r>
        <w:rPr>
          <w:rFonts w:hint="eastAsia" w:ascii="宋体" w:hAnsi="宋体"/>
          <w:color w:val="auto"/>
          <w:highlight w:val="none"/>
        </w:rPr>
        <w:t>注：</w:t>
      </w:r>
    </w:p>
    <w:p w14:paraId="4DE5B17F">
      <w:pPr>
        <w:pStyle w:val="21"/>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r>
        <w:rPr>
          <w:rFonts w:hint="eastAsia" w:ascii="宋体" w:hAnsi="宋体" w:eastAsia="宋体"/>
          <w:color w:val="auto"/>
          <w:sz w:val="24"/>
          <w:szCs w:val="24"/>
          <w:highlight w:val="none"/>
          <w:lang w:eastAsia="zh-CN"/>
        </w:rPr>
        <w:t>，否则投标文件按无效投标处理</w:t>
      </w:r>
      <w:r>
        <w:rPr>
          <w:rFonts w:hint="eastAsia" w:ascii="宋体" w:hAnsi="宋体" w:eastAsia="宋体"/>
          <w:color w:val="auto"/>
          <w:sz w:val="24"/>
          <w:szCs w:val="24"/>
          <w:highlight w:val="none"/>
        </w:rPr>
        <w:t>。</w:t>
      </w:r>
    </w:p>
    <w:p w14:paraId="182BB9E5">
      <w:pPr>
        <w:pStyle w:val="19"/>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7F10DC0">
      <w:pPr>
        <w:pStyle w:val="21"/>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如果招标文件需求为小于等于或大于等于或小于或大于某个数值标准时，投标文件承诺不得直接复制招标文件需求，投标文件承诺内容应当写明投标货物具体参数或商务响应承诺的具体数值，否则按投标无效处理。</w:t>
      </w:r>
    </w:p>
    <w:p w14:paraId="0C07D846">
      <w:pPr>
        <w:pStyle w:val="21"/>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.投标人认为其投标响应有正偏离的，请在技术要求偏离表中列明，且在投标文件中提供投标产品的彩页或</w:t>
      </w:r>
      <w:r>
        <w:rPr>
          <w:rFonts w:ascii="宋体" w:hAnsi="宋体" w:eastAsia="宋体"/>
          <w:color w:val="auto"/>
          <w:sz w:val="24"/>
          <w:szCs w:val="24"/>
          <w:highlight w:val="none"/>
        </w:rPr>
        <w:t>国家认可的有资质的第三方检测机构出具的检测报告复印件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4489CD7D">
      <w:pPr>
        <w:pStyle w:val="21"/>
        <w:spacing w:line="360" w:lineRule="auto"/>
        <w:ind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29011D81">
      <w:pPr>
        <w:snapToGrid w:val="0"/>
        <w:spacing w:before="50" w:after="50" w:line="360" w:lineRule="auto"/>
        <w:rPr>
          <w:rFonts w:ascii="宋体" w:hAnsi="宋体"/>
          <w:color w:val="auto"/>
          <w:sz w:val="24"/>
          <w:highlight w:val="none"/>
        </w:rPr>
      </w:pPr>
    </w:p>
    <w:p w14:paraId="74704029">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DB286C6">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3441B5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 项目实施人员一览表格式</w:t>
      </w:r>
    </w:p>
    <w:p w14:paraId="3940A0D7">
      <w:pPr>
        <w:snapToGrid w:val="0"/>
        <w:spacing w:before="120" w:beforeLines="50" w:after="50"/>
        <w:ind w:left="142"/>
        <w:jc w:val="left"/>
        <w:rPr>
          <w:rFonts w:hint="eastAsia" w:ascii="宋体" w:hAnsi="宋体"/>
          <w:b/>
          <w:color w:val="auto"/>
          <w:sz w:val="24"/>
          <w:highlight w:val="none"/>
        </w:rPr>
      </w:pPr>
    </w:p>
    <w:p w14:paraId="1DCDC467">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08B9D91">
      <w:pPr>
        <w:pStyle w:val="26"/>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50"/>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59"/>
        <w:gridCol w:w="1414"/>
        <w:gridCol w:w="1715"/>
        <w:gridCol w:w="1900"/>
      </w:tblGrid>
      <w:tr w14:paraId="49A1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noWrap w:val="0"/>
            <w:vAlign w:val="center"/>
          </w:tcPr>
          <w:p w14:paraId="75C4D498">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34A3A2D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059" w:type="dxa"/>
            <w:noWrap w:val="0"/>
            <w:vAlign w:val="center"/>
          </w:tcPr>
          <w:p w14:paraId="215D34A2">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14" w:type="dxa"/>
            <w:noWrap w:val="0"/>
            <w:vAlign w:val="center"/>
          </w:tcPr>
          <w:p w14:paraId="4596B4AC">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715" w:type="dxa"/>
            <w:noWrap w:val="0"/>
            <w:vAlign w:val="center"/>
          </w:tcPr>
          <w:p w14:paraId="77F98E45">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18C32E10">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900" w:type="dxa"/>
            <w:noWrap w:val="0"/>
            <w:vAlign w:val="center"/>
          </w:tcPr>
          <w:p w14:paraId="5AAEFEF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4E39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noWrap w:val="0"/>
            <w:vAlign w:val="center"/>
          </w:tcPr>
          <w:p w14:paraId="5D760B10">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50445E0B">
            <w:pPr>
              <w:snapToGrid w:val="0"/>
              <w:spacing w:before="50" w:after="120" w:afterLines="50"/>
              <w:jc w:val="center"/>
              <w:rPr>
                <w:rFonts w:hint="eastAsia" w:ascii="宋体" w:hAnsi="宋体"/>
                <w:color w:val="auto"/>
                <w:sz w:val="24"/>
                <w:szCs w:val="20"/>
                <w:highlight w:val="none"/>
              </w:rPr>
            </w:pPr>
          </w:p>
        </w:tc>
        <w:tc>
          <w:tcPr>
            <w:tcW w:w="2059" w:type="dxa"/>
            <w:noWrap w:val="0"/>
            <w:vAlign w:val="center"/>
          </w:tcPr>
          <w:p w14:paraId="1B644BE6">
            <w:pPr>
              <w:snapToGrid w:val="0"/>
              <w:spacing w:before="50" w:after="120" w:afterLines="50"/>
              <w:jc w:val="center"/>
              <w:rPr>
                <w:rFonts w:hint="eastAsia" w:ascii="宋体" w:hAnsi="宋体"/>
                <w:color w:val="auto"/>
                <w:sz w:val="24"/>
                <w:szCs w:val="20"/>
                <w:highlight w:val="none"/>
              </w:rPr>
            </w:pPr>
          </w:p>
        </w:tc>
        <w:tc>
          <w:tcPr>
            <w:tcW w:w="1414" w:type="dxa"/>
            <w:noWrap w:val="0"/>
            <w:vAlign w:val="center"/>
          </w:tcPr>
          <w:p w14:paraId="3848770C">
            <w:pPr>
              <w:snapToGrid w:val="0"/>
              <w:spacing w:before="50" w:after="120" w:afterLines="50"/>
              <w:jc w:val="center"/>
              <w:rPr>
                <w:rFonts w:hint="eastAsia" w:ascii="宋体" w:hAnsi="宋体"/>
                <w:color w:val="auto"/>
                <w:sz w:val="24"/>
                <w:szCs w:val="20"/>
                <w:highlight w:val="none"/>
              </w:rPr>
            </w:pPr>
          </w:p>
        </w:tc>
        <w:tc>
          <w:tcPr>
            <w:tcW w:w="1715" w:type="dxa"/>
            <w:noWrap w:val="0"/>
            <w:vAlign w:val="center"/>
          </w:tcPr>
          <w:p w14:paraId="3602B865">
            <w:pPr>
              <w:snapToGrid w:val="0"/>
              <w:spacing w:before="50" w:after="120" w:afterLines="50"/>
              <w:jc w:val="center"/>
              <w:rPr>
                <w:rFonts w:hint="eastAsia" w:ascii="宋体" w:hAnsi="宋体"/>
                <w:color w:val="auto"/>
                <w:sz w:val="24"/>
                <w:szCs w:val="20"/>
                <w:highlight w:val="none"/>
              </w:rPr>
            </w:pPr>
          </w:p>
        </w:tc>
        <w:tc>
          <w:tcPr>
            <w:tcW w:w="1900" w:type="dxa"/>
            <w:noWrap w:val="0"/>
            <w:vAlign w:val="center"/>
          </w:tcPr>
          <w:p w14:paraId="15A52464">
            <w:pPr>
              <w:snapToGrid w:val="0"/>
              <w:spacing w:before="50" w:after="120" w:afterLines="50"/>
              <w:jc w:val="center"/>
              <w:rPr>
                <w:rFonts w:hint="eastAsia" w:ascii="宋体" w:hAnsi="宋体"/>
                <w:color w:val="auto"/>
                <w:sz w:val="24"/>
                <w:szCs w:val="20"/>
                <w:highlight w:val="none"/>
              </w:rPr>
            </w:pPr>
          </w:p>
        </w:tc>
      </w:tr>
      <w:tr w14:paraId="3F95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noWrap w:val="0"/>
            <w:vAlign w:val="center"/>
          </w:tcPr>
          <w:p w14:paraId="59CAAB30">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20A9412A">
            <w:pPr>
              <w:snapToGrid w:val="0"/>
              <w:spacing w:before="50" w:after="120" w:afterLines="50"/>
              <w:jc w:val="center"/>
              <w:rPr>
                <w:rFonts w:hint="eastAsia" w:ascii="宋体" w:hAnsi="宋体"/>
                <w:color w:val="auto"/>
                <w:sz w:val="24"/>
                <w:szCs w:val="20"/>
                <w:highlight w:val="none"/>
              </w:rPr>
            </w:pPr>
          </w:p>
        </w:tc>
        <w:tc>
          <w:tcPr>
            <w:tcW w:w="2059" w:type="dxa"/>
            <w:noWrap w:val="0"/>
            <w:vAlign w:val="center"/>
          </w:tcPr>
          <w:p w14:paraId="5A1BFA58">
            <w:pPr>
              <w:snapToGrid w:val="0"/>
              <w:spacing w:before="50" w:after="120" w:afterLines="50"/>
              <w:jc w:val="center"/>
              <w:rPr>
                <w:rFonts w:hint="eastAsia" w:ascii="宋体" w:hAnsi="宋体"/>
                <w:color w:val="auto"/>
                <w:sz w:val="24"/>
                <w:szCs w:val="20"/>
                <w:highlight w:val="none"/>
              </w:rPr>
            </w:pPr>
          </w:p>
        </w:tc>
        <w:tc>
          <w:tcPr>
            <w:tcW w:w="1414" w:type="dxa"/>
            <w:noWrap w:val="0"/>
            <w:vAlign w:val="center"/>
          </w:tcPr>
          <w:p w14:paraId="4EB581CF">
            <w:pPr>
              <w:snapToGrid w:val="0"/>
              <w:spacing w:before="50" w:after="120" w:afterLines="50"/>
              <w:jc w:val="center"/>
              <w:rPr>
                <w:rFonts w:hint="eastAsia" w:ascii="宋体" w:hAnsi="宋体"/>
                <w:color w:val="auto"/>
                <w:sz w:val="24"/>
                <w:szCs w:val="20"/>
                <w:highlight w:val="none"/>
              </w:rPr>
            </w:pPr>
          </w:p>
        </w:tc>
        <w:tc>
          <w:tcPr>
            <w:tcW w:w="1715" w:type="dxa"/>
            <w:noWrap w:val="0"/>
            <w:vAlign w:val="center"/>
          </w:tcPr>
          <w:p w14:paraId="439CE354">
            <w:pPr>
              <w:snapToGrid w:val="0"/>
              <w:spacing w:before="50" w:after="120" w:afterLines="50"/>
              <w:jc w:val="center"/>
              <w:rPr>
                <w:rFonts w:hint="eastAsia" w:ascii="宋体" w:hAnsi="宋体"/>
                <w:color w:val="auto"/>
                <w:sz w:val="24"/>
                <w:szCs w:val="20"/>
                <w:highlight w:val="none"/>
              </w:rPr>
            </w:pPr>
          </w:p>
        </w:tc>
        <w:tc>
          <w:tcPr>
            <w:tcW w:w="1900" w:type="dxa"/>
            <w:noWrap w:val="0"/>
            <w:vAlign w:val="center"/>
          </w:tcPr>
          <w:p w14:paraId="5A891872">
            <w:pPr>
              <w:snapToGrid w:val="0"/>
              <w:spacing w:before="50" w:after="120" w:afterLines="50"/>
              <w:jc w:val="center"/>
              <w:rPr>
                <w:rFonts w:hint="eastAsia" w:ascii="宋体" w:hAnsi="宋体"/>
                <w:color w:val="auto"/>
                <w:sz w:val="24"/>
                <w:szCs w:val="20"/>
                <w:highlight w:val="none"/>
              </w:rPr>
            </w:pPr>
          </w:p>
        </w:tc>
      </w:tr>
      <w:tr w14:paraId="37AB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817" w:type="dxa"/>
            <w:noWrap w:val="0"/>
            <w:vAlign w:val="center"/>
          </w:tcPr>
          <w:p w14:paraId="4A04F011">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1F4D353C">
            <w:pPr>
              <w:snapToGrid w:val="0"/>
              <w:spacing w:before="50" w:after="120" w:afterLines="50"/>
              <w:jc w:val="center"/>
              <w:rPr>
                <w:rFonts w:hint="eastAsia" w:ascii="宋体" w:hAnsi="宋体"/>
                <w:color w:val="auto"/>
                <w:sz w:val="24"/>
                <w:szCs w:val="20"/>
                <w:highlight w:val="none"/>
              </w:rPr>
            </w:pPr>
          </w:p>
        </w:tc>
        <w:tc>
          <w:tcPr>
            <w:tcW w:w="2059" w:type="dxa"/>
            <w:noWrap w:val="0"/>
            <w:vAlign w:val="center"/>
          </w:tcPr>
          <w:p w14:paraId="73275168">
            <w:pPr>
              <w:snapToGrid w:val="0"/>
              <w:spacing w:before="50" w:after="120" w:afterLines="50"/>
              <w:jc w:val="center"/>
              <w:rPr>
                <w:rFonts w:hint="eastAsia" w:ascii="宋体" w:hAnsi="宋体"/>
                <w:color w:val="auto"/>
                <w:sz w:val="24"/>
                <w:szCs w:val="20"/>
                <w:highlight w:val="none"/>
              </w:rPr>
            </w:pPr>
          </w:p>
        </w:tc>
        <w:tc>
          <w:tcPr>
            <w:tcW w:w="1414" w:type="dxa"/>
            <w:noWrap w:val="0"/>
            <w:vAlign w:val="center"/>
          </w:tcPr>
          <w:p w14:paraId="6BFE1795">
            <w:pPr>
              <w:snapToGrid w:val="0"/>
              <w:spacing w:before="50" w:after="120" w:afterLines="50"/>
              <w:jc w:val="center"/>
              <w:rPr>
                <w:rFonts w:hint="eastAsia" w:ascii="宋体" w:hAnsi="宋体"/>
                <w:color w:val="auto"/>
                <w:sz w:val="24"/>
                <w:szCs w:val="20"/>
                <w:highlight w:val="none"/>
              </w:rPr>
            </w:pPr>
          </w:p>
        </w:tc>
        <w:tc>
          <w:tcPr>
            <w:tcW w:w="1715" w:type="dxa"/>
            <w:noWrap w:val="0"/>
            <w:vAlign w:val="center"/>
          </w:tcPr>
          <w:p w14:paraId="02616CAB">
            <w:pPr>
              <w:snapToGrid w:val="0"/>
              <w:spacing w:before="50" w:after="120" w:afterLines="50"/>
              <w:jc w:val="center"/>
              <w:rPr>
                <w:rFonts w:hint="eastAsia" w:ascii="宋体" w:hAnsi="宋体"/>
                <w:color w:val="auto"/>
                <w:sz w:val="24"/>
                <w:szCs w:val="20"/>
                <w:highlight w:val="none"/>
              </w:rPr>
            </w:pPr>
          </w:p>
        </w:tc>
        <w:tc>
          <w:tcPr>
            <w:tcW w:w="1900" w:type="dxa"/>
            <w:noWrap w:val="0"/>
            <w:vAlign w:val="center"/>
          </w:tcPr>
          <w:p w14:paraId="1109DCF7">
            <w:pPr>
              <w:snapToGrid w:val="0"/>
              <w:spacing w:before="50" w:after="120" w:afterLines="50"/>
              <w:jc w:val="center"/>
              <w:rPr>
                <w:rFonts w:hint="eastAsia" w:ascii="宋体" w:hAnsi="宋体"/>
                <w:color w:val="auto"/>
                <w:sz w:val="24"/>
                <w:szCs w:val="20"/>
                <w:highlight w:val="none"/>
              </w:rPr>
            </w:pPr>
          </w:p>
        </w:tc>
      </w:tr>
    </w:tbl>
    <w:p w14:paraId="6E109CB1">
      <w:pPr>
        <w:snapToGrid w:val="0"/>
        <w:spacing w:before="50" w:after="120" w:afterLines="50"/>
        <w:jc w:val="left"/>
        <w:rPr>
          <w:rFonts w:hint="eastAsia" w:ascii="宋体" w:hAnsi="宋体"/>
          <w:color w:val="auto"/>
          <w:sz w:val="24"/>
          <w:szCs w:val="20"/>
          <w:highlight w:val="none"/>
        </w:rPr>
      </w:pPr>
    </w:p>
    <w:p w14:paraId="5C8A1C8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586539E">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4030E5A9">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07D63568">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1E143E1">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56FD3C01">
      <w:pPr>
        <w:snapToGrid w:val="0"/>
        <w:spacing w:before="50" w:after="120" w:afterLines="50"/>
        <w:jc w:val="left"/>
        <w:rPr>
          <w:rFonts w:hint="eastAsia" w:ascii="宋体" w:hAnsi="宋体"/>
          <w:color w:val="auto"/>
          <w:sz w:val="24"/>
          <w:szCs w:val="20"/>
          <w:highlight w:val="none"/>
        </w:rPr>
      </w:pPr>
    </w:p>
    <w:p w14:paraId="10F6E074">
      <w:pPr>
        <w:spacing w:line="360" w:lineRule="auto"/>
        <w:contextualSpacing/>
        <w:rPr>
          <w:rFonts w:hint="eastAsia" w:ascii="宋体" w:hAnsi="宋体"/>
          <w:color w:val="auto"/>
          <w:sz w:val="24"/>
          <w:szCs w:val="20"/>
          <w:highlight w:val="none"/>
        </w:rPr>
      </w:pPr>
    </w:p>
    <w:p w14:paraId="7A236A9D">
      <w:pPr>
        <w:snapToGrid w:val="0"/>
        <w:spacing w:before="50" w:after="120" w:afterLines="50"/>
        <w:jc w:val="left"/>
        <w:rPr>
          <w:rFonts w:hint="eastAsia" w:ascii="宋体" w:hAnsi="宋体"/>
          <w:color w:val="auto"/>
          <w:sz w:val="24"/>
          <w:szCs w:val="20"/>
          <w:highlight w:val="none"/>
        </w:rPr>
      </w:pPr>
    </w:p>
    <w:p w14:paraId="1056F2B0">
      <w:pPr>
        <w:snapToGrid w:val="0"/>
        <w:spacing w:before="120" w:beforeLines="50" w:after="50"/>
        <w:ind w:left="142"/>
        <w:jc w:val="left"/>
        <w:rPr>
          <w:rFonts w:hint="eastAsia" w:ascii="宋体" w:hAnsi="宋体"/>
          <w:b/>
          <w:color w:val="auto"/>
          <w:sz w:val="24"/>
        </w:rPr>
      </w:pPr>
      <w:r>
        <w:rPr>
          <w:rFonts w:ascii="宋体" w:hAnsi="宋体"/>
          <w:b/>
          <w:bCs/>
          <w:color w:val="auto"/>
          <w:sz w:val="24"/>
          <w:highlight w:val="none"/>
        </w:rPr>
        <w:br w:type="page"/>
      </w:r>
      <w:r>
        <w:rPr>
          <w:rFonts w:hint="eastAsia" w:ascii="宋体" w:hAnsi="宋体"/>
          <w:b/>
          <w:color w:val="auto"/>
          <w:sz w:val="24"/>
        </w:rPr>
        <w:t>6. 选配件、专用耗材、售后服务优惠表格式（注：按项目需求表具体项目修改）</w:t>
      </w:r>
    </w:p>
    <w:p w14:paraId="63360D59">
      <w:pPr>
        <w:snapToGrid w:val="0"/>
        <w:spacing w:before="120" w:beforeLines="50" w:after="50"/>
        <w:ind w:left="142"/>
        <w:jc w:val="left"/>
        <w:rPr>
          <w:rFonts w:hint="eastAsia" w:ascii="宋体" w:hAnsi="宋体"/>
          <w:b/>
          <w:color w:val="auto"/>
          <w:sz w:val="24"/>
        </w:rPr>
      </w:pPr>
    </w:p>
    <w:p w14:paraId="7828CEB2">
      <w:pPr>
        <w:snapToGrid w:val="0"/>
        <w:spacing w:before="120" w:beforeLines="50" w:after="50"/>
        <w:ind w:left="142"/>
        <w:jc w:val="center"/>
        <w:rPr>
          <w:rFonts w:hint="eastAsia" w:ascii="宋体" w:hAnsi="宋体"/>
          <w:b/>
          <w:color w:val="auto"/>
          <w:sz w:val="32"/>
          <w:szCs w:val="32"/>
        </w:rPr>
      </w:pPr>
      <w:r>
        <w:rPr>
          <w:rFonts w:hint="eastAsia" w:ascii="宋体" w:hAnsi="宋体"/>
          <w:b/>
          <w:color w:val="auto"/>
          <w:sz w:val="32"/>
          <w:szCs w:val="32"/>
        </w:rPr>
        <w:t>选配件、专用耗材、售后服务优惠表</w:t>
      </w:r>
    </w:p>
    <w:p w14:paraId="44F0E28F">
      <w:pPr>
        <w:pStyle w:val="26"/>
        <w:rPr>
          <w:rFonts w:hint="eastAsia"/>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EB1B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46F4110">
            <w:pPr>
              <w:pStyle w:val="26"/>
              <w:snapToGrid w:val="0"/>
              <w:spacing w:before="295" w:after="295"/>
              <w:jc w:val="center"/>
              <w:rPr>
                <w:rFonts w:hint="eastAsia" w:hAnsi="宋体" w:cs="Courier New"/>
                <w:color w:val="auto"/>
                <w:kern w:val="2"/>
                <w:sz w:val="24"/>
                <w:szCs w:val="24"/>
                <w:lang w:val="en-US" w:eastAsia="zh-CN"/>
              </w:rPr>
            </w:pPr>
            <w:r>
              <w:rPr>
                <w:rFonts w:hint="eastAsia" w:hAnsi="宋体" w:cs="Courier New"/>
                <w:color w:val="auto"/>
                <w:kern w:val="2"/>
                <w:sz w:val="24"/>
                <w:szCs w:val="24"/>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60A53637">
            <w:pPr>
              <w:pStyle w:val="26"/>
              <w:snapToGrid w:val="0"/>
              <w:spacing w:before="295" w:after="295"/>
              <w:jc w:val="center"/>
              <w:rPr>
                <w:rFonts w:hint="eastAsia" w:hAnsi="宋体" w:cs="Courier New"/>
                <w:color w:val="auto"/>
                <w:kern w:val="2"/>
                <w:sz w:val="24"/>
                <w:szCs w:val="24"/>
                <w:lang w:val="en-US" w:eastAsia="zh-CN"/>
              </w:rPr>
            </w:pPr>
            <w:r>
              <w:rPr>
                <w:rFonts w:hint="eastAsia" w:hAnsi="宋体" w:cs="Courier New"/>
                <w:color w:val="auto"/>
                <w:kern w:val="2"/>
                <w:sz w:val="24"/>
                <w:szCs w:val="24"/>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7BE82795">
            <w:pPr>
              <w:pStyle w:val="26"/>
              <w:snapToGrid w:val="0"/>
              <w:spacing w:before="295" w:after="295"/>
              <w:jc w:val="center"/>
              <w:rPr>
                <w:rFonts w:hint="eastAsia" w:hAnsi="宋体" w:cs="Courier New"/>
                <w:color w:val="auto"/>
                <w:kern w:val="2"/>
                <w:sz w:val="24"/>
                <w:szCs w:val="24"/>
                <w:lang w:val="en-US" w:eastAsia="zh-CN"/>
              </w:rPr>
            </w:pPr>
            <w:r>
              <w:rPr>
                <w:rFonts w:hint="eastAsia" w:hAnsi="宋体" w:cs="Courier New"/>
                <w:color w:val="auto"/>
                <w:kern w:val="2"/>
                <w:sz w:val="24"/>
                <w:szCs w:val="24"/>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7444DAF6">
            <w:pPr>
              <w:pStyle w:val="26"/>
              <w:snapToGrid w:val="0"/>
              <w:spacing w:before="295" w:after="295"/>
              <w:jc w:val="center"/>
              <w:rPr>
                <w:rFonts w:hint="eastAsia" w:hAnsi="宋体" w:cs="Courier New"/>
                <w:color w:val="auto"/>
                <w:kern w:val="2"/>
                <w:sz w:val="24"/>
                <w:szCs w:val="24"/>
                <w:lang w:val="en-US" w:eastAsia="zh-CN"/>
              </w:rPr>
            </w:pPr>
            <w:r>
              <w:rPr>
                <w:rFonts w:hint="eastAsia" w:hAnsi="宋体" w:cs="Courier New"/>
                <w:color w:val="auto"/>
                <w:kern w:val="2"/>
                <w:sz w:val="24"/>
                <w:szCs w:val="24"/>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414302ED">
            <w:pPr>
              <w:pStyle w:val="26"/>
              <w:snapToGrid w:val="0"/>
              <w:spacing w:before="295" w:after="295"/>
              <w:jc w:val="center"/>
              <w:rPr>
                <w:rFonts w:hint="eastAsia" w:hAnsi="宋体" w:cs="Courier New"/>
                <w:color w:val="auto"/>
                <w:kern w:val="2"/>
                <w:sz w:val="24"/>
                <w:szCs w:val="24"/>
                <w:lang w:val="en-US" w:eastAsia="zh-CN"/>
              </w:rPr>
            </w:pPr>
            <w:r>
              <w:rPr>
                <w:rFonts w:hint="eastAsia" w:hAnsi="宋体" w:cs="Courier New"/>
                <w:color w:val="auto"/>
                <w:kern w:val="2"/>
                <w:sz w:val="24"/>
                <w:szCs w:val="24"/>
                <w:lang w:val="en-US" w:eastAsia="zh-CN"/>
              </w:rPr>
              <w:t>比市场价优惠率</w:t>
            </w:r>
          </w:p>
        </w:tc>
      </w:tr>
      <w:tr w14:paraId="4A428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C52CCCD">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12C220F2">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083049FB">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BAD5030">
            <w:pPr>
              <w:pStyle w:val="26"/>
              <w:snapToGrid w:val="0"/>
              <w:spacing w:before="295" w:after="295"/>
              <w:jc w:val="center"/>
              <w:rPr>
                <w:rFonts w:hint="eastAsia" w:hAnsi="宋体"/>
                <w:color w:val="auto"/>
                <w:kern w:val="2"/>
                <w:sz w:val="24"/>
                <w:szCs w:val="24"/>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3951B5E8">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 xml:space="preserve"> </w:t>
            </w:r>
            <w:r>
              <w:rPr>
                <w:rFonts w:hint="eastAsia" w:hAnsi="宋体"/>
                <w:color w:val="auto"/>
                <w:kern w:val="2"/>
                <w:sz w:val="24"/>
                <w:szCs w:val="24"/>
                <w:u w:val="single"/>
                <w:lang w:val="en-US" w:eastAsia="zh-CN"/>
              </w:rPr>
              <w:t xml:space="preserve">           </w:t>
            </w:r>
            <w:r>
              <w:rPr>
                <w:rFonts w:hint="eastAsia" w:hAnsi="宋体"/>
                <w:color w:val="auto"/>
                <w:kern w:val="2"/>
                <w:sz w:val="24"/>
                <w:szCs w:val="24"/>
                <w:lang w:val="en-US" w:eastAsia="zh-CN"/>
              </w:rPr>
              <w:t>%</w:t>
            </w:r>
          </w:p>
        </w:tc>
      </w:tr>
      <w:tr w14:paraId="059D9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47E5915">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F1A3B8E">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4E7E3592">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AF7E7">
            <w:pPr>
              <w:pStyle w:val="26"/>
              <w:snapToGrid w:val="0"/>
              <w:spacing w:before="295" w:after="295"/>
              <w:jc w:val="center"/>
              <w:rPr>
                <w:rFonts w:hint="eastAsia" w:hAnsi="宋体"/>
                <w:color w:val="auto"/>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0204BFD5">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 xml:space="preserve"> </w:t>
            </w:r>
            <w:r>
              <w:rPr>
                <w:rFonts w:hint="eastAsia" w:hAnsi="宋体"/>
                <w:color w:val="auto"/>
                <w:kern w:val="2"/>
                <w:sz w:val="24"/>
                <w:szCs w:val="24"/>
                <w:u w:val="single"/>
                <w:lang w:val="en-US" w:eastAsia="zh-CN"/>
              </w:rPr>
              <w:t xml:space="preserve">           </w:t>
            </w:r>
            <w:r>
              <w:rPr>
                <w:rFonts w:hint="eastAsia" w:hAnsi="宋体"/>
                <w:color w:val="auto"/>
                <w:kern w:val="2"/>
                <w:sz w:val="24"/>
                <w:szCs w:val="24"/>
                <w:lang w:val="en-US" w:eastAsia="zh-CN"/>
              </w:rPr>
              <w:t>%</w:t>
            </w:r>
          </w:p>
        </w:tc>
      </w:tr>
      <w:tr w14:paraId="0F159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1F53FE2">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72DFB6E">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26D423C6">
            <w:pPr>
              <w:pStyle w:val="26"/>
              <w:snapToGrid w:val="0"/>
              <w:spacing w:before="295" w:after="295"/>
              <w:jc w:val="center"/>
              <w:rPr>
                <w:rFonts w:hint="eastAsia" w:hAnsi="宋体"/>
                <w:color w:val="auto"/>
                <w:kern w:val="2"/>
                <w:sz w:val="24"/>
                <w:szCs w:val="24"/>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081901C">
            <w:pPr>
              <w:pStyle w:val="26"/>
              <w:snapToGrid w:val="0"/>
              <w:spacing w:before="295" w:after="295"/>
              <w:jc w:val="center"/>
              <w:rPr>
                <w:rFonts w:hint="eastAsia" w:hAnsi="宋体"/>
                <w:color w:val="auto"/>
                <w:kern w:val="2"/>
                <w:sz w:val="24"/>
                <w:szCs w:val="24"/>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3D4A53C4">
            <w:pPr>
              <w:pStyle w:val="26"/>
              <w:snapToGrid w:val="0"/>
              <w:spacing w:before="295" w:after="295"/>
              <w:jc w:val="center"/>
              <w:rPr>
                <w:rFonts w:hint="eastAsia" w:hAnsi="宋体"/>
                <w:color w:val="auto"/>
                <w:kern w:val="2"/>
                <w:sz w:val="24"/>
                <w:szCs w:val="24"/>
                <w:lang w:val="en-US" w:eastAsia="zh-CN"/>
              </w:rPr>
            </w:pPr>
            <w:r>
              <w:rPr>
                <w:rFonts w:hint="eastAsia" w:hAnsi="宋体"/>
                <w:color w:val="auto"/>
                <w:kern w:val="2"/>
                <w:sz w:val="24"/>
                <w:szCs w:val="24"/>
                <w:lang w:val="en-US" w:eastAsia="zh-CN"/>
              </w:rPr>
              <w:t xml:space="preserve"> </w:t>
            </w:r>
            <w:r>
              <w:rPr>
                <w:rFonts w:hint="eastAsia" w:hAnsi="宋体"/>
                <w:color w:val="auto"/>
                <w:kern w:val="2"/>
                <w:sz w:val="24"/>
                <w:szCs w:val="24"/>
                <w:u w:val="single"/>
                <w:lang w:val="en-US" w:eastAsia="zh-CN"/>
              </w:rPr>
              <w:t xml:space="preserve">           </w:t>
            </w:r>
            <w:r>
              <w:rPr>
                <w:rFonts w:hint="eastAsia" w:hAnsi="宋体"/>
                <w:color w:val="auto"/>
                <w:kern w:val="2"/>
                <w:sz w:val="24"/>
                <w:szCs w:val="24"/>
                <w:lang w:val="en-US" w:eastAsia="zh-CN"/>
              </w:rPr>
              <w:t>%</w:t>
            </w:r>
          </w:p>
        </w:tc>
      </w:tr>
    </w:tbl>
    <w:p w14:paraId="3F283474">
      <w:pPr>
        <w:spacing w:line="360" w:lineRule="auto"/>
        <w:contextualSpacing/>
        <w:rPr>
          <w:rFonts w:hint="eastAsia" w:ascii="宋体" w:hAnsi="宋体"/>
          <w:color w:val="auto"/>
          <w:sz w:val="24"/>
        </w:rPr>
      </w:pPr>
    </w:p>
    <w:p w14:paraId="051B5089">
      <w:pPr>
        <w:spacing w:line="360" w:lineRule="auto"/>
        <w:contextualSpacing/>
        <w:rPr>
          <w:rFonts w:hint="eastAsia"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0BABF322">
      <w:pPr>
        <w:spacing w:line="360" w:lineRule="auto"/>
        <w:contextualSpacing/>
        <w:rPr>
          <w:rFonts w:hint="eastAsia" w:ascii="宋体" w:hAnsi="宋体"/>
          <w:color w:val="auto"/>
          <w:spacing w:val="20"/>
          <w:sz w:val="24"/>
        </w:rPr>
      </w:pPr>
      <w:r>
        <w:rPr>
          <w:rFonts w:hint="eastAsia" w:ascii="宋体" w:hAnsi="宋体"/>
          <w:color w:val="auto"/>
          <w:spacing w:val="20"/>
          <w:sz w:val="24"/>
        </w:rPr>
        <w:t>投标人（盖公章）：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3C7A70B">
      <w:pPr>
        <w:spacing w:line="360" w:lineRule="auto"/>
        <w:contextualSpacing/>
        <w:rPr>
          <w:rFonts w:hint="eastAsia"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2D1A1E10">
      <w:pPr>
        <w:snapToGrid w:val="0"/>
        <w:spacing w:before="50" w:after="120" w:afterLines="50"/>
        <w:jc w:val="left"/>
        <w:rPr>
          <w:rFonts w:hint="eastAsia" w:ascii="宋体" w:hAnsi="宋体"/>
          <w:color w:val="auto"/>
          <w:sz w:val="24"/>
          <w:szCs w:val="20"/>
        </w:rPr>
      </w:pPr>
    </w:p>
    <w:p w14:paraId="49908CE5">
      <w:pPr>
        <w:rPr>
          <w:rFonts w:hint="eastAsia"/>
          <w:b/>
          <w:color w:val="auto"/>
          <w:sz w:val="28"/>
          <w:szCs w:val="28"/>
          <w:highlight w:val="none"/>
        </w:rPr>
      </w:pPr>
      <w:r>
        <w:rPr>
          <w:rFonts w:ascii="宋体" w:hAnsi="宋体"/>
          <w:b/>
          <w:bCs/>
          <w:color w:val="auto"/>
          <w:sz w:val="24"/>
        </w:rPr>
        <w:br w:type="page"/>
      </w:r>
      <w:r>
        <w:rPr>
          <w:rFonts w:hint="eastAsia"/>
          <w:b/>
          <w:color w:val="auto"/>
          <w:sz w:val="28"/>
          <w:szCs w:val="28"/>
          <w:highlight w:val="none"/>
        </w:rPr>
        <w:t>五、其他文书、文件格式</w:t>
      </w:r>
    </w:p>
    <w:p w14:paraId="3E6F2DDE">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31A90858">
      <w:pPr>
        <w:snapToGrid w:val="0"/>
        <w:spacing w:before="120" w:beforeLines="50" w:after="50"/>
        <w:ind w:left="142"/>
        <w:jc w:val="left"/>
        <w:rPr>
          <w:rFonts w:hint="eastAsia" w:ascii="宋体" w:hAnsi="宋体"/>
          <w:b/>
          <w:color w:val="auto"/>
          <w:spacing w:val="20"/>
          <w:sz w:val="24"/>
          <w:highlight w:val="none"/>
        </w:rPr>
      </w:pPr>
    </w:p>
    <w:p w14:paraId="3632278B">
      <w:pPr>
        <w:pStyle w:val="6"/>
        <w:overflowPunct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22905BA4">
      <w:pPr>
        <w:pStyle w:val="6"/>
        <w:overflowPunct w:val="0"/>
        <w:rPr>
          <w:rFonts w:ascii="宋体" w:hAnsi="宋体"/>
          <w:color w:val="auto"/>
          <w:sz w:val="24"/>
          <w:highlight w:val="none"/>
        </w:rPr>
      </w:pPr>
    </w:p>
    <w:p w14:paraId="024D642B">
      <w:pPr>
        <w:pStyle w:val="6"/>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11461B16">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45F31AB4">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389CC6AB">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2F9C5E1A">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58DF4851">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06069461">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2679B379">
      <w:pPr>
        <w:pStyle w:val="6"/>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4E0C2564">
      <w:pPr>
        <w:pStyle w:val="6"/>
        <w:overflowPunct w:val="0"/>
        <w:spacing w:line="360" w:lineRule="auto"/>
        <w:ind w:firstLineChars="175"/>
        <w:contextualSpacing/>
        <w:rPr>
          <w:rFonts w:ascii="宋体" w:hAnsi="宋体"/>
          <w:color w:val="auto"/>
          <w:sz w:val="24"/>
          <w:highlight w:val="none"/>
        </w:rPr>
      </w:pPr>
    </w:p>
    <w:p w14:paraId="3CF7E67A">
      <w:pPr>
        <w:pStyle w:val="6"/>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10CBEA69">
      <w:pPr>
        <w:pStyle w:val="6"/>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782F558B">
      <w:pPr>
        <w:pStyle w:val="6"/>
        <w:overflowPunct w:val="0"/>
        <w:spacing w:line="360" w:lineRule="auto"/>
        <w:ind w:firstLineChars="175"/>
        <w:contextualSpacing/>
        <w:rPr>
          <w:rFonts w:ascii="宋体" w:hAnsi="宋体"/>
          <w:color w:val="auto"/>
          <w:sz w:val="24"/>
          <w:highlight w:val="none"/>
        </w:rPr>
      </w:pPr>
    </w:p>
    <w:p w14:paraId="32A617AA">
      <w:pPr>
        <w:pStyle w:val="6"/>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16062E18">
      <w:pPr>
        <w:pStyle w:val="6"/>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386DE696">
      <w:pPr>
        <w:pStyle w:val="6"/>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67BE6837">
      <w:pPr>
        <w:pStyle w:val="6"/>
        <w:overflowPunct w:val="0"/>
        <w:spacing w:line="360" w:lineRule="auto"/>
        <w:ind w:firstLineChars="175"/>
        <w:contextualSpacing/>
        <w:rPr>
          <w:rFonts w:ascii="宋体" w:hAnsi="宋体"/>
          <w:color w:val="auto"/>
          <w:sz w:val="24"/>
          <w:highlight w:val="none"/>
        </w:rPr>
      </w:pPr>
    </w:p>
    <w:p w14:paraId="773ADB2B">
      <w:pPr>
        <w:pStyle w:val="6"/>
        <w:overflowPunct w:val="0"/>
        <w:spacing w:line="360" w:lineRule="auto"/>
        <w:ind w:firstLineChars="175"/>
        <w:contextualSpacing/>
        <w:rPr>
          <w:rFonts w:ascii="宋体" w:hAnsi="宋体"/>
          <w:color w:val="auto"/>
          <w:sz w:val="24"/>
          <w:highlight w:val="none"/>
        </w:rPr>
      </w:pPr>
    </w:p>
    <w:p w14:paraId="49202E51">
      <w:pPr>
        <w:pStyle w:val="6"/>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07A135A9">
      <w:pPr>
        <w:snapToGrid w:val="0"/>
        <w:spacing w:before="120" w:beforeLines="50" w:after="50"/>
        <w:jc w:val="left"/>
        <w:rPr>
          <w:rFonts w:hint="eastAsia"/>
          <w:color w:val="auto"/>
          <w:highlight w:val="none"/>
        </w:rPr>
      </w:pPr>
      <w:r>
        <w:rPr>
          <w:rFonts w:hint="eastAsia" w:ascii="宋体" w:hAnsi="宋体"/>
          <w:b/>
          <w:color w:val="auto"/>
          <w:sz w:val="24"/>
          <w:highlight w:val="none"/>
        </w:rPr>
        <w:t xml:space="preserve"> 2.中小企业声明函格式</w:t>
      </w:r>
    </w:p>
    <w:p w14:paraId="77887EF7">
      <w:pPr>
        <w:rPr>
          <w:rFonts w:hint="eastAsia"/>
          <w:color w:val="auto"/>
          <w:highlight w:val="none"/>
        </w:rPr>
      </w:pPr>
    </w:p>
    <w:p w14:paraId="6D639976">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w:t>
      </w:r>
    </w:p>
    <w:p w14:paraId="5559E42A">
      <w:pPr>
        <w:spacing w:before="2" w:line="500" w:lineRule="exact"/>
        <w:rPr>
          <w:rFonts w:ascii="宋体" w:hAnsi="宋体" w:cs="宋体"/>
          <w:b/>
          <w:bCs/>
          <w:color w:val="auto"/>
          <w:sz w:val="27"/>
          <w:szCs w:val="27"/>
          <w:highlight w:val="none"/>
        </w:rPr>
      </w:pPr>
    </w:p>
    <w:p w14:paraId="073F3AB9">
      <w:pPr>
        <w:pStyle w:val="20"/>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06224F90">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58BCEDA">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3FBE3F74">
      <w:pPr>
        <w:pStyle w:val="20"/>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783D2231">
      <w:pPr>
        <w:pStyle w:val="20"/>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775A2EE">
      <w:pPr>
        <w:pStyle w:val="20"/>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3B755D9F">
      <w:pPr>
        <w:pStyle w:val="20"/>
        <w:spacing w:line="360" w:lineRule="auto"/>
        <w:ind w:left="3960" w:right="1808"/>
        <w:contextualSpacing/>
        <w:rPr>
          <w:rFonts w:hint="eastAsia" w:ascii="宋体" w:hAnsi="宋体"/>
          <w:color w:val="auto"/>
          <w:kern w:val="24"/>
          <w:highlight w:val="none"/>
        </w:rPr>
      </w:pPr>
    </w:p>
    <w:p w14:paraId="1FBC23C3">
      <w:pPr>
        <w:pStyle w:val="20"/>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3723B896">
      <w:pPr>
        <w:pStyle w:val="20"/>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5000EA71">
      <w:pPr>
        <w:pStyle w:val="20"/>
        <w:spacing w:line="360" w:lineRule="auto"/>
        <w:ind w:left="3960" w:right="1808"/>
        <w:contextualSpacing/>
        <w:rPr>
          <w:rFonts w:ascii="宋体" w:hAnsi="宋体"/>
          <w:color w:val="auto"/>
          <w:kern w:val="24"/>
          <w:highlight w:val="none"/>
        </w:rPr>
      </w:pPr>
    </w:p>
    <w:p w14:paraId="013F6310">
      <w:pPr>
        <w:pStyle w:val="20"/>
        <w:spacing w:line="360" w:lineRule="auto"/>
        <w:ind w:left="3960" w:right="1808"/>
        <w:contextualSpacing/>
        <w:rPr>
          <w:rFonts w:ascii="宋体" w:hAnsi="宋体"/>
          <w:color w:val="auto"/>
          <w:kern w:val="24"/>
          <w:highlight w:val="none"/>
        </w:rPr>
      </w:pPr>
    </w:p>
    <w:p w14:paraId="6D6833AE">
      <w:pPr>
        <w:pStyle w:val="20"/>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w:t>
      </w:r>
      <w:r>
        <w:rPr>
          <w:rFonts w:hint="eastAsia" w:ascii="宋体" w:hAnsi="宋体"/>
          <w:color w:val="auto"/>
          <w:kern w:val="24"/>
          <w:highlight w:val="none"/>
          <w:lang w:eastAsia="zh-CN"/>
        </w:rPr>
        <w:t>招标代理</w:t>
      </w:r>
      <w:r>
        <w:rPr>
          <w:rFonts w:hint="eastAsia" w:ascii="宋体" w:hAnsi="宋体"/>
          <w:color w:val="auto"/>
          <w:kern w:val="24"/>
          <w:highlight w:val="none"/>
        </w:rPr>
        <w:t>机构应当随中标结果公开中标供应商的《中小企业声明函》。从业人员、营业收入、资产总额填报上一年度数据，无上一年度数据的新成立企业可不填报。</w:t>
      </w:r>
    </w:p>
    <w:p w14:paraId="15F2F4E4">
      <w:pPr>
        <w:snapToGrid w:val="0"/>
        <w:spacing w:before="120" w:beforeLines="50" w:after="50"/>
        <w:ind w:left="142"/>
        <w:jc w:val="left"/>
        <w:rPr>
          <w:rFonts w:hint="eastAsia" w:ascii="宋体" w:hAnsi="宋体"/>
          <w:b/>
          <w:color w:val="auto"/>
          <w:sz w:val="24"/>
          <w:highlight w:val="none"/>
        </w:rPr>
      </w:pPr>
    </w:p>
    <w:p w14:paraId="7C42585F">
      <w:pPr>
        <w:pStyle w:val="26"/>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47D60D10">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61E6070D">
      <w:pPr>
        <w:ind w:left="1871"/>
        <w:rPr>
          <w:rFonts w:hint="eastAsia" w:ascii="宋体" w:hAnsi="宋体" w:cs="Arial Unicode MS"/>
          <w:color w:val="auto"/>
          <w:szCs w:val="21"/>
          <w:highlight w:val="none"/>
        </w:rPr>
      </w:pPr>
    </w:p>
    <w:tbl>
      <w:tblPr>
        <w:tblStyle w:val="50"/>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3428C1A4">
        <w:tblPrEx>
          <w:tblCellMar>
            <w:top w:w="0" w:type="dxa"/>
            <w:left w:w="108" w:type="dxa"/>
            <w:bottom w:w="0" w:type="dxa"/>
            <w:right w:w="108" w:type="dxa"/>
          </w:tblCellMar>
        </w:tblPrEx>
        <w:trPr>
          <w:wBefore w:w="0" w:type="dxa"/>
          <w:wAfter w:w="0" w:type="dxa"/>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5922ABB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259DE75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3FE55BD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65E2BAD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1713280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F0291C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5245054">
        <w:tblPrEx>
          <w:tblCellMar>
            <w:top w:w="0" w:type="dxa"/>
            <w:left w:w="108" w:type="dxa"/>
            <w:bottom w:w="0" w:type="dxa"/>
            <w:right w:w="108" w:type="dxa"/>
          </w:tblCellMar>
        </w:tblPrEx>
        <w:trPr>
          <w:wBefore w:w="0" w:type="dxa"/>
          <w:wAfter w:w="0" w:type="dxa"/>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A700B5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7E104D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77B2D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377B3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7569C3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523DA5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CF8AC09">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F47612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506924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5A09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00703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4AD79F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11DE3F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9D595AF">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5AA4F6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17714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35D82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BFFEC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3CB458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099938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F4A8D62">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6F6F77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422970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59DD8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7B2D7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2EA1D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4F6041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9D740F0">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153F2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AA40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1BE2D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7443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58485C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6B602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A94C844">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C88F0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6B3917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385FE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8ED34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C77CA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489306D4">
            <w:pPr>
              <w:widowControl/>
              <w:jc w:val="left"/>
              <w:rPr>
                <w:rFonts w:ascii="仿宋_GB2312" w:hAnsi="仿宋" w:eastAsia="仿宋_GB2312" w:cs="宋体"/>
                <w:color w:val="auto"/>
                <w:kern w:val="0"/>
                <w:sz w:val="18"/>
                <w:szCs w:val="18"/>
                <w:highlight w:val="none"/>
              </w:rPr>
            </w:pPr>
            <w:bookmarkStart w:id="155" w:name="_GoBack"/>
            <w:r>
              <w:rPr>
                <w:rFonts w:hint="eastAsia" w:ascii="仿宋_GB2312" w:hAnsi="仿宋" w:eastAsia="仿宋_GB2312" w:cs="宋体"/>
                <w:color w:val="auto"/>
                <w:kern w:val="0"/>
                <w:sz w:val="18"/>
                <w:szCs w:val="18"/>
                <w:highlight w:val="none"/>
              </w:rPr>
              <w:t>X＜5</w:t>
            </w:r>
          </w:p>
          <w:bookmarkEnd w:id="155"/>
        </w:tc>
      </w:tr>
      <w:tr w14:paraId="471EAAEE">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411BBE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A2256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AAAA0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473A4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04CE8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23F5F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8693317">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BD02B5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41C88B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DFBC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0239E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851BD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33B750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90457F6">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29802A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67D0B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C9889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8D4AA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68D029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03578E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1F86D7">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269BB5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3F51AD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4ABA01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C009B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2A4D6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5E36E4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3F4401">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11C71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63A94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93275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8A33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2CF1E3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68F39F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2FEE8B8">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539683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3C9660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FC09E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2A3C4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25C01E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38D26B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2CA8737">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B34A47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135A7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1808A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BC54B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3E3887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1FC62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E3945F">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1460CA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40E046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0533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5C39F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89BEF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7CDA4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D0D80E0">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66D7D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903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5377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ACBFB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75B53D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277C32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C1D9372">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67A5B9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4734ED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4F6CC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C577E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536AD5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311DD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46B52CC">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E799E4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A88B6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73FFD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3192E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1BAAF3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890C8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E336BAC">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C55DEE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3FA738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68016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5E9C5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3DA81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C62BF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95C9E26">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2D0EA0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2E71D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86410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1E84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748D5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2C855B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A2764B2">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2DD9F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FFD2C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E5FB1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FCDD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0EE9BD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24C22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1FE5ED">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223ADF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9B765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13053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79AD9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652E27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591EC3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86397E2">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C62986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1C3808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77D9A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B0909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019F8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C0D6A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2D3BC0">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4412E5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EC8F5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4801F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0E1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6D4C3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4ADE08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3D34F35">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699DF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46B791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ADBB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FEAE3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D40C0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8EA9E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9A5F773">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962D81F">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1FFABD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A4614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E1E9D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2D70E6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48F1EB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0814EEF">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DD811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6A0780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CFFE8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44FD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AF216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5BE07D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FD78B8">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A398E2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DD226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BED44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0372C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3A152D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5325EB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841FFF3">
        <w:tblPrEx>
          <w:tblCellMar>
            <w:top w:w="0" w:type="dxa"/>
            <w:left w:w="108" w:type="dxa"/>
            <w:bottom w:w="0" w:type="dxa"/>
            <w:right w:w="108" w:type="dxa"/>
          </w:tblCellMar>
        </w:tblPrEx>
        <w:trPr>
          <w:wBefore w:w="0" w:type="dxa"/>
          <w:wAfter w:w="0" w:type="dxa"/>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5AB207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490DDA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B7272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2EE7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F3F43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8D29D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D48228">
        <w:tblPrEx>
          <w:tblCellMar>
            <w:top w:w="0" w:type="dxa"/>
            <w:left w:w="108" w:type="dxa"/>
            <w:bottom w:w="0" w:type="dxa"/>
            <w:right w:w="108" w:type="dxa"/>
          </w:tblCellMar>
        </w:tblPrEx>
        <w:trPr>
          <w:wBefore w:w="0" w:type="dxa"/>
          <w:wAfter w:w="0" w:type="dxa"/>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DBAC82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3B312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61D00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4C52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07E726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77EE49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E52A87B">
        <w:tblPrEx>
          <w:tblCellMar>
            <w:top w:w="0" w:type="dxa"/>
            <w:left w:w="108" w:type="dxa"/>
            <w:bottom w:w="0" w:type="dxa"/>
            <w:right w:w="108" w:type="dxa"/>
          </w:tblCellMar>
        </w:tblPrEx>
        <w:trPr>
          <w:wBefore w:w="0" w:type="dxa"/>
          <w:wAfter w:w="0" w:type="dxa"/>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2F1EB69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17A241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92CAE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4FEDC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58A13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5272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02E3F19">
      <w:pPr>
        <w:spacing w:line="360" w:lineRule="auto"/>
        <w:ind w:firstLine="525" w:firstLineChars="250"/>
        <w:rPr>
          <w:rFonts w:hint="eastAsia" w:ascii="仿宋_GB2312" w:hAnsi="仿宋" w:eastAsia="仿宋_GB2312"/>
          <w:color w:val="auto"/>
          <w:szCs w:val="21"/>
          <w:highlight w:val="none"/>
        </w:rPr>
      </w:pPr>
    </w:p>
    <w:p w14:paraId="5531E48B">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47D26F9">
      <w:pPr>
        <w:snapToGrid w:val="0"/>
        <w:spacing w:before="120" w:beforeLines="50" w:after="50"/>
        <w:ind w:left="142"/>
        <w:jc w:val="left"/>
        <w:rPr>
          <w:rFonts w:hint="eastAsia" w:ascii="宋体" w:hAnsi="宋体"/>
          <w:b/>
          <w:color w:val="auto"/>
          <w:sz w:val="24"/>
          <w:highlight w:val="none"/>
        </w:rPr>
      </w:pPr>
    </w:p>
    <w:p w14:paraId="3881F0F9">
      <w:pPr>
        <w:snapToGrid w:val="0"/>
        <w:spacing w:before="120" w:beforeLines="50" w:after="50"/>
        <w:ind w:left="142"/>
        <w:jc w:val="left"/>
        <w:rPr>
          <w:rFonts w:hint="eastAsia" w:ascii="宋体" w:hAnsi="宋体"/>
          <w:b/>
          <w:color w:val="auto"/>
          <w:sz w:val="24"/>
          <w:highlight w:val="none"/>
        </w:rPr>
      </w:pPr>
    </w:p>
    <w:p w14:paraId="41E8D6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1138CD4B">
      <w:pPr>
        <w:spacing w:line="588" w:lineRule="exact"/>
        <w:jc w:val="center"/>
        <w:rPr>
          <w:rFonts w:hint="eastAsia" w:ascii="仿宋_GB2312" w:eastAsia="仿宋_GB2312"/>
          <w:b/>
          <w:color w:val="auto"/>
          <w:spacing w:val="6"/>
          <w:sz w:val="32"/>
          <w:szCs w:val="32"/>
          <w:highlight w:val="none"/>
        </w:rPr>
      </w:pPr>
    </w:p>
    <w:p w14:paraId="689AEA3E">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1D82979A">
      <w:pPr>
        <w:spacing w:line="360" w:lineRule="auto"/>
        <w:contextualSpacing/>
        <w:rPr>
          <w:rFonts w:ascii="仿宋_GB2312" w:eastAsia="仿宋_GB2312"/>
          <w:bCs/>
          <w:color w:val="auto"/>
          <w:spacing w:val="6"/>
          <w:sz w:val="30"/>
          <w:szCs w:val="30"/>
          <w:highlight w:val="none"/>
        </w:rPr>
      </w:pPr>
    </w:p>
    <w:p w14:paraId="280322C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27861E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05F7F76">
      <w:pPr>
        <w:spacing w:line="360" w:lineRule="auto"/>
        <w:ind w:firstLine="504" w:firstLineChars="200"/>
        <w:contextualSpacing/>
        <w:rPr>
          <w:rFonts w:ascii="宋体" w:hAnsi="宋体"/>
          <w:color w:val="auto"/>
          <w:spacing w:val="6"/>
          <w:sz w:val="24"/>
          <w:highlight w:val="none"/>
        </w:rPr>
      </w:pPr>
    </w:p>
    <w:p w14:paraId="4E14AE08">
      <w:pPr>
        <w:spacing w:line="360" w:lineRule="auto"/>
        <w:ind w:firstLine="504" w:firstLineChars="200"/>
        <w:contextualSpacing/>
        <w:rPr>
          <w:rFonts w:ascii="宋体" w:hAnsi="宋体"/>
          <w:color w:val="auto"/>
          <w:spacing w:val="6"/>
          <w:sz w:val="24"/>
          <w:highlight w:val="none"/>
        </w:rPr>
      </w:pPr>
    </w:p>
    <w:p w14:paraId="1D8D333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4A18F96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4E25FE6">
      <w:pPr>
        <w:spacing w:line="360" w:lineRule="auto"/>
        <w:contextualSpacing/>
        <w:rPr>
          <w:rFonts w:ascii="宋体" w:hAnsi="宋体"/>
          <w:color w:val="auto"/>
          <w:sz w:val="24"/>
          <w:highlight w:val="none"/>
        </w:rPr>
      </w:pPr>
    </w:p>
    <w:p w14:paraId="1CDAA8F9">
      <w:pPr>
        <w:spacing w:line="360" w:lineRule="auto"/>
        <w:contextualSpacing/>
        <w:rPr>
          <w:rFonts w:hint="eastAsia" w:ascii="宋体" w:hAnsi="宋体"/>
          <w:color w:val="auto"/>
          <w:sz w:val="24"/>
          <w:highlight w:val="none"/>
        </w:rPr>
      </w:pPr>
    </w:p>
    <w:p w14:paraId="05D0FF8E">
      <w:pPr>
        <w:spacing w:line="360" w:lineRule="auto"/>
        <w:contextualSpacing/>
        <w:rPr>
          <w:rFonts w:ascii="宋体" w:hAnsi="宋体"/>
          <w:color w:val="auto"/>
          <w:sz w:val="24"/>
          <w:highlight w:val="none"/>
        </w:rPr>
      </w:pPr>
    </w:p>
    <w:p w14:paraId="154AAA45">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w:t>
      </w:r>
      <w:r>
        <w:rPr>
          <w:rFonts w:hint="eastAsia" w:ascii="宋体" w:hAnsi="宋体"/>
          <w:color w:val="auto"/>
          <w:sz w:val="24"/>
          <w:highlight w:val="none"/>
          <w:lang w:eastAsia="zh-CN"/>
        </w:rPr>
        <w:t>招标代理</w:t>
      </w:r>
      <w:r>
        <w:rPr>
          <w:rFonts w:hint="eastAsia" w:ascii="宋体" w:hAnsi="宋体"/>
          <w:color w:val="auto"/>
          <w:sz w:val="24"/>
          <w:highlight w:val="none"/>
        </w:rPr>
        <w:t>机构在公告中标结果时，同时公告其《残疾人福利性单位声明函》，接受社会监督。</w:t>
      </w:r>
    </w:p>
    <w:p w14:paraId="5AF0D88F">
      <w:pPr>
        <w:pStyle w:val="44"/>
        <w:numPr>
          <w:ilvl w:val="0"/>
          <w:numId w:val="0"/>
        </w:numPr>
        <w:shd w:val="clear" w:color="auto" w:fill="FFFFFF"/>
        <w:spacing w:before="0" w:beforeAutospacing="0" w:after="0" w:afterAutospacing="0"/>
        <w:ind w:leftChars="0"/>
        <w:jc w:val="both"/>
        <w:rPr>
          <w:rStyle w:val="53"/>
          <w:rFonts w:hint="eastAsia" w:ascii="宋体" w:hAnsi="宋体" w:eastAsia="宋体" w:cs="宋体"/>
          <w:i w:val="0"/>
          <w:iCs w:val="0"/>
          <w:color w:val="auto"/>
          <w:sz w:val="21"/>
          <w:szCs w:val="21"/>
          <w:highlight w:val="none"/>
        </w:rPr>
      </w:pPr>
      <w:r>
        <w:rPr>
          <w:rFonts w:ascii="宋体" w:hAnsi="宋体"/>
          <w:color w:val="auto"/>
          <w:sz w:val="24"/>
          <w:highlight w:val="none"/>
        </w:rPr>
        <w:br w:type="page"/>
      </w:r>
      <w:r>
        <w:rPr>
          <w:rFonts w:hint="eastAsia"/>
          <w:color w:val="auto"/>
          <w:sz w:val="24"/>
          <w:highlight w:val="none"/>
          <w:lang w:val="en-US" w:eastAsia="zh-CN"/>
        </w:rPr>
        <w:t>4.</w:t>
      </w:r>
      <w:r>
        <w:rPr>
          <w:rStyle w:val="53"/>
          <w:rFonts w:hint="eastAsia" w:ascii="宋体" w:hAnsi="宋体" w:eastAsia="宋体" w:cs="宋体"/>
          <w:i w:val="0"/>
          <w:iCs w:val="0"/>
          <w:color w:val="auto"/>
          <w:sz w:val="21"/>
          <w:szCs w:val="21"/>
          <w:highlight w:val="none"/>
        </w:rPr>
        <w:t>关于符合本国产品标准的声明函</w:t>
      </w:r>
    </w:p>
    <w:p w14:paraId="3EF6AD66">
      <w:pPr>
        <w:pStyle w:val="44"/>
        <w:numPr>
          <w:ilvl w:val="0"/>
          <w:numId w:val="0"/>
        </w:numPr>
        <w:shd w:val="clear" w:color="auto" w:fill="FFFFFF"/>
        <w:spacing w:before="0" w:beforeAutospacing="0" w:after="0" w:afterAutospacing="0"/>
        <w:ind w:leftChars="0"/>
        <w:jc w:val="both"/>
        <w:rPr>
          <w:rStyle w:val="53"/>
          <w:rFonts w:hint="eastAsia" w:ascii="宋体" w:hAnsi="宋体" w:eastAsia="宋体" w:cs="宋体"/>
          <w:i w:val="0"/>
          <w:iCs w:val="0"/>
          <w:color w:val="auto"/>
          <w:sz w:val="21"/>
          <w:szCs w:val="21"/>
          <w:highlight w:val="none"/>
        </w:rPr>
      </w:pPr>
    </w:p>
    <w:p w14:paraId="5964376D">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关于符合本国产品标准的声明函</w:t>
      </w:r>
    </w:p>
    <w:p w14:paraId="2288C732">
      <w:pPr>
        <w:pStyle w:val="44"/>
        <w:numPr>
          <w:ilvl w:val="0"/>
          <w:numId w:val="0"/>
        </w:numPr>
        <w:shd w:val="clear" w:color="auto" w:fill="FFFFFF"/>
        <w:spacing w:before="0" w:beforeAutospacing="0" w:after="0" w:afterAutospacing="0"/>
        <w:ind w:leftChars="0"/>
        <w:jc w:val="both"/>
        <w:rPr>
          <w:rStyle w:val="53"/>
          <w:rFonts w:hint="eastAsia" w:ascii="宋体" w:hAnsi="宋体" w:eastAsia="宋体" w:cs="宋体"/>
          <w:i w:val="0"/>
          <w:iCs w:val="0"/>
          <w:color w:val="auto"/>
          <w:sz w:val="21"/>
          <w:szCs w:val="21"/>
          <w:highlight w:val="none"/>
        </w:rPr>
      </w:pPr>
      <w:r>
        <w:rPr>
          <w:rStyle w:val="53"/>
          <w:rFonts w:hint="eastAsia" w:ascii="宋体" w:hAnsi="宋体" w:eastAsia="宋体" w:cs="宋体"/>
          <w:i w:val="0"/>
          <w:iCs w:val="0"/>
          <w:color w:val="auto"/>
          <w:sz w:val="21"/>
          <w:szCs w:val="21"/>
          <w:highlight w:val="none"/>
          <w:lang w:val="en-US"/>
        </w:rPr>
        <w:t> </w:t>
      </w:r>
    </w:p>
    <w:p w14:paraId="541CD491">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本公司（单位、联合体）郑重声明，根据《国务院办公厅关于在政府采购中实施本国产品标准及相关政策的通知》（国办发〔2025〕34号）的规定，本公司（单位）提供的以下产品属于本国产品。具体情况如下：</w:t>
      </w:r>
    </w:p>
    <w:p w14:paraId="55F79027">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1.</w:t>
      </w:r>
      <w:r>
        <w:rPr>
          <w:rFonts w:hint="eastAsia" w:ascii="宋体" w:hAnsi="宋体" w:eastAsia="宋体" w:cs="Times New Roman"/>
          <w:color w:val="auto"/>
          <w:spacing w:val="6"/>
          <w:sz w:val="24"/>
          <w:highlight w:val="none"/>
          <w:u w:val="single"/>
        </w:rPr>
        <w:t>（产品名称1）1</w:t>
      </w:r>
      <w:r>
        <w:rPr>
          <w:rFonts w:hint="eastAsia" w:ascii="宋体" w:hAnsi="宋体" w:eastAsia="宋体" w:cs="Times New Roman"/>
          <w:color w:val="auto"/>
          <w:spacing w:val="6"/>
          <w:sz w:val="24"/>
          <w:highlight w:val="none"/>
        </w:rPr>
        <w:t>，生产厂为</w:t>
      </w:r>
      <w:r>
        <w:rPr>
          <w:rFonts w:hint="eastAsia" w:ascii="宋体" w:hAnsi="宋体" w:eastAsia="宋体" w:cs="Times New Roman"/>
          <w:color w:val="auto"/>
          <w:spacing w:val="6"/>
          <w:sz w:val="24"/>
          <w:highlight w:val="none"/>
          <w:u w:val="single"/>
        </w:rPr>
        <w:t>（厂名）2</w:t>
      </w:r>
      <w:r>
        <w:rPr>
          <w:rFonts w:hint="eastAsia" w:ascii="宋体" w:hAnsi="宋体" w:eastAsia="宋体" w:cs="Times New Roman"/>
          <w:color w:val="auto"/>
          <w:spacing w:val="6"/>
          <w:sz w:val="24"/>
          <w:highlight w:val="none"/>
        </w:rPr>
        <w:t>，厂址为</w:t>
      </w:r>
      <w:r>
        <w:rPr>
          <w:rFonts w:hint="eastAsia" w:ascii="宋体" w:hAnsi="宋体" w:eastAsia="宋体" w:cs="Times New Roman"/>
          <w:color w:val="auto"/>
          <w:spacing w:val="6"/>
          <w:sz w:val="24"/>
          <w:highlight w:val="none"/>
          <w:u w:val="single"/>
        </w:rPr>
        <w:t>（生产厂址）</w:t>
      </w:r>
      <w:r>
        <w:rPr>
          <w:rFonts w:hint="eastAsia" w:ascii="宋体" w:hAnsi="宋体" w:eastAsia="宋体" w:cs="Times New Roman"/>
          <w:color w:val="auto"/>
          <w:spacing w:val="6"/>
          <w:sz w:val="24"/>
          <w:highlight w:val="none"/>
        </w:rPr>
        <w:t>。</w:t>
      </w:r>
      <w:r>
        <w:rPr>
          <w:rFonts w:hint="eastAsia" w:ascii="宋体" w:hAnsi="宋体" w:eastAsia="宋体" w:cs="Times New Roman"/>
          <w:color w:val="auto"/>
          <w:spacing w:val="6"/>
          <w:sz w:val="24"/>
          <w:highlight w:val="none"/>
          <w:u w:val="single"/>
        </w:rPr>
        <w:t>（产品名称1）</w:t>
      </w:r>
      <w:r>
        <w:rPr>
          <w:rFonts w:hint="eastAsia" w:ascii="宋体" w:hAnsi="宋体" w:eastAsia="宋体" w:cs="Times New Roman"/>
          <w:color w:val="auto"/>
          <w:spacing w:val="6"/>
          <w:sz w:val="24"/>
          <w:highlight w:val="none"/>
        </w:rPr>
        <w:t>的中国境内生产的组件成本占比≥</w:t>
      </w:r>
      <w:r>
        <w:rPr>
          <w:rFonts w:hint="eastAsia" w:ascii="宋体" w:hAnsi="宋体" w:eastAsia="宋体" w:cs="Times New Roman"/>
          <w:color w:val="auto"/>
          <w:spacing w:val="6"/>
          <w:sz w:val="24"/>
          <w:highlight w:val="none"/>
          <w:u w:val="single"/>
        </w:rPr>
        <w:t>（规定比例）3</w:t>
      </w:r>
      <w:r>
        <w:rPr>
          <w:rFonts w:hint="eastAsia" w:ascii="宋体" w:hAnsi="宋体" w:eastAsia="宋体" w:cs="Times New Roman"/>
          <w:color w:val="auto"/>
          <w:spacing w:val="6"/>
          <w:sz w:val="24"/>
          <w:highlight w:val="none"/>
        </w:rPr>
        <w:t>。</w:t>
      </w:r>
      <w:r>
        <w:rPr>
          <w:rFonts w:hint="eastAsia" w:ascii="宋体" w:hAnsi="宋体" w:eastAsia="宋体" w:cs="Times New Roman"/>
          <w:color w:val="auto"/>
          <w:spacing w:val="6"/>
          <w:sz w:val="24"/>
          <w:highlight w:val="none"/>
          <w:u w:val="single"/>
        </w:rPr>
        <w:t>（产品名称1）</w:t>
      </w:r>
      <w:r>
        <w:rPr>
          <w:rFonts w:hint="eastAsia" w:ascii="宋体" w:hAnsi="宋体" w:eastAsia="宋体" w:cs="Times New Roman"/>
          <w:color w:val="auto"/>
          <w:spacing w:val="6"/>
          <w:sz w:val="24"/>
          <w:highlight w:val="none"/>
        </w:rPr>
        <w:t>的</w:t>
      </w:r>
      <w:r>
        <w:rPr>
          <w:rFonts w:hint="eastAsia" w:ascii="宋体" w:hAnsi="宋体" w:eastAsia="宋体" w:cs="Times New Roman"/>
          <w:color w:val="auto"/>
          <w:spacing w:val="6"/>
          <w:sz w:val="24"/>
          <w:highlight w:val="none"/>
          <w:u w:val="single"/>
        </w:rPr>
        <w:t>（关键组件）</w:t>
      </w:r>
      <w:r>
        <w:rPr>
          <w:rFonts w:hint="eastAsia" w:ascii="宋体" w:hAnsi="宋体" w:eastAsia="宋体" w:cs="Times New Roman"/>
          <w:color w:val="auto"/>
          <w:spacing w:val="6"/>
          <w:sz w:val="24"/>
          <w:highlight w:val="none"/>
        </w:rPr>
        <w:t>4在中国境内生产。</w:t>
      </w:r>
      <w:r>
        <w:rPr>
          <w:rFonts w:hint="eastAsia" w:ascii="宋体" w:hAnsi="宋体" w:eastAsia="宋体" w:cs="Times New Roman"/>
          <w:color w:val="auto"/>
          <w:spacing w:val="6"/>
          <w:sz w:val="24"/>
          <w:highlight w:val="none"/>
          <w:u w:val="single"/>
        </w:rPr>
        <w:t>（产品名称1）</w:t>
      </w:r>
      <w:r>
        <w:rPr>
          <w:rFonts w:hint="eastAsia" w:ascii="宋体" w:hAnsi="宋体" w:eastAsia="宋体" w:cs="Times New Roman"/>
          <w:color w:val="auto"/>
          <w:spacing w:val="6"/>
          <w:sz w:val="24"/>
          <w:highlight w:val="none"/>
        </w:rPr>
        <w:t>的</w:t>
      </w:r>
      <w:r>
        <w:rPr>
          <w:rFonts w:hint="eastAsia" w:ascii="宋体" w:hAnsi="宋体" w:eastAsia="宋体" w:cs="Times New Roman"/>
          <w:color w:val="auto"/>
          <w:spacing w:val="6"/>
          <w:sz w:val="24"/>
          <w:highlight w:val="none"/>
          <w:u w:val="single"/>
        </w:rPr>
        <w:t>（关键工序）</w:t>
      </w:r>
      <w:r>
        <w:rPr>
          <w:rFonts w:hint="eastAsia" w:ascii="宋体" w:hAnsi="宋体" w:eastAsia="宋体" w:cs="Times New Roman"/>
          <w:color w:val="auto"/>
          <w:spacing w:val="6"/>
          <w:sz w:val="24"/>
          <w:highlight w:val="none"/>
        </w:rPr>
        <w:t>5在中国境内完成。</w:t>
      </w:r>
    </w:p>
    <w:p w14:paraId="55AAE73C">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2.</w:t>
      </w:r>
      <w:r>
        <w:rPr>
          <w:rFonts w:hint="eastAsia" w:ascii="宋体" w:hAnsi="宋体" w:eastAsia="宋体" w:cs="Times New Roman"/>
          <w:color w:val="auto"/>
          <w:spacing w:val="6"/>
          <w:sz w:val="24"/>
          <w:highlight w:val="none"/>
          <w:u w:val="single"/>
        </w:rPr>
        <w:t>（产品名称2）</w:t>
      </w:r>
      <w:r>
        <w:rPr>
          <w:rFonts w:hint="eastAsia" w:ascii="宋体" w:hAnsi="宋体" w:eastAsia="宋体" w:cs="Times New Roman"/>
          <w:color w:val="auto"/>
          <w:spacing w:val="6"/>
          <w:sz w:val="24"/>
          <w:highlight w:val="none"/>
        </w:rPr>
        <w:t>，生产厂为</w:t>
      </w:r>
      <w:r>
        <w:rPr>
          <w:rFonts w:hint="eastAsia" w:ascii="宋体" w:hAnsi="宋体" w:eastAsia="宋体" w:cs="Times New Roman"/>
          <w:color w:val="auto"/>
          <w:spacing w:val="6"/>
          <w:sz w:val="24"/>
          <w:highlight w:val="none"/>
          <w:u w:val="single"/>
        </w:rPr>
        <w:t>（厂名）</w:t>
      </w:r>
      <w:r>
        <w:rPr>
          <w:rFonts w:hint="eastAsia" w:ascii="宋体" w:hAnsi="宋体" w:eastAsia="宋体" w:cs="Times New Roman"/>
          <w:color w:val="auto"/>
          <w:spacing w:val="6"/>
          <w:sz w:val="24"/>
          <w:highlight w:val="none"/>
        </w:rPr>
        <w:t>，厂址为</w:t>
      </w:r>
      <w:r>
        <w:rPr>
          <w:rFonts w:hint="eastAsia" w:ascii="宋体" w:hAnsi="宋体" w:eastAsia="宋体" w:cs="Times New Roman"/>
          <w:color w:val="auto"/>
          <w:spacing w:val="6"/>
          <w:sz w:val="24"/>
          <w:highlight w:val="none"/>
          <w:u w:val="single"/>
        </w:rPr>
        <w:t>（生产厂址）</w:t>
      </w:r>
      <w:r>
        <w:rPr>
          <w:rFonts w:hint="eastAsia" w:ascii="宋体" w:hAnsi="宋体" w:eastAsia="宋体" w:cs="Times New Roman"/>
          <w:color w:val="auto"/>
          <w:spacing w:val="6"/>
          <w:sz w:val="24"/>
          <w:highlight w:val="none"/>
        </w:rPr>
        <w:t>。</w:t>
      </w:r>
      <w:r>
        <w:rPr>
          <w:rFonts w:hint="eastAsia" w:ascii="宋体" w:hAnsi="宋体" w:eastAsia="宋体" w:cs="Times New Roman"/>
          <w:color w:val="auto"/>
          <w:spacing w:val="6"/>
          <w:sz w:val="24"/>
          <w:highlight w:val="none"/>
          <w:u w:val="single"/>
        </w:rPr>
        <w:t>（产品名称2）</w:t>
      </w:r>
      <w:r>
        <w:rPr>
          <w:rFonts w:hint="eastAsia" w:ascii="宋体" w:hAnsi="宋体" w:eastAsia="宋体" w:cs="Times New Roman"/>
          <w:color w:val="auto"/>
          <w:spacing w:val="6"/>
          <w:sz w:val="24"/>
          <w:highlight w:val="none"/>
        </w:rPr>
        <w:t>的中国境内生产的组件成本占比≥</w:t>
      </w:r>
      <w:r>
        <w:rPr>
          <w:rFonts w:hint="eastAsia" w:ascii="宋体" w:hAnsi="宋体" w:eastAsia="宋体" w:cs="Times New Roman"/>
          <w:color w:val="auto"/>
          <w:spacing w:val="6"/>
          <w:sz w:val="24"/>
          <w:highlight w:val="none"/>
          <w:u w:val="single"/>
        </w:rPr>
        <w:t>（规定比例）</w:t>
      </w:r>
      <w:r>
        <w:rPr>
          <w:rFonts w:hint="eastAsia" w:ascii="宋体" w:hAnsi="宋体" w:eastAsia="宋体" w:cs="Times New Roman"/>
          <w:color w:val="auto"/>
          <w:spacing w:val="6"/>
          <w:sz w:val="24"/>
          <w:highlight w:val="none"/>
        </w:rPr>
        <w:t>。</w:t>
      </w:r>
      <w:r>
        <w:rPr>
          <w:rFonts w:hint="eastAsia" w:ascii="宋体" w:hAnsi="宋体" w:eastAsia="宋体" w:cs="Times New Roman"/>
          <w:color w:val="auto"/>
          <w:spacing w:val="6"/>
          <w:sz w:val="24"/>
          <w:highlight w:val="none"/>
          <w:u w:val="single"/>
        </w:rPr>
        <w:t>（产品名称2）</w:t>
      </w:r>
      <w:r>
        <w:rPr>
          <w:rFonts w:hint="eastAsia" w:ascii="宋体" w:hAnsi="宋体" w:eastAsia="宋体" w:cs="Times New Roman"/>
          <w:color w:val="auto"/>
          <w:spacing w:val="6"/>
          <w:sz w:val="24"/>
          <w:highlight w:val="none"/>
        </w:rPr>
        <w:t>的</w:t>
      </w:r>
      <w:r>
        <w:rPr>
          <w:rFonts w:hint="eastAsia" w:ascii="宋体" w:hAnsi="宋体" w:eastAsia="宋体" w:cs="Times New Roman"/>
          <w:color w:val="auto"/>
          <w:spacing w:val="6"/>
          <w:sz w:val="24"/>
          <w:highlight w:val="none"/>
          <w:u w:val="single"/>
        </w:rPr>
        <w:t>（关键组件）</w:t>
      </w:r>
      <w:r>
        <w:rPr>
          <w:rFonts w:hint="eastAsia" w:ascii="宋体" w:hAnsi="宋体" w:eastAsia="宋体" w:cs="Times New Roman"/>
          <w:color w:val="auto"/>
          <w:spacing w:val="6"/>
          <w:sz w:val="24"/>
          <w:highlight w:val="none"/>
        </w:rPr>
        <w:t>在中国境内生产。</w:t>
      </w:r>
      <w:r>
        <w:rPr>
          <w:rFonts w:hint="eastAsia" w:ascii="宋体" w:hAnsi="宋体" w:eastAsia="宋体" w:cs="Times New Roman"/>
          <w:color w:val="auto"/>
          <w:spacing w:val="6"/>
          <w:sz w:val="24"/>
          <w:highlight w:val="none"/>
          <w:u w:val="single"/>
        </w:rPr>
        <w:t>（产品名称2）</w:t>
      </w:r>
      <w:r>
        <w:rPr>
          <w:rFonts w:hint="eastAsia" w:ascii="宋体" w:hAnsi="宋体" w:eastAsia="宋体" w:cs="Times New Roman"/>
          <w:color w:val="auto"/>
          <w:spacing w:val="6"/>
          <w:sz w:val="24"/>
          <w:highlight w:val="none"/>
        </w:rPr>
        <w:t>的</w:t>
      </w:r>
      <w:r>
        <w:rPr>
          <w:rFonts w:hint="eastAsia" w:ascii="宋体" w:hAnsi="宋体" w:eastAsia="宋体" w:cs="Times New Roman"/>
          <w:color w:val="auto"/>
          <w:spacing w:val="6"/>
          <w:sz w:val="24"/>
          <w:highlight w:val="none"/>
          <w:u w:val="single"/>
        </w:rPr>
        <w:t>（关键工序）</w:t>
      </w:r>
      <w:r>
        <w:rPr>
          <w:rFonts w:hint="eastAsia" w:ascii="宋体" w:hAnsi="宋体" w:eastAsia="宋体" w:cs="Times New Roman"/>
          <w:color w:val="auto"/>
          <w:spacing w:val="6"/>
          <w:sz w:val="24"/>
          <w:highlight w:val="none"/>
        </w:rPr>
        <w:t>在中国境内完成。</w:t>
      </w:r>
    </w:p>
    <w:p w14:paraId="7BA4FEA3">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w:t>
      </w:r>
    </w:p>
    <w:p w14:paraId="2D9F2538">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本公司（单位）对上述声明内容的真实性负责。如有虚假，愿承担相应法律责任。</w:t>
      </w:r>
    </w:p>
    <w:p w14:paraId="3E9BB5D7">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lang w:val="en-US"/>
        </w:rPr>
        <w:t> </w:t>
      </w:r>
    </w:p>
    <w:p w14:paraId="44EDF184">
      <w:pPr>
        <w:spacing w:line="360" w:lineRule="auto"/>
        <w:ind w:firstLine="504" w:firstLineChars="200"/>
        <w:contextualSpacing/>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lang w:val="en-US"/>
        </w:rPr>
        <w:t> </w:t>
      </w:r>
    </w:p>
    <w:p w14:paraId="3D6D0A25">
      <w:pPr>
        <w:tabs>
          <w:tab w:val="left" w:pos="4860"/>
        </w:tabs>
        <w:spacing w:line="360" w:lineRule="auto"/>
        <w:ind w:right="1560" w:firstLine="504" w:firstLineChars="200"/>
        <w:contextualSpacing/>
        <w:jc w:val="center"/>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lang w:val="en-US" w:eastAsia="zh-CN"/>
        </w:rPr>
        <w:t xml:space="preserve">                  </w:t>
      </w:r>
      <w:r>
        <w:rPr>
          <w:rFonts w:hint="eastAsia" w:ascii="宋体" w:hAnsi="宋体" w:eastAsia="宋体" w:cs="Times New Roman"/>
          <w:color w:val="auto"/>
          <w:spacing w:val="6"/>
          <w:sz w:val="24"/>
          <w:highlight w:val="none"/>
        </w:rPr>
        <w:t>供应商（盖公章）：      </w:t>
      </w:r>
    </w:p>
    <w:p w14:paraId="4F22902E">
      <w:pPr>
        <w:tabs>
          <w:tab w:val="left" w:pos="4860"/>
        </w:tabs>
        <w:spacing w:line="360" w:lineRule="auto"/>
        <w:ind w:right="1560" w:firstLine="504" w:firstLineChars="200"/>
        <w:contextualSpacing/>
        <w:jc w:val="center"/>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lang w:val="en-US" w:eastAsia="zh-CN"/>
        </w:rPr>
        <w:t xml:space="preserve">                      </w:t>
      </w:r>
      <w:r>
        <w:rPr>
          <w:rFonts w:hint="eastAsia" w:ascii="宋体" w:hAnsi="宋体" w:eastAsia="宋体" w:cs="Times New Roman"/>
          <w:color w:val="auto"/>
          <w:spacing w:val="6"/>
          <w:sz w:val="24"/>
          <w:highlight w:val="none"/>
        </w:rPr>
        <w:t>日期：　　　年　 月 　日    </w:t>
      </w:r>
    </w:p>
    <w:p w14:paraId="3111317B">
      <w:pPr>
        <w:pStyle w:val="44"/>
        <w:keepNext w:val="0"/>
        <w:keepLines w:val="0"/>
        <w:widowControl/>
        <w:suppressLineNumbers w:val="0"/>
        <w:spacing w:before="24" w:beforeAutospacing="0" w:after="24" w:afterAutospacing="0" w:line="23" w:lineRule="atLeast"/>
        <w:ind w:left="0" w:right="0"/>
        <w:jc w:val="center"/>
        <w:rPr>
          <w:color w:val="auto"/>
        </w:rPr>
      </w:pPr>
      <w:r>
        <w:rPr>
          <w:rFonts w:hint="eastAsia" w:ascii="宋体" w:hAnsi="宋体" w:eastAsia="宋体" w:cs="宋体"/>
          <w:b w:val="0"/>
          <w:bCs w:val="0"/>
          <w:i w:val="0"/>
          <w:iCs w:val="0"/>
          <w:color w:val="auto"/>
          <w:spacing w:val="0"/>
          <w:w w:val="100"/>
          <w:sz w:val="24"/>
          <w:szCs w:val="24"/>
          <w:vertAlign w:val="baseline"/>
        </w:rPr>
        <w:t>_____________________________________________________________________</w:t>
      </w:r>
    </w:p>
    <w:p w14:paraId="68BE0940">
      <w:pPr>
        <w:pStyle w:val="44"/>
        <w:keepNext w:val="0"/>
        <w:keepLines w:val="0"/>
        <w:widowControl/>
        <w:suppressLineNumbers w:val="0"/>
        <w:spacing w:before="0" w:beforeAutospacing="0" w:after="120" w:afterAutospacing="0" w:line="440" w:lineRule="exact"/>
        <w:ind w:left="0" w:right="142" w:firstLine="617"/>
        <w:jc w:val="both"/>
        <w:rPr>
          <w:color w:val="auto"/>
        </w:rPr>
      </w:pPr>
      <w:r>
        <w:rPr>
          <w:rFonts w:hint="eastAsia" w:ascii="宋体" w:hAnsi="宋体" w:eastAsia="宋体" w:cs="宋体"/>
          <w:b w:val="0"/>
          <w:bCs w:val="0"/>
          <w:i w:val="0"/>
          <w:iCs w:val="0"/>
          <w:color w:val="auto"/>
          <w:spacing w:val="0"/>
          <w:w w:val="100"/>
          <w:sz w:val="24"/>
          <w:szCs w:val="24"/>
          <w:vertAlign w:val="baseline"/>
        </w:rPr>
        <w:t>1.产品如有型号，请在“产品名称”栏一并填写。</w:t>
      </w:r>
    </w:p>
    <w:p w14:paraId="43E9CA70">
      <w:pPr>
        <w:pStyle w:val="44"/>
        <w:keepNext w:val="0"/>
        <w:keepLines w:val="0"/>
        <w:widowControl/>
        <w:suppressLineNumbers w:val="0"/>
        <w:spacing w:before="0" w:beforeAutospacing="0" w:after="120" w:afterAutospacing="0" w:line="440" w:lineRule="exact"/>
        <w:ind w:left="0" w:right="142" w:firstLine="617"/>
        <w:jc w:val="both"/>
        <w:rPr>
          <w:color w:val="auto"/>
        </w:rPr>
      </w:pPr>
      <w:r>
        <w:rPr>
          <w:rFonts w:hint="eastAsia" w:ascii="宋体" w:hAnsi="宋体" w:eastAsia="宋体" w:cs="宋体"/>
          <w:b w:val="0"/>
          <w:bCs w:val="0"/>
          <w:i w:val="0"/>
          <w:iCs w:val="0"/>
          <w:color w:val="auto"/>
          <w:spacing w:val="0"/>
          <w:w w:val="100"/>
          <w:sz w:val="24"/>
          <w:szCs w:val="24"/>
          <w:vertAlign w:val="baseline"/>
        </w:rPr>
        <w:t>2.生产厂名与厂址应与生产厂营业执照载明的相关信息保持一致。</w:t>
      </w:r>
    </w:p>
    <w:p w14:paraId="56725356">
      <w:pPr>
        <w:pStyle w:val="44"/>
        <w:keepNext w:val="0"/>
        <w:keepLines w:val="0"/>
        <w:widowControl/>
        <w:suppressLineNumbers w:val="0"/>
        <w:spacing w:before="0" w:beforeAutospacing="0" w:after="120" w:afterAutospacing="0" w:line="440" w:lineRule="exact"/>
        <w:ind w:left="0" w:right="142" w:firstLine="617"/>
        <w:jc w:val="both"/>
        <w:rPr>
          <w:color w:val="auto"/>
        </w:rPr>
      </w:pPr>
      <w:r>
        <w:rPr>
          <w:rFonts w:hint="eastAsia" w:ascii="宋体" w:hAnsi="宋体" w:eastAsia="宋体" w:cs="宋体"/>
          <w:b w:val="0"/>
          <w:bCs w:val="0"/>
          <w:i w:val="0"/>
          <w:iCs w:val="0"/>
          <w:color w:val="auto"/>
          <w:spacing w:val="0"/>
          <w:w w:val="100"/>
          <w:sz w:val="24"/>
          <w:szCs w:val="24"/>
          <w:vertAlign w:val="baseline"/>
        </w:rPr>
        <w:t>3.该产品的中国境内生产的组件成本占比相关要求实施前，“规定比例”栏可不填，下同。</w:t>
      </w:r>
    </w:p>
    <w:p w14:paraId="5430001A">
      <w:pPr>
        <w:pStyle w:val="44"/>
        <w:keepNext w:val="0"/>
        <w:keepLines w:val="0"/>
        <w:widowControl/>
        <w:suppressLineNumbers w:val="0"/>
        <w:spacing w:before="0" w:beforeAutospacing="0" w:after="120" w:afterAutospacing="0" w:line="440" w:lineRule="exact"/>
        <w:ind w:left="0" w:right="142" w:firstLine="617"/>
        <w:jc w:val="both"/>
        <w:rPr>
          <w:color w:val="auto"/>
        </w:rPr>
      </w:pPr>
      <w:r>
        <w:rPr>
          <w:rFonts w:hint="eastAsia" w:ascii="宋体" w:hAnsi="宋体" w:eastAsia="宋体" w:cs="宋体"/>
          <w:b w:val="0"/>
          <w:bCs w:val="0"/>
          <w:i w:val="0"/>
          <w:iCs w:val="0"/>
          <w:color w:val="auto"/>
          <w:spacing w:val="0"/>
          <w:w w:val="100"/>
          <w:sz w:val="24"/>
          <w:szCs w:val="24"/>
          <w:vertAlign w:val="baseline"/>
        </w:rPr>
        <w:t>4.该产品的关键组件要求实施前，“关键组件”栏可不填，下同。</w:t>
      </w:r>
    </w:p>
    <w:p w14:paraId="7D819719">
      <w:pPr>
        <w:pStyle w:val="44"/>
        <w:keepNext w:val="0"/>
        <w:keepLines w:val="0"/>
        <w:widowControl/>
        <w:suppressLineNumbers w:val="0"/>
        <w:spacing w:before="0" w:beforeAutospacing="0" w:after="120" w:afterAutospacing="0" w:line="440" w:lineRule="exact"/>
        <w:ind w:left="0" w:right="142" w:firstLine="617"/>
        <w:jc w:val="both"/>
        <w:rPr>
          <w:color w:val="auto"/>
        </w:rPr>
      </w:pPr>
      <w:r>
        <w:rPr>
          <w:rFonts w:hint="eastAsia" w:ascii="宋体" w:hAnsi="宋体" w:eastAsia="宋体" w:cs="宋体"/>
          <w:b w:val="0"/>
          <w:bCs w:val="0"/>
          <w:i w:val="0"/>
          <w:iCs w:val="0"/>
          <w:color w:val="auto"/>
          <w:spacing w:val="0"/>
          <w:w w:val="100"/>
          <w:sz w:val="24"/>
          <w:szCs w:val="24"/>
          <w:vertAlign w:val="baseline"/>
        </w:rPr>
        <w:t>5.该产品的关键工序要求实施前，“关键工序”栏可不填，下同。</w:t>
      </w:r>
    </w:p>
    <w:p w14:paraId="229CEFC1">
      <w:pPr>
        <w:pStyle w:val="44"/>
        <w:keepNext w:val="0"/>
        <w:keepLines w:val="0"/>
        <w:widowControl/>
        <w:suppressLineNumbers w:val="0"/>
        <w:spacing w:before="0" w:beforeAutospacing="0" w:after="120" w:afterAutospacing="0" w:line="440" w:lineRule="exact"/>
        <w:ind w:left="0" w:right="142" w:firstLine="617"/>
        <w:jc w:val="both"/>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val="0"/>
          <w:bCs w:val="0"/>
          <w:i w:val="0"/>
          <w:iCs w:val="0"/>
          <w:color w:val="auto"/>
          <w:spacing w:val="0"/>
          <w:w w:val="100"/>
          <w:sz w:val="24"/>
          <w:szCs w:val="24"/>
          <w:vertAlign w:val="baseline"/>
        </w:rPr>
        <w:t>6.《声明函》不符合《关于在政府采购中实施本国产品标准及相关政策的通知》（财库〔2017〕141号）规定要求的，供应商提供的相关产品视为不符合本国产品标准。</w:t>
      </w:r>
    </w:p>
    <w:p w14:paraId="5779A50B">
      <w:pPr>
        <w:spacing w:line="360" w:lineRule="auto"/>
        <w:jc w:val="left"/>
        <w:rPr>
          <w:rFonts w:hint="eastAsia" w:ascii="宋体" w:hAnsi="宋体" w:eastAsia="宋体"/>
          <w:b/>
          <w:color w:val="auto"/>
          <w:sz w:val="24"/>
          <w:highlight w:val="none"/>
          <w:lang w:val="en-US" w:eastAsia="zh-CN"/>
        </w:rPr>
      </w:pPr>
    </w:p>
    <w:p w14:paraId="65481235">
      <w:pPr>
        <w:spacing w:line="360" w:lineRule="auto"/>
        <w:jc w:val="left"/>
        <w:rPr>
          <w:rFonts w:hint="eastAsia" w:ascii="宋体" w:hAnsi="宋体"/>
          <w:b/>
          <w:color w:val="auto"/>
          <w:sz w:val="24"/>
          <w:highlight w:val="none"/>
          <w:lang w:val="en-US" w:eastAsia="zh-CN"/>
        </w:rPr>
      </w:pPr>
    </w:p>
    <w:p w14:paraId="2BEA1D09">
      <w:pPr>
        <w:spacing w:line="360" w:lineRule="auto"/>
        <w:jc w:val="left"/>
        <w:rPr>
          <w:rFonts w:hint="eastAsia" w:ascii="宋体" w:hAnsi="宋体"/>
          <w:b/>
          <w:color w:val="auto"/>
          <w:sz w:val="24"/>
          <w:highlight w:val="none"/>
          <w:lang w:val="en-US" w:eastAsia="zh-CN"/>
        </w:rPr>
      </w:pPr>
    </w:p>
    <w:p w14:paraId="34D26204">
      <w:pPr>
        <w:spacing w:line="360" w:lineRule="auto"/>
        <w:jc w:val="left"/>
        <w:rPr>
          <w:rFonts w:hint="eastAsia" w:ascii="宋体" w:hAnsi="宋体"/>
          <w:b/>
          <w:color w:val="auto"/>
          <w:sz w:val="24"/>
          <w:highlight w:val="none"/>
          <w:lang w:val="en-US" w:eastAsia="zh-CN"/>
        </w:rPr>
      </w:pPr>
    </w:p>
    <w:p w14:paraId="08DFE8A1">
      <w:pPr>
        <w:spacing w:line="360" w:lineRule="auto"/>
        <w:jc w:val="left"/>
        <w:rPr>
          <w:rFonts w:hint="eastAsia" w:ascii="宋体" w:hAnsi="宋体"/>
          <w:b/>
          <w:color w:val="auto"/>
          <w:sz w:val="24"/>
          <w:highlight w:val="none"/>
          <w:lang w:val="en-US" w:eastAsia="zh-CN"/>
        </w:rPr>
      </w:pPr>
    </w:p>
    <w:p w14:paraId="27747E5E">
      <w:pPr>
        <w:spacing w:line="360" w:lineRule="auto"/>
        <w:jc w:val="left"/>
        <w:rPr>
          <w:rFonts w:hint="eastAsia" w:ascii="宋体" w:hAnsi="宋体"/>
          <w:b/>
          <w:color w:val="auto"/>
          <w:sz w:val="24"/>
          <w:highlight w:val="none"/>
          <w:lang w:val="en-US" w:eastAsia="zh-CN"/>
        </w:rPr>
      </w:pPr>
    </w:p>
    <w:p w14:paraId="53E9CA4F">
      <w:pPr>
        <w:spacing w:line="360" w:lineRule="auto"/>
        <w:jc w:val="left"/>
        <w:rPr>
          <w:rFonts w:hint="eastAsia" w:ascii="宋体" w:hAnsi="宋体"/>
          <w:b/>
          <w:color w:val="auto"/>
          <w:sz w:val="24"/>
          <w:highlight w:val="none"/>
          <w:lang w:val="en-US" w:eastAsia="zh-CN"/>
        </w:rPr>
      </w:pPr>
    </w:p>
    <w:p w14:paraId="3C056BC5">
      <w:pPr>
        <w:spacing w:line="360" w:lineRule="auto"/>
        <w:jc w:val="left"/>
        <w:rPr>
          <w:rFonts w:hint="eastAsia" w:ascii="宋体" w:hAnsi="宋体"/>
          <w:b/>
          <w:color w:val="auto"/>
          <w:sz w:val="24"/>
          <w:highlight w:val="none"/>
          <w:lang w:val="en-US" w:eastAsia="zh-CN"/>
        </w:rPr>
      </w:pPr>
    </w:p>
    <w:p w14:paraId="09D35873">
      <w:pPr>
        <w:spacing w:line="360" w:lineRule="auto"/>
        <w:jc w:val="left"/>
        <w:rPr>
          <w:rFonts w:hint="eastAsia" w:ascii="宋体" w:hAnsi="宋体"/>
          <w:b/>
          <w:color w:val="auto"/>
          <w:sz w:val="24"/>
          <w:highlight w:val="none"/>
          <w:lang w:val="en-US" w:eastAsia="zh-CN"/>
        </w:rPr>
      </w:pPr>
    </w:p>
    <w:p w14:paraId="744BE45C">
      <w:pPr>
        <w:spacing w:line="360" w:lineRule="auto"/>
        <w:jc w:val="left"/>
        <w:rPr>
          <w:rFonts w:hint="eastAsia" w:ascii="宋体" w:hAnsi="宋体"/>
          <w:b/>
          <w:color w:val="auto"/>
          <w:sz w:val="24"/>
          <w:highlight w:val="none"/>
          <w:lang w:val="en-US" w:eastAsia="zh-CN"/>
        </w:rPr>
      </w:pPr>
    </w:p>
    <w:p w14:paraId="68F331ED">
      <w:pPr>
        <w:spacing w:line="360" w:lineRule="auto"/>
        <w:jc w:val="left"/>
        <w:rPr>
          <w:rFonts w:hint="eastAsia" w:ascii="宋体" w:hAnsi="宋体"/>
          <w:b/>
          <w:color w:val="auto"/>
          <w:sz w:val="24"/>
          <w:highlight w:val="none"/>
          <w:lang w:val="en-US" w:eastAsia="zh-CN"/>
        </w:rPr>
      </w:pPr>
    </w:p>
    <w:p w14:paraId="0BF1958B">
      <w:pPr>
        <w:spacing w:line="360" w:lineRule="auto"/>
        <w:jc w:val="left"/>
        <w:rPr>
          <w:rFonts w:hint="eastAsia" w:ascii="宋体" w:hAnsi="宋体"/>
          <w:b/>
          <w:color w:val="auto"/>
          <w:sz w:val="24"/>
          <w:highlight w:val="none"/>
          <w:lang w:val="en-US" w:eastAsia="zh-CN"/>
        </w:rPr>
      </w:pPr>
    </w:p>
    <w:p w14:paraId="4E6129A2">
      <w:pPr>
        <w:spacing w:line="360" w:lineRule="auto"/>
        <w:jc w:val="left"/>
        <w:rPr>
          <w:rFonts w:hint="eastAsia" w:ascii="宋体" w:hAnsi="宋体"/>
          <w:b/>
          <w:color w:val="auto"/>
          <w:sz w:val="24"/>
          <w:highlight w:val="none"/>
          <w:lang w:val="en-US" w:eastAsia="zh-CN"/>
        </w:rPr>
      </w:pPr>
    </w:p>
    <w:p w14:paraId="1A5C2AF8">
      <w:pPr>
        <w:spacing w:line="360" w:lineRule="auto"/>
        <w:jc w:val="left"/>
        <w:rPr>
          <w:rFonts w:hint="eastAsia" w:ascii="宋体" w:hAnsi="宋体"/>
          <w:b/>
          <w:color w:val="auto"/>
          <w:sz w:val="24"/>
          <w:highlight w:val="none"/>
          <w:lang w:val="en-US" w:eastAsia="zh-CN"/>
        </w:rPr>
      </w:pPr>
    </w:p>
    <w:p w14:paraId="10C559D1">
      <w:pPr>
        <w:spacing w:line="360" w:lineRule="auto"/>
        <w:jc w:val="left"/>
        <w:rPr>
          <w:rFonts w:hint="eastAsia" w:ascii="宋体" w:hAnsi="宋体"/>
          <w:b/>
          <w:color w:val="auto"/>
          <w:sz w:val="24"/>
          <w:highlight w:val="none"/>
          <w:lang w:val="en-US" w:eastAsia="zh-CN"/>
        </w:rPr>
      </w:pPr>
    </w:p>
    <w:p w14:paraId="49D59A56">
      <w:pPr>
        <w:spacing w:line="360" w:lineRule="auto"/>
        <w:jc w:val="left"/>
        <w:rPr>
          <w:rFonts w:hint="eastAsia" w:ascii="宋体" w:hAnsi="宋体"/>
          <w:b/>
          <w:color w:val="auto"/>
          <w:sz w:val="24"/>
          <w:highlight w:val="none"/>
          <w:lang w:val="en-US" w:eastAsia="zh-CN"/>
        </w:rPr>
      </w:pPr>
    </w:p>
    <w:p w14:paraId="13E15E7A">
      <w:pPr>
        <w:spacing w:line="360" w:lineRule="auto"/>
        <w:jc w:val="left"/>
        <w:rPr>
          <w:rFonts w:hint="eastAsia" w:ascii="宋体" w:hAnsi="宋体"/>
          <w:b/>
          <w:color w:val="auto"/>
          <w:sz w:val="24"/>
          <w:highlight w:val="none"/>
          <w:lang w:val="en-US" w:eastAsia="zh-CN"/>
        </w:rPr>
      </w:pPr>
    </w:p>
    <w:p w14:paraId="7A364A08">
      <w:pPr>
        <w:spacing w:line="360" w:lineRule="auto"/>
        <w:jc w:val="left"/>
        <w:rPr>
          <w:rFonts w:hint="eastAsia" w:ascii="宋体" w:hAnsi="宋体"/>
          <w:b/>
          <w:color w:val="auto"/>
          <w:sz w:val="24"/>
          <w:highlight w:val="none"/>
          <w:lang w:val="en-US" w:eastAsia="zh-CN"/>
        </w:rPr>
      </w:pPr>
    </w:p>
    <w:p w14:paraId="1E3735C9">
      <w:pPr>
        <w:spacing w:line="360" w:lineRule="auto"/>
        <w:jc w:val="left"/>
        <w:rPr>
          <w:rFonts w:hint="eastAsia" w:ascii="宋体" w:hAnsi="宋体"/>
          <w:b/>
          <w:color w:val="auto"/>
          <w:sz w:val="24"/>
          <w:highlight w:val="none"/>
          <w:lang w:val="en-US" w:eastAsia="zh-CN"/>
        </w:rPr>
      </w:pPr>
    </w:p>
    <w:p w14:paraId="49932DC8">
      <w:pPr>
        <w:spacing w:line="360" w:lineRule="auto"/>
        <w:jc w:val="left"/>
        <w:rPr>
          <w:rFonts w:hint="eastAsia" w:ascii="宋体" w:hAnsi="宋体"/>
          <w:b/>
          <w:color w:val="auto"/>
          <w:sz w:val="24"/>
          <w:highlight w:val="none"/>
          <w:lang w:val="en-US" w:eastAsia="zh-CN"/>
        </w:rPr>
      </w:pPr>
    </w:p>
    <w:p w14:paraId="38EC0103">
      <w:pPr>
        <w:spacing w:line="360" w:lineRule="auto"/>
        <w:jc w:val="left"/>
        <w:rPr>
          <w:rFonts w:hint="eastAsia" w:ascii="宋体" w:hAnsi="宋体"/>
          <w:b/>
          <w:color w:val="auto"/>
          <w:sz w:val="24"/>
          <w:highlight w:val="none"/>
          <w:lang w:val="en-US" w:eastAsia="zh-CN"/>
        </w:rPr>
      </w:pPr>
    </w:p>
    <w:p w14:paraId="2B79F1AD">
      <w:pPr>
        <w:spacing w:line="360" w:lineRule="auto"/>
        <w:jc w:val="left"/>
        <w:rPr>
          <w:rFonts w:hint="eastAsia" w:ascii="宋体" w:hAnsi="宋体"/>
          <w:b/>
          <w:color w:val="auto"/>
          <w:sz w:val="24"/>
          <w:highlight w:val="none"/>
          <w:lang w:val="en-US" w:eastAsia="zh-CN"/>
        </w:rPr>
      </w:pPr>
    </w:p>
    <w:p w14:paraId="5C301470">
      <w:pPr>
        <w:spacing w:line="360" w:lineRule="auto"/>
        <w:jc w:val="left"/>
        <w:rPr>
          <w:rFonts w:hint="eastAsia" w:ascii="宋体" w:hAnsi="宋体"/>
          <w:b/>
          <w:color w:val="auto"/>
          <w:sz w:val="24"/>
          <w:highlight w:val="none"/>
          <w:lang w:val="en-US" w:eastAsia="zh-CN"/>
        </w:rPr>
      </w:pPr>
    </w:p>
    <w:p w14:paraId="321C4B35">
      <w:pPr>
        <w:spacing w:line="360" w:lineRule="auto"/>
        <w:jc w:val="left"/>
        <w:rPr>
          <w:rFonts w:hint="eastAsia" w:ascii="宋体" w:hAnsi="宋体"/>
          <w:b/>
          <w:color w:val="auto"/>
          <w:sz w:val="24"/>
          <w:highlight w:val="none"/>
          <w:lang w:val="en-US" w:eastAsia="zh-CN"/>
        </w:rPr>
      </w:pPr>
    </w:p>
    <w:p w14:paraId="4BC5A2A7">
      <w:pPr>
        <w:spacing w:line="360" w:lineRule="auto"/>
        <w:jc w:val="left"/>
        <w:rPr>
          <w:rFonts w:hint="eastAsia" w:ascii="宋体" w:hAnsi="宋体"/>
          <w:b/>
          <w:color w:val="auto"/>
          <w:sz w:val="24"/>
          <w:highlight w:val="none"/>
          <w:lang w:val="en-US" w:eastAsia="zh-CN"/>
        </w:rPr>
      </w:pPr>
    </w:p>
    <w:p w14:paraId="22188FD0">
      <w:pPr>
        <w:spacing w:line="360" w:lineRule="auto"/>
        <w:jc w:val="left"/>
        <w:rPr>
          <w:rFonts w:hint="eastAsia" w:ascii="宋体" w:hAnsi="宋体"/>
          <w:b/>
          <w:color w:val="auto"/>
          <w:sz w:val="24"/>
          <w:highlight w:val="none"/>
          <w:lang w:val="en-US" w:eastAsia="zh-CN"/>
        </w:rPr>
      </w:pPr>
    </w:p>
    <w:p w14:paraId="31C53300">
      <w:pPr>
        <w:spacing w:line="360" w:lineRule="auto"/>
        <w:jc w:val="left"/>
        <w:rPr>
          <w:rFonts w:hint="eastAsia" w:ascii="宋体" w:hAnsi="宋体"/>
          <w:b/>
          <w:color w:val="auto"/>
          <w:sz w:val="24"/>
          <w:highlight w:val="none"/>
          <w:lang w:val="en-US" w:eastAsia="zh-CN"/>
        </w:rPr>
      </w:pPr>
    </w:p>
    <w:p w14:paraId="7339ED9C">
      <w:pPr>
        <w:spacing w:line="360" w:lineRule="auto"/>
        <w:jc w:val="left"/>
        <w:rPr>
          <w:rFonts w:ascii="宋体" w:hAnsi="宋体"/>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0DF38A82">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606B6DE2">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7319F9E4">
      <w:pPr>
        <w:pStyle w:val="2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F672A4">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054E8E">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07637D">
      <w:pPr>
        <w:pStyle w:val="2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F09F536">
      <w:pPr>
        <w:pStyle w:val="2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63EFBE3">
      <w:pPr>
        <w:pStyle w:val="2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657CE6">
      <w:pPr>
        <w:pStyle w:val="2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890E682">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01AFAD4">
      <w:pPr>
        <w:pStyle w:val="2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675E793">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356079">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7364E17">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2922E74A">
      <w:pPr>
        <w:pStyle w:val="26"/>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7106808D">
      <w:pPr>
        <w:pStyle w:val="26"/>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301E655E">
      <w:pPr>
        <w:pStyle w:val="2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6272AC9D">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1C30C83">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DCD003F">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45551BA">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78CE3758">
      <w:pPr>
        <w:pStyle w:val="26"/>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4F06F4FD">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D534839">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2043B">
      <w:pPr>
        <w:pStyle w:val="26"/>
        <w:spacing w:line="360" w:lineRule="auto"/>
        <w:ind w:left="25" w:leftChars="12" w:firstLine="352" w:firstLineChars="147"/>
        <w:rPr>
          <w:rFonts w:hint="eastAsia" w:hAnsi="宋体"/>
          <w:color w:val="auto"/>
          <w:sz w:val="24"/>
          <w:szCs w:val="24"/>
          <w:highlight w:val="none"/>
        </w:rPr>
      </w:pPr>
    </w:p>
    <w:p w14:paraId="20936FA8">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60E7BC9">
      <w:pPr>
        <w:pStyle w:val="26"/>
        <w:spacing w:line="360" w:lineRule="auto"/>
        <w:ind w:left="25" w:leftChars="12" w:firstLine="352" w:firstLineChars="147"/>
        <w:rPr>
          <w:rFonts w:hint="eastAsia" w:hAnsi="宋体"/>
          <w:color w:val="auto"/>
          <w:sz w:val="24"/>
          <w:szCs w:val="24"/>
          <w:highlight w:val="none"/>
        </w:rPr>
      </w:pPr>
    </w:p>
    <w:p w14:paraId="225DAAC0">
      <w:pPr>
        <w:pStyle w:val="2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1A0063D">
      <w:pPr>
        <w:pStyle w:val="26"/>
        <w:snapToGrid w:val="0"/>
        <w:spacing w:line="360" w:lineRule="auto"/>
        <w:rPr>
          <w:rFonts w:hint="eastAsia" w:hAnsi="宋体"/>
          <w:b/>
          <w:color w:val="auto"/>
          <w:sz w:val="24"/>
          <w:szCs w:val="24"/>
          <w:highlight w:val="none"/>
        </w:rPr>
      </w:pPr>
    </w:p>
    <w:p w14:paraId="51FFE0AB">
      <w:pPr>
        <w:pStyle w:val="2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933B398">
      <w:pPr>
        <w:pStyle w:val="2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43440C1">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32F5FC">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ECD8498">
      <w:pPr>
        <w:pStyle w:val="2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0D9B545">
      <w:pPr>
        <w:pStyle w:val="2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2B4BB16">
      <w:pPr>
        <w:pStyle w:val="26"/>
        <w:snapToGrid w:val="0"/>
        <w:rPr>
          <w:rFonts w:hint="eastAsia"/>
          <w:b/>
          <w:color w:val="auto"/>
          <w:sz w:val="24"/>
          <w:szCs w:val="24"/>
          <w:highlight w:val="none"/>
        </w:rPr>
      </w:pPr>
    </w:p>
    <w:p w14:paraId="302AB735">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lang w:val="en-US" w:eastAsia="zh-CN"/>
        </w:rPr>
        <w:t>6</w:t>
      </w:r>
      <w:r>
        <w:rPr>
          <w:rFonts w:hint="eastAsia" w:ascii="宋体" w:hAnsi="宋体" w:eastAsia="隶书"/>
          <w:b/>
          <w:color w:val="auto"/>
          <w:sz w:val="24"/>
          <w:highlight w:val="none"/>
          <w:lang w:val="en-US" w:eastAsia="zh-CN"/>
        </w:rPr>
        <w:t>.</w:t>
      </w:r>
      <w:r>
        <w:rPr>
          <w:rFonts w:hint="eastAsia" w:ascii="宋体" w:hAnsi="宋体"/>
          <w:b/>
          <w:color w:val="auto"/>
          <w:sz w:val="24"/>
          <w:highlight w:val="none"/>
        </w:rPr>
        <w:t>投诉书格式</w:t>
      </w:r>
    </w:p>
    <w:p w14:paraId="54996798">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05CC6F7A">
      <w:pPr>
        <w:pStyle w:val="26"/>
        <w:snapToGrid w:val="0"/>
        <w:spacing w:line="440" w:lineRule="exact"/>
        <w:ind w:firstLine="482" w:firstLineChars="200"/>
        <w:rPr>
          <w:rFonts w:hint="eastAsia" w:hAnsi="宋体"/>
          <w:b/>
          <w:bCs/>
          <w:color w:val="auto"/>
          <w:sz w:val="24"/>
          <w:szCs w:val="24"/>
          <w:highlight w:val="none"/>
          <w:lang w:eastAsia="zh-CN"/>
        </w:rPr>
      </w:pPr>
    </w:p>
    <w:p w14:paraId="12BAD595">
      <w:pPr>
        <w:pStyle w:val="26"/>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AF762D4">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BF313E">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F1D4D2A">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83E0114">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7D6D7C">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F92E6F">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3C05827">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C67ED7">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5A9A573A">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2887057">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8FDEB9A">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7A2E486">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33351C24">
      <w:pPr>
        <w:pStyle w:val="26"/>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8FE5C85">
      <w:pPr>
        <w:pStyle w:val="26"/>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2E79129">
      <w:pPr>
        <w:pStyle w:val="26"/>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B6D30C">
      <w:pPr>
        <w:pStyle w:val="26"/>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00B3C5">
      <w:pPr>
        <w:pStyle w:val="26"/>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7EEC0AF">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FBFA187">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D8C2B41">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B556D06">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079FBE6">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587E840">
      <w:pPr>
        <w:pStyle w:val="26"/>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A4D402E">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7D49174">
      <w:pPr>
        <w:pStyle w:val="26"/>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E335B26">
      <w:pPr>
        <w:pStyle w:val="26"/>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2F8B333">
      <w:pPr>
        <w:pStyle w:val="26"/>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2890017">
      <w:pPr>
        <w:pStyle w:val="26"/>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A588ED">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0BB13B0">
      <w:pPr>
        <w:pStyle w:val="26"/>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2E551E1">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1826427">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902F608">
      <w:pPr>
        <w:pStyle w:val="26"/>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B774C33">
      <w:pPr>
        <w:pStyle w:val="26"/>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5DF1CE8">
      <w:pPr>
        <w:pStyle w:val="26"/>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F793A9E">
      <w:pPr>
        <w:pStyle w:val="26"/>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933084A">
      <w:pPr>
        <w:pStyle w:val="26"/>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7606F3F">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8B97875">
      <w:pPr>
        <w:pStyle w:val="26"/>
        <w:spacing w:line="440" w:lineRule="exact"/>
        <w:ind w:left="25" w:leftChars="12" w:firstLine="352" w:firstLineChars="147"/>
        <w:rPr>
          <w:rFonts w:hint="eastAsia" w:hAnsi="宋体"/>
          <w:color w:val="auto"/>
          <w:sz w:val="24"/>
          <w:szCs w:val="24"/>
          <w:highlight w:val="none"/>
        </w:rPr>
      </w:pPr>
    </w:p>
    <w:p w14:paraId="02E363CD">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DC12ACF">
      <w:pPr>
        <w:pStyle w:val="26"/>
        <w:spacing w:line="440" w:lineRule="exact"/>
        <w:ind w:left="25" w:leftChars="12" w:firstLine="352" w:firstLineChars="147"/>
        <w:rPr>
          <w:rFonts w:hint="eastAsia" w:hAnsi="宋体"/>
          <w:color w:val="auto"/>
          <w:sz w:val="24"/>
          <w:szCs w:val="24"/>
          <w:highlight w:val="none"/>
        </w:rPr>
      </w:pPr>
    </w:p>
    <w:p w14:paraId="32C5C783">
      <w:pPr>
        <w:pStyle w:val="26"/>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8C0E30B">
      <w:pPr>
        <w:pStyle w:val="26"/>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385B50B4">
      <w:pPr>
        <w:pStyle w:val="26"/>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412A4E97">
      <w:pPr>
        <w:pStyle w:val="26"/>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7317868">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D947D7">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AF29F7E">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08A55A9">
      <w:pPr>
        <w:pStyle w:val="26"/>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E48BA89">
      <w:pPr>
        <w:pStyle w:val="26"/>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Ђ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E0002AFF" w:usb1="C0007843" w:usb2="00000009" w:usb3="00000000" w:csb0="000001FF" w:csb1="00000000"/>
  </w:font>
  <w:font w:name="华文中宋">
    <w:altName w:val="宋体"/>
    <w:panose1 w:val="02010600040101010101"/>
    <w:charset w:val="86"/>
    <w:family w:val="auto"/>
    <w:pitch w:val="default"/>
    <w:sig w:usb0="00000287" w:usb1="080F0000" w:usb2="00000000" w:usb3="00000000" w:csb0="0004009F" w:csb1="DFD70000"/>
  </w:font>
  <w:font w:name="方正小标宋简体">
    <w:altName w:val="黑体"/>
    <w:panose1 w:val="02000000000000000000"/>
    <w:charset w:val="86"/>
    <w:family w:val="script"/>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1E7B">
    <w:pPr>
      <w:pStyle w:val="32"/>
    </w:pPr>
    <w:r>
      <w:rPr>
        <w:sz w:val="18"/>
      </w:rPr>
      <w:pict>
        <v:shape id="_x0000_s2073" o:spid="_x0000_s2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70C7A35">
                <w:pPr>
                  <w:pStyle w:val="3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4915">
    <w:pPr>
      <w:pStyle w:val="32"/>
    </w:pPr>
    <w:r>
      <w:rPr>
        <w:sz w:val="18"/>
      </w:rPr>
      <w:pict>
        <v:shape id="_x0000_s2074" o:spid="_x0000_s2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7961A9C">
                <w:pPr>
                  <w:pStyle w:val="32"/>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07BE">
    <w:pPr>
      <w:pStyle w:val="32"/>
      <w:jc w:val="center"/>
    </w:pPr>
    <w:r>
      <w:rPr>
        <w:sz w:val="18"/>
      </w:rPr>
      <w:pict>
        <v:shape id="_x0000_s2075" o:spid="_x0000_s2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FCAACDD">
                <w:pPr>
                  <w:pStyle w:val="32"/>
                </w:pPr>
                <w:r>
                  <w:fldChar w:fldCharType="begin"/>
                </w:r>
                <w:r>
                  <w:instrText xml:space="preserve"> PAGE  \* MERGEFORMAT </w:instrText>
                </w:r>
                <w:r>
                  <w:fldChar w:fldCharType="separate"/>
                </w:r>
                <w:r>
                  <w:t>38</w:t>
                </w:r>
                <w:r>
                  <w:fldChar w:fldCharType="end"/>
                </w:r>
              </w:p>
            </w:txbxContent>
          </v:textbox>
        </v:shape>
      </w:pict>
    </w:r>
  </w:p>
  <w:p w14:paraId="6049739D">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F344">
    <w:pPr>
      <w:pStyle w:val="32"/>
      <w:framePr w:wrap="around" w:vAnchor="text" w:hAnchor="margin" w:xAlign="center" w:y="1"/>
      <w:rPr>
        <w:rStyle w:val="55"/>
      </w:rPr>
    </w:pPr>
    <w:r>
      <w:fldChar w:fldCharType="begin"/>
    </w:r>
    <w:r>
      <w:rPr>
        <w:rStyle w:val="55"/>
      </w:rPr>
      <w:instrText xml:space="preserve">PAGE  </w:instrText>
    </w:r>
    <w:r>
      <w:fldChar w:fldCharType="end"/>
    </w:r>
  </w:p>
  <w:p w14:paraId="02C4B438">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FFE3">
    <w:pPr>
      <w:pStyle w:val="32"/>
      <w:jc w:val="center"/>
    </w:pPr>
    <w:r>
      <w:rPr>
        <w:sz w:val="18"/>
      </w:rPr>
      <w:pict>
        <v:shape id="_x0000_s2076" o:spid="_x0000_s2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06028A9">
                <w:pPr>
                  <w:pStyle w:val="32"/>
                </w:pPr>
                <w:r>
                  <w:fldChar w:fldCharType="begin"/>
                </w:r>
                <w:r>
                  <w:instrText xml:space="preserve"> PAGE  \* MERGEFORMAT </w:instrText>
                </w:r>
                <w:r>
                  <w:fldChar w:fldCharType="separate"/>
                </w:r>
                <w:r>
                  <w:t>37</w:t>
                </w:r>
                <w:r>
                  <w:fldChar w:fldCharType="end"/>
                </w:r>
              </w:p>
            </w:txbxContent>
          </v:textbox>
        </v:shape>
      </w:pict>
    </w:r>
  </w:p>
  <w:p w14:paraId="1A6964E5">
    <w:pPr>
      <w:pStyle w:val="32"/>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3F0F">
    <w:pPr>
      <w:pStyle w:val="32"/>
      <w:jc w:val="center"/>
    </w:pPr>
    <w:r>
      <w:rPr>
        <w:sz w:val="18"/>
      </w:rPr>
      <w:pict>
        <v:shape id="_x0000_s2077" o:spid="_x0000_s2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BF194A6">
                <w:pPr>
                  <w:pStyle w:val="32"/>
                </w:pPr>
                <w:r>
                  <w:fldChar w:fldCharType="begin"/>
                </w:r>
                <w:r>
                  <w:instrText xml:space="preserve"> PAGE  \* MERGEFORMAT </w:instrText>
                </w:r>
                <w:r>
                  <w:fldChar w:fldCharType="separate"/>
                </w:r>
                <w:r>
                  <w:t>97</w:t>
                </w:r>
                <w:r>
                  <w:fldChar w:fldCharType="end"/>
                </w:r>
              </w:p>
            </w:txbxContent>
          </v:textbox>
        </v:shape>
      </w:pict>
    </w:r>
  </w:p>
  <w:p w14:paraId="50BFA02A">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8EDEF">
    <w:pPr>
      <w:pStyle w:val="32"/>
      <w:framePr w:wrap="around" w:vAnchor="text" w:hAnchor="margin" w:xAlign="center" w:y="1"/>
      <w:rPr>
        <w:rStyle w:val="55"/>
      </w:rPr>
    </w:pPr>
    <w:r>
      <w:fldChar w:fldCharType="begin"/>
    </w:r>
    <w:r>
      <w:rPr>
        <w:rStyle w:val="55"/>
      </w:rPr>
      <w:instrText xml:space="preserve">PAGE  </w:instrText>
    </w:r>
    <w:r>
      <w:fldChar w:fldCharType="end"/>
    </w:r>
  </w:p>
  <w:p w14:paraId="68A8F491">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657F">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C169">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24A4">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C82D"/>
    <w:multiLevelType w:val="singleLevel"/>
    <w:tmpl w:val="824EC82D"/>
    <w:lvl w:ilvl="0" w:tentative="0">
      <w:start w:val="3"/>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6362018"/>
    <w:multiLevelType w:val="singleLevel"/>
    <w:tmpl w:val="46362018"/>
    <w:lvl w:ilvl="0" w:tentative="0">
      <w:start w:val="2"/>
      <w:numFmt w:val="decimal"/>
      <w:lvlText w:val="%1."/>
      <w:lvlJc w:val="left"/>
      <w:pPr>
        <w:tabs>
          <w:tab w:val="left" w:pos="312"/>
        </w:tabs>
        <w:ind w:left="420" w:firstLine="0"/>
      </w:p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4rgfh5HrJtxB9V0apr3Cwzs1/o=" w:salt="rpm+OYXOlzc0gCqWES5mO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xZDBhNDk4YWQ4MzFjN2Q1NGQxYjU1MGRkYjRjNTQ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4E3C"/>
    <w:rsid w:val="00024EB0"/>
    <w:rsid w:val="00025604"/>
    <w:rsid w:val="00025DAF"/>
    <w:rsid w:val="0002646A"/>
    <w:rsid w:val="0002651D"/>
    <w:rsid w:val="00026CFD"/>
    <w:rsid w:val="00027C8B"/>
    <w:rsid w:val="00027CD9"/>
    <w:rsid w:val="00030242"/>
    <w:rsid w:val="00030B06"/>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25AC"/>
    <w:rsid w:val="000427B8"/>
    <w:rsid w:val="00042F4A"/>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7254"/>
    <w:rsid w:val="00047E41"/>
    <w:rsid w:val="00047F07"/>
    <w:rsid w:val="0005022B"/>
    <w:rsid w:val="00050450"/>
    <w:rsid w:val="00050771"/>
    <w:rsid w:val="000509BA"/>
    <w:rsid w:val="000513F3"/>
    <w:rsid w:val="00052287"/>
    <w:rsid w:val="000522E0"/>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77E81"/>
    <w:rsid w:val="000804EF"/>
    <w:rsid w:val="00080558"/>
    <w:rsid w:val="00081230"/>
    <w:rsid w:val="000814E2"/>
    <w:rsid w:val="000818C9"/>
    <w:rsid w:val="00081CBB"/>
    <w:rsid w:val="00081D42"/>
    <w:rsid w:val="000822EF"/>
    <w:rsid w:val="0008241E"/>
    <w:rsid w:val="000826F5"/>
    <w:rsid w:val="0008277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42B7"/>
    <w:rsid w:val="000951E7"/>
    <w:rsid w:val="00095B82"/>
    <w:rsid w:val="00096098"/>
    <w:rsid w:val="000961B2"/>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72D"/>
    <w:rsid w:val="000E3D08"/>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502"/>
    <w:rsid w:val="000F7616"/>
    <w:rsid w:val="000F7DE9"/>
    <w:rsid w:val="000F7F7A"/>
    <w:rsid w:val="001002F4"/>
    <w:rsid w:val="0010050C"/>
    <w:rsid w:val="001006CB"/>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85D"/>
    <w:rsid w:val="0013089C"/>
    <w:rsid w:val="00130A2D"/>
    <w:rsid w:val="00130F54"/>
    <w:rsid w:val="00131888"/>
    <w:rsid w:val="00131F17"/>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A3A"/>
    <w:rsid w:val="00141FD4"/>
    <w:rsid w:val="001423FA"/>
    <w:rsid w:val="001427B5"/>
    <w:rsid w:val="001428CF"/>
    <w:rsid w:val="00142D0C"/>
    <w:rsid w:val="00142E3C"/>
    <w:rsid w:val="00143387"/>
    <w:rsid w:val="001439BA"/>
    <w:rsid w:val="00144013"/>
    <w:rsid w:val="001455C3"/>
    <w:rsid w:val="00145A17"/>
    <w:rsid w:val="00145BBE"/>
    <w:rsid w:val="001460B5"/>
    <w:rsid w:val="0014641F"/>
    <w:rsid w:val="001464A8"/>
    <w:rsid w:val="001467BB"/>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7C"/>
    <w:rsid w:val="00160E30"/>
    <w:rsid w:val="0016106D"/>
    <w:rsid w:val="001612E1"/>
    <w:rsid w:val="001614DB"/>
    <w:rsid w:val="0016194E"/>
    <w:rsid w:val="0016236C"/>
    <w:rsid w:val="00162625"/>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52C"/>
    <w:rsid w:val="00181DBA"/>
    <w:rsid w:val="00181EEF"/>
    <w:rsid w:val="00181F3E"/>
    <w:rsid w:val="00182FE0"/>
    <w:rsid w:val="00183911"/>
    <w:rsid w:val="00184418"/>
    <w:rsid w:val="001845FB"/>
    <w:rsid w:val="001857FB"/>
    <w:rsid w:val="00185DA6"/>
    <w:rsid w:val="00185F64"/>
    <w:rsid w:val="00186096"/>
    <w:rsid w:val="001862FE"/>
    <w:rsid w:val="001864AC"/>
    <w:rsid w:val="00187317"/>
    <w:rsid w:val="0018772E"/>
    <w:rsid w:val="00187A94"/>
    <w:rsid w:val="0019029E"/>
    <w:rsid w:val="00190804"/>
    <w:rsid w:val="0019088F"/>
    <w:rsid w:val="00190C51"/>
    <w:rsid w:val="00192F00"/>
    <w:rsid w:val="00193ACC"/>
    <w:rsid w:val="00193BFE"/>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2A3"/>
    <w:rsid w:val="001A46FB"/>
    <w:rsid w:val="001A4EC9"/>
    <w:rsid w:val="001A5944"/>
    <w:rsid w:val="001A5FB1"/>
    <w:rsid w:val="001A618F"/>
    <w:rsid w:val="001A698A"/>
    <w:rsid w:val="001A6CCC"/>
    <w:rsid w:val="001A6E3B"/>
    <w:rsid w:val="001A70C8"/>
    <w:rsid w:val="001A71C9"/>
    <w:rsid w:val="001A7429"/>
    <w:rsid w:val="001A760C"/>
    <w:rsid w:val="001A76F0"/>
    <w:rsid w:val="001A7977"/>
    <w:rsid w:val="001A799B"/>
    <w:rsid w:val="001A7AC7"/>
    <w:rsid w:val="001A7C38"/>
    <w:rsid w:val="001B02F8"/>
    <w:rsid w:val="001B2104"/>
    <w:rsid w:val="001B2279"/>
    <w:rsid w:val="001B2729"/>
    <w:rsid w:val="001B2866"/>
    <w:rsid w:val="001B2881"/>
    <w:rsid w:val="001B2B73"/>
    <w:rsid w:val="001B3675"/>
    <w:rsid w:val="001B37C8"/>
    <w:rsid w:val="001B48BA"/>
    <w:rsid w:val="001B4B2C"/>
    <w:rsid w:val="001B4F10"/>
    <w:rsid w:val="001B5154"/>
    <w:rsid w:val="001B6E30"/>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6F6"/>
    <w:rsid w:val="001D4303"/>
    <w:rsid w:val="001D45E5"/>
    <w:rsid w:val="001D461A"/>
    <w:rsid w:val="001D4A9D"/>
    <w:rsid w:val="001D4AAD"/>
    <w:rsid w:val="001D4E16"/>
    <w:rsid w:val="001D5AFA"/>
    <w:rsid w:val="001D652D"/>
    <w:rsid w:val="001D72D9"/>
    <w:rsid w:val="001D784A"/>
    <w:rsid w:val="001E04A4"/>
    <w:rsid w:val="001E07C5"/>
    <w:rsid w:val="001E0B4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20125C"/>
    <w:rsid w:val="0020130D"/>
    <w:rsid w:val="00201916"/>
    <w:rsid w:val="00201D06"/>
    <w:rsid w:val="00201E9F"/>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65F"/>
    <w:rsid w:val="00213232"/>
    <w:rsid w:val="00213817"/>
    <w:rsid w:val="00214428"/>
    <w:rsid w:val="002145EB"/>
    <w:rsid w:val="00214F82"/>
    <w:rsid w:val="00214FE7"/>
    <w:rsid w:val="00215033"/>
    <w:rsid w:val="00215834"/>
    <w:rsid w:val="00215CC2"/>
    <w:rsid w:val="00215D95"/>
    <w:rsid w:val="00215ED8"/>
    <w:rsid w:val="00215FAF"/>
    <w:rsid w:val="00217700"/>
    <w:rsid w:val="002177E2"/>
    <w:rsid w:val="0021783B"/>
    <w:rsid w:val="00217B43"/>
    <w:rsid w:val="002205F3"/>
    <w:rsid w:val="0022085B"/>
    <w:rsid w:val="00220E53"/>
    <w:rsid w:val="0022176C"/>
    <w:rsid w:val="002225D1"/>
    <w:rsid w:val="002230FA"/>
    <w:rsid w:val="002232B9"/>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08A"/>
    <w:rsid w:val="00231D05"/>
    <w:rsid w:val="0023241A"/>
    <w:rsid w:val="002336E2"/>
    <w:rsid w:val="00233AC2"/>
    <w:rsid w:val="00233BAF"/>
    <w:rsid w:val="00233F80"/>
    <w:rsid w:val="0023423A"/>
    <w:rsid w:val="00235420"/>
    <w:rsid w:val="00235700"/>
    <w:rsid w:val="0023788D"/>
    <w:rsid w:val="00240422"/>
    <w:rsid w:val="0024065B"/>
    <w:rsid w:val="002409A6"/>
    <w:rsid w:val="00240C63"/>
    <w:rsid w:val="00240D91"/>
    <w:rsid w:val="00240EA5"/>
    <w:rsid w:val="00241132"/>
    <w:rsid w:val="00241205"/>
    <w:rsid w:val="002418C5"/>
    <w:rsid w:val="0024261D"/>
    <w:rsid w:val="00242712"/>
    <w:rsid w:val="00242DFB"/>
    <w:rsid w:val="00243807"/>
    <w:rsid w:val="002440AC"/>
    <w:rsid w:val="00244365"/>
    <w:rsid w:val="0024459A"/>
    <w:rsid w:val="002446A3"/>
    <w:rsid w:val="00244771"/>
    <w:rsid w:val="00244903"/>
    <w:rsid w:val="00244AFB"/>
    <w:rsid w:val="002453DF"/>
    <w:rsid w:val="00245A81"/>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7FB"/>
    <w:rsid w:val="00265D10"/>
    <w:rsid w:val="00265E2E"/>
    <w:rsid w:val="002661AB"/>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36"/>
    <w:rsid w:val="00272E48"/>
    <w:rsid w:val="00272FBF"/>
    <w:rsid w:val="00273A10"/>
    <w:rsid w:val="00273A58"/>
    <w:rsid w:val="00274C6E"/>
    <w:rsid w:val="00274CAB"/>
    <w:rsid w:val="00274E8A"/>
    <w:rsid w:val="002755A8"/>
    <w:rsid w:val="00275FCE"/>
    <w:rsid w:val="002766B8"/>
    <w:rsid w:val="0027680F"/>
    <w:rsid w:val="002777C0"/>
    <w:rsid w:val="0028076D"/>
    <w:rsid w:val="00281006"/>
    <w:rsid w:val="002815B1"/>
    <w:rsid w:val="00281893"/>
    <w:rsid w:val="00281C1F"/>
    <w:rsid w:val="00281EEA"/>
    <w:rsid w:val="00281F88"/>
    <w:rsid w:val="0028240D"/>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63CE"/>
    <w:rsid w:val="00287E20"/>
    <w:rsid w:val="0029110F"/>
    <w:rsid w:val="00291492"/>
    <w:rsid w:val="00291527"/>
    <w:rsid w:val="002916B4"/>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1617"/>
    <w:rsid w:val="002B1A90"/>
    <w:rsid w:val="002B1D11"/>
    <w:rsid w:val="002B273B"/>
    <w:rsid w:val="002B29AA"/>
    <w:rsid w:val="002B2A7E"/>
    <w:rsid w:val="002B2F1B"/>
    <w:rsid w:val="002B3332"/>
    <w:rsid w:val="002B34C7"/>
    <w:rsid w:val="002B3F25"/>
    <w:rsid w:val="002B5AFB"/>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271"/>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4CF8"/>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36B"/>
    <w:rsid w:val="003564CC"/>
    <w:rsid w:val="00357424"/>
    <w:rsid w:val="00357BE9"/>
    <w:rsid w:val="003601A2"/>
    <w:rsid w:val="00361789"/>
    <w:rsid w:val="0036196D"/>
    <w:rsid w:val="00361A59"/>
    <w:rsid w:val="00362136"/>
    <w:rsid w:val="003627BD"/>
    <w:rsid w:val="00362997"/>
    <w:rsid w:val="00362C59"/>
    <w:rsid w:val="00363040"/>
    <w:rsid w:val="003630B7"/>
    <w:rsid w:val="00363786"/>
    <w:rsid w:val="003638A4"/>
    <w:rsid w:val="003639BF"/>
    <w:rsid w:val="00363E41"/>
    <w:rsid w:val="00363FD2"/>
    <w:rsid w:val="00364653"/>
    <w:rsid w:val="0036572E"/>
    <w:rsid w:val="00366168"/>
    <w:rsid w:val="003663D9"/>
    <w:rsid w:val="003666BF"/>
    <w:rsid w:val="00366707"/>
    <w:rsid w:val="00366FA9"/>
    <w:rsid w:val="00367B19"/>
    <w:rsid w:val="00367E49"/>
    <w:rsid w:val="003700E6"/>
    <w:rsid w:val="0037017C"/>
    <w:rsid w:val="00370490"/>
    <w:rsid w:val="00371C86"/>
    <w:rsid w:val="0037236C"/>
    <w:rsid w:val="003729DE"/>
    <w:rsid w:val="00372EA2"/>
    <w:rsid w:val="003735D3"/>
    <w:rsid w:val="0037386D"/>
    <w:rsid w:val="00373956"/>
    <w:rsid w:val="00374153"/>
    <w:rsid w:val="00374671"/>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F6A"/>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4F4"/>
    <w:rsid w:val="003C6D4E"/>
    <w:rsid w:val="003C724B"/>
    <w:rsid w:val="003C73DB"/>
    <w:rsid w:val="003D0185"/>
    <w:rsid w:val="003D02CB"/>
    <w:rsid w:val="003D0382"/>
    <w:rsid w:val="003D069C"/>
    <w:rsid w:val="003D0CF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22B"/>
    <w:rsid w:val="003E1427"/>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3D5A"/>
    <w:rsid w:val="003F4473"/>
    <w:rsid w:val="003F4CF5"/>
    <w:rsid w:val="003F4E31"/>
    <w:rsid w:val="003F51EE"/>
    <w:rsid w:val="003F574E"/>
    <w:rsid w:val="003F60D6"/>
    <w:rsid w:val="003F68E9"/>
    <w:rsid w:val="003F728C"/>
    <w:rsid w:val="003F7E15"/>
    <w:rsid w:val="003F7FDA"/>
    <w:rsid w:val="00400E65"/>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4AA"/>
    <w:rsid w:val="00412570"/>
    <w:rsid w:val="004127A2"/>
    <w:rsid w:val="0041280A"/>
    <w:rsid w:val="00412A9D"/>
    <w:rsid w:val="00412CB1"/>
    <w:rsid w:val="004133A5"/>
    <w:rsid w:val="00413D45"/>
    <w:rsid w:val="00414197"/>
    <w:rsid w:val="004144D7"/>
    <w:rsid w:val="00414D68"/>
    <w:rsid w:val="00414FD9"/>
    <w:rsid w:val="00415773"/>
    <w:rsid w:val="00415CAE"/>
    <w:rsid w:val="00415EE7"/>
    <w:rsid w:val="00415FD6"/>
    <w:rsid w:val="004160FA"/>
    <w:rsid w:val="0041669E"/>
    <w:rsid w:val="00416ACA"/>
    <w:rsid w:val="00416C56"/>
    <w:rsid w:val="00417294"/>
    <w:rsid w:val="00417416"/>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3AE"/>
    <w:rsid w:val="004245E4"/>
    <w:rsid w:val="00424B7C"/>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5121"/>
    <w:rsid w:val="00435715"/>
    <w:rsid w:val="0043571B"/>
    <w:rsid w:val="00435EE0"/>
    <w:rsid w:val="00435F29"/>
    <w:rsid w:val="0043610C"/>
    <w:rsid w:val="004366FF"/>
    <w:rsid w:val="00437D83"/>
    <w:rsid w:val="004401DD"/>
    <w:rsid w:val="00440344"/>
    <w:rsid w:val="00441264"/>
    <w:rsid w:val="00441B0F"/>
    <w:rsid w:val="00441F06"/>
    <w:rsid w:val="004425C6"/>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4660"/>
    <w:rsid w:val="004546A7"/>
    <w:rsid w:val="00454831"/>
    <w:rsid w:val="004548DF"/>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D3A"/>
    <w:rsid w:val="00490954"/>
    <w:rsid w:val="0049102F"/>
    <w:rsid w:val="0049277A"/>
    <w:rsid w:val="00492B38"/>
    <w:rsid w:val="00492FE4"/>
    <w:rsid w:val="00493035"/>
    <w:rsid w:val="0049330F"/>
    <w:rsid w:val="00493321"/>
    <w:rsid w:val="004936DE"/>
    <w:rsid w:val="004949B0"/>
    <w:rsid w:val="00494A50"/>
    <w:rsid w:val="0049544E"/>
    <w:rsid w:val="00495670"/>
    <w:rsid w:val="0049567B"/>
    <w:rsid w:val="0049604B"/>
    <w:rsid w:val="00496666"/>
    <w:rsid w:val="00496AC9"/>
    <w:rsid w:val="004A040E"/>
    <w:rsid w:val="004A042D"/>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3A7A"/>
    <w:rsid w:val="004C3ADD"/>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BC6"/>
    <w:rsid w:val="004F1123"/>
    <w:rsid w:val="004F12D3"/>
    <w:rsid w:val="004F1715"/>
    <w:rsid w:val="004F17DA"/>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FA7"/>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DCD"/>
    <w:rsid w:val="00507325"/>
    <w:rsid w:val="00507583"/>
    <w:rsid w:val="00507C56"/>
    <w:rsid w:val="00507F13"/>
    <w:rsid w:val="005109D4"/>
    <w:rsid w:val="00510CF4"/>
    <w:rsid w:val="0051160A"/>
    <w:rsid w:val="005118BA"/>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9FC"/>
    <w:rsid w:val="00525A53"/>
    <w:rsid w:val="005260F1"/>
    <w:rsid w:val="00526569"/>
    <w:rsid w:val="00526726"/>
    <w:rsid w:val="00526F91"/>
    <w:rsid w:val="00527256"/>
    <w:rsid w:val="00527934"/>
    <w:rsid w:val="00527B57"/>
    <w:rsid w:val="00527C8D"/>
    <w:rsid w:val="00527C9C"/>
    <w:rsid w:val="00530AC4"/>
    <w:rsid w:val="00531F7B"/>
    <w:rsid w:val="00532064"/>
    <w:rsid w:val="0053268A"/>
    <w:rsid w:val="0053309E"/>
    <w:rsid w:val="00533169"/>
    <w:rsid w:val="00533194"/>
    <w:rsid w:val="005332C8"/>
    <w:rsid w:val="00534021"/>
    <w:rsid w:val="0053464E"/>
    <w:rsid w:val="00534CBD"/>
    <w:rsid w:val="005352C8"/>
    <w:rsid w:val="005354C1"/>
    <w:rsid w:val="00535F99"/>
    <w:rsid w:val="005361DE"/>
    <w:rsid w:val="00536356"/>
    <w:rsid w:val="00536CBB"/>
    <w:rsid w:val="00536DDD"/>
    <w:rsid w:val="00537033"/>
    <w:rsid w:val="00540A37"/>
    <w:rsid w:val="00540B49"/>
    <w:rsid w:val="005418DB"/>
    <w:rsid w:val="0054230B"/>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161"/>
    <w:rsid w:val="00555A59"/>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3C9C"/>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70"/>
    <w:rsid w:val="005A1295"/>
    <w:rsid w:val="005A1FBF"/>
    <w:rsid w:val="005A1FD5"/>
    <w:rsid w:val="005A29B1"/>
    <w:rsid w:val="005A2EBF"/>
    <w:rsid w:val="005A3750"/>
    <w:rsid w:val="005A380B"/>
    <w:rsid w:val="005A4890"/>
    <w:rsid w:val="005A49D4"/>
    <w:rsid w:val="005A4D7C"/>
    <w:rsid w:val="005A51C9"/>
    <w:rsid w:val="005A5A96"/>
    <w:rsid w:val="005A5D7F"/>
    <w:rsid w:val="005A5DC0"/>
    <w:rsid w:val="005A65C3"/>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3F0C"/>
    <w:rsid w:val="005B42DC"/>
    <w:rsid w:val="005B48E8"/>
    <w:rsid w:val="005B564F"/>
    <w:rsid w:val="005B56D9"/>
    <w:rsid w:val="005B5BA3"/>
    <w:rsid w:val="005B5E62"/>
    <w:rsid w:val="005B6DBE"/>
    <w:rsid w:val="005B7E97"/>
    <w:rsid w:val="005B7F46"/>
    <w:rsid w:val="005C059E"/>
    <w:rsid w:val="005C07D2"/>
    <w:rsid w:val="005C09A7"/>
    <w:rsid w:val="005C0EA8"/>
    <w:rsid w:val="005C102D"/>
    <w:rsid w:val="005C132C"/>
    <w:rsid w:val="005C17FB"/>
    <w:rsid w:val="005C1833"/>
    <w:rsid w:val="005C1838"/>
    <w:rsid w:val="005C18C2"/>
    <w:rsid w:val="005C2063"/>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ADC"/>
    <w:rsid w:val="005C6CCB"/>
    <w:rsid w:val="005C71A0"/>
    <w:rsid w:val="005C7802"/>
    <w:rsid w:val="005C7B50"/>
    <w:rsid w:val="005D029E"/>
    <w:rsid w:val="005D0427"/>
    <w:rsid w:val="005D0776"/>
    <w:rsid w:val="005D07AE"/>
    <w:rsid w:val="005D08FD"/>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3E46"/>
    <w:rsid w:val="00624604"/>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6F62"/>
    <w:rsid w:val="006370E1"/>
    <w:rsid w:val="00637382"/>
    <w:rsid w:val="006375B2"/>
    <w:rsid w:val="006375BB"/>
    <w:rsid w:val="006409EE"/>
    <w:rsid w:val="00640BF7"/>
    <w:rsid w:val="00640FFF"/>
    <w:rsid w:val="00641761"/>
    <w:rsid w:val="006419AF"/>
    <w:rsid w:val="006425FC"/>
    <w:rsid w:val="00642631"/>
    <w:rsid w:val="00642DF5"/>
    <w:rsid w:val="0064304A"/>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E90"/>
    <w:rsid w:val="00647FA3"/>
    <w:rsid w:val="006500F7"/>
    <w:rsid w:val="00650769"/>
    <w:rsid w:val="0065106D"/>
    <w:rsid w:val="006516B7"/>
    <w:rsid w:val="006518E4"/>
    <w:rsid w:val="006519F4"/>
    <w:rsid w:val="00651FB8"/>
    <w:rsid w:val="0065203F"/>
    <w:rsid w:val="006520D5"/>
    <w:rsid w:val="0065239B"/>
    <w:rsid w:val="00652BA0"/>
    <w:rsid w:val="00653045"/>
    <w:rsid w:val="0065349A"/>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32F"/>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BF6"/>
    <w:rsid w:val="006B6C0D"/>
    <w:rsid w:val="006B7657"/>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6F782F"/>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E0F"/>
    <w:rsid w:val="0071068A"/>
    <w:rsid w:val="00710E19"/>
    <w:rsid w:val="00710E52"/>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B00"/>
    <w:rsid w:val="0072680C"/>
    <w:rsid w:val="00726B3D"/>
    <w:rsid w:val="00726C64"/>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BC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1452"/>
    <w:rsid w:val="007521A5"/>
    <w:rsid w:val="00752E99"/>
    <w:rsid w:val="00753959"/>
    <w:rsid w:val="00753DD6"/>
    <w:rsid w:val="00754A4A"/>
    <w:rsid w:val="00755F9F"/>
    <w:rsid w:val="007566FB"/>
    <w:rsid w:val="007567A8"/>
    <w:rsid w:val="00756D6A"/>
    <w:rsid w:val="00757EE2"/>
    <w:rsid w:val="0076043F"/>
    <w:rsid w:val="00760F66"/>
    <w:rsid w:val="007611F8"/>
    <w:rsid w:val="00761200"/>
    <w:rsid w:val="00761931"/>
    <w:rsid w:val="00761BD1"/>
    <w:rsid w:val="007627BA"/>
    <w:rsid w:val="0076291E"/>
    <w:rsid w:val="00762C76"/>
    <w:rsid w:val="00762D81"/>
    <w:rsid w:val="0076317B"/>
    <w:rsid w:val="007643D5"/>
    <w:rsid w:val="00765366"/>
    <w:rsid w:val="00765914"/>
    <w:rsid w:val="00765AC2"/>
    <w:rsid w:val="0076614D"/>
    <w:rsid w:val="0076624C"/>
    <w:rsid w:val="0076627D"/>
    <w:rsid w:val="00766304"/>
    <w:rsid w:val="00767A28"/>
    <w:rsid w:val="00767DD2"/>
    <w:rsid w:val="00770264"/>
    <w:rsid w:val="0077082B"/>
    <w:rsid w:val="00770E60"/>
    <w:rsid w:val="00771324"/>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2071"/>
    <w:rsid w:val="00782783"/>
    <w:rsid w:val="00782946"/>
    <w:rsid w:val="00782ECD"/>
    <w:rsid w:val="00782F44"/>
    <w:rsid w:val="0078363B"/>
    <w:rsid w:val="00783CCF"/>
    <w:rsid w:val="00783F5B"/>
    <w:rsid w:val="00784609"/>
    <w:rsid w:val="00784720"/>
    <w:rsid w:val="0078481D"/>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4"/>
    <w:rsid w:val="007B4046"/>
    <w:rsid w:val="007B4300"/>
    <w:rsid w:val="007B565C"/>
    <w:rsid w:val="007B595F"/>
    <w:rsid w:val="007B5B7E"/>
    <w:rsid w:val="007B5D75"/>
    <w:rsid w:val="007B6D5E"/>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6213"/>
    <w:rsid w:val="007D63B2"/>
    <w:rsid w:val="007D651D"/>
    <w:rsid w:val="007D71B7"/>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7E7"/>
    <w:rsid w:val="007E4A68"/>
    <w:rsid w:val="007E4A98"/>
    <w:rsid w:val="007E4EB6"/>
    <w:rsid w:val="007E5DD7"/>
    <w:rsid w:val="007E6FB9"/>
    <w:rsid w:val="007E7139"/>
    <w:rsid w:val="007E7366"/>
    <w:rsid w:val="007E7EA1"/>
    <w:rsid w:val="007E7EA4"/>
    <w:rsid w:val="007F03CE"/>
    <w:rsid w:val="007F04D3"/>
    <w:rsid w:val="007F137D"/>
    <w:rsid w:val="007F17B5"/>
    <w:rsid w:val="007F245F"/>
    <w:rsid w:val="007F2D8D"/>
    <w:rsid w:val="007F2EBF"/>
    <w:rsid w:val="007F3044"/>
    <w:rsid w:val="007F3249"/>
    <w:rsid w:val="007F3704"/>
    <w:rsid w:val="007F4657"/>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B20"/>
    <w:rsid w:val="00820B84"/>
    <w:rsid w:val="0082199B"/>
    <w:rsid w:val="00821C2A"/>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13E0"/>
    <w:rsid w:val="008317EC"/>
    <w:rsid w:val="0083195D"/>
    <w:rsid w:val="00831B7B"/>
    <w:rsid w:val="00831D90"/>
    <w:rsid w:val="008324F3"/>
    <w:rsid w:val="00832691"/>
    <w:rsid w:val="0083296B"/>
    <w:rsid w:val="00832B8A"/>
    <w:rsid w:val="00833547"/>
    <w:rsid w:val="00833852"/>
    <w:rsid w:val="00833AB9"/>
    <w:rsid w:val="00833B62"/>
    <w:rsid w:val="00834820"/>
    <w:rsid w:val="00834C82"/>
    <w:rsid w:val="00834DB6"/>
    <w:rsid w:val="00834F93"/>
    <w:rsid w:val="00835F6D"/>
    <w:rsid w:val="008375DA"/>
    <w:rsid w:val="00840C4A"/>
    <w:rsid w:val="008411B9"/>
    <w:rsid w:val="0084122F"/>
    <w:rsid w:val="00841573"/>
    <w:rsid w:val="00841D08"/>
    <w:rsid w:val="00842D43"/>
    <w:rsid w:val="00842F64"/>
    <w:rsid w:val="0084323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9A1"/>
    <w:rsid w:val="00886B3F"/>
    <w:rsid w:val="0088727A"/>
    <w:rsid w:val="0089015D"/>
    <w:rsid w:val="0089021A"/>
    <w:rsid w:val="0089022E"/>
    <w:rsid w:val="00890475"/>
    <w:rsid w:val="00890A7C"/>
    <w:rsid w:val="00890D11"/>
    <w:rsid w:val="008910EE"/>
    <w:rsid w:val="00891A26"/>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D8"/>
    <w:rsid w:val="008B66EE"/>
    <w:rsid w:val="008B6793"/>
    <w:rsid w:val="008B6E87"/>
    <w:rsid w:val="008B75C2"/>
    <w:rsid w:val="008B787A"/>
    <w:rsid w:val="008C0A89"/>
    <w:rsid w:val="008C0AA9"/>
    <w:rsid w:val="008C0E71"/>
    <w:rsid w:val="008C1852"/>
    <w:rsid w:val="008C2CFF"/>
    <w:rsid w:val="008C2E1E"/>
    <w:rsid w:val="008C2E22"/>
    <w:rsid w:val="008C2ED2"/>
    <w:rsid w:val="008C3612"/>
    <w:rsid w:val="008C3D4D"/>
    <w:rsid w:val="008C4026"/>
    <w:rsid w:val="008C417E"/>
    <w:rsid w:val="008C4E31"/>
    <w:rsid w:val="008C5B51"/>
    <w:rsid w:val="008C5F0A"/>
    <w:rsid w:val="008C6105"/>
    <w:rsid w:val="008C6124"/>
    <w:rsid w:val="008C6334"/>
    <w:rsid w:val="008C66BD"/>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C72"/>
    <w:rsid w:val="008D4CF8"/>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ADB"/>
    <w:rsid w:val="008E5DC8"/>
    <w:rsid w:val="008E6465"/>
    <w:rsid w:val="008E6C57"/>
    <w:rsid w:val="008E7082"/>
    <w:rsid w:val="008E72AF"/>
    <w:rsid w:val="008F0952"/>
    <w:rsid w:val="008F1154"/>
    <w:rsid w:val="008F1B84"/>
    <w:rsid w:val="008F1B9D"/>
    <w:rsid w:val="008F1DB6"/>
    <w:rsid w:val="008F337C"/>
    <w:rsid w:val="008F39C0"/>
    <w:rsid w:val="008F39E4"/>
    <w:rsid w:val="008F51F0"/>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4EAF"/>
    <w:rsid w:val="00915428"/>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733"/>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0EB"/>
    <w:rsid w:val="00934510"/>
    <w:rsid w:val="0093476C"/>
    <w:rsid w:val="00935A1E"/>
    <w:rsid w:val="00935AA3"/>
    <w:rsid w:val="00935B7C"/>
    <w:rsid w:val="00935E3A"/>
    <w:rsid w:val="00936005"/>
    <w:rsid w:val="0093607C"/>
    <w:rsid w:val="00940008"/>
    <w:rsid w:val="00940FFA"/>
    <w:rsid w:val="00941010"/>
    <w:rsid w:val="00941503"/>
    <w:rsid w:val="0094187D"/>
    <w:rsid w:val="009423ED"/>
    <w:rsid w:val="00942C90"/>
    <w:rsid w:val="00942F29"/>
    <w:rsid w:val="00942FB6"/>
    <w:rsid w:val="009430E1"/>
    <w:rsid w:val="009434EB"/>
    <w:rsid w:val="00943EA6"/>
    <w:rsid w:val="009443F2"/>
    <w:rsid w:val="009448F2"/>
    <w:rsid w:val="009451E0"/>
    <w:rsid w:val="0094524B"/>
    <w:rsid w:val="009456E3"/>
    <w:rsid w:val="00945759"/>
    <w:rsid w:val="00945925"/>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78DB"/>
    <w:rsid w:val="00970728"/>
    <w:rsid w:val="009707C9"/>
    <w:rsid w:val="00971303"/>
    <w:rsid w:val="00971E0B"/>
    <w:rsid w:val="00972101"/>
    <w:rsid w:val="00972285"/>
    <w:rsid w:val="00972FB5"/>
    <w:rsid w:val="00973607"/>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177B"/>
    <w:rsid w:val="00991B8C"/>
    <w:rsid w:val="0099367E"/>
    <w:rsid w:val="00993FE4"/>
    <w:rsid w:val="0099425E"/>
    <w:rsid w:val="00994CDC"/>
    <w:rsid w:val="009969CD"/>
    <w:rsid w:val="0099770A"/>
    <w:rsid w:val="00997769"/>
    <w:rsid w:val="00997A2E"/>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C0C"/>
    <w:rsid w:val="009A5D40"/>
    <w:rsid w:val="009A5E10"/>
    <w:rsid w:val="009A6665"/>
    <w:rsid w:val="009A743F"/>
    <w:rsid w:val="009A74F7"/>
    <w:rsid w:val="009B00F2"/>
    <w:rsid w:val="009B0E67"/>
    <w:rsid w:val="009B0FB2"/>
    <w:rsid w:val="009B1113"/>
    <w:rsid w:val="009B1C34"/>
    <w:rsid w:val="009B1D22"/>
    <w:rsid w:val="009B1E86"/>
    <w:rsid w:val="009B27C4"/>
    <w:rsid w:val="009B2BE6"/>
    <w:rsid w:val="009B2D92"/>
    <w:rsid w:val="009B31DE"/>
    <w:rsid w:val="009B3250"/>
    <w:rsid w:val="009B35A6"/>
    <w:rsid w:val="009B42A4"/>
    <w:rsid w:val="009B42D2"/>
    <w:rsid w:val="009B44D0"/>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2BB8"/>
    <w:rsid w:val="009D3A1A"/>
    <w:rsid w:val="009D426A"/>
    <w:rsid w:val="009D5BDB"/>
    <w:rsid w:val="009D6B03"/>
    <w:rsid w:val="009D6B3D"/>
    <w:rsid w:val="009D7422"/>
    <w:rsid w:val="009D78E7"/>
    <w:rsid w:val="009E0742"/>
    <w:rsid w:val="009E0B29"/>
    <w:rsid w:val="009E1291"/>
    <w:rsid w:val="009E12BC"/>
    <w:rsid w:val="009E139D"/>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A80"/>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547"/>
    <w:rsid w:val="00A2770B"/>
    <w:rsid w:val="00A27806"/>
    <w:rsid w:val="00A3068C"/>
    <w:rsid w:val="00A3127F"/>
    <w:rsid w:val="00A315BC"/>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85B"/>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27C"/>
    <w:rsid w:val="00A43496"/>
    <w:rsid w:val="00A43665"/>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6"/>
    <w:rsid w:val="00A823A7"/>
    <w:rsid w:val="00A824D4"/>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7E8"/>
    <w:rsid w:val="00A97F4B"/>
    <w:rsid w:val="00AA04C5"/>
    <w:rsid w:val="00AA10B1"/>
    <w:rsid w:val="00AA2803"/>
    <w:rsid w:val="00AA2BF2"/>
    <w:rsid w:val="00AA2D68"/>
    <w:rsid w:val="00AA2D6F"/>
    <w:rsid w:val="00AA2E92"/>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2C5F"/>
    <w:rsid w:val="00AB37E6"/>
    <w:rsid w:val="00AB3DBA"/>
    <w:rsid w:val="00AB431C"/>
    <w:rsid w:val="00AB470E"/>
    <w:rsid w:val="00AB4C6D"/>
    <w:rsid w:val="00AB4C80"/>
    <w:rsid w:val="00AB506B"/>
    <w:rsid w:val="00AB5467"/>
    <w:rsid w:val="00AB5883"/>
    <w:rsid w:val="00AB5A7E"/>
    <w:rsid w:val="00AB7538"/>
    <w:rsid w:val="00AB77F3"/>
    <w:rsid w:val="00AC0256"/>
    <w:rsid w:val="00AC0AAD"/>
    <w:rsid w:val="00AC1231"/>
    <w:rsid w:val="00AC1992"/>
    <w:rsid w:val="00AC1E14"/>
    <w:rsid w:val="00AC2CFA"/>
    <w:rsid w:val="00AC3263"/>
    <w:rsid w:val="00AC337E"/>
    <w:rsid w:val="00AC3E12"/>
    <w:rsid w:val="00AC406E"/>
    <w:rsid w:val="00AC417C"/>
    <w:rsid w:val="00AC430C"/>
    <w:rsid w:val="00AC4951"/>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745A"/>
    <w:rsid w:val="00B17785"/>
    <w:rsid w:val="00B17A4E"/>
    <w:rsid w:val="00B17B30"/>
    <w:rsid w:val="00B17C2F"/>
    <w:rsid w:val="00B2153E"/>
    <w:rsid w:val="00B218CB"/>
    <w:rsid w:val="00B21FA7"/>
    <w:rsid w:val="00B22022"/>
    <w:rsid w:val="00B225E4"/>
    <w:rsid w:val="00B23223"/>
    <w:rsid w:val="00B23F7A"/>
    <w:rsid w:val="00B240B1"/>
    <w:rsid w:val="00B24208"/>
    <w:rsid w:val="00B24374"/>
    <w:rsid w:val="00B24728"/>
    <w:rsid w:val="00B248A9"/>
    <w:rsid w:val="00B2490A"/>
    <w:rsid w:val="00B2494E"/>
    <w:rsid w:val="00B24BE3"/>
    <w:rsid w:val="00B24D28"/>
    <w:rsid w:val="00B24F1C"/>
    <w:rsid w:val="00B25D76"/>
    <w:rsid w:val="00B27032"/>
    <w:rsid w:val="00B27085"/>
    <w:rsid w:val="00B27583"/>
    <w:rsid w:val="00B30003"/>
    <w:rsid w:val="00B3015C"/>
    <w:rsid w:val="00B30642"/>
    <w:rsid w:val="00B31201"/>
    <w:rsid w:val="00B31B4B"/>
    <w:rsid w:val="00B31E36"/>
    <w:rsid w:val="00B32E26"/>
    <w:rsid w:val="00B338B7"/>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B30"/>
    <w:rsid w:val="00B40E47"/>
    <w:rsid w:val="00B412FD"/>
    <w:rsid w:val="00B41E1C"/>
    <w:rsid w:val="00B422BE"/>
    <w:rsid w:val="00B4241D"/>
    <w:rsid w:val="00B426BB"/>
    <w:rsid w:val="00B42EB9"/>
    <w:rsid w:val="00B436F0"/>
    <w:rsid w:val="00B441FE"/>
    <w:rsid w:val="00B44821"/>
    <w:rsid w:val="00B44AD3"/>
    <w:rsid w:val="00B450EB"/>
    <w:rsid w:val="00B45152"/>
    <w:rsid w:val="00B454DD"/>
    <w:rsid w:val="00B45E54"/>
    <w:rsid w:val="00B460B8"/>
    <w:rsid w:val="00B464E4"/>
    <w:rsid w:val="00B4689A"/>
    <w:rsid w:val="00B46D5F"/>
    <w:rsid w:val="00B46E7B"/>
    <w:rsid w:val="00B47DC5"/>
    <w:rsid w:val="00B50395"/>
    <w:rsid w:val="00B505B3"/>
    <w:rsid w:val="00B50882"/>
    <w:rsid w:val="00B50A74"/>
    <w:rsid w:val="00B5199C"/>
    <w:rsid w:val="00B520A0"/>
    <w:rsid w:val="00B5257E"/>
    <w:rsid w:val="00B525CE"/>
    <w:rsid w:val="00B52CFD"/>
    <w:rsid w:val="00B545A8"/>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0FD"/>
    <w:rsid w:val="00B76185"/>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6D6C"/>
    <w:rsid w:val="00B86EB5"/>
    <w:rsid w:val="00B86F47"/>
    <w:rsid w:val="00B874B4"/>
    <w:rsid w:val="00B8787A"/>
    <w:rsid w:val="00B87887"/>
    <w:rsid w:val="00B90123"/>
    <w:rsid w:val="00B90196"/>
    <w:rsid w:val="00B911C1"/>
    <w:rsid w:val="00B91374"/>
    <w:rsid w:val="00B9216A"/>
    <w:rsid w:val="00B922C3"/>
    <w:rsid w:val="00B9272E"/>
    <w:rsid w:val="00B927A7"/>
    <w:rsid w:val="00B92B9E"/>
    <w:rsid w:val="00B93315"/>
    <w:rsid w:val="00B93519"/>
    <w:rsid w:val="00B9372A"/>
    <w:rsid w:val="00B9425C"/>
    <w:rsid w:val="00B94AAF"/>
    <w:rsid w:val="00B953FF"/>
    <w:rsid w:val="00B95CDD"/>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8D9"/>
    <w:rsid w:val="00BA695F"/>
    <w:rsid w:val="00BA6FD8"/>
    <w:rsid w:val="00BA7172"/>
    <w:rsid w:val="00BA7B01"/>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D7DA0"/>
    <w:rsid w:val="00BE096B"/>
    <w:rsid w:val="00BE09C3"/>
    <w:rsid w:val="00BE0C27"/>
    <w:rsid w:val="00BE0F9B"/>
    <w:rsid w:val="00BE15BB"/>
    <w:rsid w:val="00BE198F"/>
    <w:rsid w:val="00BE4875"/>
    <w:rsid w:val="00BE4CCF"/>
    <w:rsid w:val="00BE5964"/>
    <w:rsid w:val="00BE660B"/>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3F1"/>
    <w:rsid w:val="00BF5717"/>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A4C"/>
    <w:rsid w:val="00C05A67"/>
    <w:rsid w:val="00C0632D"/>
    <w:rsid w:val="00C0641F"/>
    <w:rsid w:val="00C06C9A"/>
    <w:rsid w:val="00C06E6F"/>
    <w:rsid w:val="00C075DB"/>
    <w:rsid w:val="00C07EBA"/>
    <w:rsid w:val="00C07FBC"/>
    <w:rsid w:val="00C100E2"/>
    <w:rsid w:val="00C100E7"/>
    <w:rsid w:val="00C11035"/>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6ED6"/>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9A"/>
    <w:rsid w:val="00C32639"/>
    <w:rsid w:val="00C32808"/>
    <w:rsid w:val="00C32AD2"/>
    <w:rsid w:val="00C33114"/>
    <w:rsid w:val="00C3415E"/>
    <w:rsid w:val="00C34193"/>
    <w:rsid w:val="00C347FD"/>
    <w:rsid w:val="00C34DAE"/>
    <w:rsid w:val="00C34E1E"/>
    <w:rsid w:val="00C34E5A"/>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1A8"/>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4520"/>
    <w:rsid w:val="00C74954"/>
    <w:rsid w:val="00C75765"/>
    <w:rsid w:val="00C76028"/>
    <w:rsid w:val="00C76184"/>
    <w:rsid w:val="00C76462"/>
    <w:rsid w:val="00C7673D"/>
    <w:rsid w:val="00C76A80"/>
    <w:rsid w:val="00C76C27"/>
    <w:rsid w:val="00C76E09"/>
    <w:rsid w:val="00C76F07"/>
    <w:rsid w:val="00C77EF6"/>
    <w:rsid w:val="00C80B4B"/>
    <w:rsid w:val="00C80D63"/>
    <w:rsid w:val="00C80E85"/>
    <w:rsid w:val="00C8129D"/>
    <w:rsid w:val="00C812D5"/>
    <w:rsid w:val="00C81536"/>
    <w:rsid w:val="00C81BEA"/>
    <w:rsid w:val="00C81DF5"/>
    <w:rsid w:val="00C82188"/>
    <w:rsid w:val="00C8242B"/>
    <w:rsid w:val="00C82A50"/>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B7F1F"/>
    <w:rsid w:val="00CC002B"/>
    <w:rsid w:val="00CC07E5"/>
    <w:rsid w:val="00CC09F0"/>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57E"/>
    <w:rsid w:val="00CD4CD3"/>
    <w:rsid w:val="00CD589F"/>
    <w:rsid w:val="00CD60C9"/>
    <w:rsid w:val="00CD6345"/>
    <w:rsid w:val="00CD6835"/>
    <w:rsid w:val="00CD6BBB"/>
    <w:rsid w:val="00CD7482"/>
    <w:rsid w:val="00CE05BD"/>
    <w:rsid w:val="00CE07C1"/>
    <w:rsid w:val="00CE1567"/>
    <w:rsid w:val="00CE1859"/>
    <w:rsid w:val="00CE186F"/>
    <w:rsid w:val="00CE20E3"/>
    <w:rsid w:val="00CE273A"/>
    <w:rsid w:val="00CE321C"/>
    <w:rsid w:val="00CE32E8"/>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806"/>
    <w:rsid w:val="00CF69B0"/>
    <w:rsid w:val="00CF6C05"/>
    <w:rsid w:val="00CF709F"/>
    <w:rsid w:val="00CF7485"/>
    <w:rsid w:val="00CF7E56"/>
    <w:rsid w:val="00D01744"/>
    <w:rsid w:val="00D01C03"/>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51AB"/>
    <w:rsid w:val="00D25240"/>
    <w:rsid w:val="00D25AC6"/>
    <w:rsid w:val="00D25BF1"/>
    <w:rsid w:val="00D261D3"/>
    <w:rsid w:val="00D27086"/>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6BF7"/>
    <w:rsid w:val="00D570E6"/>
    <w:rsid w:val="00D5730F"/>
    <w:rsid w:val="00D5774F"/>
    <w:rsid w:val="00D60809"/>
    <w:rsid w:val="00D6087D"/>
    <w:rsid w:val="00D60D7F"/>
    <w:rsid w:val="00D61066"/>
    <w:rsid w:val="00D61C9C"/>
    <w:rsid w:val="00D61E7B"/>
    <w:rsid w:val="00D62111"/>
    <w:rsid w:val="00D62229"/>
    <w:rsid w:val="00D625B8"/>
    <w:rsid w:val="00D626F8"/>
    <w:rsid w:val="00D636DC"/>
    <w:rsid w:val="00D63F4C"/>
    <w:rsid w:val="00D64613"/>
    <w:rsid w:val="00D64702"/>
    <w:rsid w:val="00D649DC"/>
    <w:rsid w:val="00D65A6A"/>
    <w:rsid w:val="00D66BFD"/>
    <w:rsid w:val="00D66C91"/>
    <w:rsid w:val="00D674EE"/>
    <w:rsid w:val="00D67535"/>
    <w:rsid w:val="00D67BC9"/>
    <w:rsid w:val="00D67DBC"/>
    <w:rsid w:val="00D704D9"/>
    <w:rsid w:val="00D70612"/>
    <w:rsid w:val="00D70934"/>
    <w:rsid w:val="00D70BD2"/>
    <w:rsid w:val="00D713F2"/>
    <w:rsid w:val="00D721B1"/>
    <w:rsid w:val="00D72705"/>
    <w:rsid w:val="00D738BF"/>
    <w:rsid w:val="00D73B93"/>
    <w:rsid w:val="00D73C95"/>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79F"/>
    <w:rsid w:val="00D8103B"/>
    <w:rsid w:val="00D8111B"/>
    <w:rsid w:val="00D81242"/>
    <w:rsid w:val="00D812D2"/>
    <w:rsid w:val="00D82C80"/>
    <w:rsid w:val="00D82D02"/>
    <w:rsid w:val="00D82D0F"/>
    <w:rsid w:val="00D83A5A"/>
    <w:rsid w:val="00D84157"/>
    <w:rsid w:val="00D84AB8"/>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8DA"/>
    <w:rsid w:val="00DA1F0C"/>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75A3"/>
    <w:rsid w:val="00DC02F5"/>
    <w:rsid w:val="00DC0574"/>
    <w:rsid w:val="00DC0C65"/>
    <w:rsid w:val="00DC10E5"/>
    <w:rsid w:val="00DC16BF"/>
    <w:rsid w:val="00DC16E1"/>
    <w:rsid w:val="00DC16FC"/>
    <w:rsid w:val="00DC1881"/>
    <w:rsid w:val="00DC1ED7"/>
    <w:rsid w:val="00DC294E"/>
    <w:rsid w:val="00DC3A6F"/>
    <w:rsid w:val="00DC3D1C"/>
    <w:rsid w:val="00DC43E1"/>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70D"/>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72BE"/>
    <w:rsid w:val="00E17CF7"/>
    <w:rsid w:val="00E205D6"/>
    <w:rsid w:val="00E209AB"/>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70D3"/>
    <w:rsid w:val="00E27FC7"/>
    <w:rsid w:val="00E3050B"/>
    <w:rsid w:val="00E30700"/>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79FD"/>
    <w:rsid w:val="00E47A76"/>
    <w:rsid w:val="00E504D6"/>
    <w:rsid w:val="00E50B6F"/>
    <w:rsid w:val="00E50EBE"/>
    <w:rsid w:val="00E50F69"/>
    <w:rsid w:val="00E50FC6"/>
    <w:rsid w:val="00E52372"/>
    <w:rsid w:val="00E5272D"/>
    <w:rsid w:val="00E52786"/>
    <w:rsid w:val="00E52F05"/>
    <w:rsid w:val="00E540CA"/>
    <w:rsid w:val="00E54C83"/>
    <w:rsid w:val="00E55460"/>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A45"/>
    <w:rsid w:val="00E71C21"/>
    <w:rsid w:val="00E72F23"/>
    <w:rsid w:val="00E730FC"/>
    <w:rsid w:val="00E73481"/>
    <w:rsid w:val="00E7385A"/>
    <w:rsid w:val="00E7391F"/>
    <w:rsid w:val="00E73CE6"/>
    <w:rsid w:val="00E74780"/>
    <w:rsid w:val="00E74956"/>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4AB"/>
    <w:rsid w:val="00E84C97"/>
    <w:rsid w:val="00E85005"/>
    <w:rsid w:val="00E85296"/>
    <w:rsid w:val="00E8533B"/>
    <w:rsid w:val="00E85E4E"/>
    <w:rsid w:val="00E86327"/>
    <w:rsid w:val="00E86DF0"/>
    <w:rsid w:val="00E87BD2"/>
    <w:rsid w:val="00E87CDC"/>
    <w:rsid w:val="00E90B33"/>
    <w:rsid w:val="00E910E4"/>
    <w:rsid w:val="00E911E0"/>
    <w:rsid w:val="00E92115"/>
    <w:rsid w:val="00E93407"/>
    <w:rsid w:val="00E940A8"/>
    <w:rsid w:val="00E94307"/>
    <w:rsid w:val="00E947E8"/>
    <w:rsid w:val="00E94B0F"/>
    <w:rsid w:val="00E9503F"/>
    <w:rsid w:val="00E956F3"/>
    <w:rsid w:val="00E95AA7"/>
    <w:rsid w:val="00E96E68"/>
    <w:rsid w:val="00E97013"/>
    <w:rsid w:val="00E97EA1"/>
    <w:rsid w:val="00EA0BBE"/>
    <w:rsid w:val="00EA18B9"/>
    <w:rsid w:val="00EA1FBC"/>
    <w:rsid w:val="00EA20A1"/>
    <w:rsid w:val="00EA212B"/>
    <w:rsid w:val="00EA24B5"/>
    <w:rsid w:val="00EA2AAA"/>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F0F"/>
    <w:rsid w:val="00EB12A5"/>
    <w:rsid w:val="00EB24D8"/>
    <w:rsid w:val="00EB277B"/>
    <w:rsid w:val="00EB2F20"/>
    <w:rsid w:val="00EB2F35"/>
    <w:rsid w:val="00EB31DB"/>
    <w:rsid w:val="00EB3422"/>
    <w:rsid w:val="00EB3A31"/>
    <w:rsid w:val="00EB4EAF"/>
    <w:rsid w:val="00EB548E"/>
    <w:rsid w:val="00EB5C41"/>
    <w:rsid w:val="00EB5F5A"/>
    <w:rsid w:val="00EB656C"/>
    <w:rsid w:val="00EB657E"/>
    <w:rsid w:val="00EB695E"/>
    <w:rsid w:val="00EB69D1"/>
    <w:rsid w:val="00EB69D4"/>
    <w:rsid w:val="00EB6FE9"/>
    <w:rsid w:val="00EB72FF"/>
    <w:rsid w:val="00EB756F"/>
    <w:rsid w:val="00EB79C8"/>
    <w:rsid w:val="00EB7E3F"/>
    <w:rsid w:val="00EB7E78"/>
    <w:rsid w:val="00EC0301"/>
    <w:rsid w:val="00EC08B5"/>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DA"/>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6AC6"/>
    <w:rsid w:val="00EE6E26"/>
    <w:rsid w:val="00EE784F"/>
    <w:rsid w:val="00EE7A1D"/>
    <w:rsid w:val="00EE7DBD"/>
    <w:rsid w:val="00EF0500"/>
    <w:rsid w:val="00EF0808"/>
    <w:rsid w:val="00EF1002"/>
    <w:rsid w:val="00EF143F"/>
    <w:rsid w:val="00EF1D3B"/>
    <w:rsid w:val="00EF23D8"/>
    <w:rsid w:val="00EF2A5A"/>
    <w:rsid w:val="00EF2A87"/>
    <w:rsid w:val="00EF3A74"/>
    <w:rsid w:val="00EF3AE9"/>
    <w:rsid w:val="00EF3EA5"/>
    <w:rsid w:val="00EF49FB"/>
    <w:rsid w:val="00EF55D6"/>
    <w:rsid w:val="00EF644D"/>
    <w:rsid w:val="00EF6BAD"/>
    <w:rsid w:val="00EF6D29"/>
    <w:rsid w:val="00EF6E79"/>
    <w:rsid w:val="00EF7138"/>
    <w:rsid w:val="00EF7E0B"/>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19A"/>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AAD"/>
    <w:rsid w:val="00F42EE3"/>
    <w:rsid w:val="00F43149"/>
    <w:rsid w:val="00F43660"/>
    <w:rsid w:val="00F43B91"/>
    <w:rsid w:val="00F44542"/>
    <w:rsid w:val="00F448DD"/>
    <w:rsid w:val="00F44D6A"/>
    <w:rsid w:val="00F44DB8"/>
    <w:rsid w:val="00F45760"/>
    <w:rsid w:val="00F45925"/>
    <w:rsid w:val="00F46BA6"/>
    <w:rsid w:val="00F46C97"/>
    <w:rsid w:val="00F4703E"/>
    <w:rsid w:val="00F4775F"/>
    <w:rsid w:val="00F50781"/>
    <w:rsid w:val="00F50CA3"/>
    <w:rsid w:val="00F517ED"/>
    <w:rsid w:val="00F51F3F"/>
    <w:rsid w:val="00F528B5"/>
    <w:rsid w:val="00F528E7"/>
    <w:rsid w:val="00F52C8A"/>
    <w:rsid w:val="00F5352D"/>
    <w:rsid w:val="00F53615"/>
    <w:rsid w:val="00F53A91"/>
    <w:rsid w:val="00F54466"/>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AC8"/>
    <w:rsid w:val="00F65CEA"/>
    <w:rsid w:val="00F65F15"/>
    <w:rsid w:val="00F66443"/>
    <w:rsid w:val="00F675EA"/>
    <w:rsid w:val="00F7073B"/>
    <w:rsid w:val="00F7074A"/>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C6"/>
    <w:rsid w:val="00F77100"/>
    <w:rsid w:val="00F8090F"/>
    <w:rsid w:val="00F80A8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2C2"/>
    <w:rsid w:val="00F94609"/>
    <w:rsid w:val="00F94F16"/>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59D4"/>
    <w:rsid w:val="00FB5E81"/>
    <w:rsid w:val="00FB6E6C"/>
    <w:rsid w:val="00FB71B0"/>
    <w:rsid w:val="00FB7ABA"/>
    <w:rsid w:val="00FB7C21"/>
    <w:rsid w:val="00FB7C46"/>
    <w:rsid w:val="00FC04E0"/>
    <w:rsid w:val="00FC06CE"/>
    <w:rsid w:val="00FC09F3"/>
    <w:rsid w:val="00FC0D98"/>
    <w:rsid w:val="00FC0E2F"/>
    <w:rsid w:val="00FC1042"/>
    <w:rsid w:val="00FC11C6"/>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10177A9"/>
    <w:rsid w:val="011061DC"/>
    <w:rsid w:val="011A24F4"/>
    <w:rsid w:val="011F6BAE"/>
    <w:rsid w:val="01255120"/>
    <w:rsid w:val="0136557F"/>
    <w:rsid w:val="013D49A2"/>
    <w:rsid w:val="01445D96"/>
    <w:rsid w:val="0156352C"/>
    <w:rsid w:val="015C0D1E"/>
    <w:rsid w:val="017041FB"/>
    <w:rsid w:val="0183453D"/>
    <w:rsid w:val="018502B5"/>
    <w:rsid w:val="01852063"/>
    <w:rsid w:val="01872593"/>
    <w:rsid w:val="019404F8"/>
    <w:rsid w:val="01953F7A"/>
    <w:rsid w:val="019F0EF6"/>
    <w:rsid w:val="01AA2C10"/>
    <w:rsid w:val="01D31020"/>
    <w:rsid w:val="01FA5486"/>
    <w:rsid w:val="01FF6727"/>
    <w:rsid w:val="020C008E"/>
    <w:rsid w:val="02113A48"/>
    <w:rsid w:val="021B5812"/>
    <w:rsid w:val="021D6498"/>
    <w:rsid w:val="024912E2"/>
    <w:rsid w:val="024E4B4B"/>
    <w:rsid w:val="02602880"/>
    <w:rsid w:val="0267398C"/>
    <w:rsid w:val="0289611F"/>
    <w:rsid w:val="02BC7D06"/>
    <w:rsid w:val="02C62933"/>
    <w:rsid w:val="02C80459"/>
    <w:rsid w:val="02C848FD"/>
    <w:rsid w:val="02CD1F13"/>
    <w:rsid w:val="02CE3596"/>
    <w:rsid w:val="02FE641D"/>
    <w:rsid w:val="03120229"/>
    <w:rsid w:val="031442A6"/>
    <w:rsid w:val="032F6329"/>
    <w:rsid w:val="033412E1"/>
    <w:rsid w:val="033755DF"/>
    <w:rsid w:val="03393105"/>
    <w:rsid w:val="03474C3E"/>
    <w:rsid w:val="034876E6"/>
    <w:rsid w:val="035166A0"/>
    <w:rsid w:val="03621D96"/>
    <w:rsid w:val="03727718"/>
    <w:rsid w:val="03750E3A"/>
    <w:rsid w:val="037738D8"/>
    <w:rsid w:val="037B371D"/>
    <w:rsid w:val="03831F38"/>
    <w:rsid w:val="03C66A4B"/>
    <w:rsid w:val="03C86237"/>
    <w:rsid w:val="03DF61E5"/>
    <w:rsid w:val="03E272F9"/>
    <w:rsid w:val="03E30DBA"/>
    <w:rsid w:val="03E34725"/>
    <w:rsid w:val="03EC0177"/>
    <w:rsid w:val="03EC09BA"/>
    <w:rsid w:val="03EC71DC"/>
    <w:rsid w:val="040C6A6B"/>
    <w:rsid w:val="041D5130"/>
    <w:rsid w:val="04272850"/>
    <w:rsid w:val="04284AA8"/>
    <w:rsid w:val="0435689D"/>
    <w:rsid w:val="04380079"/>
    <w:rsid w:val="04385FD7"/>
    <w:rsid w:val="043D4E77"/>
    <w:rsid w:val="04583A5F"/>
    <w:rsid w:val="048B5BE2"/>
    <w:rsid w:val="049525BD"/>
    <w:rsid w:val="049802FF"/>
    <w:rsid w:val="04A66691"/>
    <w:rsid w:val="04A70542"/>
    <w:rsid w:val="04A94322"/>
    <w:rsid w:val="04AA3A81"/>
    <w:rsid w:val="04B14F1D"/>
    <w:rsid w:val="04CD69E4"/>
    <w:rsid w:val="04D63E97"/>
    <w:rsid w:val="04EB042F"/>
    <w:rsid w:val="04EE7F1F"/>
    <w:rsid w:val="04FC2660"/>
    <w:rsid w:val="04FC5D47"/>
    <w:rsid w:val="05006613"/>
    <w:rsid w:val="05177476"/>
    <w:rsid w:val="051C7496"/>
    <w:rsid w:val="052014ED"/>
    <w:rsid w:val="052D30B9"/>
    <w:rsid w:val="052F1163"/>
    <w:rsid w:val="05561E22"/>
    <w:rsid w:val="056D2639"/>
    <w:rsid w:val="05AA69E0"/>
    <w:rsid w:val="05AF73DA"/>
    <w:rsid w:val="05BC3A14"/>
    <w:rsid w:val="05C70E9C"/>
    <w:rsid w:val="05EB2753"/>
    <w:rsid w:val="05F26A63"/>
    <w:rsid w:val="0600615C"/>
    <w:rsid w:val="060F45F1"/>
    <w:rsid w:val="0612717C"/>
    <w:rsid w:val="06461EB0"/>
    <w:rsid w:val="06494EFE"/>
    <w:rsid w:val="068154EF"/>
    <w:rsid w:val="0687687D"/>
    <w:rsid w:val="068955F4"/>
    <w:rsid w:val="069F3E2E"/>
    <w:rsid w:val="06A01A0C"/>
    <w:rsid w:val="06A61C42"/>
    <w:rsid w:val="06AB71F5"/>
    <w:rsid w:val="06B41282"/>
    <w:rsid w:val="06BA38D3"/>
    <w:rsid w:val="06CC6FF0"/>
    <w:rsid w:val="06DA6638"/>
    <w:rsid w:val="06F537E7"/>
    <w:rsid w:val="07147BAC"/>
    <w:rsid w:val="07280C98"/>
    <w:rsid w:val="07305F47"/>
    <w:rsid w:val="07406DFC"/>
    <w:rsid w:val="07463B51"/>
    <w:rsid w:val="075D701D"/>
    <w:rsid w:val="075F0692"/>
    <w:rsid w:val="077506FF"/>
    <w:rsid w:val="078A2181"/>
    <w:rsid w:val="07980F4D"/>
    <w:rsid w:val="07A144AB"/>
    <w:rsid w:val="07BE4913"/>
    <w:rsid w:val="07C33380"/>
    <w:rsid w:val="07CB0157"/>
    <w:rsid w:val="07DB054A"/>
    <w:rsid w:val="07E01DA1"/>
    <w:rsid w:val="07E90005"/>
    <w:rsid w:val="08153C1F"/>
    <w:rsid w:val="08155AF6"/>
    <w:rsid w:val="082C66B6"/>
    <w:rsid w:val="083848E0"/>
    <w:rsid w:val="083D2AF4"/>
    <w:rsid w:val="084A5DB4"/>
    <w:rsid w:val="084A7B62"/>
    <w:rsid w:val="084E2678"/>
    <w:rsid w:val="08635254"/>
    <w:rsid w:val="08897431"/>
    <w:rsid w:val="08B17DF7"/>
    <w:rsid w:val="08C03588"/>
    <w:rsid w:val="08C276F9"/>
    <w:rsid w:val="08C462FC"/>
    <w:rsid w:val="08C6368D"/>
    <w:rsid w:val="08C8043F"/>
    <w:rsid w:val="08D628C1"/>
    <w:rsid w:val="08E13AC7"/>
    <w:rsid w:val="08EE36BE"/>
    <w:rsid w:val="08F53B23"/>
    <w:rsid w:val="09000221"/>
    <w:rsid w:val="090B72F2"/>
    <w:rsid w:val="092F6E09"/>
    <w:rsid w:val="09322AD0"/>
    <w:rsid w:val="095D7F5D"/>
    <w:rsid w:val="09732882"/>
    <w:rsid w:val="097430E9"/>
    <w:rsid w:val="098A46BA"/>
    <w:rsid w:val="09975029"/>
    <w:rsid w:val="09A30261"/>
    <w:rsid w:val="09C117A3"/>
    <w:rsid w:val="09D94940"/>
    <w:rsid w:val="09DF42DA"/>
    <w:rsid w:val="09E244F6"/>
    <w:rsid w:val="09F12B93"/>
    <w:rsid w:val="09F50350"/>
    <w:rsid w:val="0A053C89"/>
    <w:rsid w:val="0A070656"/>
    <w:rsid w:val="0A07615D"/>
    <w:rsid w:val="0A0F696E"/>
    <w:rsid w:val="0A2E6EC1"/>
    <w:rsid w:val="0A300E42"/>
    <w:rsid w:val="0A553C49"/>
    <w:rsid w:val="0A641950"/>
    <w:rsid w:val="0A871AE2"/>
    <w:rsid w:val="0A8E01DA"/>
    <w:rsid w:val="0A913ED8"/>
    <w:rsid w:val="0A9926DB"/>
    <w:rsid w:val="0AA62962"/>
    <w:rsid w:val="0AC423F6"/>
    <w:rsid w:val="0AE0655C"/>
    <w:rsid w:val="0AF142C5"/>
    <w:rsid w:val="0B0D79F0"/>
    <w:rsid w:val="0B1B1342"/>
    <w:rsid w:val="0B1E5DA2"/>
    <w:rsid w:val="0B224DC6"/>
    <w:rsid w:val="0B24171E"/>
    <w:rsid w:val="0B2E376B"/>
    <w:rsid w:val="0B332B30"/>
    <w:rsid w:val="0B472137"/>
    <w:rsid w:val="0B5C3243"/>
    <w:rsid w:val="0B5E59FA"/>
    <w:rsid w:val="0B6413E8"/>
    <w:rsid w:val="0B68215D"/>
    <w:rsid w:val="0B6E5C7D"/>
    <w:rsid w:val="0B744EE2"/>
    <w:rsid w:val="0B8B296C"/>
    <w:rsid w:val="0BA05C3E"/>
    <w:rsid w:val="0BAD59A4"/>
    <w:rsid w:val="0BB377CC"/>
    <w:rsid w:val="0BC1051B"/>
    <w:rsid w:val="0BC76AEF"/>
    <w:rsid w:val="0BDD1984"/>
    <w:rsid w:val="0BE60935"/>
    <w:rsid w:val="0BEB106B"/>
    <w:rsid w:val="0BFF5331"/>
    <w:rsid w:val="0C1C35C4"/>
    <w:rsid w:val="0C1E558E"/>
    <w:rsid w:val="0C305B93"/>
    <w:rsid w:val="0C357211"/>
    <w:rsid w:val="0C395F24"/>
    <w:rsid w:val="0C3A5FD8"/>
    <w:rsid w:val="0C466B45"/>
    <w:rsid w:val="0C4B225A"/>
    <w:rsid w:val="0C550884"/>
    <w:rsid w:val="0C6236CC"/>
    <w:rsid w:val="0C691A33"/>
    <w:rsid w:val="0C6C454B"/>
    <w:rsid w:val="0C976609"/>
    <w:rsid w:val="0C9E5B83"/>
    <w:rsid w:val="0CA35A93"/>
    <w:rsid w:val="0CB041D5"/>
    <w:rsid w:val="0CC21166"/>
    <w:rsid w:val="0CCD4209"/>
    <w:rsid w:val="0CCF5529"/>
    <w:rsid w:val="0CE40585"/>
    <w:rsid w:val="0D204BCE"/>
    <w:rsid w:val="0D2B567D"/>
    <w:rsid w:val="0D3F045D"/>
    <w:rsid w:val="0D584403"/>
    <w:rsid w:val="0D5C6FE0"/>
    <w:rsid w:val="0D5F0566"/>
    <w:rsid w:val="0D7336B7"/>
    <w:rsid w:val="0DE275F0"/>
    <w:rsid w:val="0DE60FF1"/>
    <w:rsid w:val="0DEE7765"/>
    <w:rsid w:val="0DFE2379"/>
    <w:rsid w:val="0E06277D"/>
    <w:rsid w:val="0E0A5EBC"/>
    <w:rsid w:val="0E15476E"/>
    <w:rsid w:val="0E3563C9"/>
    <w:rsid w:val="0E382D8C"/>
    <w:rsid w:val="0E3F2759"/>
    <w:rsid w:val="0E454E62"/>
    <w:rsid w:val="0E487AB1"/>
    <w:rsid w:val="0E5854C5"/>
    <w:rsid w:val="0E6F6748"/>
    <w:rsid w:val="0E8D096C"/>
    <w:rsid w:val="0E9A6710"/>
    <w:rsid w:val="0EA00229"/>
    <w:rsid w:val="0EA004DC"/>
    <w:rsid w:val="0EA13951"/>
    <w:rsid w:val="0EA55028"/>
    <w:rsid w:val="0EAF35B4"/>
    <w:rsid w:val="0EB6385C"/>
    <w:rsid w:val="0ECF491D"/>
    <w:rsid w:val="0ED62302"/>
    <w:rsid w:val="0EDA74B3"/>
    <w:rsid w:val="0EF820C6"/>
    <w:rsid w:val="0F0A5C76"/>
    <w:rsid w:val="0F0E18EA"/>
    <w:rsid w:val="0F123740"/>
    <w:rsid w:val="0F204221"/>
    <w:rsid w:val="0F2B5D1F"/>
    <w:rsid w:val="0F2D5415"/>
    <w:rsid w:val="0F2F360E"/>
    <w:rsid w:val="0F301F18"/>
    <w:rsid w:val="0F3066B0"/>
    <w:rsid w:val="0F313033"/>
    <w:rsid w:val="0F386123"/>
    <w:rsid w:val="0F490A6D"/>
    <w:rsid w:val="0F4E2F1A"/>
    <w:rsid w:val="0F544D4B"/>
    <w:rsid w:val="0F7200CA"/>
    <w:rsid w:val="0F804F9C"/>
    <w:rsid w:val="0F8269A8"/>
    <w:rsid w:val="0FA10C83"/>
    <w:rsid w:val="0FA540F2"/>
    <w:rsid w:val="0FAB0EE6"/>
    <w:rsid w:val="0FB35FED"/>
    <w:rsid w:val="0FB56209"/>
    <w:rsid w:val="0FC71061"/>
    <w:rsid w:val="0FD2175C"/>
    <w:rsid w:val="0FD30D30"/>
    <w:rsid w:val="0FD33AAE"/>
    <w:rsid w:val="0FD64FF3"/>
    <w:rsid w:val="0FF32C18"/>
    <w:rsid w:val="0FFA33CC"/>
    <w:rsid w:val="10044A9B"/>
    <w:rsid w:val="100910F7"/>
    <w:rsid w:val="101C0A97"/>
    <w:rsid w:val="103C27CE"/>
    <w:rsid w:val="10423AAD"/>
    <w:rsid w:val="104859E8"/>
    <w:rsid w:val="104E4818"/>
    <w:rsid w:val="10501A8E"/>
    <w:rsid w:val="105900A5"/>
    <w:rsid w:val="10616837"/>
    <w:rsid w:val="106C0FC0"/>
    <w:rsid w:val="10702130"/>
    <w:rsid w:val="107C6D27"/>
    <w:rsid w:val="108B22CA"/>
    <w:rsid w:val="109776BD"/>
    <w:rsid w:val="10A620CD"/>
    <w:rsid w:val="10A85175"/>
    <w:rsid w:val="10AA1B26"/>
    <w:rsid w:val="10AC13BA"/>
    <w:rsid w:val="10AD5132"/>
    <w:rsid w:val="10B44490"/>
    <w:rsid w:val="10F67974"/>
    <w:rsid w:val="110201C7"/>
    <w:rsid w:val="110465B6"/>
    <w:rsid w:val="11166833"/>
    <w:rsid w:val="111D31A8"/>
    <w:rsid w:val="111E47E1"/>
    <w:rsid w:val="112453F4"/>
    <w:rsid w:val="116E2B13"/>
    <w:rsid w:val="11845E93"/>
    <w:rsid w:val="11892ED5"/>
    <w:rsid w:val="118F714F"/>
    <w:rsid w:val="11951E4E"/>
    <w:rsid w:val="119D6874"/>
    <w:rsid w:val="11C269BB"/>
    <w:rsid w:val="11CC0A24"/>
    <w:rsid w:val="11E664FB"/>
    <w:rsid w:val="11EB7CC0"/>
    <w:rsid w:val="11FD199C"/>
    <w:rsid w:val="12110B1B"/>
    <w:rsid w:val="122F22A3"/>
    <w:rsid w:val="12402693"/>
    <w:rsid w:val="124C51BC"/>
    <w:rsid w:val="12597320"/>
    <w:rsid w:val="12662391"/>
    <w:rsid w:val="12685FCD"/>
    <w:rsid w:val="126F08F1"/>
    <w:rsid w:val="12711684"/>
    <w:rsid w:val="1271376A"/>
    <w:rsid w:val="12824473"/>
    <w:rsid w:val="1298160C"/>
    <w:rsid w:val="12E50BB3"/>
    <w:rsid w:val="12FC7CAB"/>
    <w:rsid w:val="12FE3A23"/>
    <w:rsid w:val="13030F16"/>
    <w:rsid w:val="130B7EEE"/>
    <w:rsid w:val="131274CE"/>
    <w:rsid w:val="131A4056"/>
    <w:rsid w:val="133A61E0"/>
    <w:rsid w:val="135037B9"/>
    <w:rsid w:val="13517DBC"/>
    <w:rsid w:val="135D6FC9"/>
    <w:rsid w:val="1363397F"/>
    <w:rsid w:val="13637302"/>
    <w:rsid w:val="137A517B"/>
    <w:rsid w:val="13807C8B"/>
    <w:rsid w:val="13897791"/>
    <w:rsid w:val="139231D1"/>
    <w:rsid w:val="13A1175F"/>
    <w:rsid w:val="13B567D8"/>
    <w:rsid w:val="13C702B9"/>
    <w:rsid w:val="13D5244A"/>
    <w:rsid w:val="13EF0479"/>
    <w:rsid w:val="13EF2C53"/>
    <w:rsid w:val="14002D2E"/>
    <w:rsid w:val="1402620C"/>
    <w:rsid w:val="140C03C2"/>
    <w:rsid w:val="14133487"/>
    <w:rsid w:val="141379A2"/>
    <w:rsid w:val="14182A93"/>
    <w:rsid w:val="14474A7D"/>
    <w:rsid w:val="14496F20"/>
    <w:rsid w:val="145671C9"/>
    <w:rsid w:val="146F2C7A"/>
    <w:rsid w:val="14793A16"/>
    <w:rsid w:val="148D64D1"/>
    <w:rsid w:val="14964B30"/>
    <w:rsid w:val="149C7998"/>
    <w:rsid w:val="149E4992"/>
    <w:rsid w:val="14A81E98"/>
    <w:rsid w:val="14B46A8F"/>
    <w:rsid w:val="14BA613B"/>
    <w:rsid w:val="14C111AC"/>
    <w:rsid w:val="14CA1FCB"/>
    <w:rsid w:val="14D40EDF"/>
    <w:rsid w:val="151C63E2"/>
    <w:rsid w:val="152271FB"/>
    <w:rsid w:val="152E4A94"/>
    <w:rsid w:val="153E5405"/>
    <w:rsid w:val="155500FD"/>
    <w:rsid w:val="15714980"/>
    <w:rsid w:val="158A16C0"/>
    <w:rsid w:val="15935ABB"/>
    <w:rsid w:val="159A649C"/>
    <w:rsid w:val="15A9236C"/>
    <w:rsid w:val="15AC59B8"/>
    <w:rsid w:val="15CE1DD3"/>
    <w:rsid w:val="15D91A12"/>
    <w:rsid w:val="15FB15F1"/>
    <w:rsid w:val="15FF20D6"/>
    <w:rsid w:val="160A523F"/>
    <w:rsid w:val="161812A0"/>
    <w:rsid w:val="162419F3"/>
    <w:rsid w:val="162E461F"/>
    <w:rsid w:val="16351E52"/>
    <w:rsid w:val="164257B4"/>
    <w:rsid w:val="164F250D"/>
    <w:rsid w:val="16507D95"/>
    <w:rsid w:val="16597E36"/>
    <w:rsid w:val="165C03E2"/>
    <w:rsid w:val="16602FFA"/>
    <w:rsid w:val="16626FFB"/>
    <w:rsid w:val="16774218"/>
    <w:rsid w:val="16790B14"/>
    <w:rsid w:val="168E06AC"/>
    <w:rsid w:val="16900E36"/>
    <w:rsid w:val="16935765"/>
    <w:rsid w:val="16AF3B95"/>
    <w:rsid w:val="16B966D0"/>
    <w:rsid w:val="16C46D32"/>
    <w:rsid w:val="16D278B5"/>
    <w:rsid w:val="16D548B8"/>
    <w:rsid w:val="16DE2BC4"/>
    <w:rsid w:val="16EB429B"/>
    <w:rsid w:val="16F5338F"/>
    <w:rsid w:val="16FD7697"/>
    <w:rsid w:val="17081314"/>
    <w:rsid w:val="170E5D26"/>
    <w:rsid w:val="17171557"/>
    <w:rsid w:val="172123D6"/>
    <w:rsid w:val="172A04C4"/>
    <w:rsid w:val="173914CE"/>
    <w:rsid w:val="174C193E"/>
    <w:rsid w:val="174D6D27"/>
    <w:rsid w:val="17502F9A"/>
    <w:rsid w:val="175D57BC"/>
    <w:rsid w:val="175E4068"/>
    <w:rsid w:val="17694B12"/>
    <w:rsid w:val="176E02F3"/>
    <w:rsid w:val="17793FC0"/>
    <w:rsid w:val="178624E4"/>
    <w:rsid w:val="1787048B"/>
    <w:rsid w:val="17946704"/>
    <w:rsid w:val="179512E1"/>
    <w:rsid w:val="17A30F37"/>
    <w:rsid w:val="17BC68BF"/>
    <w:rsid w:val="17BE59A2"/>
    <w:rsid w:val="17C74D2B"/>
    <w:rsid w:val="17C84600"/>
    <w:rsid w:val="17D20235"/>
    <w:rsid w:val="17FB6783"/>
    <w:rsid w:val="180D0CCB"/>
    <w:rsid w:val="1816180F"/>
    <w:rsid w:val="18185849"/>
    <w:rsid w:val="18214D25"/>
    <w:rsid w:val="18295846"/>
    <w:rsid w:val="182B52BA"/>
    <w:rsid w:val="184751DB"/>
    <w:rsid w:val="18543B9A"/>
    <w:rsid w:val="18571828"/>
    <w:rsid w:val="1869193F"/>
    <w:rsid w:val="18695DE3"/>
    <w:rsid w:val="186D6B01"/>
    <w:rsid w:val="186E164B"/>
    <w:rsid w:val="18893D8F"/>
    <w:rsid w:val="189E3CDE"/>
    <w:rsid w:val="18CE20EA"/>
    <w:rsid w:val="18E35613"/>
    <w:rsid w:val="19235C4C"/>
    <w:rsid w:val="19255582"/>
    <w:rsid w:val="19257F5C"/>
    <w:rsid w:val="192B12EA"/>
    <w:rsid w:val="19524AC9"/>
    <w:rsid w:val="19530656"/>
    <w:rsid w:val="19573E8D"/>
    <w:rsid w:val="19700454"/>
    <w:rsid w:val="19744A3F"/>
    <w:rsid w:val="19810F0A"/>
    <w:rsid w:val="198253AE"/>
    <w:rsid w:val="198B72EC"/>
    <w:rsid w:val="199C427B"/>
    <w:rsid w:val="19A03A86"/>
    <w:rsid w:val="19A53307"/>
    <w:rsid w:val="19B94B48"/>
    <w:rsid w:val="19C73A81"/>
    <w:rsid w:val="19D47ED9"/>
    <w:rsid w:val="19DB4ABE"/>
    <w:rsid w:val="19E562D7"/>
    <w:rsid w:val="19F95755"/>
    <w:rsid w:val="1A18186E"/>
    <w:rsid w:val="1A28537A"/>
    <w:rsid w:val="1A2C531A"/>
    <w:rsid w:val="1A3441CE"/>
    <w:rsid w:val="1A442DE9"/>
    <w:rsid w:val="1A497C7A"/>
    <w:rsid w:val="1A50725A"/>
    <w:rsid w:val="1A6B5E42"/>
    <w:rsid w:val="1A943933"/>
    <w:rsid w:val="1AA475A6"/>
    <w:rsid w:val="1ABC48F0"/>
    <w:rsid w:val="1AC76DF0"/>
    <w:rsid w:val="1AD571FB"/>
    <w:rsid w:val="1ADB00F7"/>
    <w:rsid w:val="1AFB2E83"/>
    <w:rsid w:val="1B06750C"/>
    <w:rsid w:val="1B1B46DD"/>
    <w:rsid w:val="1B401111"/>
    <w:rsid w:val="1B461050"/>
    <w:rsid w:val="1B47622C"/>
    <w:rsid w:val="1B4E306E"/>
    <w:rsid w:val="1B5763C6"/>
    <w:rsid w:val="1B5A0F25"/>
    <w:rsid w:val="1B6A170F"/>
    <w:rsid w:val="1B75684C"/>
    <w:rsid w:val="1B773BB4"/>
    <w:rsid w:val="1B8563DB"/>
    <w:rsid w:val="1B950C9D"/>
    <w:rsid w:val="1B981952"/>
    <w:rsid w:val="1B9C50A1"/>
    <w:rsid w:val="1BA4348E"/>
    <w:rsid w:val="1BA86C22"/>
    <w:rsid w:val="1BC021BE"/>
    <w:rsid w:val="1BC305D3"/>
    <w:rsid w:val="1BE35EAC"/>
    <w:rsid w:val="1BE611E4"/>
    <w:rsid w:val="1BFD6F6E"/>
    <w:rsid w:val="1C1A02E1"/>
    <w:rsid w:val="1C201166"/>
    <w:rsid w:val="1C2E7A6C"/>
    <w:rsid w:val="1C322D85"/>
    <w:rsid w:val="1C80129B"/>
    <w:rsid w:val="1C9571A6"/>
    <w:rsid w:val="1C9D42AD"/>
    <w:rsid w:val="1CB17D58"/>
    <w:rsid w:val="1CB514E7"/>
    <w:rsid w:val="1CBA0FBE"/>
    <w:rsid w:val="1CBE3199"/>
    <w:rsid w:val="1CC21F65"/>
    <w:rsid w:val="1CC7132A"/>
    <w:rsid w:val="1CD55680"/>
    <w:rsid w:val="1CEC2AF7"/>
    <w:rsid w:val="1D156539"/>
    <w:rsid w:val="1D1D5F00"/>
    <w:rsid w:val="1D321E13"/>
    <w:rsid w:val="1D48246B"/>
    <w:rsid w:val="1D502953"/>
    <w:rsid w:val="1D61177E"/>
    <w:rsid w:val="1D62229E"/>
    <w:rsid w:val="1D62236D"/>
    <w:rsid w:val="1D695609"/>
    <w:rsid w:val="1D764EF1"/>
    <w:rsid w:val="1D76522A"/>
    <w:rsid w:val="1D7C6F30"/>
    <w:rsid w:val="1D8316F5"/>
    <w:rsid w:val="1D8E29C0"/>
    <w:rsid w:val="1D9D4AD0"/>
    <w:rsid w:val="1DA0378A"/>
    <w:rsid w:val="1DAB6946"/>
    <w:rsid w:val="1DAF2338"/>
    <w:rsid w:val="1DB72B3A"/>
    <w:rsid w:val="1DBC044E"/>
    <w:rsid w:val="1DBC4C07"/>
    <w:rsid w:val="1DBF0627"/>
    <w:rsid w:val="1DC34F87"/>
    <w:rsid w:val="1DCC309C"/>
    <w:rsid w:val="1DD261B5"/>
    <w:rsid w:val="1DE026A3"/>
    <w:rsid w:val="1DEB1048"/>
    <w:rsid w:val="1DF32B31"/>
    <w:rsid w:val="1E01086B"/>
    <w:rsid w:val="1E0D1F6D"/>
    <w:rsid w:val="1E164317"/>
    <w:rsid w:val="1E174E52"/>
    <w:rsid w:val="1E1E2E97"/>
    <w:rsid w:val="1E2E78B2"/>
    <w:rsid w:val="1E326C77"/>
    <w:rsid w:val="1E34479D"/>
    <w:rsid w:val="1E4C396C"/>
    <w:rsid w:val="1E4F427F"/>
    <w:rsid w:val="1E4F5A7B"/>
    <w:rsid w:val="1E5305ED"/>
    <w:rsid w:val="1E623AFF"/>
    <w:rsid w:val="1E775A3E"/>
    <w:rsid w:val="1E7D4396"/>
    <w:rsid w:val="1E8A32B8"/>
    <w:rsid w:val="1E985F39"/>
    <w:rsid w:val="1EA125CB"/>
    <w:rsid w:val="1EAC18A2"/>
    <w:rsid w:val="1EAF0A4E"/>
    <w:rsid w:val="1EAF6EFF"/>
    <w:rsid w:val="1EB33A3F"/>
    <w:rsid w:val="1EC86CB3"/>
    <w:rsid w:val="1ED243AD"/>
    <w:rsid w:val="1EE2069D"/>
    <w:rsid w:val="1F2111C5"/>
    <w:rsid w:val="1F257076"/>
    <w:rsid w:val="1F332B57"/>
    <w:rsid w:val="1F4849CA"/>
    <w:rsid w:val="1F567FAC"/>
    <w:rsid w:val="1F5844BB"/>
    <w:rsid w:val="1F635FE6"/>
    <w:rsid w:val="1F647304"/>
    <w:rsid w:val="1F700501"/>
    <w:rsid w:val="1F7A2683"/>
    <w:rsid w:val="1F841754"/>
    <w:rsid w:val="1F8654CC"/>
    <w:rsid w:val="1F873477"/>
    <w:rsid w:val="1F8E400B"/>
    <w:rsid w:val="1FE223FB"/>
    <w:rsid w:val="20012BB4"/>
    <w:rsid w:val="20084133"/>
    <w:rsid w:val="200A22CA"/>
    <w:rsid w:val="200C0A75"/>
    <w:rsid w:val="201E0496"/>
    <w:rsid w:val="2020322B"/>
    <w:rsid w:val="202A1D1D"/>
    <w:rsid w:val="202D0966"/>
    <w:rsid w:val="202D3B9A"/>
    <w:rsid w:val="204313BE"/>
    <w:rsid w:val="20502FE8"/>
    <w:rsid w:val="205F10D6"/>
    <w:rsid w:val="2073120C"/>
    <w:rsid w:val="207672EF"/>
    <w:rsid w:val="208903E6"/>
    <w:rsid w:val="20B00655"/>
    <w:rsid w:val="20CB694C"/>
    <w:rsid w:val="20CC737E"/>
    <w:rsid w:val="20E00C0C"/>
    <w:rsid w:val="20F024F8"/>
    <w:rsid w:val="20F651FF"/>
    <w:rsid w:val="20FC6A4B"/>
    <w:rsid w:val="21195AAF"/>
    <w:rsid w:val="21455F84"/>
    <w:rsid w:val="214D26EF"/>
    <w:rsid w:val="215F3603"/>
    <w:rsid w:val="2173113F"/>
    <w:rsid w:val="21983295"/>
    <w:rsid w:val="21B1189B"/>
    <w:rsid w:val="21CF3CFB"/>
    <w:rsid w:val="21D95D87"/>
    <w:rsid w:val="21E169EA"/>
    <w:rsid w:val="21FA6D5D"/>
    <w:rsid w:val="22266A65"/>
    <w:rsid w:val="222B4109"/>
    <w:rsid w:val="223E435D"/>
    <w:rsid w:val="2254540E"/>
    <w:rsid w:val="225B384A"/>
    <w:rsid w:val="225B551B"/>
    <w:rsid w:val="226C60D4"/>
    <w:rsid w:val="227513B9"/>
    <w:rsid w:val="228A1381"/>
    <w:rsid w:val="228D6B72"/>
    <w:rsid w:val="22B34E0A"/>
    <w:rsid w:val="22C228D3"/>
    <w:rsid w:val="22D047C1"/>
    <w:rsid w:val="22D20428"/>
    <w:rsid w:val="22E640C5"/>
    <w:rsid w:val="22E92A45"/>
    <w:rsid w:val="230A1F70"/>
    <w:rsid w:val="23250A50"/>
    <w:rsid w:val="232F0DDD"/>
    <w:rsid w:val="23307C29"/>
    <w:rsid w:val="233C1BF1"/>
    <w:rsid w:val="234E7F99"/>
    <w:rsid w:val="23533917"/>
    <w:rsid w:val="235A2249"/>
    <w:rsid w:val="236F03AA"/>
    <w:rsid w:val="23750201"/>
    <w:rsid w:val="23863CED"/>
    <w:rsid w:val="238923C6"/>
    <w:rsid w:val="23900780"/>
    <w:rsid w:val="239F090A"/>
    <w:rsid w:val="23B75C54"/>
    <w:rsid w:val="23B77810"/>
    <w:rsid w:val="23B95788"/>
    <w:rsid w:val="23C14D25"/>
    <w:rsid w:val="23C1633C"/>
    <w:rsid w:val="23D25AEA"/>
    <w:rsid w:val="23E9240B"/>
    <w:rsid w:val="23ED1676"/>
    <w:rsid w:val="23F50F0E"/>
    <w:rsid w:val="24042E63"/>
    <w:rsid w:val="24082954"/>
    <w:rsid w:val="241532A9"/>
    <w:rsid w:val="242070E1"/>
    <w:rsid w:val="2428519B"/>
    <w:rsid w:val="242C4FC1"/>
    <w:rsid w:val="24303C58"/>
    <w:rsid w:val="24305A06"/>
    <w:rsid w:val="24311EAA"/>
    <w:rsid w:val="243C69CE"/>
    <w:rsid w:val="24596D0B"/>
    <w:rsid w:val="245B2381"/>
    <w:rsid w:val="24607ED0"/>
    <w:rsid w:val="246B4832"/>
    <w:rsid w:val="24771887"/>
    <w:rsid w:val="249146F7"/>
    <w:rsid w:val="249661B1"/>
    <w:rsid w:val="24977600"/>
    <w:rsid w:val="24B121FF"/>
    <w:rsid w:val="24B81EA4"/>
    <w:rsid w:val="24B831E2"/>
    <w:rsid w:val="24BD218B"/>
    <w:rsid w:val="24CF4AF4"/>
    <w:rsid w:val="24D64473"/>
    <w:rsid w:val="24DC16EA"/>
    <w:rsid w:val="24DD7B44"/>
    <w:rsid w:val="24E82EBA"/>
    <w:rsid w:val="24EF61D4"/>
    <w:rsid w:val="24F42641"/>
    <w:rsid w:val="24FC25AB"/>
    <w:rsid w:val="25007ACF"/>
    <w:rsid w:val="2501017D"/>
    <w:rsid w:val="250B120F"/>
    <w:rsid w:val="250B74AF"/>
    <w:rsid w:val="252352B7"/>
    <w:rsid w:val="252B4B4C"/>
    <w:rsid w:val="252C0DB5"/>
    <w:rsid w:val="252C7220"/>
    <w:rsid w:val="252D7931"/>
    <w:rsid w:val="252F4F0E"/>
    <w:rsid w:val="25355D17"/>
    <w:rsid w:val="255F65A3"/>
    <w:rsid w:val="256B319A"/>
    <w:rsid w:val="256B5677"/>
    <w:rsid w:val="25733194"/>
    <w:rsid w:val="257B5469"/>
    <w:rsid w:val="2580476C"/>
    <w:rsid w:val="25823923"/>
    <w:rsid w:val="25894632"/>
    <w:rsid w:val="258B55EA"/>
    <w:rsid w:val="25B032A3"/>
    <w:rsid w:val="25B13028"/>
    <w:rsid w:val="25BE699A"/>
    <w:rsid w:val="25C06FB5"/>
    <w:rsid w:val="25D034DD"/>
    <w:rsid w:val="25D939B8"/>
    <w:rsid w:val="25DC5E46"/>
    <w:rsid w:val="25DF76E4"/>
    <w:rsid w:val="25F0369F"/>
    <w:rsid w:val="25F10379"/>
    <w:rsid w:val="25F82554"/>
    <w:rsid w:val="26141C75"/>
    <w:rsid w:val="2615463C"/>
    <w:rsid w:val="261D3E53"/>
    <w:rsid w:val="262F4B27"/>
    <w:rsid w:val="2633023D"/>
    <w:rsid w:val="265949C5"/>
    <w:rsid w:val="26696672"/>
    <w:rsid w:val="266F20CA"/>
    <w:rsid w:val="267031CD"/>
    <w:rsid w:val="26761830"/>
    <w:rsid w:val="267842FE"/>
    <w:rsid w:val="267E514F"/>
    <w:rsid w:val="268E06D3"/>
    <w:rsid w:val="269A0C66"/>
    <w:rsid w:val="269B33CF"/>
    <w:rsid w:val="26A50560"/>
    <w:rsid w:val="26E86A6C"/>
    <w:rsid w:val="270C6A50"/>
    <w:rsid w:val="270F55EE"/>
    <w:rsid w:val="272C6959"/>
    <w:rsid w:val="272F1A96"/>
    <w:rsid w:val="27333F51"/>
    <w:rsid w:val="27385849"/>
    <w:rsid w:val="273A72C8"/>
    <w:rsid w:val="274103FF"/>
    <w:rsid w:val="2753038A"/>
    <w:rsid w:val="27545EB0"/>
    <w:rsid w:val="277919F8"/>
    <w:rsid w:val="27B84E67"/>
    <w:rsid w:val="27CE30F8"/>
    <w:rsid w:val="27D01E16"/>
    <w:rsid w:val="27F52753"/>
    <w:rsid w:val="28007B7F"/>
    <w:rsid w:val="280255D6"/>
    <w:rsid w:val="28034E23"/>
    <w:rsid w:val="28336CA8"/>
    <w:rsid w:val="283D1755"/>
    <w:rsid w:val="284A1C4B"/>
    <w:rsid w:val="28616AD6"/>
    <w:rsid w:val="286563C4"/>
    <w:rsid w:val="286B15FD"/>
    <w:rsid w:val="28701C4C"/>
    <w:rsid w:val="287B7E23"/>
    <w:rsid w:val="289D5AD3"/>
    <w:rsid w:val="28A73F1A"/>
    <w:rsid w:val="28AA3FD9"/>
    <w:rsid w:val="28AC35C1"/>
    <w:rsid w:val="28AD2196"/>
    <w:rsid w:val="28C332ED"/>
    <w:rsid w:val="28E6576D"/>
    <w:rsid w:val="28E76FDC"/>
    <w:rsid w:val="28EC1048"/>
    <w:rsid w:val="28EF7C3E"/>
    <w:rsid w:val="28F159FD"/>
    <w:rsid w:val="28FE4325"/>
    <w:rsid w:val="290C6A42"/>
    <w:rsid w:val="29101C63"/>
    <w:rsid w:val="29115E06"/>
    <w:rsid w:val="29171044"/>
    <w:rsid w:val="291E1E39"/>
    <w:rsid w:val="2920429C"/>
    <w:rsid w:val="29231FDE"/>
    <w:rsid w:val="292A413A"/>
    <w:rsid w:val="293935AF"/>
    <w:rsid w:val="29500971"/>
    <w:rsid w:val="2952220B"/>
    <w:rsid w:val="296879F1"/>
    <w:rsid w:val="297262DD"/>
    <w:rsid w:val="297B0CF7"/>
    <w:rsid w:val="298A3E0B"/>
    <w:rsid w:val="29A814A5"/>
    <w:rsid w:val="29BB5D72"/>
    <w:rsid w:val="29C05B95"/>
    <w:rsid w:val="29D357B2"/>
    <w:rsid w:val="29F660A7"/>
    <w:rsid w:val="29FC6AB7"/>
    <w:rsid w:val="2A0B4F4C"/>
    <w:rsid w:val="2A2E4796"/>
    <w:rsid w:val="2A376D63"/>
    <w:rsid w:val="2A443FBA"/>
    <w:rsid w:val="2A4C524E"/>
    <w:rsid w:val="2A506E02"/>
    <w:rsid w:val="2A554B7C"/>
    <w:rsid w:val="2A5C1303"/>
    <w:rsid w:val="2A6E7289"/>
    <w:rsid w:val="2A756869"/>
    <w:rsid w:val="2A771CE0"/>
    <w:rsid w:val="2A7F1F2B"/>
    <w:rsid w:val="2A862824"/>
    <w:rsid w:val="2AA64C74"/>
    <w:rsid w:val="2AAE58D7"/>
    <w:rsid w:val="2AAF53BA"/>
    <w:rsid w:val="2AD01DEF"/>
    <w:rsid w:val="2AD43590"/>
    <w:rsid w:val="2AD510B6"/>
    <w:rsid w:val="2AF43C32"/>
    <w:rsid w:val="2B0E6ACB"/>
    <w:rsid w:val="2B1240B8"/>
    <w:rsid w:val="2B125E70"/>
    <w:rsid w:val="2B381D70"/>
    <w:rsid w:val="2B4A3852"/>
    <w:rsid w:val="2B4F1E2E"/>
    <w:rsid w:val="2B5E4C51"/>
    <w:rsid w:val="2B6A5CA2"/>
    <w:rsid w:val="2B6E6EB9"/>
    <w:rsid w:val="2B7746C6"/>
    <w:rsid w:val="2B8072A0"/>
    <w:rsid w:val="2B822DA1"/>
    <w:rsid w:val="2B992594"/>
    <w:rsid w:val="2BBE7D9C"/>
    <w:rsid w:val="2BC74EA2"/>
    <w:rsid w:val="2BD355F5"/>
    <w:rsid w:val="2BDC5995"/>
    <w:rsid w:val="2BDF043E"/>
    <w:rsid w:val="2BE256F1"/>
    <w:rsid w:val="2BE4252F"/>
    <w:rsid w:val="2BEA293F"/>
    <w:rsid w:val="2BEB6DE3"/>
    <w:rsid w:val="2C047E6D"/>
    <w:rsid w:val="2C1478BC"/>
    <w:rsid w:val="2C210A56"/>
    <w:rsid w:val="2C2F54CF"/>
    <w:rsid w:val="2C3B13EC"/>
    <w:rsid w:val="2C580411"/>
    <w:rsid w:val="2C624EE4"/>
    <w:rsid w:val="2C75581D"/>
    <w:rsid w:val="2C8156C5"/>
    <w:rsid w:val="2C89344C"/>
    <w:rsid w:val="2C9C273B"/>
    <w:rsid w:val="2C9C632F"/>
    <w:rsid w:val="2CC06A68"/>
    <w:rsid w:val="2CC3566A"/>
    <w:rsid w:val="2CEF46B1"/>
    <w:rsid w:val="2CF41CC7"/>
    <w:rsid w:val="2D111299"/>
    <w:rsid w:val="2D172DB1"/>
    <w:rsid w:val="2D265D43"/>
    <w:rsid w:val="2D2B320F"/>
    <w:rsid w:val="2D2D342B"/>
    <w:rsid w:val="2D60554E"/>
    <w:rsid w:val="2D7352E2"/>
    <w:rsid w:val="2D74105A"/>
    <w:rsid w:val="2D783A19"/>
    <w:rsid w:val="2D811081"/>
    <w:rsid w:val="2D890148"/>
    <w:rsid w:val="2D974DAE"/>
    <w:rsid w:val="2D9B2B58"/>
    <w:rsid w:val="2D9D235F"/>
    <w:rsid w:val="2DBA7430"/>
    <w:rsid w:val="2DE41D3C"/>
    <w:rsid w:val="2DFA7850"/>
    <w:rsid w:val="2E084AD9"/>
    <w:rsid w:val="2E0E60DD"/>
    <w:rsid w:val="2E162111"/>
    <w:rsid w:val="2E1920A8"/>
    <w:rsid w:val="2E3569FF"/>
    <w:rsid w:val="2E5C18EB"/>
    <w:rsid w:val="2E5C60FF"/>
    <w:rsid w:val="2E5F7614"/>
    <w:rsid w:val="2E610457"/>
    <w:rsid w:val="2E6C1FF3"/>
    <w:rsid w:val="2E6D4AF8"/>
    <w:rsid w:val="2E6E7DC8"/>
    <w:rsid w:val="2E7D63A7"/>
    <w:rsid w:val="2E90459A"/>
    <w:rsid w:val="2E9D638E"/>
    <w:rsid w:val="2EA133AF"/>
    <w:rsid w:val="2EB01C1E"/>
    <w:rsid w:val="2EBE07DF"/>
    <w:rsid w:val="2EC4512B"/>
    <w:rsid w:val="2ED26038"/>
    <w:rsid w:val="2ED841F2"/>
    <w:rsid w:val="2EDA4EED"/>
    <w:rsid w:val="2EDC2A13"/>
    <w:rsid w:val="2EDD2DD9"/>
    <w:rsid w:val="2EDE2C2F"/>
    <w:rsid w:val="2EEC2C7E"/>
    <w:rsid w:val="2EFC4E63"/>
    <w:rsid w:val="2EFE70AD"/>
    <w:rsid w:val="2EFF7D53"/>
    <w:rsid w:val="2F0316A8"/>
    <w:rsid w:val="2F083808"/>
    <w:rsid w:val="2F0D285F"/>
    <w:rsid w:val="2F344DFD"/>
    <w:rsid w:val="2F3E45AB"/>
    <w:rsid w:val="2F411B02"/>
    <w:rsid w:val="2F4A2072"/>
    <w:rsid w:val="2F4F1437"/>
    <w:rsid w:val="2F5051AF"/>
    <w:rsid w:val="2F594858"/>
    <w:rsid w:val="2F5F53F2"/>
    <w:rsid w:val="2F642A08"/>
    <w:rsid w:val="2F723467"/>
    <w:rsid w:val="2F886A51"/>
    <w:rsid w:val="2F902FD5"/>
    <w:rsid w:val="2F922149"/>
    <w:rsid w:val="2F981572"/>
    <w:rsid w:val="2F9E0EF8"/>
    <w:rsid w:val="2FC8119D"/>
    <w:rsid w:val="2FDD421F"/>
    <w:rsid w:val="2FF112F2"/>
    <w:rsid w:val="2FF21B80"/>
    <w:rsid w:val="30095E7D"/>
    <w:rsid w:val="30204B81"/>
    <w:rsid w:val="30313232"/>
    <w:rsid w:val="303739FC"/>
    <w:rsid w:val="30444D13"/>
    <w:rsid w:val="306835D0"/>
    <w:rsid w:val="307750E9"/>
    <w:rsid w:val="309243ED"/>
    <w:rsid w:val="30973ED2"/>
    <w:rsid w:val="30977539"/>
    <w:rsid w:val="309D4424"/>
    <w:rsid w:val="30A13F14"/>
    <w:rsid w:val="30D357A6"/>
    <w:rsid w:val="30D50061"/>
    <w:rsid w:val="30DD2A72"/>
    <w:rsid w:val="30DF67EA"/>
    <w:rsid w:val="30FD0CC5"/>
    <w:rsid w:val="30FE5AFE"/>
    <w:rsid w:val="31061FC9"/>
    <w:rsid w:val="311348A6"/>
    <w:rsid w:val="311939D1"/>
    <w:rsid w:val="311F7EA0"/>
    <w:rsid w:val="313531CF"/>
    <w:rsid w:val="316E7B6E"/>
    <w:rsid w:val="31781509"/>
    <w:rsid w:val="318517AC"/>
    <w:rsid w:val="31994BEB"/>
    <w:rsid w:val="31B1601B"/>
    <w:rsid w:val="31D22092"/>
    <w:rsid w:val="31DE385B"/>
    <w:rsid w:val="31E340B8"/>
    <w:rsid w:val="31EF5B1F"/>
    <w:rsid w:val="31F32BC2"/>
    <w:rsid w:val="31FD6E89"/>
    <w:rsid w:val="32066261"/>
    <w:rsid w:val="320F2D48"/>
    <w:rsid w:val="32153FA4"/>
    <w:rsid w:val="321815D1"/>
    <w:rsid w:val="321A5AD8"/>
    <w:rsid w:val="321D79E4"/>
    <w:rsid w:val="32326DEE"/>
    <w:rsid w:val="325435C3"/>
    <w:rsid w:val="32591705"/>
    <w:rsid w:val="325E36CD"/>
    <w:rsid w:val="32935ADE"/>
    <w:rsid w:val="32943604"/>
    <w:rsid w:val="329D070B"/>
    <w:rsid w:val="329D2229"/>
    <w:rsid w:val="32A0292F"/>
    <w:rsid w:val="32A02B99"/>
    <w:rsid w:val="32B51EF8"/>
    <w:rsid w:val="32B76B39"/>
    <w:rsid w:val="32C91500"/>
    <w:rsid w:val="32D54349"/>
    <w:rsid w:val="32E4633A"/>
    <w:rsid w:val="32EF19F6"/>
    <w:rsid w:val="32F522F5"/>
    <w:rsid w:val="32F6606D"/>
    <w:rsid w:val="330250F3"/>
    <w:rsid w:val="330A6264"/>
    <w:rsid w:val="330F2BAA"/>
    <w:rsid w:val="335325B3"/>
    <w:rsid w:val="33534E52"/>
    <w:rsid w:val="336631F3"/>
    <w:rsid w:val="336726C8"/>
    <w:rsid w:val="336A2CE3"/>
    <w:rsid w:val="336E2F66"/>
    <w:rsid w:val="337D5F7B"/>
    <w:rsid w:val="339C7592"/>
    <w:rsid w:val="33B71CA0"/>
    <w:rsid w:val="33D414D0"/>
    <w:rsid w:val="33E228F6"/>
    <w:rsid w:val="33E32A95"/>
    <w:rsid w:val="33ED43D9"/>
    <w:rsid w:val="33FF0D2B"/>
    <w:rsid w:val="3406477C"/>
    <w:rsid w:val="3411197D"/>
    <w:rsid w:val="341E6D68"/>
    <w:rsid w:val="34376330"/>
    <w:rsid w:val="34603E67"/>
    <w:rsid w:val="347656B7"/>
    <w:rsid w:val="347B4888"/>
    <w:rsid w:val="348558FB"/>
    <w:rsid w:val="3491097A"/>
    <w:rsid w:val="34AF1467"/>
    <w:rsid w:val="34B30036"/>
    <w:rsid w:val="34D16D92"/>
    <w:rsid w:val="34D348B8"/>
    <w:rsid w:val="34DB4199"/>
    <w:rsid w:val="34F767F8"/>
    <w:rsid w:val="34FF407A"/>
    <w:rsid w:val="35133AD1"/>
    <w:rsid w:val="35210DF2"/>
    <w:rsid w:val="35246EC1"/>
    <w:rsid w:val="352966E3"/>
    <w:rsid w:val="352B5AA6"/>
    <w:rsid w:val="352D3F09"/>
    <w:rsid w:val="35327830"/>
    <w:rsid w:val="353A0143"/>
    <w:rsid w:val="353C245D"/>
    <w:rsid w:val="353F2A1E"/>
    <w:rsid w:val="353F3CFB"/>
    <w:rsid w:val="354B1DB7"/>
    <w:rsid w:val="35554A33"/>
    <w:rsid w:val="355A6D87"/>
    <w:rsid w:val="35633E8E"/>
    <w:rsid w:val="3569521C"/>
    <w:rsid w:val="35843E04"/>
    <w:rsid w:val="358B5193"/>
    <w:rsid w:val="359B395F"/>
    <w:rsid w:val="35A85D44"/>
    <w:rsid w:val="35B50461"/>
    <w:rsid w:val="35CD358A"/>
    <w:rsid w:val="35DD1923"/>
    <w:rsid w:val="3610788F"/>
    <w:rsid w:val="361707D4"/>
    <w:rsid w:val="36232DB0"/>
    <w:rsid w:val="364610BA"/>
    <w:rsid w:val="36536DB2"/>
    <w:rsid w:val="365C1350"/>
    <w:rsid w:val="36615FE2"/>
    <w:rsid w:val="366426B3"/>
    <w:rsid w:val="3667350A"/>
    <w:rsid w:val="366A6D9B"/>
    <w:rsid w:val="36720450"/>
    <w:rsid w:val="368F6DB0"/>
    <w:rsid w:val="36963DEF"/>
    <w:rsid w:val="36B4763B"/>
    <w:rsid w:val="36C46BAE"/>
    <w:rsid w:val="36C7044C"/>
    <w:rsid w:val="36D07040"/>
    <w:rsid w:val="36D121D3"/>
    <w:rsid w:val="36E25286"/>
    <w:rsid w:val="36F8344F"/>
    <w:rsid w:val="36FF1994"/>
    <w:rsid w:val="37184804"/>
    <w:rsid w:val="37220343"/>
    <w:rsid w:val="3736145D"/>
    <w:rsid w:val="37424E34"/>
    <w:rsid w:val="37483010"/>
    <w:rsid w:val="374C5617"/>
    <w:rsid w:val="375F03C6"/>
    <w:rsid w:val="376D0FF4"/>
    <w:rsid w:val="377C1237"/>
    <w:rsid w:val="3785754C"/>
    <w:rsid w:val="37875BB4"/>
    <w:rsid w:val="378F2B27"/>
    <w:rsid w:val="37A93D3A"/>
    <w:rsid w:val="37CB079C"/>
    <w:rsid w:val="37E64902"/>
    <w:rsid w:val="37F463DC"/>
    <w:rsid w:val="37F54F43"/>
    <w:rsid w:val="38031A13"/>
    <w:rsid w:val="38042FDA"/>
    <w:rsid w:val="380A4A95"/>
    <w:rsid w:val="381E6162"/>
    <w:rsid w:val="382D2F22"/>
    <w:rsid w:val="38337A8F"/>
    <w:rsid w:val="383733B0"/>
    <w:rsid w:val="384A034B"/>
    <w:rsid w:val="385F359C"/>
    <w:rsid w:val="38665FDA"/>
    <w:rsid w:val="388365F5"/>
    <w:rsid w:val="388E4FEC"/>
    <w:rsid w:val="38A345A1"/>
    <w:rsid w:val="38BB1991"/>
    <w:rsid w:val="38BE43F8"/>
    <w:rsid w:val="38C04BA3"/>
    <w:rsid w:val="38CA2E9D"/>
    <w:rsid w:val="38DD7AB3"/>
    <w:rsid w:val="38F03236"/>
    <w:rsid w:val="39096AFA"/>
    <w:rsid w:val="393C6ED0"/>
    <w:rsid w:val="394774FD"/>
    <w:rsid w:val="396C52DB"/>
    <w:rsid w:val="3982182C"/>
    <w:rsid w:val="398443D3"/>
    <w:rsid w:val="39861EF9"/>
    <w:rsid w:val="39B5458C"/>
    <w:rsid w:val="39B92950"/>
    <w:rsid w:val="39D1036D"/>
    <w:rsid w:val="39DA3FF3"/>
    <w:rsid w:val="39DD3AE3"/>
    <w:rsid w:val="39E22EB8"/>
    <w:rsid w:val="39E7564E"/>
    <w:rsid w:val="39EE63AB"/>
    <w:rsid w:val="39F07CBA"/>
    <w:rsid w:val="39F54736"/>
    <w:rsid w:val="39FA5637"/>
    <w:rsid w:val="3A07351C"/>
    <w:rsid w:val="3A1C0AAF"/>
    <w:rsid w:val="3A2B2E77"/>
    <w:rsid w:val="3A302451"/>
    <w:rsid w:val="3A3571B4"/>
    <w:rsid w:val="3A36092A"/>
    <w:rsid w:val="3A434876"/>
    <w:rsid w:val="3A446A33"/>
    <w:rsid w:val="3A4D0C68"/>
    <w:rsid w:val="3A540410"/>
    <w:rsid w:val="3A573538"/>
    <w:rsid w:val="3A751F6D"/>
    <w:rsid w:val="3A7601BF"/>
    <w:rsid w:val="3A775CE5"/>
    <w:rsid w:val="3A7B6781"/>
    <w:rsid w:val="3A7C3613"/>
    <w:rsid w:val="3A7F5BD0"/>
    <w:rsid w:val="3A8013C4"/>
    <w:rsid w:val="3A86542E"/>
    <w:rsid w:val="3A867BB1"/>
    <w:rsid w:val="3A876507"/>
    <w:rsid w:val="3A915A51"/>
    <w:rsid w:val="3AA65C66"/>
    <w:rsid w:val="3AB224E9"/>
    <w:rsid w:val="3AB752BD"/>
    <w:rsid w:val="3AB95243"/>
    <w:rsid w:val="3ACA7686"/>
    <w:rsid w:val="3AD762C5"/>
    <w:rsid w:val="3ADC2D56"/>
    <w:rsid w:val="3AE315CD"/>
    <w:rsid w:val="3AE74C19"/>
    <w:rsid w:val="3AE80991"/>
    <w:rsid w:val="3AF4610A"/>
    <w:rsid w:val="3B13475F"/>
    <w:rsid w:val="3B2753A7"/>
    <w:rsid w:val="3B2A0FAA"/>
    <w:rsid w:val="3B2D26DB"/>
    <w:rsid w:val="3B2E582F"/>
    <w:rsid w:val="3B3A586A"/>
    <w:rsid w:val="3B4E6A46"/>
    <w:rsid w:val="3B55139D"/>
    <w:rsid w:val="3B5518BE"/>
    <w:rsid w:val="3B572E10"/>
    <w:rsid w:val="3B5F515D"/>
    <w:rsid w:val="3B667274"/>
    <w:rsid w:val="3B6F07FD"/>
    <w:rsid w:val="3B712735"/>
    <w:rsid w:val="3B7A3CDF"/>
    <w:rsid w:val="3B7B3070"/>
    <w:rsid w:val="3B815FB2"/>
    <w:rsid w:val="3B887F1E"/>
    <w:rsid w:val="3B8A37F6"/>
    <w:rsid w:val="3B8D45DF"/>
    <w:rsid w:val="3B910F89"/>
    <w:rsid w:val="3B960C4E"/>
    <w:rsid w:val="3BA80B19"/>
    <w:rsid w:val="3BDB727F"/>
    <w:rsid w:val="3BE03F6B"/>
    <w:rsid w:val="3BE45DF1"/>
    <w:rsid w:val="3C057F68"/>
    <w:rsid w:val="3C0B19F1"/>
    <w:rsid w:val="3C1557B6"/>
    <w:rsid w:val="3C1C08F2"/>
    <w:rsid w:val="3C2E0012"/>
    <w:rsid w:val="3C4131D2"/>
    <w:rsid w:val="3C4240EC"/>
    <w:rsid w:val="3C4E057F"/>
    <w:rsid w:val="3C6B4E9D"/>
    <w:rsid w:val="3C6C2B34"/>
    <w:rsid w:val="3C7324DC"/>
    <w:rsid w:val="3C7E77FF"/>
    <w:rsid w:val="3C835923"/>
    <w:rsid w:val="3C97441D"/>
    <w:rsid w:val="3C9F32D2"/>
    <w:rsid w:val="3CA103E5"/>
    <w:rsid w:val="3CAE0C94"/>
    <w:rsid w:val="3CB60D47"/>
    <w:rsid w:val="3CDB01D5"/>
    <w:rsid w:val="3CDE622A"/>
    <w:rsid w:val="3CE07B72"/>
    <w:rsid w:val="3CF40F76"/>
    <w:rsid w:val="3D214298"/>
    <w:rsid w:val="3D28051B"/>
    <w:rsid w:val="3D2828A3"/>
    <w:rsid w:val="3D3E2AEA"/>
    <w:rsid w:val="3D483969"/>
    <w:rsid w:val="3D4F3E78"/>
    <w:rsid w:val="3D5D5E14"/>
    <w:rsid w:val="3D693403"/>
    <w:rsid w:val="3D6B1DFF"/>
    <w:rsid w:val="3D711B40"/>
    <w:rsid w:val="3D71222B"/>
    <w:rsid w:val="3D89645B"/>
    <w:rsid w:val="3D8A665F"/>
    <w:rsid w:val="3D8D1B43"/>
    <w:rsid w:val="3D9225C1"/>
    <w:rsid w:val="3DA321EF"/>
    <w:rsid w:val="3DAE2AF5"/>
    <w:rsid w:val="3DAF0106"/>
    <w:rsid w:val="3DE10046"/>
    <w:rsid w:val="3DF53AF1"/>
    <w:rsid w:val="3E2E2B5F"/>
    <w:rsid w:val="3E3605CA"/>
    <w:rsid w:val="3E3F4D6C"/>
    <w:rsid w:val="3E5B6F4A"/>
    <w:rsid w:val="3E800AA6"/>
    <w:rsid w:val="3E871A38"/>
    <w:rsid w:val="3EE65D0D"/>
    <w:rsid w:val="3F03223E"/>
    <w:rsid w:val="3F156AA3"/>
    <w:rsid w:val="3F1735F3"/>
    <w:rsid w:val="3F1E4982"/>
    <w:rsid w:val="3F235CAB"/>
    <w:rsid w:val="3F2454E0"/>
    <w:rsid w:val="3F3A0D2D"/>
    <w:rsid w:val="3F3A1FEB"/>
    <w:rsid w:val="3F3B26EB"/>
    <w:rsid w:val="3F4F0FDF"/>
    <w:rsid w:val="3F5712BF"/>
    <w:rsid w:val="3F685210"/>
    <w:rsid w:val="3F6D76B7"/>
    <w:rsid w:val="3F8769CB"/>
    <w:rsid w:val="3FA07A8C"/>
    <w:rsid w:val="3FAC4683"/>
    <w:rsid w:val="3FD73E6F"/>
    <w:rsid w:val="3FFD4DD0"/>
    <w:rsid w:val="40077E3F"/>
    <w:rsid w:val="401F18AB"/>
    <w:rsid w:val="40307062"/>
    <w:rsid w:val="406A0D89"/>
    <w:rsid w:val="40703903"/>
    <w:rsid w:val="40833636"/>
    <w:rsid w:val="40866C82"/>
    <w:rsid w:val="408F5F7F"/>
    <w:rsid w:val="40905D53"/>
    <w:rsid w:val="40A05997"/>
    <w:rsid w:val="40A67243"/>
    <w:rsid w:val="40AF61D9"/>
    <w:rsid w:val="40B943A2"/>
    <w:rsid w:val="40BB5B0D"/>
    <w:rsid w:val="40BD4C4C"/>
    <w:rsid w:val="40BE0206"/>
    <w:rsid w:val="40BF3F42"/>
    <w:rsid w:val="40C33A32"/>
    <w:rsid w:val="40C66732"/>
    <w:rsid w:val="40DA0D7C"/>
    <w:rsid w:val="40DE0931"/>
    <w:rsid w:val="40F00E4A"/>
    <w:rsid w:val="40F347B6"/>
    <w:rsid w:val="40FC5196"/>
    <w:rsid w:val="4103617C"/>
    <w:rsid w:val="410A306B"/>
    <w:rsid w:val="41103C51"/>
    <w:rsid w:val="412F731A"/>
    <w:rsid w:val="41306AF8"/>
    <w:rsid w:val="416B337D"/>
    <w:rsid w:val="416F3546"/>
    <w:rsid w:val="418049D6"/>
    <w:rsid w:val="41843048"/>
    <w:rsid w:val="41AA2E44"/>
    <w:rsid w:val="41BC3913"/>
    <w:rsid w:val="41C21F3C"/>
    <w:rsid w:val="41C81FAD"/>
    <w:rsid w:val="41D471A8"/>
    <w:rsid w:val="41E97069"/>
    <w:rsid w:val="41F145CF"/>
    <w:rsid w:val="41F52311"/>
    <w:rsid w:val="41FC2C2C"/>
    <w:rsid w:val="41FE0000"/>
    <w:rsid w:val="420460B1"/>
    <w:rsid w:val="421B135F"/>
    <w:rsid w:val="421E2E77"/>
    <w:rsid w:val="42253D73"/>
    <w:rsid w:val="4228790E"/>
    <w:rsid w:val="422C7D41"/>
    <w:rsid w:val="422F5FCA"/>
    <w:rsid w:val="423261FB"/>
    <w:rsid w:val="423B5BAC"/>
    <w:rsid w:val="42435509"/>
    <w:rsid w:val="425828A0"/>
    <w:rsid w:val="42613503"/>
    <w:rsid w:val="42654A4B"/>
    <w:rsid w:val="42845443"/>
    <w:rsid w:val="428A24E6"/>
    <w:rsid w:val="42931921"/>
    <w:rsid w:val="42B74B72"/>
    <w:rsid w:val="42D00689"/>
    <w:rsid w:val="42D261AF"/>
    <w:rsid w:val="42F11657"/>
    <w:rsid w:val="42FA4B02"/>
    <w:rsid w:val="42FB3958"/>
    <w:rsid w:val="431C1B20"/>
    <w:rsid w:val="433C187A"/>
    <w:rsid w:val="4359067E"/>
    <w:rsid w:val="43A86F10"/>
    <w:rsid w:val="43AE09CA"/>
    <w:rsid w:val="43CA157C"/>
    <w:rsid w:val="43CC52F4"/>
    <w:rsid w:val="43E72B76"/>
    <w:rsid w:val="43F263DD"/>
    <w:rsid w:val="4402637C"/>
    <w:rsid w:val="44191BBB"/>
    <w:rsid w:val="442E5667"/>
    <w:rsid w:val="44305883"/>
    <w:rsid w:val="444E121C"/>
    <w:rsid w:val="445B0426"/>
    <w:rsid w:val="448A253C"/>
    <w:rsid w:val="448B34F3"/>
    <w:rsid w:val="44A978C9"/>
    <w:rsid w:val="44BA6EFA"/>
    <w:rsid w:val="44BF0E72"/>
    <w:rsid w:val="44D6461E"/>
    <w:rsid w:val="44E4602A"/>
    <w:rsid w:val="44EB7686"/>
    <w:rsid w:val="44FD0CFE"/>
    <w:rsid w:val="4508235C"/>
    <w:rsid w:val="451E0C8D"/>
    <w:rsid w:val="451E77A5"/>
    <w:rsid w:val="451F166E"/>
    <w:rsid w:val="452432A3"/>
    <w:rsid w:val="452D3AAD"/>
    <w:rsid w:val="453C3DB3"/>
    <w:rsid w:val="454B2248"/>
    <w:rsid w:val="45687B0A"/>
    <w:rsid w:val="45815C1F"/>
    <w:rsid w:val="458336CE"/>
    <w:rsid w:val="45955824"/>
    <w:rsid w:val="45977244"/>
    <w:rsid w:val="459C0CF6"/>
    <w:rsid w:val="45A2210C"/>
    <w:rsid w:val="45A56CDF"/>
    <w:rsid w:val="45AA3413"/>
    <w:rsid w:val="45B80788"/>
    <w:rsid w:val="45C42C62"/>
    <w:rsid w:val="45EA7BAD"/>
    <w:rsid w:val="45F0544D"/>
    <w:rsid w:val="46102858"/>
    <w:rsid w:val="46146ADE"/>
    <w:rsid w:val="461D458C"/>
    <w:rsid w:val="46284B1E"/>
    <w:rsid w:val="4632349B"/>
    <w:rsid w:val="46327317"/>
    <w:rsid w:val="465670F7"/>
    <w:rsid w:val="465758BB"/>
    <w:rsid w:val="466A3A4F"/>
    <w:rsid w:val="466E61EE"/>
    <w:rsid w:val="4682613E"/>
    <w:rsid w:val="46A50E9C"/>
    <w:rsid w:val="46B33641"/>
    <w:rsid w:val="46D444E0"/>
    <w:rsid w:val="46D70238"/>
    <w:rsid w:val="46E47359"/>
    <w:rsid w:val="46E723A4"/>
    <w:rsid w:val="46ED47E4"/>
    <w:rsid w:val="46F87A19"/>
    <w:rsid w:val="4707234B"/>
    <w:rsid w:val="473D1A9B"/>
    <w:rsid w:val="476156FA"/>
    <w:rsid w:val="47617422"/>
    <w:rsid w:val="477737C9"/>
    <w:rsid w:val="47863A0C"/>
    <w:rsid w:val="47902727"/>
    <w:rsid w:val="47990732"/>
    <w:rsid w:val="47AF248A"/>
    <w:rsid w:val="47D51743"/>
    <w:rsid w:val="47E9061B"/>
    <w:rsid w:val="47F22E4F"/>
    <w:rsid w:val="47F40975"/>
    <w:rsid w:val="47FC2A43"/>
    <w:rsid w:val="48117779"/>
    <w:rsid w:val="484245C7"/>
    <w:rsid w:val="48623AD0"/>
    <w:rsid w:val="48643D4D"/>
    <w:rsid w:val="486C7551"/>
    <w:rsid w:val="48782C05"/>
    <w:rsid w:val="488D7CFE"/>
    <w:rsid w:val="48AB372A"/>
    <w:rsid w:val="48C80AB0"/>
    <w:rsid w:val="48CB5887"/>
    <w:rsid w:val="48CE566A"/>
    <w:rsid w:val="48D10D46"/>
    <w:rsid w:val="48D97BD3"/>
    <w:rsid w:val="48EA42C6"/>
    <w:rsid w:val="48EC6E36"/>
    <w:rsid w:val="48ED29D1"/>
    <w:rsid w:val="48F6033B"/>
    <w:rsid w:val="48FF75D2"/>
    <w:rsid w:val="490B5F77"/>
    <w:rsid w:val="49201477"/>
    <w:rsid w:val="49282FCC"/>
    <w:rsid w:val="492D30F1"/>
    <w:rsid w:val="492E7E21"/>
    <w:rsid w:val="49323FD7"/>
    <w:rsid w:val="494838A4"/>
    <w:rsid w:val="494B6CBB"/>
    <w:rsid w:val="495F0D2E"/>
    <w:rsid w:val="499C7517"/>
    <w:rsid w:val="49C441D3"/>
    <w:rsid w:val="49C47942"/>
    <w:rsid w:val="49E61CF8"/>
    <w:rsid w:val="4A0112AD"/>
    <w:rsid w:val="4A1C47D5"/>
    <w:rsid w:val="4A227A1C"/>
    <w:rsid w:val="4A264ABA"/>
    <w:rsid w:val="4A544A35"/>
    <w:rsid w:val="4A8073D7"/>
    <w:rsid w:val="4A8B21F5"/>
    <w:rsid w:val="4A9D3546"/>
    <w:rsid w:val="4AA20B5D"/>
    <w:rsid w:val="4AD30D16"/>
    <w:rsid w:val="4AE271AB"/>
    <w:rsid w:val="4AE84D15"/>
    <w:rsid w:val="4AE952F5"/>
    <w:rsid w:val="4AF21F89"/>
    <w:rsid w:val="4B1E7E91"/>
    <w:rsid w:val="4B221C9D"/>
    <w:rsid w:val="4B340DF7"/>
    <w:rsid w:val="4B387EED"/>
    <w:rsid w:val="4B577B99"/>
    <w:rsid w:val="4B5A7CCA"/>
    <w:rsid w:val="4B5B7842"/>
    <w:rsid w:val="4B784D60"/>
    <w:rsid w:val="4B7F5343"/>
    <w:rsid w:val="4B7F62CD"/>
    <w:rsid w:val="4B8411C5"/>
    <w:rsid w:val="4B893ACB"/>
    <w:rsid w:val="4B8A5E93"/>
    <w:rsid w:val="4BA641F2"/>
    <w:rsid w:val="4BBA0D7E"/>
    <w:rsid w:val="4BC975F9"/>
    <w:rsid w:val="4BE77467"/>
    <w:rsid w:val="4BEE4F38"/>
    <w:rsid w:val="4C014C45"/>
    <w:rsid w:val="4C12409B"/>
    <w:rsid w:val="4C211F55"/>
    <w:rsid w:val="4C312198"/>
    <w:rsid w:val="4C324162"/>
    <w:rsid w:val="4C485D89"/>
    <w:rsid w:val="4C4E366E"/>
    <w:rsid w:val="4C6B4F7E"/>
    <w:rsid w:val="4C72630D"/>
    <w:rsid w:val="4CB03673"/>
    <w:rsid w:val="4CC50B32"/>
    <w:rsid w:val="4CE12007"/>
    <w:rsid w:val="4CF95B2B"/>
    <w:rsid w:val="4D032DBB"/>
    <w:rsid w:val="4D0A29E9"/>
    <w:rsid w:val="4D2834AF"/>
    <w:rsid w:val="4D2D073B"/>
    <w:rsid w:val="4D317F76"/>
    <w:rsid w:val="4D41465D"/>
    <w:rsid w:val="4D5601C7"/>
    <w:rsid w:val="4D5679DC"/>
    <w:rsid w:val="4D630B7E"/>
    <w:rsid w:val="4D6F624E"/>
    <w:rsid w:val="4D77007F"/>
    <w:rsid w:val="4DAA332E"/>
    <w:rsid w:val="4DAE210E"/>
    <w:rsid w:val="4DB5753C"/>
    <w:rsid w:val="4DC14B37"/>
    <w:rsid w:val="4DCE3A17"/>
    <w:rsid w:val="4DD03C33"/>
    <w:rsid w:val="4DD3727F"/>
    <w:rsid w:val="4DE17BEE"/>
    <w:rsid w:val="4DEA4CF4"/>
    <w:rsid w:val="4DFE60AA"/>
    <w:rsid w:val="4E0D09E3"/>
    <w:rsid w:val="4E121B55"/>
    <w:rsid w:val="4E143B1F"/>
    <w:rsid w:val="4E41068C"/>
    <w:rsid w:val="4E5B5CFD"/>
    <w:rsid w:val="4E6D1482"/>
    <w:rsid w:val="4E8527DF"/>
    <w:rsid w:val="4E8C5DAC"/>
    <w:rsid w:val="4E8C71C7"/>
    <w:rsid w:val="4E947537"/>
    <w:rsid w:val="4EA40CD7"/>
    <w:rsid w:val="4EAC5711"/>
    <w:rsid w:val="4EB405D8"/>
    <w:rsid w:val="4EBB21ED"/>
    <w:rsid w:val="4EBD22C7"/>
    <w:rsid w:val="4EDF7645"/>
    <w:rsid w:val="4EE259CC"/>
    <w:rsid w:val="4EE3108F"/>
    <w:rsid w:val="4EEB669D"/>
    <w:rsid w:val="4F0A1409"/>
    <w:rsid w:val="4F0C0C9A"/>
    <w:rsid w:val="4F1E79ED"/>
    <w:rsid w:val="4F2B60C0"/>
    <w:rsid w:val="4F4C553B"/>
    <w:rsid w:val="4F5C7C62"/>
    <w:rsid w:val="4F652159"/>
    <w:rsid w:val="4F69086F"/>
    <w:rsid w:val="4F716D4F"/>
    <w:rsid w:val="4F7A20A8"/>
    <w:rsid w:val="4F8A13AB"/>
    <w:rsid w:val="4F8E16AF"/>
    <w:rsid w:val="4F8F745C"/>
    <w:rsid w:val="4FA17F26"/>
    <w:rsid w:val="4FB769C6"/>
    <w:rsid w:val="4FD27620"/>
    <w:rsid w:val="4FE94A01"/>
    <w:rsid w:val="500E27F0"/>
    <w:rsid w:val="50311A25"/>
    <w:rsid w:val="5032028D"/>
    <w:rsid w:val="504D156B"/>
    <w:rsid w:val="505236F0"/>
    <w:rsid w:val="5060361B"/>
    <w:rsid w:val="506C2B70"/>
    <w:rsid w:val="50726EEC"/>
    <w:rsid w:val="509461CB"/>
    <w:rsid w:val="50A549ED"/>
    <w:rsid w:val="50A569AB"/>
    <w:rsid w:val="50A75B54"/>
    <w:rsid w:val="50AC1958"/>
    <w:rsid w:val="50B43398"/>
    <w:rsid w:val="50C55C43"/>
    <w:rsid w:val="50CF01D2"/>
    <w:rsid w:val="50D15CF8"/>
    <w:rsid w:val="50DF4820"/>
    <w:rsid w:val="50F43794"/>
    <w:rsid w:val="50F756FA"/>
    <w:rsid w:val="50FD6AED"/>
    <w:rsid w:val="5112047D"/>
    <w:rsid w:val="5121796F"/>
    <w:rsid w:val="51241B29"/>
    <w:rsid w:val="51320E6D"/>
    <w:rsid w:val="513E09DF"/>
    <w:rsid w:val="514E10F6"/>
    <w:rsid w:val="51516E38"/>
    <w:rsid w:val="51552E74"/>
    <w:rsid w:val="515626A1"/>
    <w:rsid w:val="51670B26"/>
    <w:rsid w:val="51776A11"/>
    <w:rsid w:val="517B5412"/>
    <w:rsid w:val="51831A39"/>
    <w:rsid w:val="5183450E"/>
    <w:rsid w:val="51A3084E"/>
    <w:rsid w:val="51A371C6"/>
    <w:rsid w:val="51B2004B"/>
    <w:rsid w:val="51C0512E"/>
    <w:rsid w:val="51CD5B36"/>
    <w:rsid w:val="51ED6B61"/>
    <w:rsid w:val="51FF6894"/>
    <w:rsid w:val="52045C59"/>
    <w:rsid w:val="52062491"/>
    <w:rsid w:val="52097713"/>
    <w:rsid w:val="52413744"/>
    <w:rsid w:val="524349D3"/>
    <w:rsid w:val="52447772"/>
    <w:rsid w:val="524C54FB"/>
    <w:rsid w:val="525F7333"/>
    <w:rsid w:val="5261672F"/>
    <w:rsid w:val="527C7EE5"/>
    <w:rsid w:val="527E5A0B"/>
    <w:rsid w:val="528263C3"/>
    <w:rsid w:val="528C45CC"/>
    <w:rsid w:val="52915EDA"/>
    <w:rsid w:val="52AB4B20"/>
    <w:rsid w:val="52AF7E02"/>
    <w:rsid w:val="52B04AF9"/>
    <w:rsid w:val="52B21283"/>
    <w:rsid w:val="52C25F8C"/>
    <w:rsid w:val="52CC2245"/>
    <w:rsid w:val="52D43084"/>
    <w:rsid w:val="52F0698C"/>
    <w:rsid w:val="52F3521C"/>
    <w:rsid w:val="53077AB1"/>
    <w:rsid w:val="53185E60"/>
    <w:rsid w:val="533913CC"/>
    <w:rsid w:val="533E6172"/>
    <w:rsid w:val="534D7664"/>
    <w:rsid w:val="535C082D"/>
    <w:rsid w:val="536410A5"/>
    <w:rsid w:val="536834AD"/>
    <w:rsid w:val="53811DB7"/>
    <w:rsid w:val="538E7F1F"/>
    <w:rsid w:val="53A702DA"/>
    <w:rsid w:val="53B7105B"/>
    <w:rsid w:val="53E2021C"/>
    <w:rsid w:val="53E21FCA"/>
    <w:rsid w:val="53EC16AB"/>
    <w:rsid w:val="540B7773"/>
    <w:rsid w:val="5415239F"/>
    <w:rsid w:val="542C587B"/>
    <w:rsid w:val="54412EB6"/>
    <w:rsid w:val="54462559"/>
    <w:rsid w:val="544B3A05"/>
    <w:rsid w:val="544B7B6F"/>
    <w:rsid w:val="54556AEA"/>
    <w:rsid w:val="547370C6"/>
    <w:rsid w:val="548B5C10"/>
    <w:rsid w:val="549E05E7"/>
    <w:rsid w:val="54A77A0D"/>
    <w:rsid w:val="54BF230B"/>
    <w:rsid w:val="54C65448"/>
    <w:rsid w:val="54CF07A0"/>
    <w:rsid w:val="54E3249D"/>
    <w:rsid w:val="54EA382C"/>
    <w:rsid w:val="55023117"/>
    <w:rsid w:val="55070AF4"/>
    <w:rsid w:val="55131A57"/>
    <w:rsid w:val="552C625A"/>
    <w:rsid w:val="55490F06"/>
    <w:rsid w:val="55532EF9"/>
    <w:rsid w:val="55574A69"/>
    <w:rsid w:val="555D5DAC"/>
    <w:rsid w:val="55622629"/>
    <w:rsid w:val="556709D9"/>
    <w:rsid w:val="557D567D"/>
    <w:rsid w:val="55834D66"/>
    <w:rsid w:val="559D5BDF"/>
    <w:rsid w:val="55A655E5"/>
    <w:rsid w:val="55B57FD9"/>
    <w:rsid w:val="55BC7D0E"/>
    <w:rsid w:val="55F14746"/>
    <w:rsid w:val="55F23836"/>
    <w:rsid w:val="55FA349C"/>
    <w:rsid w:val="55FC3817"/>
    <w:rsid w:val="55FC6D9A"/>
    <w:rsid w:val="56216F5C"/>
    <w:rsid w:val="56325B45"/>
    <w:rsid w:val="563C38EF"/>
    <w:rsid w:val="5649652D"/>
    <w:rsid w:val="56813FC7"/>
    <w:rsid w:val="56876E58"/>
    <w:rsid w:val="568D446F"/>
    <w:rsid w:val="569F41A2"/>
    <w:rsid w:val="56C34D75"/>
    <w:rsid w:val="56C73327"/>
    <w:rsid w:val="56C805C7"/>
    <w:rsid w:val="56CF0F2B"/>
    <w:rsid w:val="56D025AE"/>
    <w:rsid w:val="56D20B13"/>
    <w:rsid w:val="56E12653"/>
    <w:rsid w:val="56E33A67"/>
    <w:rsid w:val="57037F59"/>
    <w:rsid w:val="571406EC"/>
    <w:rsid w:val="57250B4B"/>
    <w:rsid w:val="57272C87"/>
    <w:rsid w:val="57393E1A"/>
    <w:rsid w:val="573C5586"/>
    <w:rsid w:val="57470428"/>
    <w:rsid w:val="574C65A9"/>
    <w:rsid w:val="57503774"/>
    <w:rsid w:val="575718F6"/>
    <w:rsid w:val="57572CCF"/>
    <w:rsid w:val="575B456D"/>
    <w:rsid w:val="575C35DF"/>
    <w:rsid w:val="576D6AB6"/>
    <w:rsid w:val="577701E0"/>
    <w:rsid w:val="577D71D5"/>
    <w:rsid w:val="577F50F1"/>
    <w:rsid w:val="57821AAA"/>
    <w:rsid w:val="578C0BCA"/>
    <w:rsid w:val="57A7286C"/>
    <w:rsid w:val="57AA72A2"/>
    <w:rsid w:val="57B343A9"/>
    <w:rsid w:val="57BB472B"/>
    <w:rsid w:val="57BC6FFD"/>
    <w:rsid w:val="57D8421C"/>
    <w:rsid w:val="57D95464"/>
    <w:rsid w:val="57DD4F8F"/>
    <w:rsid w:val="57F86C83"/>
    <w:rsid w:val="580266C7"/>
    <w:rsid w:val="580E0D8F"/>
    <w:rsid w:val="5813542B"/>
    <w:rsid w:val="58242BB1"/>
    <w:rsid w:val="583144D3"/>
    <w:rsid w:val="584E7C2E"/>
    <w:rsid w:val="5850752C"/>
    <w:rsid w:val="586E7E7B"/>
    <w:rsid w:val="587D0513"/>
    <w:rsid w:val="588418A2"/>
    <w:rsid w:val="58A43CF2"/>
    <w:rsid w:val="58B379D3"/>
    <w:rsid w:val="58BE1257"/>
    <w:rsid w:val="58D556E8"/>
    <w:rsid w:val="58D72319"/>
    <w:rsid w:val="58E777E1"/>
    <w:rsid w:val="58E969B2"/>
    <w:rsid w:val="58F41B6E"/>
    <w:rsid w:val="58FA6DBB"/>
    <w:rsid w:val="591846FB"/>
    <w:rsid w:val="592667AB"/>
    <w:rsid w:val="59306B69"/>
    <w:rsid w:val="59A33405"/>
    <w:rsid w:val="59F22DF4"/>
    <w:rsid w:val="5A272E2C"/>
    <w:rsid w:val="5A292701"/>
    <w:rsid w:val="5A3A2DDD"/>
    <w:rsid w:val="5A525E37"/>
    <w:rsid w:val="5A581136"/>
    <w:rsid w:val="5A5B4884"/>
    <w:rsid w:val="5A5F4374"/>
    <w:rsid w:val="5A7F688E"/>
    <w:rsid w:val="5A84202D"/>
    <w:rsid w:val="5A8A5409"/>
    <w:rsid w:val="5A9A35FE"/>
    <w:rsid w:val="5A9E4192"/>
    <w:rsid w:val="5AB32073"/>
    <w:rsid w:val="5ABD72ED"/>
    <w:rsid w:val="5AF925EE"/>
    <w:rsid w:val="5B0942E0"/>
    <w:rsid w:val="5B0A5997"/>
    <w:rsid w:val="5B174C4F"/>
    <w:rsid w:val="5B275D7E"/>
    <w:rsid w:val="5B3550D5"/>
    <w:rsid w:val="5B370E4D"/>
    <w:rsid w:val="5B3837C9"/>
    <w:rsid w:val="5B3E0678"/>
    <w:rsid w:val="5B481EDC"/>
    <w:rsid w:val="5B557525"/>
    <w:rsid w:val="5B56343D"/>
    <w:rsid w:val="5B59555D"/>
    <w:rsid w:val="5B5A4F9F"/>
    <w:rsid w:val="5B7C71A8"/>
    <w:rsid w:val="5B81656C"/>
    <w:rsid w:val="5B8C60FC"/>
    <w:rsid w:val="5B971EB0"/>
    <w:rsid w:val="5B990FC5"/>
    <w:rsid w:val="5BA31EA0"/>
    <w:rsid w:val="5BAB5397"/>
    <w:rsid w:val="5BE31873"/>
    <w:rsid w:val="5BF2117D"/>
    <w:rsid w:val="5BF44F90"/>
    <w:rsid w:val="5BF918A2"/>
    <w:rsid w:val="5BFC356E"/>
    <w:rsid w:val="5C111180"/>
    <w:rsid w:val="5C204994"/>
    <w:rsid w:val="5C223099"/>
    <w:rsid w:val="5C245875"/>
    <w:rsid w:val="5C55207F"/>
    <w:rsid w:val="5C602626"/>
    <w:rsid w:val="5C615EA2"/>
    <w:rsid w:val="5C702D84"/>
    <w:rsid w:val="5C811EE9"/>
    <w:rsid w:val="5C8514CA"/>
    <w:rsid w:val="5C910A31"/>
    <w:rsid w:val="5CDC2524"/>
    <w:rsid w:val="5D0735F8"/>
    <w:rsid w:val="5D1273F4"/>
    <w:rsid w:val="5D46181B"/>
    <w:rsid w:val="5D4D2878"/>
    <w:rsid w:val="5D551B32"/>
    <w:rsid w:val="5D6E16D6"/>
    <w:rsid w:val="5D6E17E2"/>
    <w:rsid w:val="5D752454"/>
    <w:rsid w:val="5D777AC6"/>
    <w:rsid w:val="5D7C6FEB"/>
    <w:rsid w:val="5D8B722E"/>
    <w:rsid w:val="5DB91FEB"/>
    <w:rsid w:val="5DBC3D74"/>
    <w:rsid w:val="5DD03F39"/>
    <w:rsid w:val="5DD62B9F"/>
    <w:rsid w:val="5DE01A4A"/>
    <w:rsid w:val="5DE342C3"/>
    <w:rsid w:val="5DEC4171"/>
    <w:rsid w:val="5DF04373"/>
    <w:rsid w:val="5DF70D68"/>
    <w:rsid w:val="5E042226"/>
    <w:rsid w:val="5E181C58"/>
    <w:rsid w:val="5E1A6B31"/>
    <w:rsid w:val="5E2251BD"/>
    <w:rsid w:val="5E2B3851"/>
    <w:rsid w:val="5E335880"/>
    <w:rsid w:val="5E421FE3"/>
    <w:rsid w:val="5E652175"/>
    <w:rsid w:val="5E8C397C"/>
    <w:rsid w:val="5E9465B6"/>
    <w:rsid w:val="5EB448CA"/>
    <w:rsid w:val="5EC21376"/>
    <w:rsid w:val="5ECF75EF"/>
    <w:rsid w:val="5ED2780B"/>
    <w:rsid w:val="5F071D35"/>
    <w:rsid w:val="5F0B4ACB"/>
    <w:rsid w:val="5F21609C"/>
    <w:rsid w:val="5F441D8B"/>
    <w:rsid w:val="5F872886"/>
    <w:rsid w:val="5F8913FD"/>
    <w:rsid w:val="5F937D62"/>
    <w:rsid w:val="5F9A5E4E"/>
    <w:rsid w:val="5F9E593F"/>
    <w:rsid w:val="5FA82319"/>
    <w:rsid w:val="5FDD6DAE"/>
    <w:rsid w:val="6003687A"/>
    <w:rsid w:val="600C138C"/>
    <w:rsid w:val="600E2019"/>
    <w:rsid w:val="602E7BC9"/>
    <w:rsid w:val="603E6335"/>
    <w:rsid w:val="6040305D"/>
    <w:rsid w:val="60464786"/>
    <w:rsid w:val="604F4ECE"/>
    <w:rsid w:val="605255FC"/>
    <w:rsid w:val="605D12C0"/>
    <w:rsid w:val="607921FE"/>
    <w:rsid w:val="60805044"/>
    <w:rsid w:val="608E2F7D"/>
    <w:rsid w:val="60B25F62"/>
    <w:rsid w:val="60BF0F6D"/>
    <w:rsid w:val="60C04AD9"/>
    <w:rsid w:val="60C2565D"/>
    <w:rsid w:val="60FB26E3"/>
    <w:rsid w:val="60FB7091"/>
    <w:rsid w:val="60FF5DBE"/>
    <w:rsid w:val="61065653"/>
    <w:rsid w:val="612563C4"/>
    <w:rsid w:val="6134648A"/>
    <w:rsid w:val="615553C3"/>
    <w:rsid w:val="6166423A"/>
    <w:rsid w:val="61673788"/>
    <w:rsid w:val="616B335A"/>
    <w:rsid w:val="61700200"/>
    <w:rsid w:val="6172150A"/>
    <w:rsid w:val="618578D0"/>
    <w:rsid w:val="61881DC6"/>
    <w:rsid w:val="618F4231"/>
    <w:rsid w:val="61C15D90"/>
    <w:rsid w:val="61C44A09"/>
    <w:rsid w:val="61C61346"/>
    <w:rsid w:val="61D770EE"/>
    <w:rsid w:val="61DA69D6"/>
    <w:rsid w:val="62093465"/>
    <w:rsid w:val="620A5E27"/>
    <w:rsid w:val="620D33E1"/>
    <w:rsid w:val="62181329"/>
    <w:rsid w:val="62240983"/>
    <w:rsid w:val="622D27DA"/>
    <w:rsid w:val="62315204"/>
    <w:rsid w:val="623460E6"/>
    <w:rsid w:val="6255249D"/>
    <w:rsid w:val="625A19B6"/>
    <w:rsid w:val="6265752C"/>
    <w:rsid w:val="62741208"/>
    <w:rsid w:val="62942AEC"/>
    <w:rsid w:val="62946B85"/>
    <w:rsid w:val="62AF1C11"/>
    <w:rsid w:val="62B8336A"/>
    <w:rsid w:val="62C83E43"/>
    <w:rsid w:val="62D32DCD"/>
    <w:rsid w:val="62DA4EE0"/>
    <w:rsid w:val="62DD22DA"/>
    <w:rsid w:val="62E4244D"/>
    <w:rsid w:val="62EE0549"/>
    <w:rsid w:val="62EF64B1"/>
    <w:rsid w:val="634A6CA3"/>
    <w:rsid w:val="6368502C"/>
    <w:rsid w:val="6379740E"/>
    <w:rsid w:val="637A221F"/>
    <w:rsid w:val="637D3ABD"/>
    <w:rsid w:val="637D586B"/>
    <w:rsid w:val="63804B09"/>
    <w:rsid w:val="638E1823"/>
    <w:rsid w:val="63AB4186"/>
    <w:rsid w:val="63BC45E5"/>
    <w:rsid w:val="63C575EE"/>
    <w:rsid w:val="63D14186"/>
    <w:rsid w:val="6401144A"/>
    <w:rsid w:val="640F560F"/>
    <w:rsid w:val="641272B7"/>
    <w:rsid w:val="641970D6"/>
    <w:rsid w:val="641E704E"/>
    <w:rsid w:val="64337579"/>
    <w:rsid w:val="643979E4"/>
    <w:rsid w:val="64441196"/>
    <w:rsid w:val="64444A54"/>
    <w:rsid w:val="645111D2"/>
    <w:rsid w:val="6454481E"/>
    <w:rsid w:val="6464563B"/>
    <w:rsid w:val="64681492"/>
    <w:rsid w:val="64726987"/>
    <w:rsid w:val="64744EC0"/>
    <w:rsid w:val="647A02E0"/>
    <w:rsid w:val="64833355"/>
    <w:rsid w:val="648B3FB8"/>
    <w:rsid w:val="64927328"/>
    <w:rsid w:val="64BE438D"/>
    <w:rsid w:val="64C50FBD"/>
    <w:rsid w:val="64C87D56"/>
    <w:rsid w:val="64CA2D32"/>
    <w:rsid w:val="64CD2820"/>
    <w:rsid w:val="64D709C5"/>
    <w:rsid w:val="64DB474E"/>
    <w:rsid w:val="64DD424A"/>
    <w:rsid w:val="64E21E2A"/>
    <w:rsid w:val="64F8126C"/>
    <w:rsid w:val="65091B75"/>
    <w:rsid w:val="65257F68"/>
    <w:rsid w:val="65293EFC"/>
    <w:rsid w:val="652A1A23"/>
    <w:rsid w:val="6535464F"/>
    <w:rsid w:val="655679DB"/>
    <w:rsid w:val="655A40B6"/>
    <w:rsid w:val="656E1057"/>
    <w:rsid w:val="65896749"/>
    <w:rsid w:val="658B699D"/>
    <w:rsid w:val="6591192E"/>
    <w:rsid w:val="65915880"/>
    <w:rsid w:val="659220F2"/>
    <w:rsid w:val="659708E7"/>
    <w:rsid w:val="65AD5F44"/>
    <w:rsid w:val="65BC6440"/>
    <w:rsid w:val="65C36E7F"/>
    <w:rsid w:val="65CB4FB4"/>
    <w:rsid w:val="65CB6D62"/>
    <w:rsid w:val="65D21A26"/>
    <w:rsid w:val="65E41BD1"/>
    <w:rsid w:val="65FA13F5"/>
    <w:rsid w:val="6609788A"/>
    <w:rsid w:val="662E4F41"/>
    <w:rsid w:val="6631762B"/>
    <w:rsid w:val="66364A06"/>
    <w:rsid w:val="663A5C95"/>
    <w:rsid w:val="663B7430"/>
    <w:rsid w:val="663D0DD4"/>
    <w:rsid w:val="663F690F"/>
    <w:rsid w:val="66633E9A"/>
    <w:rsid w:val="667150B7"/>
    <w:rsid w:val="66815672"/>
    <w:rsid w:val="66937143"/>
    <w:rsid w:val="66941009"/>
    <w:rsid w:val="66A002EF"/>
    <w:rsid w:val="66A852F5"/>
    <w:rsid w:val="66F0056D"/>
    <w:rsid w:val="66F72914"/>
    <w:rsid w:val="66F877A3"/>
    <w:rsid w:val="67044DCA"/>
    <w:rsid w:val="67073DC9"/>
    <w:rsid w:val="67251CDF"/>
    <w:rsid w:val="6727446C"/>
    <w:rsid w:val="67281F92"/>
    <w:rsid w:val="672A0BC3"/>
    <w:rsid w:val="67406A5C"/>
    <w:rsid w:val="6744501E"/>
    <w:rsid w:val="6751773B"/>
    <w:rsid w:val="67680CC1"/>
    <w:rsid w:val="676B3BCF"/>
    <w:rsid w:val="678A18AD"/>
    <w:rsid w:val="67911B42"/>
    <w:rsid w:val="67A51884"/>
    <w:rsid w:val="67B14904"/>
    <w:rsid w:val="67BA708E"/>
    <w:rsid w:val="67BB1504"/>
    <w:rsid w:val="67BD30BA"/>
    <w:rsid w:val="67BD6B7E"/>
    <w:rsid w:val="67CC4869"/>
    <w:rsid w:val="67D16185"/>
    <w:rsid w:val="67D30150"/>
    <w:rsid w:val="67E114F7"/>
    <w:rsid w:val="67E759A9"/>
    <w:rsid w:val="67F8336A"/>
    <w:rsid w:val="67FD341E"/>
    <w:rsid w:val="680B7B1B"/>
    <w:rsid w:val="681612EF"/>
    <w:rsid w:val="682639C2"/>
    <w:rsid w:val="682D5AB2"/>
    <w:rsid w:val="684B1305"/>
    <w:rsid w:val="684C08A9"/>
    <w:rsid w:val="686B577A"/>
    <w:rsid w:val="68743090"/>
    <w:rsid w:val="6874548F"/>
    <w:rsid w:val="687775B2"/>
    <w:rsid w:val="687803F6"/>
    <w:rsid w:val="687E630D"/>
    <w:rsid w:val="6893318D"/>
    <w:rsid w:val="68963A5A"/>
    <w:rsid w:val="689865A0"/>
    <w:rsid w:val="689C341B"/>
    <w:rsid w:val="68D157BD"/>
    <w:rsid w:val="68EB3DB7"/>
    <w:rsid w:val="68F10EFC"/>
    <w:rsid w:val="69006D22"/>
    <w:rsid w:val="690C3919"/>
    <w:rsid w:val="69117003"/>
    <w:rsid w:val="691400D0"/>
    <w:rsid w:val="691C724F"/>
    <w:rsid w:val="69272501"/>
    <w:rsid w:val="692A3D9F"/>
    <w:rsid w:val="692B7AED"/>
    <w:rsid w:val="69444284"/>
    <w:rsid w:val="694821DA"/>
    <w:rsid w:val="69574B58"/>
    <w:rsid w:val="69615A9B"/>
    <w:rsid w:val="697320F7"/>
    <w:rsid w:val="697469DA"/>
    <w:rsid w:val="69765236"/>
    <w:rsid w:val="69801C11"/>
    <w:rsid w:val="69A41463"/>
    <w:rsid w:val="69A9560C"/>
    <w:rsid w:val="69B56424"/>
    <w:rsid w:val="69D16911"/>
    <w:rsid w:val="69D63F27"/>
    <w:rsid w:val="69E76134"/>
    <w:rsid w:val="6A09542B"/>
    <w:rsid w:val="6A1B14A7"/>
    <w:rsid w:val="6A24016A"/>
    <w:rsid w:val="6A2F217F"/>
    <w:rsid w:val="6A3757AE"/>
    <w:rsid w:val="6A420834"/>
    <w:rsid w:val="6A43771D"/>
    <w:rsid w:val="6A4648E7"/>
    <w:rsid w:val="6A593B84"/>
    <w:rsid w:val="6A5C08FB"/>
    <w:rsid w:val="6A5E7146"/>
    <w:rsid w:val="6A6E23B2"/>
    <w:rsid w:val="6A8D40E1"/>
    <w:rsid w:val="6AAF363C"/>
    <w:rsid w:val="6AB44268"/>
    <w:rsid w:val="6AC124E1"/>
    <w:rsid w:val="6AC52C5F"/>
    <w:rsid w:val="6ACC2C9C"/>
    <w:rsid w:val="6AE23D81"/>
    <w:rsid w:val="6AE5012B"/>
    <w:rsid w:val="6AF844D3"/>
    <w:rsid w:val="6AFD042D"/>
    <w:rsid w:val="6B064398"/>
    <w:rsid w:val="6B241A17"/>
    <w:rsid w:val="6B27588C"/>
    <w:rsid w:val="6B2D5DC9"/>
    <w:rsid w:val="6B363D6A"/>
    <w:rsid w:val="6B376C47"/>
    <w:rsid w:val="6B3E256A"/>
    <w:rsid w:val="6B6A0DCB"/>
    <w:rsid w:val="6B6D4417"/>
    <w:rsid w:val="6B71152A"/>
    <w:rsid w:val="6B7636D8"/>
    <w:rsid w:val="6B79253B"/>
    <w:rsid w:val="6B7A08D7"/>
    <w:rsid w:val="6B881251"/>
    <w:rsid w:val="6B90613E"/>
    <w:rsid w:val="6B96499B"/>
    <w:rsid w:val="6BA73DCD"/>
    <w:rsid w:val="6BBE438D"/>
    <w:rsid w:val="6BC34D1E"/>
    <w:rsid w:val="6BEE55AA"/>
    <w:rsid w:val="6BF15048"/>
    <w:rsid w:val="6C240F7A"/>
    <w:rsid w:val="6C264CF2"/>
    <w:rsid w:val="6C3513D9"/>
    <w:rsid w:val="6C360CAD"/>
    <w:rsid w:val="6C3D447A"/>
    <w:rsid w:val="6C4E77BB"/>
    <w:rsid w:val="6C67530A"/>
    <w:rsid w:val="6C883A23"/>
    <w:rsid w:val="6C8E61E8"/>
    <w:rsid w:val="6C9A56E0"/>
    <w:rsid w:val="6C9C440C"/>
    <w:rsid w:val="6CBA6B3F"/>
    <w:rsid w:val="6CBF19A5"/>
    <w:rsid w:val="6CBF5146"/>
    <w:rsid w:val="6CC35B2A"/>
    <w:rsid w:val="6CCD611B"/>
    <w:rsid w:val="6CDD1B73"/>
    <w:rsid w:val="6CE10C19"/>
    <w:rsid w:val="6CE67D46"/>
    <w:rsid w:val="6CFC5A53"/>
    <w:rsid w:val="6CFF1222"/>
    <w:rsid w:val="6D033285"/>
    <w:rsid w:val="6D107750"/>
    <w:rsid w:val="6D301BA0"/>
    <w:rsid w:val="6D351D80"/>
    <w:rsid w:val="6D353040"/>
    <w:rsid w:val="6D3760BB"/>
    <w:rsid w:val="6D577BC2"/>
    <w:rsid w:val="6D627650"/>
    <w:rsid w:val="6D661291"/>
    <w:rsid w:val="6D725D15"/>
    <w:rsid w:val="6DA63D56"/>
    <w:rsid w:val="6DA85BDA"/>
    <w:rsid w:val="6DA86676"/>
    <w:rsid w:val="6DB87778"/>
    <w:rsid w:val="6DB95EA9"/>
    <w:rsid w:val="6DBD1686"/>
    <w:rsid w:val="6DC45E0A"/>
    <w:rsid w:val="6DC85463"/>
    <w:rsid w:val="6DC8623D"/>
    <w:rsid w:val="6DD15CBD"/>
    <w:rsid w:val="6DDD131C"/>
    <w:rsid w:val="6DE2733E"/>
    <w:rsid w:val="6DF36E56"/>
    <w:rsid w:val="6E1148C4"/>
    <w:rsid w:val="6E1656D6"/>
    <w:rsid w:val="6E2B78E8"/>
    <w:rsid w:val="6E2C16BB"/>
    <w:rsid w:val="6E344431"/>
    <w:rsid w:val="6E376F24"/>
    <w:rsid w:val="6E4678CD"/>
    <w:rsid w:val="6E565636"/>
    <w:rsid w:val="6E5E537C"/>
    <w:rsid w:val="6E6267E7"/>
    <w:rsid w:val="6E6814D5"/>
    <w:rsid w:val="6E7E682D"/>
    <w:rsid w:val="6E914282"/>
    <w:rsid w:val="6E9C0F6F"/>
    <w:rsid w:val="6E9E14B7"/>
    <w:rsid w:val="6EA463A2"/>
    <w:rsid w:val="6EBA6FC6"/>
    <w:rsid w:val="6EC145AA"/>
    <w:rsid w:val="6EC15BA9"/>
    <w:rsid w:val="6ED529FF"/>
    <w:rsid w:val="6EE40E94"/>
    <w:rsid w:val="6EF2535F"/>
    <w:rsid w:val="6EF814F8"/>
    <w:rsid w:val="6F082DD5"/>
    <w:rsid w:val="6F0B503B"/>
    <w:rsid w:val="6F0E4EC3"/>
    <w:rsid w:val="6F284A90"/>
    <w:rsid w:val="6F375468"/>
    <w:rsid w:val="6F387677"/>
    <w:rsid w:val="6F3F4279"/>
    <w:rsid w:val="6F481423"/>
    <w:rsid w:val="6F665BA4"/>
    <w:rsid w:val="6F6849C4"/>
    <w:rsid w:val="6F8323D0"/>
    <w:rsid w:val="6F8E08F2"/>
    <w:rsid w:val="6F8F7052"/>
    <w:rsid w:val="6FB604C3"/>
    <w:rsid w:val="6FC62B25"/>
    <w:rsid w:val="6FC63300"/>
    <w:rsid w:val="6FD57B29"/>
    <w:rsid w:val="6FD74555"/>
    <w:rsid w:val="6FF93409"/>
    <w:rsid w:val="6FF957E3"/>
    <w:rsid w:val="70090BB2"/>
    <w:rsid w:val="7036571F"/>
    <w:rsid w:val="70390D6C"/>
    <w:rsid w:val="7046040F"/>
    <w:rsid w:val="704922F4"/>
    <w:rsid w:val="70557737"/>
    <w:rsid w:val="705F4C76"/>
    <w:rsid w:val="70624577"/>
    <w:rsid w:val="70653550"/>
    <w:rsid w:val="706B2376"/>
    <w:rsid w:val="708445D7"/>
    <w:rsid w:val="709C53B3"/>
    <w:rsid w:val="70A47C72"/>
    <w:rsid w:val="70AF7396"/>
    <w:rsid w:val="70D32F6E"/>
    <w:rsid w:val="70DC0075"/>
    <w:rsid w:val="7141612A"/>
    <w:rsid w:val="714479C8"/>
    <w:rsid w:val="715C1C8A"/>
    <w:rsid w:val="716F668E"/>
    <w:rsid w:val="71877B94"/>
    <w:rsid w:val="71982E11"/>
    <w:rsid w:val="71A52B5D"/>
    <w:rsid w:val="71AD7318"/>
    <w:rsid w:val="71B255DF"/>
    <w:rsid w:val="71BE1FB9"/>
    <w:rsid w:val="71C37A53"/>
    <w:rsid w:val="71DE7295"/>
    <w:rsid w:val="71EC5903"/>
    <w:rsid w:val="71F238C8"/>
    <w:rsid w:val="71F92EA9"/>
    <w:rsid w:val="720A6E64"/>
    <w:rsid w:val="72282783"/>
    <w:rsid w:val="722A2F40"/>
    <w:rsid w:val="723A15BB"/>
    <w:rsid w:val="724203AC"/>
    <w:rsid w:val="724D7835"/>
    <w:rsid w:val="725453F3"/>
    <w:rsid w:val="72553376"/>
    <w:rsid w:val="72585CC7"/>
    <w:rsid w:val="726D70E7"/>
    <w:rsid w:val="726F0358"/>
    <w:rsid w:val="72952BD1"/>
    <w:rsid w:val="72A2709C"/>
    <w:rsid w:val="72A63D8F"/>
    <w:rsid w:val="72AA7CFF"/>
    <w:rsid w:val="72B312A9"/>
    <w:rsid w:val="72B666A4"/>
    <w:rsid w:val="72C61B6B"/>
    <w:rsid w:val="72DD1E82"/>
    <w:rsid w:val="72EE0533"/>
    <w:rsid w:val="72F21DD2"/>
    <w:rsid w:val="72F773E8"/>
    <w:rsid w:val="72FB5F77"/>
    <w:rsid w:val="72FF6A4D"/>
    <w:rsid w:val="730D2384"/>
    <w:rsid w:val="73172C06"/>
    <w:rsid w:val="73320420"/>
    <w:rsid w:val="733C607F"/>
    <w:rsid w:val="73585A98"/>
    <w:rsid w:val="736F3422"/>
    <w:rsid w:val="738B77BB"/>
    <w:rsid w:val="73AB1F81"/>
    <w:rsid w:val="73AF1A71"/>
    <w:rsid w:val="73B76B77"/>
    <w:rsid w:val="73BA5248"/>
    <w:rsid w:val="73BE1B19"/>
    <w:rsid w:val="73C15359"/>
    <w:rsid w:val="73CB43D1"/>
    <w:rsid w:val="73D34024"/>
    <w:rsid w:val="73D62B51"/>
    <w:rsid w:val="73E536E4"/>
    <w:rsid w:val="740D08DA"/>
    <w:rsid w:val="7420270E"/>
    <w:rsid w:val="7426655C"/>
    <w:rsid w:val="74283685"/>
    <w:rsid w:val="74312486"/>
    <w:rsid w:val="744477C6"/>
    <w:rsid w:val="74483304"/>
    <w:rsid w:val="74500088"/>
    <w:rsid w:val="74544D26"/>
    <w:rsid w:val="74561FD6"/>
    <w:rsid w:val="745F3A75"/>
    <w:rsid w:val="74647DDE"/>
    <w:rsid w:val="74746816"/>
    <w:rsid w:val="747D74F0"/>
    <w:rsid w:val="7493493C"/>
    <w:rsid w:val="7494535C"/>
    <w:rsid w:val="7499627D"/>
    <w:rsid w:val="74AD4BA1"/>
    <w:rsid w:val="74B00A04"/>
    <w:rsid w:val="74C31ECB"/>
    <w:rsid w:val="74E27C24"/>
    <w:rsid w:val="74E95A3D"/>
    <w:rsid w:val="75185E9D"/>
    <w:rsid w:val="751F6782"/>
    <w:rsid w:val="752A6815"/>
    <w:rsid w:val="75302D6D"/>
    <w:rsid w:val="75377F70"/>
    <w:rsid w:val="7557439D"/>
    <w:rsid w:val="75575F1C"/>
    <w:rsid w:val="75630D65"/>
    <w:rsid w:val="75657517"/>
    <w:rsid w:val="75687219"/>
    <w:rsid w:val="757006F1"/>
    <w:rsid w:val="75720633"/>
    <w:rsid w:val="75802C86"/>
    <w:rsid w:val="75895FAF"/>
    <w:rsid w:val="758B68E5"/>
    <w:rsid w:val="75942919"/>
    <w:rsid w:val="75971E01"/>
    <w:rsid w:val="75C11178"/>
    <w:rsid w:val="75F33706"/>
    <w:rsid w:val="75F61BD9"/>
    <w:rsid w:val="760836BA"/>
    <w:rsid w:val="76132102"/>
    <w:rsid w:val="76171B4F"/>
    <w:rsid w:val="761D7080"/>
    <w:rsid w:val="761E257E"/>
    <w:rsid w:val="762115A2"/>
    <w:rsid w:val="7629601B"/>
    <w:rsid w:val="762D3D39"/>
    <w:rsid w:val="764F428E"/>
    <w:rsid w:val="7652691D"/>
    <w:rsid w:val="765E777E"/>
    <w:rsid w:val="76657B61"/>
    <w:rsid w:val="76680873"/>
    <w:rsid w:val="76962909"/>
    <w:rsid w:val="76B15059"/>
    <w:rsid w:val="76D812DE"/>
    <w:rsid w:val="76DA5057"/>
    <w:rsid w:val="76F53C3E"/>
    <w:rsid w:val="770A09AC"/>
    <w:rsid w:val="77282C5F"/>
    <w:rsid w:val="773062FD"/>
    <w:rsid w:val="77361E52"/>
    <w:rsid w:val="77444B50"/>
    <w:rsid w:val="77470212"/>
    <w:rsid w:val="77546767"/>
    <w:rsid w:val="775A7F45"/>
    <w:rsid w:val="7761179F"/>
    <w:rsid w:val="77797FA5"/>
    <w:rsid w:val="778402C9"/>
    <w:rsid w:val="77896707"/>
    <w:rsid w:val="77AA57AB"/>
    <w:rsid w:val="77C24432"/>
    <w:rsid w:val="77D00208"/>
    <w:rsid w:val="77F2017E"/>
    <w:rsid w:val="77FE7D3E"/>
    <w:rsid w:val="78007B8D"/>
    <w:rsid w:val="780454B4"/>
    <w:rsid w:val="78052317"/>
    <w:rsid w:val="78361B2D"/>
    <w:rsid w:val="78451220"/>
    <w:rsid w:val="784537B2"/>
    <w:rsid w:val="78511B85"/>
    <w:rsid w:val="78526283"/>
    <w:rsid w:val="786A240A"/>
    <w:rsid w:val="786D1140"/>
    <w:rsid w:val="788D434B"/>
    <w:rsid w:val="78904B46"/>
    <w:rsid w:val="789256B0"/>
    <w:rsid w:val="789B6166"/>
    <w:rsid w:val="789C3183"/>
    <w:rsid w:val="78A31478"/>
    <w:rsid w:val="78A609C8"/>
    <w:rsid w:val="78A67442"/>
    <w:rsid w:val="78C064CE"/>
    <w:rsid w:val="78CC6C21"/>
    <w:rsid w:val="78E0447A"/>
    <w:rsid w:val="78E811D1"/>
    <w:rsid w:val="78F61EF0"/>
    <w:rsid w:val="78F63C9E"/>
    <w:rsid w:val="78F74CE4"/>
    <w:rsid w:val="790F188F"/>
    <w:rsid w:val="792118DD"/>
    <w:rsid w:val="792457E3"/>
    <w:rsid w:val="792F0143"/>
    <w:rsid w:val="79404F19"/>
    <w:rsid w:val="79685CEA"/>
    <w:rsid w:val="79761D8B"/>
    <w:rsid w:val="797A5F8B"/>
    <w:rsid w:val="797E32B5"/>
    <w:rsid w:val="798C63B0"/>
    <w:rsid w:val="799120F6"/>
    <w:rsid w:val="79A350C4"/>
    <w:rsid w:val="79A9064C"/>
    <w:rsid w:val="79AE564F"/>
    <w:rsid w:val="79B4152D"/>
    <w:rsid w:val="79B92496"/>
    <w:rsid w:val="79BD11AE"/>
    <w:rsid w:val="79C43D9C"/>
    <w:rsid w:val="79CF438A"/>
    <w:rsid w:val="79ED4F55"/>
    <w:rsid w:val="79F81C7E"/>
    <w:rsid w:val="7A052DF2"/>
    <w:rsid w:val="7A097A01"/>
    <w:rsid w:val="7A2038CD"/>
    <w:rsid w:val="7A2B0CDA"/>
    <w:rsid w:val="7A320D06"/>
    <w:rsid w:val="7A36248D"/>
    <w:rsid w:val="7A401675"/>
    <w:rsid w:val="7A41719B"/>
    <w:rsid w:val="7A5A025C"/>
    <w:rsid w:val="7A5A05F5"/>
    <w:rsid w:val="7A6510DB"/>
    <w:rsid w:val="7A65732D"/>
    <w:rsid w:val="7A6A5F24"/>
    <w:rsid w:val="7A781537"/>
    <w:rsid w:val="7A802114"/>
    <w:rsid w:val="7A861422"/>
    <w:rsid w:val="7A9F7E6C"/>
    <w:rsid w:val="7AAA36FF"/>
    <w:rsid w:val="7ACE54FE"/>
    <w:rsid w:val="7AE449F3"/>
    <w:rsid w:val="7AFB559C"/>
    <w:rsid w:val="7B073F40"/>
    <w:rsid w:val="7B0A5C8E"/>
    <w:rsid w:val="7B1A7159"/>
    <w:rsid w:val="7B2E771F"/>
    <w:rsid w:val="7B3E725E"/>
    <w:rsid w:val="7B523868"/>
    <w:rsid w:val="7B585393"/>
    <w:rsid w:val="7B62561B"/>
    <w:rsid w:val="7B841A35"/>
    <w:rsid w:val="7BA651CC"/>
    <w:rsid w:val="7BA67BFD"/>
    <w:rsid w:val="7BAB7DEE"/>
    <w:rsid w:val="7BAE260E"/>
    <w:rsid w:val="7BB21B40"/>
    <w:rsid w:val="7BB57E40"/>
    <w:rsid w:val="7BC04950"/>
    <w:rsid w:val="7BF92B82"/>
    <w:rsid w:val="7BFB54A5"/>
    <w:rsid w:val="7C027905"/>
    <w:rsid w:val="7C1F3B77"/>
    <w:rsid w:val="7C27417E"/>
    <w:rsid w:val="7C2F770E"/>
    <w:rsid w:val="7C3357EF"/>
    <w:rsid w:val="7C3640B7"/>
    <w:rsid w:val="7C3E3C54"/>
    <w:rsid w:val="7C3E6393"/>
    <w:rsid w:val="7C5C4760"/>
    <w:rsid w:val="7C5F1E63"/>
    <w:rsid w:val="7C684EB3"/>
    <w:rsid w:val="7C6F7FEF"/>
    <w:rsid w:val="7C743857"/>
    <w:rsid w:val="7C9C4E59"/>
    <w:rsid w:val="7CBB1486"/>
    <w:rsid w:val="7CCF7145"/>
    <w:rsid w:val="7CD127EF"/>
    <w:rsid w:val="7CE21D95"/>
    <w:rsid w:val="7CEF1130"/>
    <w:rsid w:val="7CFC55FB"/>
    <w:rsid w:val="7CFE555C"/>
    <w:rsid w:val="7D006E99"/>
    <w:rsid w:val="7D0F2B85"/>
    <w:rsid w:val="7D18123C"/>
    <w:rsid w:val="7D1F0E8B"/>
    <w:rsid w:val="7D2708CA"/>
    <w:rsid w:val="7D294DE5"/>
    <w:rsid w:val="7D36433B"/>
    <w:rsid w:val="7D372035"/>
    <w:rsid w:val="7D420743"/>
    <w:rsid w:val="7D69013F"/>
    <w:rsid w:val="7D742C1C"/>
    <w:rsid w:val="7DA4016C"/>
    <w:rsid w:val="7DA45C6A"/>
    <w:rsid w:val="7DA57A41"/>
    <w:rsid w:val="7DB77972"/>
    <w:rsid w:val="7DBD5EEA"/>
    <w:rsid w:val="7DCB56F9"/>
    <w:rsid w:val="7DD21264"/>
    <w:rsid w:val="7DD763EB"/>
    <w:rsid w:val="7DE13FCE"/>
    <w:rsid w:val="7DE540A5"/>
    <w:rsid w:val="7DEB42A4"/>
    <w:rsid w:val="7DEE242C"/>
    <w:rsid w:val="7DFD162B"/>
    <w:rsid w:val="7E00023B"/>
    <w:rsid w:val="7E215844"/>
    <w:rsid w:val="7E257303"/>
    <w:rsid w:val="7E2F1D63"/>
    <w:rsid w:val="7E324F12"/>
    <w:rsid w:val="7E3E25FC"/>
    <w:rsid w:val="7E5D031B"/>
    <w:rsid w:val="7E5D7D7C"/>
    <w:rsid w:val="7E77336B"/>
    <w:rsid w:val="7E7919BB"/>
    <w:rsid w:val="7E80385D"/>
    <w:rsid w:val="7E8D210F"/>
    <w:rsid w:val="7E927E46"/>
    <w:rsid w:val="7E9B1888"/>
    <w:rsid w:val="7EA877E8"/>
    <w:rsid w:val="7EAE38CB"/>
    <w:rsid w:val="7EAE6604"/>
    <w:rsid w:val="7EC24CC4"/>
    <w:rsid w:val="7EC4287D"/>
    <w:rsid w:val="7ED6144B"/>
    <w:rsid w:val="7EE55959"/>
    <w:rsid w:val="7F091655"/>
    <w:rsid w:val="7F146F18"/>
    <w:rsid w:val="7F1B192D"/>
    <w:rsid w:val="7F300CEC"/>
    <w:rsid w:val="7F437511"/>
    <w:rsid w:val="7F610FB3"/>
    <w:rsid w:val="7F642801"/>
    <w:rsid w:val="7F967944"/>
    <w:rsid w:val="7FAD4ED8"/>
    <w:rsid w:val="7FC51D4D"/>
    <w:rsid w:val="7FD8778E"/>
    <w:rsid w:val="7FEB2083"/>
    <w:rsid w:val="7FFA22C6"/>
    <w:rsid w:val="7FFE2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nhideWhenUsed="0"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99" w:semiHidden="0" w:name="footnote text"/>
    <w:lsdException w:qFormat="1" w:uiPriority="0"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semiHidden="0" w:name="footnote reference"/>
    <w:lsdException w:uiPriority="0" w:semiHidden="0" w:name="annotation reference"/>
    <w:lsdException w:uiPriority="99" w:name="line number"/>
    <w:lsdException w:unhideWhenUsed="0" w:uiPriority="0" w:semiHidden="0" w:name="page number"/>
    <w:lsdException w:uiPriority="99" w:semiHidden="0" w:name="endnote reference"/>
    <w:lsdException w:uiPriority="99" w:semiHidden="0" w:name="endnote text"/>
    <w:lsdException w:qFormat="1" w:uiPriority="99" w:semiHidden="0" w:name="table of authorities"/>
    <w:lsdException w:uiPriority="99" w:name="macro"/>
    <w:lsdException w:uiPriority="99" w:name="toa heading"/>
    <w:lsdException w:unhideWhenUsed="0" w:uiPriority="0" w:semiHidden="0" w:name="List"/>
    <w:lsdException w:uiPriority="99" w:name="List Bullet"/>
    <w:lsdException w:unhideWhenUsed="0" w:uiPriority="0" w:semiHidden="0"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semiHidden="0" w:name="HTML Keyboard"/>
    <w:lsdException w:uiPriority="99" w:name="HTML Preformatted"/>
    <w:lsdException w:uiPriority="99" w:semiHidden="0" w:name="HTML Sample"/>
    <w:lsdException w:uiPriority="99" w:semiHidden="0" w:name="HTML Typewriter"/>
    <w:lsdException w:uiPriority="99" w:semiHidden="0"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1"/>
    <w:qFormat/>
    <w:uiPriority w:val="0"/>
    <w:pPr>
      <w:keepNext/>
      <w:keepLines/>
      <w:spacing w:before="260" w:after="260" w:line="416" w:lineRule="auto"/>
      <w:outlineLvl w:val="2"/>
    </w:pPr>
    <w:rPr>
      <w:b/>
      <w:bCs/>
      <w:kern w:val="0"/>
      <w:sz w:val="32"/>
      <w:szCs w:val="32"/>
    </w:rPr>
  </w:style>
  <w:style w:type="paragraph" w:styleId="5">
    <w:name w:val="heading 4"/>
    <w:basedOn w:val="1"/>
    <w:next w:val="6"/>
    <w:qFormat/>
    <w:uiPriority w:val="9"/>
    <w:pPr>
      <w:keepNext/>
      <w:keepLines/>
      <w:widowControl/>
      <w:spacing w:before="120" w:after="120" w:line="360" w:lineRule="auto"/>
      <w:jc w:val="center"/>
      <w:outlineLvl w:val="3"/>
    </w:pPr>
    <w:rPr>
      <w:rFonts w:ascii="Times New Roman" w:hAnsi="Times New Roman" w:eastAsia="Ђˎ̥" w:cs="Times New Roman"/>
      <w:kern w:val="0"/>
      <w:sz w:val="28"/>
      <w:szCs w:val="20"/>
    </w:rPr>
  </w:style>
  <w:style w:type="paragraph" w:styleId="7">
    <w:name w:val="heading 5"/>
    <w:basedOn w:val="1"/>
    <w:next w:val="6"/>
    <w:link w:val="72"/>
    <w:qFormat/>
    <w:uiPriority w:val="0"/>
    <w:pPr>
      <w:keepNext/>
      <w:keepLines/>
      <w:numPr>
        <w:ilvl w:val="4"/>
        <w:numId w:val="1"/>
      </w:numPr>
      <w:spacing w:before="280" w:after="290" w:line="376" w:lineRule="auto"/>
      <w:outlineLvl w:val="4"/>
    </w:pPr>
    <w:rPr>
      <w:b/>
      <w:sz w:val="28"/>
    </w:rPr>
  </w:style>
  <w:style w:type="paragraph" w:styleId="8">
    <w:name w:val="heading 6"/>
    <w:basedOn w:val="1"/>
    <w:next w:val="6"/>
    <w:link w:val="7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6"/>
    <w:link w:val="74"/>
    <w:qFormat/>
    <w:uiPriority w:val="0"/>
    <w:pPr>
      <w:keepNext/>
      <w:keepLines/>
      <w:numPr>
        <w:ilvl w:val="6"/>
        <w:numId w:val="1"/>
      </w:numPr>
      <w:spacing w:before="240" w:after="64" w:line="320" w:lineRule="auto"/>
      <w:outlineLvl w:val="6"/>
    </w:pPr>
    <w:rPr>
      <w:b/>
      <w:sz w:val="24"/>
    </w:rPr>
  </w:style>
  <w:style w:type="paragraph" w:styleId="10">
    <w:name w:val="heading 8"/>
    <w:basedOn w:val="1"/>
    <w:next w:val="6"/>
    <w:link w:val="7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6"/>
    <w:link w:val="76"/>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unhideWhenUsed/>
    <w:uiPriority w:val="1"/>
  </w:style>
  <w:style w:type="table" w:default="1" w:styleId="50">
    <w:name w:val="Normal Table"/>
    <w:unhideWhenUsed/>
    <w:qFormat/>
    <w:uiPriority w:val="99"/>
    <w:tblPr>
      <w:tblStyle w:val="50"/>
      <w:tblCellMar>
        <w:top w:w="0" w:type="dxa"/>
        <w:left w:w="108" w:type="dxa"/>
        <w:bottom w:w="0" w:type="dxa"/>
        <w:right w:w="108" w:type="dxa"/>
      </w:tblCellMar>
    </w:tblPr>
  </w:style>
  <w:style w:type="paragraph" w:styleId="6">
    <w:name w:val="Normal Indent"/>
    <w:basedOn w:val="1"/>
    <w:uiPriority w:val="0"/>
    <w:pPr>
      <w:ind w:firstLine="420"/>
    </w:pPr>
    <w:rPr>
      <w:szCs w:val="20"/>
    </w:rPr>
  </w:style>
  <w:style w:type="paragraph" w:styleId="12">
    <w:name w:val="toc 7"/>
    <w:basedOn w:val="1"/>
    <w:next w:val="1"/>
    <w:unhideWhenUsed/>
    <w:uiPriority w:val="39"/>
    <w:pPr>
      <w:ind w:left="2520" w:leftChars="1200"/>
    </w:pPr>
    <w:rPr>
      <w:rFonts w:ascii="Calibri" w:hAnsi="Calibri" w:eastAsia="宋体" w:cs="Times New Roman"/>
      <w:szCs w:val="22"/>
    </w:rPr>
  </w:style>
  <w:style w:type="paragraph" w:styleId="13">
    <w:name w:val="table of authorities"/>
    <w:basedOn w:val="1"/>
    <w:next w:val="1"/>
    <w:unhideWhenUsed/>
    <w:qFormat/>
    <w:uiPriority w:val="99"/>
    <w:pPr>
      <w:ind w:left="420" w:leftChars="200"/>
    </w:pPr>
  </w:style>
  <w:style w:type="paragraph" w:styleId="14">
    <w:name w:val="index 8"/>
    <w:basedOn w:val="1"/>
    <w:next w:val="1"/>
    <w:qFormat/>
    <w:uiPriority w:val="0"/>
    <w:pPr>
      <w:ind w:left="2940"/>
    </w:pPr>
  </w:style>
  <w:style w:type="paragraph" w:styleId="15">
    <w:name w:val="List Number"/>
    <w:basedOn w:val="1"/>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7"/>
    <w:unhideWhenUsed/>
    <w:uiPriority w:val="0"/>
    <w:pPr>
      <w:shd w:val="clear" w:color="auto" w:fill="000080"/>
    </w:pPr>
    <w:rPr>
      <w:rFonts w:hint="eastAsia" w:ascii="宋体" w:hAnsi="宋体"/>
      <w:kern w:val="0"/>
      <w:sz w:val="20"/>
      <w:szCs w:val="20"/>
    </w:rPr>
  </w:style>
  <w:style w:type="paragraph" w:styleId="18">
    <w:name w:val="annotation text"/>
    <w:basedOn w:val="1"/>
    <w:link w:val="78"/>
    <w:unhideWhenUsed/>
    <w:qFormat/>
    <w:uiPriority w:val="0"/>
    <w:pPr>
      <w:jc w:val="left"/>
    </w:pPr>
  </w:style>
  <w:style w:type="paragraph" w:styleId="19">
    <w:name w:val="Body Text 3"/>
    <w:basedOn w:val="1"/>
    <w:link w:val="79"/>
    <w:uiPriority w:val="0"/>
    <w:pPr>
      <w:spacing w:line="500" w:lineRule="exact"/>
    </w:pPr>
    <w:rPr>
      <w:b/>
      <w:bCs/>
      <w:kern w:val="0"/>
      <w:sz w:val="24"/>
    </w:rPr>
  </w:style>
  <w:style w:type="paragraph" w:styleId="20">
    <w:name w:val="Body Text"/>
    <w:basedOn w:val="1"/>
    <w:link w:val="80"/>
    <w:qFormat/>
    <w:uiPriority w:val="99"/>
    <w:pPr>
      <w:spacing w:line="380" w:lineRule="exact"/>
    </w:pPr>
    <w:rPr>
      <w:kern w:val="0"/>
      <w:sz w:val="24"/>
    </w:rPr>
  </w:style>
  <w:style w:type="paragraph" w:styleId="21">
    <w:name w:val="Body Text Indent"/>
    <w:basedOn w:val="1"/>
    <w:link w:val="81"/>
    <w:uiPriority w:val="0"/>
    <w:pPr>
      <w:ind w:firstLine="830" w:firstLineChars="352"/>
    </w:pPr>
    <w:rPr>
      <w:rFonts w:ascii="仿宋_GB2312" w:eastAsia="仿宋_GB2312"/>
      <w:kern w:val="0"/>
      <w:sz w:val="32"/>
      <w:szCs w:val="20"/>
    </w:rPr>
  </w:style>
  <w:style w:type="paragraph" w:styleId="22">
    <w:name w:val="List Number 3"/>
    <w:basedOn w:val="1"/>
    <w:uiPriority w:val="0"/>
    <w:pPr>
      <w:numPr>
        <w:ilvl w:val="0"/>
        <w:numId w:val="2"/>
      </w:numPr>
    </w:pPr>
  </w:style>
  <w:style w:type="paragraph" w:styleId="23">
    <w:name w:val="List 2"/>
    <w:basedOn w:val="1"/>
    <w:uiPriority w:val="0"/>
    <w:pPr>
      <w:ind w:left="100" w:leftChars="200" w:hanging="200" w:hangingChars="200"/>
    </w:pPr>
    <w:rPr>
      <w:sz w:val="28"/>
    </w:rPr>
  </w:style>
  <w:style w:type="paragraph" w:styleId="24">
    <w:name w:val="toc 5"/>
    <w:basedOn w:val="1"/>
    <w:next w:val="1"/>
    <w:unhideWhenUsed/>
    <w:uiPriority w:val="39"/>
    <w:pPr>
      <w:ind w:left="1680" w:leftChars="800"/>
    </w:pPr>
    <w:rPr>
      <w:rFonts w:ascii="Calibri" w:hAnsi="Calibri" w:eastAsia="宋体" w:cs="Times New Roman"/>
      <w:szCs w:val="22"/>
    </w:rPr>
  </w:style>
  <w:style w:type="paragraph" w:styleId="25">
    <w:name w:val="toc 3"/>
    <w:basedOn w:val="1"/>
    <w:next w:val="1"/>
    <w:unhideWhenUsed/>
    <w:uiPriority w:val="39"/>
    <w:pPr>
      <w:ind w:left="840" w:leftChars="400"/>
    </w:pPr>
    <w:rPr>
      <w:rFonts w:ascii="Calibri" w:hAnsi="Calibri" w:eastAsia="宋体" w:cs="Times New Roman"/>
      <w:szCs w:val="22"/>
    </w:rPr>
  </w:style>
  <w:style w:type="paragraph" w:styleId="26">
    <w:name w:val="Plain Text"/>
    <w:basedOn w:val="1"/>
    <w:link w:val="82"/>
    <w:qFormat/>
    <w:uiPriority w:val="0"/>
    <w:rPr>
      <w:rFonts w:ascii="宋体" w:hAnsi="Courier New"/>
      <w:kern w:val="0"/>
      <w:sz w:val="20"/>
      <w:szCs w:val="21"/>
    </w:rPr>
  </w:style>
  <w:style w:type="paragraph" w:styleId="27">
    <w:name w:val="toc 8"/>
    <w:basedOn w:val="1"/>
    <w:next w:val="1"/>
    <w:unhideWhenUsed/>
    <w:uiPriority w:val="39"/>
    <w:pPr>
      <w:ind w:left="2940" w:leftChars="1400"/>
    </w:pPr>
    <w:rPr>
      <w:rFonts w:ascii="Calibri" w:hAnsi="Calibri" w:eastAsia="宋体" w:cs="Times New Roman"/>
      <w:szCs w:val="22"/>
    </w:rPr>
  </w:style>
  <w:style w:type="paragraph" w:styleId="28">
    <w:name w:val="Date"/>
    <w:basedOn w:val="1"/>
    <w:next w:val="1"/>
    <w:link w:val="83"/>
    <w:uiPriority w:val="0"/>
    <w:pPr>
      <w:ind w:left="100" w:leftChars="2500"/>
    </w:pPr>
    <w:rPr>
      <w:rFonts w:ascii="宋体" w:hAnsi="Courier New"/>
      <w:kern w:val="0"/>
      <w:sz w:val="20"/>
      <w:szCs w:val="21"/>
    </w:rPr>
  </w:style>
  <w:style w:type="paragraph" w:styleId="29">
    <w:name w:val="Body Text Indent 2"/>
    <w:basedOn w:val="1"/>
    <w:link w:val="84"/>
    <w:uiPriority w:val="0"/>
    <w:pPr>
      <w:ind w:firstLine="630"/>
    </w:pPr>
    <w:rPr>
      <w:kern w:val="0"/>
      <w:sz w:val="32"/>
      <w:szCs w:val="20"/>
    </w:rPr>
  </w:style>
  <w:style w:type="paragraph" w:styleId="30">
    <w:name w:val="endnote text"/>
    <w:basedOn w:val="1"/>
    <w:link w:val="85"/>
    <w:unhideWhenUsed/>
    <w:uiPriority w:val="99"/>
    <w:pPr>
      <w:snapToGrid w:val="0"/>
      <w:jc w:val="left"/>
    </w:pPr>
  </w:style>
  <w:style w:type="paragraph" w:styleId="31">
    <w:name w:val="Balloon Text"/>
    <w:basedOn w:val="1"/>
    <w:link w:val="86"/>
    <w:semiHidden/>
    <w:uiPriority w:val="0"/>
    <w:rPr>
      <w:kern w:val="0"/>
      <w:sz w:val="18"/>
      <w:szCs w:val="18"/>
    </w:rPr>
  </w:style>
  <w:style w:type="paragraph" w:styleId="32">
    <w:name w:val="footer"/>
    <w:basedOn w:val="1"/>
    <w:link w:val="87"/>
    <w:unhideWhenUsed/>
    <w:uiPriority w:val="99"/>
    <w:pPr>
      <w:tabs>
        <w:tab w:val="center" w:pos="4153"/>
        <w:tab w:val="right" w:pos="8306"/>
      </w:tabs>
      <w:snapToGrid w:val="0"/>
      <w:jc w:val="left"/>
    </w:pPr>
    <w:rPr>
      <w:kern w:val="0"/>
      <w:sz w:val="18"/>
      <w:szCs w:val="18"/>
    </w:rPr>
  </w:style>
  <w:style w:type="paragraph" w:styleId="33">
    <w:name w:val="envelope return"/>
    <w:basedOn w:val="1"/>
    <w:qFormat/>
    <w:uiPriority w:val="99"/>
    <w:rPr>
      <w:rFonts w:ascii="Arial" w:hAnsi="Arial" w:cs="Arial"/>
      <w:kern w:val="1"/>
    </w:rPr>
  </w:style>
  <w:style w:type="paragraph" w:styleId="34">
    <w:name w:val="header"/>
    <w:basedOn w:val="1"/>
    <w:link w:val="88"/>
    <w:unhideWhenUsed/>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uiPriority w:val="39"/>
    <w:pPr>
      <w:tabs>
        <w:tab w:val="right" w:leader="dot" w:pos="8398"/>
      </w:tabs>
      <w:spacing w:before="120" w:after="120"/>
      <w:ind w:firstLine="240" w:firstLineChars="100"/>
      <w:jc w:val="left"/>
    </w:pPr>
    <w:rPr>
      <w:rFonts w:ascii="宋体" w:hAnsi="宋体"/>
      <w:b/>
      <w:bCs/>
      <w:caps/>
      <w:sz w:val="24"/>
      <w:lang/>
    </w:rPr>
  </w:style>
  <w:style w:type="paragraph" w:styleId="36">
    <w:name w:val="toc 4"/>
    <w:basedOn w:val="1"/>
    <w:next w:val="1"/>
    <w:unhideWhenUsed/>
    <w:uiPriority w:val="39"/>
    <w:pPr>
      <w:ind w:left="1260" w:leftChars="600"/>
    </w:pPr>
    <w:rPr>
      <w:rFonts w:ascii="Calibri" w:hAnsi="Calibri" w:eastAsia="宋体" w:cs="Times New Roman"/>
      <w:szCs w:val="22"/>
    </w:rPr>
  </w:style>
  <w:style w:type="paragraph" w:styleId="37">
    <w:name w:val="List"/>
    <w:basedOn w:val="1"/>
    <w:uiPriority w:val="0"/>
    <w:pPr>
      <w:ind w:left="200" w:hanging="200" w:hangingChars="200"/>
    </w:pPr>
    <w:rPr>
      <w:sz w:val="28"/>
    </w:rPr>
  </w:style>
  <w:style w:type="paragraph" w:styleId="38">
    <w:name w:val="footnote text"/>
    <w:basedOn w:val="1"/>
    <w:link w:val="89"/>
    <w:unhideWhenUsed/>
    <w:uiPriority w:val="99"/>
    <w:pPr>
      <w:snapToGrid w:val="0"/>
      <w:jc w:val="left"/>
    </w:pPr>
    <w:rPr>
      <w:sz w:val="18"/>
      <w:szCs w:val="18"/>
    </w:rPr>
  </w:style>
  <w:style w:type="paragraph" w:styleId="39">
    <w:name w:val="toc 6"/>
    <w:basedOn w:val="1"/>
    <w:next w:val="1"/>
    <w:unhideWhenUsed/>
    <w:uiPriority w:val="39"/>
    <w:pPr>
      <w:ind w:left="2100" w:leftChars="1000"/>
    </w:pPr>
    <w:rPr>
      <w:rFonts w:ascii="Calibri" w:hAnsi="Calibri" w:eastAsia="宋体" w:cs="Times New Roman"/>
      <w:szCs w:val="22"/>
    </w:rPr>
  </w:style>
  <w:style w:type="paragraph" w:styleId="40">
    <w:name w:val="Body Text Indent 3"/>
    <w:basedOn w:val="1"/>
    <w:link w:val="90"/>
    <w:uiPriority w:val="0"/>
    <w:pPr>
      <w:spacing w:after="120"/>
      <w:ind w:left="420" w:leftChars="200"/>
    </w:pPr>
    <w:rPr>
      <w:kern w:val="0"/>
      <w:sz w:val="16"/>
      <w:szCs w:val="16"/>
    </w:rPr>
  </w:style>
  <w:style w:type="paragraph" w:styleId="41">
    <w:name w:val="toc 2"/>
    <w:basedOn w:val="1"/>
    <w:next w:val="1"/>
    <w:unhideWhenUsed/>
    <w:uiPriority w:val="39"/>
    <w:pPr>
      <w:ind w:left="420" w:leftChars="200"/>
    </w:pPr>
  </w:style>
  <w:style w:type="paragraph" w:styleId="42">
    <w:name w:val="toc 9"/>
    <w:basedOn w:val="1"/>
    <w:next w:val="1"/>
    <w:unhideWhenUsed/>
    <w:uiPriority w:val="39"/>
    <w:pPr>
      <w:ind w:left="3360" w:leftChars="1600"/>
    </w:pPr>
    <w:rPr>
      <w:rFonts w:ascii="Calibri" w:hAnsi="Calibri" w:eastAsia="宋体" w:cs="Times New Roman"/>
      <w:szCs w:val="22"/>
    </w:rPr>
  </w:style>
  <w:style w:type="paragraph" w:styleId="43">
    <w:name w:val="Body Text 2"/>
    <w:basedOn w:val="1"/>
    <w:link w:val="91"/>
    <w:uiPriority w:val="0"/>
    <w:pPr>
      <w:spacing w:after="120" w:line="480" w:lineRule="auto"/>
    </w:pPr>
    <w:rPr>
      <w:kern w:val="0"/>
      <w:sz w:val="20"/>
    </w:rPr>
  </w:style>
  <w:style w:type="paragraph" w:styleId="44">
    <w:name w:val="Normal (Web)"/>
    <w:basedOn w:val="1"/>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uiPriority w:val="0"/>
    <w:pPr>
      <w:spacing w:line="400" w:lineRule="exact"/>
      <w:ind w:firstLine="420" w:firstLineChars="200"/>
    </w:pPr>
    <w:rPr>
      <w:rFonts w:ascii="宋体" w:hAnsi="Courier New"/>
      <w:b/>
      <w:szCs w:val="20"/>
    </w:rPr>
  </w:style>
  <w:style w:type="paragraph" w:styleId="46">
    <w:name w:val="Title"/>
    <w:basedOn w:val="1"/>
    <w:next w:val="1"/>
    <w:link w:val="92"/>
    <w:qFormat/>
    <w:uiPriority w:val="10"/>
    <w:pPr>
      <w:spacing w:before="240" w:after="60"/>
      <w:jc w:val="center"/>
      <w:outlineLvl w:val="0"/>
    </w:pPr>
    <w:rPr>
      <w:rFonts w:ascii="Cambria" w:hAnsi="Cambria"/>
      <w:b/>
      <w:bCs/>
      <w:sz w:val="32"/>
      <w:szCs w:val="32"/>
    </w:rPr>
  </w:style>
  <w:style w:type="paragraph" w:styleId="47">
    <w:name w:val="annotation subject"/>
    <w:basedOn w:val="18"/>
    <w:next w:val="18"/>
    <w:link w:val="93"/>
    <w:unhideWhenUsed/>
    <w:uiPriority w:val="99"/>
    <w:rPr>
      <w:b/>
      <w:bCs/>
    </w:rPr>
  </w:style>
  <w:style w:type="paragraph" w:styleId="48">
    <w:name w:val="Body Text First Indent"/>
    <w:basedOn w:val="20"/>
    <w:next w:val="1"/>
    <w:qFormat/>
    <w:uiPriority w:val="0"/>
    <w:pPr>
      <w:ind w:firstLine="420" w:firstLineChars="100"/>
    </w:pPr>
  </w:style>
  <w:style w:type="paragraph" w:styleId="49">
    <w:name w:val="Body Text First Indent 2"/>
    <w:basedOn w:val="21"/>
    <w:next w:val="6"/>
    <w:qFormat/>
    <w:uiPriority w:val="0"/>
    <w:pPr>
      <w:spacing w:after="120" w:afterLines="0" w:line="240" w:lineRule="auto"/>
      <w:ind w:left="420" w:leftChars="200" w:firstLine="420"/>
    </w:pPr>
    <w:rPr>
      <w:sz w:val="21"/>
    </w:rPr>
  </w:style>
  <w:style w:type="table" w:styleId="51">
    <w:name w:val="Table Grid"/>
    <w:basedOn w:val="50"/>
    <w:uiPriority w:val="0"/>
    <w:pPr>
      <w:widowControl w:val="0"/>
      <w:jc w:val="both"/>
    </w:pPr>
    <w:rPr>
      <w:rFonts w:ascii="Times New Roman" w:hAnsi="Times New Roman" w:eastAsia="宋体" w:cs="Times New Roman"/>
      <w:kern w:val="0"/>
      <w:sz w:val="20"/>
      <w:szCs w:val="20"/>
    </w:rPr>
    <w:tblPr>
      <w:tblStyle w:val="5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endnote reference"/>
    <w:unhideWhenUsed/>
    <w:uiPriority w:val="99"/>
    <w:rPr>
      <w:vertAlign w:val="superscript"/>
    </w:rPr>
  </w:style>
  <w:style w:type="character" w:styleId="55">
    <w:name w:val="page number"/>
    <w:uiPriority w:val="0"/>
  </w:style>
  <w:style w:type="character" w:styleId="56">
    <w:name w:val="FollowedHyperlink"/>
    <w:uiPriority w:val="0"/>
    <w:rPr>
      <w:color w:val="000000"/>
      <w:u w:val="none"/>
    </w:rPr>
  </w:style>
  <w:style w:type="character" w:styleId="57">
    <w:name w:val="Emphasis"/>
    <w:basedOn w:val="52"/>
    <w:qFormat/>
    <w:uiPriority w:val="20"/>
  </w:style>
  <w:style w:type="character" w:styleId="58">
    <w:name w:val="HTML Definition"/>
    <w:basedOn w:val="52"/>
    <w:unhideWhenUsed/>
    <w:uiPriority w:val="99"/>
  </w:style>
  <w:style w:type="character" w:styleId="59">
    <w:name w:val="HTML Typewriter"/>
    <w:basedOn w:val="52"/>
    <w:unhideWhenUsed/>
    <w:uiPriority w:val="99"/>
    <w:rPr>
      <w:rFonts w:hint="default" w:ascii="monospace" w:hAnsi="monospace" w:eastAsia="monospace" w:cs="monospace"/>
      <w:sz w:val="20"/>
    </w:rPr>
  </w:style>
  <w:style w:type="character" w:styleId="60">
    <w:name w:val="HTML Acronym"/>
    <w:basedOn w:val="52"/>
    <w:unhideWhenUsed/>
    <w:uiPriority w:val="99"/>
  </w:style>
  <w:style w:type="character" w:styleId="61">
    <w:name w:val="HTML Variable"/>
    <w:basedOn w:val="52"/>
    <w:unhideWhenUsed/>
    <w:uiPriority w:val="99"/>
  </w:style>
  <w:style w:type="character" w:styleId="62">
    <w:name w:val="Hyperlink"/>
    <w:uiPriority w:val="99"/>
    <w:rPr>
      <w:color w:val="000000"/>
      <w:u w:val="none"/>
    </w:rPr>
  </w:style>
  <w:style w:type="character" w:styleId="63">
    <w:name w:val="HTML Code"/>
    <w:basedOn w:val="52"/>
    <w:unhideWhenUsed/>
    <w:uiPriority w:val="99"/>
    <w:rPr>
      <w:rFonts w:hint="default" w:ascii="monospace" w:hAnsi="monospace" w:eastAsia="monospace" w:cs="monospace"/>
      <w:sz w:val="20"/>
    </w:rPr>
  </w:style>
  <w:style w:type="character" w:styleId="64">
    <w:name w:val="annotation reference"/>
    <w:unhideWhenUsed/>
    <w:uiPriority w:val="0"/>
    <w:rPr>
      <w:sz w:val="21"/>
      <w:szCs w:val="21"/>
    </w:rPr>
  </w:style>
  <w:style w:type="character" w:styleId="65">
    <w:name w:val="HTML Cite"/>
    <w:basedOn w:val="52"/>
    <w:unhideWhenUsed/>
    <w:uiPriority w:val="99"/>
  </w:style>
  <w:style w:type="character" w:styleId="66">
    <w:name w:val="footnote reference"/>
    <w:unhideWhenUsed/>
    <w:uiPriority w:val="99"/>
    <w:rPr>
      <w:vertAlign w:val="superscript"/>
    </w:rPr>
  </w:style>
  <w:style w:type="character" w:styleId="67">
    <w:name w:val="HTML Keyboard"/>
    <w:basedOn w:val="52"/>
    <w:unhideWhenUsed/>
    <w:uiPriority w:val="99"/>
    <w:rPr>
      <w:rFonts w:hint="default" w:ascii="monospace" w:hAnsi="monospace" w:eastAsia="monospace" w:cs="monospace"/>
      <w:sz w:val="20"/>
    </w:rPr>
  </w:style>
  <w:style w:type="character" w:styleId="68">
    <w:name w:val="HTML Sample"/>
    <w:basedOn w:val="52"/>
    <w:unhideWhenUsed/>
    <w:uiPriority w:val="99"/>
    <w:rPr>
      <w:rFonts w:ascii="monospace" w:hAnsi="monospace" w:eastAsia="monospace" w:cs="monospace"/>
    </w:rPr>
  </w:style>
  <w:style w:type="character" w:customStyle="1" w:styleId="69">
    <w:name w:val="标题 1 Char"/>
    <w:link w:val="2"/>
    <w:uiPriority w:val="0"/>
    <w:rPr>
      <w:rFonts w:ascii="Times New Roman" w:hAnsi="Times New Roman" w:eastAsia="宋体" w:cs="Times New Roman"/>
      <w:b/>
      <w:bCs/>
      <w:kern w:val="44"/>
      <w:sz w:val="44"/>
      <w:szCs w:val="44"/>
    </w:rPr>
  </w:style>
  <w:style w:type="character" w:customStyle="1" w:styleId="70">
    <w:name w:val="标题 2 Char"/>
    <w:link w:val="3"/>
    <w:uiPriority w:val="0"/>
    <w:rPr>
      <w:rFonts w:ascii="Arial" w:hAnsi="Arial" w:eastAsia="黑体" w:cs="Times New Roman"/>
      <w:b/>
      <w:bCs/>
      <w:sz w:val="32"/>
      <w:szCs w:val="32"/>
    </w:rPr>
  </w:style>
  <w:style w:type="character" w:customStyle="1" w:styleId="71">
    <w:name w:val="标题 3 Char"/>
    <w:link w:val="4"/>
    <w:uiPriority w:val="0"/>
    <w:rPr>
      <w:rFonts w:ascii="Times New Roman" w:hAnsi="Times New Roman" w:eastAsia="宋体" w:cs="Times New Roman"/>
      <w:b/>
      <w:bCs/>
      <w:sz w:val="32"/>
      <w:szCs w:val="32"/>
    </w:rPr>
  </w:style>
  <w:style w:type="character" w:customStyle="1" w:styleId="72">
    <w:name w:val="标题 5 Char1"/>
    <w:link w:val="7"/>
    <w:uiPriority w:val="0"/>
    <w:rPr>
      <w:b/>
      <w:kern w:val="2"/>
      <w:sz w:val="28"/>
      <w:szCs w:val="24"/>
    </w:rPr>
  </w:style>
  <w:style w:type="character" w:customStyle="1" w:styleId="73">
    <w:name w:val="标题 6 Char"/>
    <w:link w:val="8"/>
    <w:uiPriority w:val="0"/>
    <w:rPr>
      <w:rFonts w:ascii="Arial" w:hAnsi="Arial" w:eastAsia="黑体"/>
      <w:b/>
      <w:kern w:val="2"/>
      <w:sz w:val="24"/>
      <w:szCs w:val="24"/>
    </w:rPr>
  </w:style>
  <w:style w:type="character" w:customStyle="1" w:styleId="74">
    <w:name w:val="标题 7 Char"/>
    <w:link w:val="9"/>
    <w:uiPriority w:val="0"/>
    <w:rPr>
      <w:rFonts w:ascii="Times New Roman" w:hAnsi="Times New Roman"/>
      <w:b/>
      <w:kern w:val="2"/>
      <w:sz w:val="24"/>
      <w:szCs w:val="24"/>
    </w:rPr>
  </w:style>
  <w:style w:type="character" w:customStyle="1" w:styleId="75">
    <w:name w:val="标题 8 Char"/>
    <w:link w:val="10"/>
    <w:uiPriority w:val="0"/>
    <w:rPr>
      <w:rFonts w:ascii="Arial" w:hAnsi="Arial" w:eastAsia="黑体"/>
      <w:kern w:val="2"/>
      <w:sz w:val="24"/>
      <w:szCs w:val="24"/>
    </w:rPr>
  </w:style>
  <w:style w:type="character" w:customStyle="1" w:styleId="76">
    <w:name w:val="标题 9 Char"/>
    <w:link w:val="11"/>
    <w:uiPriority w:val="0"/>
    <w:rPr>
      <w:rFonts w:ascii="Arial" w:hAnsi="Arial" w:eastAsia="黑体"/>
      <w:kern w:val="2"/>
      <w:sz w:val="21"/>
      <w:szCs w:val="24"/>
    </w:rPr>
  </w:style>
  <w:style w:type="character" w:customStyle="1" w:styleId="77">
    <w:name w:val="文档结构图 Char"/>
    <w:link w:val="17"/>
    <w:uiPriority w:val="0"/>
    <w:rPr>
      <w:rFonts w:hint="eastAsia" w:ascii="宋体" w:hAnsi="宋体" w:eastAsia="宋体" w:cs="宋体"/>
    </w:rPr>
  </w:style>
  <w:style w:type="character" w:customStyle="1" w:styleId="78">
    <w:name w:val="批注文字 Char2"/>
    <w:link w:val="18"/>
    <w:uiPriority w:val="0"/>
    <w:rPr>
      <w:rFonts w:ascii="Times New Roman" w:hAnsi="Times New Roman"/>
      <w:kern w:val="2"/>
      <w:sz w:val="21"/>
      <w:szCs w:val="24"/>
    </w:rPr>
  </w:style>
  <w:style w:type="character" w:customStyle="1" w:styleId="79">
    <w:name w:val="正文文本 3 Char"/>
    <w:link w:val="19"/>
    <w:uiPriority w:val="0"/>
    <w:rPr>
      <w:rFonts w:ascii="Times New Roman" w:hAnsi="Times New Roman" w:eastAsia="宋体" w:cs="Times New Roman"/>
      <w:b/>
      <w:bCs/>
      <w:sz w:val="24"/>
      <w:szCs w:val="24"/>
    </w:rPr>
  </w:style>
  <w:style w:type="character" w:customStyle="1" w:styleId="80">
    <w:name w:val="正文文本 Char"/>
    <w:link w:val="20"/>
    <w:uiPriority w:val="99"/>
    <w:rPr>
      <w:rFonts w:ascii="Times New Roman" w:hAnsi="Times New Roman" w:eastAsia="宋体" w:cs="Times New Roman"/>
      <w:sz w:val="24"/>
      <w:szCs w:val="24"/>
    </w:rPr>
  </w:style>
  <w:style w:type="character" w:customStyle="1" w:styleId="81">
    <w:name w:val="正文文本缩进 Char"/>
    <w:link w:val="21"/>
    <w:uiPriority w:val="0"/>
    <w:rPr>
      <w:rFonts w:ascii="仿宋_GB2312" w:hAnsi="Times New Roman" w:eastAsia="仿宋_GB2312" w:cs="Times New Roman"/>
      <w:sz w:val="32"/>
      <w:szCs w:val="20"/>
    </w:rPr>
  </w:style>
  <w:style w:type="character" w:customStyle="1" w:styleId="82">
    <w:name w:val="纯文本 Char1"/>
    <w:aliases w:val="普通文字 Char1,纯文本 Char Char Char1,纯文本 Char Char2,普通文字 Char Char Char,正 文 1 Char,普通文字1 Char,普通文字2 Char,普通文字3 Char,普通文字4 Char,普通文字5 Char,普通文字6 Char,普通文字11 Char,普通文字31 Char,普通文字41 Char,普通文字7 Char,纯文本 Char1 Char Char Char"/>
    <w:link w:val="26"/>
    <w:qFormat/>
    <w:uiPriority w:val="0"/>
    <w:rPr>
      <w:rFonts w:ascii="宋体" w:hAnsi="Courier New" w:eastAsia="宋体" w:cs="Courier New"/>
      <w:szCs w:val="21"/>
    </w:rPr>
  </w:style>
  <w:style w:type="character" w:customStyle="1" w:styleId="83">
    <w:name w:val="日期 Char"/>
    <w:link w:val="28"/>
    <w:uiPriority w:val="0"/>
    <w:rPr>
      <w:rFonts w:ascii="宋体" w:hAnsi="Courier New" w:eastAsia="宋体" w:cs="Courier New"/>
      <w:szCs w:val="21"/>
    </w:rPr>
  </w:style>
  <w:style w:type="character" w:customStyle="1" w:styleId="84">
    <w:name w:val="正文文本缩进 2 Char"/>
    <w:link w:val="29"/>
    <w:uiPriority w:val="0"/>
    <w:rPr>
      <w:rFonts w:ascii="Times New Roman" w:hAnsi="Times New Roman" w:eastAsia="宋体" w:cs="Times New Roman"/>
      <w:sz w:val="32"/>
      <w:szCs w:val="20"/>
    </w:rPr>
  </w:style>
  <w:style w:type="character" w:customStyle="1" w:styleId="85">
    <w:name w:val="尾注文本 Char"/>
    <w:link w:val="30"/>
    <w:semiHidden/>
    <w:uiPriority w:val="99"/>
    <w:rPr>
      <w:rFonts w:ascii="Times New Roman" w:hAnsi="Times New Roman"/>
      <w:kern w:val="2"/>
      <w:sz w:val="21"/>
      <w:szCs w:val="24"/>
    </w:rPr>
  </w:style>
  <w:style w:type="character" w:customStyle="1" w:styleId="86">
    <w:name w:val="批注框文本 Char"/>
    <w:link w:val="31"/>
    <w:semiHidden/>
    <w:uiPriority w:val="0"/>
    <w:rPr>
      <w:rFonts w:ascii="Times New Roman" w:hAnsi="Times New Roman" w:eastAsia="宋体" w:cs="Times New Roman"/>
      <w:sz w:val="18"/>
      <w:szCs w:val="18"/>
    </w:rPr>
  </w:style>
  <w:style w:type="character" w:customStyle="1" w:styleId="87">
    <w:name w:val="页脚 Char"/>
    <w:link w:val="32"/>
    <w:uiPriority w:val="99"/>
    <w:rPr>
      <w:sz w:val="18"/>
      <w:szCs w:val="18"/>
    </w:rPr>
  </w:style>
  <w:style w:type="character" w:customStyle="1" w:styleId="88">
    <w:name w:val="页眉 Char"/>
    <w:link w:val="34"/>
    <w:uiPriority w:val="99"/>
    <w:rPr>
      <w:rFonts w:ascii="Times New Roman" w:hAnsi="Times New Roman"/>
      <w:kern w:val="2"/>
      <w:sz w:val="18"/>
      <w:szCs w:val="18"/>
    </w:rPr>
  </w:style>
  <w:style w:type="character" w:customStyle="1" w:styleId="89">
    <w:name w:val="脚注文本 Char"/>
    <w:link w:val="38"/>
    <w:semiHidden/>
    <w:uiPriority w:val="99"/>
    <w:rPr>
      <w:rFonts w:ascii="Times New Roman" w:hAnsi="Times New Roman"/>
      <w:kern w:val="2"/>
      <w:sz w:val="18"/>
      <w:szCs w:val="18"/>
    </w:rPr>
  </w:style>
  <w:style w:type="character" w:customStyle="1" w:styleId="90">
    <w:name w:val="正文文本缩进 3 Char"/>
    <w:link w:val="40"/>
    <w:uiPriority w:val="0"/>
    <w:rPr>
      <w:rFonts w:ascii="Times New Roman" w:hAnsi="Times New Roman" w:eastAsia="宋体" w:cs="Times New Roman"/>
      <w:sz w:val="16"/>
      <w:szCs w:val="16"/>
    </w:rPr>
  </w:style>
  <w:style w:type="character" w:customStyle="1" w:styleId="91">
    <w:name w:val="正文文本 2 Char"/>
    <w:link w:val="43"/>
    <w:uiPriority w:val="0"/>
    <w:rPr>
      <w:rFonts w:ascii="Times New Roman" w:hAnsi="Times New Roman" w:eastAsia="宋体" w:cs="Times New Roman"/>
      <w:szCs w:val="24"/>
    </w:rPr>
  </w:style>
  <w:style w:type="character" w:customStyle="1" w:styleId="92">
    <w:name w:val="标题 Char"/>
    <w:link w:val="46"/>
    <w:uiPriority w:val="10"/>
    <w:rPr>
      <w:rFonts w:ascii="Cambria" w:hAnsi="Cambria" w:cs="Times New Roman"/>
      <w:b/>
      <w:bCs/>
      <w:kern w:val="2"/>
      <w:sz w:val="32"/>
      <w:szCs w:val="32"/>
    </w:rPr>
  </w:style>
  <w:style w:type="character" w:customStyle="1" w:styleId="93">
    <w:name w:val="批注主题 Char"/>
    <w:link w:val="47"/>
    <w:semiHidden/>
    <w:uiPriority w:val="99"/>
    <w:rPr>
      <w:rFonts w:ascii="Times New Roman" w:hAnsi="Times New Roman"/>
      <w:b/>
      <w:bCs/>
      <w:kern w:val="2"/>
      <w:sz w:val="21"/>
      <w:szCs w:val="24"/>
    </w:rPr>
  </w:style>
  <w:style w:type="paragraph" w:customStyle="1" w:styleId="94">
    <w:name w:val="列出段落1"/>
    <w:basedOn w:val="1"/>
    <w:qFormat/>
    <w:uiPriority w:val="34"/>
    <w:pPr>
      <w:ind w:firstLine="420" w:firstLineChars="200"/>
    </w:p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表格文字"/>
    <w:basedOn w:val="1"/>
    <w:qFormat/>
    <w:uiPriority w:val="0"/>
    <w:pPr>
      <w:spacing w:before="25" w:beforeLines="0" w:after="25" w:afterLines="0"/>
      <w:jc w:val="left"/>
    </w:pPr>
    <w:rPr>
      <w:bCs/>
      <w:spacing w:val="10"/>
      <w:kern w:val="0"/>
      <w:sz w:val="24"/>
      <w:szCs w:val="20"/>
    </w:rPr>
  </w:style>
  <w:style w:type="paragraph" w:customStyle="1" w:styleId="9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98">
    <w:name w:val="批注文字 Char1"/>
    <w:locked/>
    <w:uiPriority w:val="0"/>
    <w:rPr>
      <w:rFonts w:ascii="Times New Roman" w:hAnsi="Times New Roman"/>
      <w:kern w:val="2"/>
      <w:sz w:val="21"/>
      <w:szCs w:val="24"/>
    </w:rPr>
  </w:style>
  <w:style w:type="character" w:customStyle="1" w:styleId="99">
    <w:name w:val="case31"/>
    <w:uiPriority w:val="0"/>
    <w:rPr>
      <w:rFonts w:hint="default" w:ascii="_x000B__x000C_" w:hAnsi="_x000B__x000C_"/>
      <w:sz w:val="21"/>
      <w:szCs w:val="21"/>
    </w:rPr>
  </w:style>
  <w:style w:type="character" w:customStyle="1" w:styleId="100">
    <w:name w:val="批注文字 Char"/>
    <w:uiPriority w:val="0"/>
    <w:rPr>
      <w:rFonts w:ascii="Times New Roman" w:hAnsi="Times New Roman"/>
      <w:kern w:val="2"/>
      <w:sz w:val="21"/>
      <w:szCs w:val="24"/>
    </w:rPr>
  </w:style>
  <w:style w:type="character" w:customStyle="1" w:styleId="101">
    <w:name w:val="纯文本 Char"/>
    <w:qFormat/>
    <w:uiPriority w:val="0"/>
    <w:rPr>
      <w:rFonts w:ascii="宋体" w:hAnsi="Courier New" w:eastAsia="宋体"/>
      <w:kern w:val="2"/>
      <w:sz w:val="21"/>
      <w:lang w:val="en-US" w:eastAsia="zh-CN" w:bidi="ar-SA"/>
    </w:rPr>
  </w:style>
  <w:style w:type="character" w:customStyle="1" w:styleId="102">
    <w:name w:val="纯文本 字符1"/>
    <w:qFormat/>
    <w:uiPriority w:val="0"/>
    <w:rPr>
      <w:rFonts w:ascii="宋体" w:hAnsi="Courier New"/>
    </w:rPr>
  </w:style>
  <w:style w:type="character" w:customStyle="1" w:styleId="103">
    <w:name w:val="批注文字 字符1"/>
    <w:uiPriority w:val="0"/>
    <w:rPr>
      <w:rFonts w:ascii="Times New Roman" w:hAnsi="Times New Roman"/>
      <w:kern w:val="2"/>
      <w:sz w:val="21"/>
      <w:szCs w:val="24"/>
    </w:rPr>
  </w:style>
  <w:style w:type="character" w:customStyle="1" w:styleId="104">
    <w:name w:val="正文文本 Char1"/>
    <w:semiHidden/>
    <w:locked/>
    <w:uiPriority w:val="99"/>
    <w:rPr>
      <w:sz w:val="24"/>
      <w:szCs w:val="24"/>
    </w:rPr>
  </w:style>
  <w:style w:type="character" w:customStyle="1" w:styleId="105">
    <w:name w:val="apple-style-span"/>
    <w:uiPriority w:val="0"/>
  </w:style>
  <w:style w:type="character" w:customStyle="1" w:styleId="106">
    <w:name w:val="textcontents"/>
    <w:uiPriority w:val="0"/>
  </w:style>
  <w:style w:type="character" w:customStyle="1" w:styleId="107">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纯文本 Char3"/>
    <w:uiPriority w:val="0"/>
    <w:rPr>
      <w:rFonts w:ascii="宋体" w:hAnsi="Courier New" w:eastAsia="宋体"/>
      <w:kern w:val="2"/>
      <w:sz w:val="21"/>
      <w:lang w:val="en-US" w:eastAsia="zh-CN" w:bidi="ar-SA"/>
    </w:rPr>
  </w:style>
  <w:style w:type="character" w:customStyle="1" w:styleId="108">
    <w:name w:val="标题 5 Char"/>
    <w:uiPriority w:val="9"/>
    <w:rPr>
      <w:b/>
      <w:kern w:val="2"/>
      <w:sz w:val="28"/>
      <w:szCs w:val="24"/>
    </w:rPr>
  </w:style>
  <w:style w:type="character" w:customStyle="1" w:styleId="109">
    <w:name w:val="批注文字 字符"/>
    <w:uiPriority w:val="0"/>
    <w:rPr>
      <w:rFonts w:ascii="Times New Roman" w:hAnsi="Times New Roman"/>
      <w:kern w:val="2"/>
      <w:sz w:val="21"/>
      <w:szCs w:val="24"/>
    </w:rPr>
  </w:style>
  <w:style w:type="character" w:customStyle="1" w:styleId="110">
    <w:name w:val="标题 1 字符"/>
    <w:qFormat/>
    <w:uiPriority w:val="9"/>
    <w:rPr>
      <w:rFonts w:ascii="Times New Roman" w:hAnsi="Times New Roman" w:eastAsia="宋体" w:cs="Times New Roman"/>
      <w:b/>
      <w:bCs/>
      <w:kern w:val="44"/>
      <w:sz w:val="44"/>
      <w:szCs w:val="44"/>
    </w:rPr>
  </w:style>
  <w:style w:type="character" w:customStyle="1" w:styleId="111">
    <w:name w:val="纯文本 字符"/>
    <w:qFormat/>
    <w:uiPriority w:val="0"/>
    <w:rPr>
      <w:rFonts w:ascii="宋体" w:hAnsi="Courier New" w:eastAsia="宋体" w:cs="Courier New"/>
      <w:szCs w:val="21"/>
    </w:rPr>
  </w:style>
  <w:style w:type="character" w:customStyle="1" w:styleId="112">
    <w:name w:val="headline-content4"/>
    <w:uiPriority w:val="0"/>
  </w:style>
  <w:style w:type="character" w:customStyle="1" w:styleId="113">
    <w:name w:val="正文文本 (26) + 间距 0 pt"/>
    <w:uiPriority w:val="0"/>
    <w:rPr>
      <w:rFonts w:ascii="宋体" w:hAnsi="宋体" w:eastAsia="宋体" w:cs="宋体"/>
      <w:color w:val="000000"/>
      <w:spacing w:val="0"/>
      <w:w w:val="100"/>
      <w:position w:val="0"/>
      <w:sz w:val="22"/>
      <w:szCs w:val="22"/>
      <w:u w:val="none"/>
      <w:lang w:val="zh-CN" w:eastAsia="zh-CN" w:bidi="zh-CN"/>
    </w:rPr>
  </w:style>
  <w:style w:type="character" w:customStyle="1" w:styleId="114">
    <w:name w:val="正文文本缩进 字符"/>
    <w:uiPriority w:val="0"/>
    <w:rPr>
      <w:rFonts w:ascii="仿宋_GB2312" w:hAnsi="Times New Roman" w:eastAsia="仿宋_GB2312" w:cs="Times New Roman"/>
      <w:sz w:val="32"/>
      <w:szCs w:val="20"/>
    </w:rPr>
  </w:style>
  <w:style w:type="paragraph" w:customStyle="1" w:styleId="115">
    <w:name w:val="Char1"/>
    <w:basedOn w:val="1"/>
    <w:uiPriority w:val="0"/>
    <w:rPr>
      <w:szCs w:val="21"/>
    </w:rPr>
  </w:style>
  <w:style w:type="paragraph" w:styleId="116">
    <w:name w:val="List Paragraph"/>
    <w:basedOn w:val="1"/>
    <w:qFormat/>
    <w:uiPriority w:val="34"/>
    <w:pPr>
      <w:ind w:firstLine="420" w:firstLineChars="200"/>
    </w:pPr>
  </w:style>
  <w:style w:type="paragraph" w:customStyle="1" w:styleId="117">
    <w:name w:val="样式 标题 2 + Times New Roman 四号 非加粗 段前: 5 磅 段后: 0 磅 行距: 固定值 20..."/>
    <w:basedOn w:val="3"/>
    <w:uiPriority w:val="0"/>
    <w:pPr>
      <w:spacing w:before="100" w:after="0" w:line="400" w:lineRule="exact"/>
    </w:pPr>
    <w:rPr>
      <w:rFonts w:ascii="Times New Roman" w:hAnsi="Times New Roman" w:cs="宋体"/>
      <w:b w:val="0"/>
      <w:bCs w:val="0"/>
      <w:sz w:val="28"/>
      <w:szCs w:val="20"/>
    </w:rPr>
  </w:style>
  <w:style w:type="paragraph" w:customStyle="1" w:styleId="118">
    <w:name w:val="默认段落字体 Para Char Char Char Char Char Char Char Char Char1 Char Char Char Char"/>
    <w:basedOn w:val="1"/>
    <w:uiPriority w:val="0"/>
    <w:rPr>
      <w:rFonts w:ascii="Tahoma" w:hAnsi="Tahoma"/>
      <w:sz w:val="24"/>
      <w:szCs w:val="20"/>
    </w:rPr>
  </w:style>
  <w:style w:type="paragraph" w:customStyle="1" w:styleId="119">
    <w:name w:val="样式"/>
    <w:uiPriority w:val="0"/>
    <w:pPr>
      <w:widowControl w:val="0"/>
      <w:autoSpaceDE w:val="0"/>
      <w:autoSpaceDN w:val="0"/>
      <w:adjustRightInd w:val="0"/>
      <w:jc w:val="center"/>
    </w:pPr>
    <w:rPr>
      <w:rFonts w:ascii="宋体" w:hAnsi="宋体" w:cs="宋体"/>
      <w:sz w:val="24"/>
      <w:szCs w:val="24"/>
      <w:lang w:val="en-US" w:eastAsia="zh-CN" w:bidi="ar-SA"/>
    </w:rPr>
  </w:style>
  <w:style w:type="paragraph" w:customStyle="1" w:styleId="120">
    <w:name w:val="Plain Text"/>
    <w:basedOn w:val="1"/>
    <w:uiPriority w:val="0"/>
    <w:rPr>
      <w:rFonts w:ascii="宋体" w:hAnsi="Courier New" w:cs="Century"/>
      <w:szCs w:val="21"/>
    </w:rPr>
  </w:style>
  <w:style w:type="paragraph" w:customStyle="1" w:styleId="12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22">
    <w:name w:val="表内文字"/>
    <w:basedOn w:val="1"/>
    <w:uiPriority w:val="0"/>
    <w:pPr>
      <w:snapToGrid w:val="0"/>
      <w:spacing w:before="50" w:after="50"/>
      <w:jc w:val="center"/>
    </w:pPr>
    <w:rPr>
      <w:rFonts w:ascii="仿宋_GB2312" w:hAnsi="宋体" w:eastAsia="仿宋_GB2312"/>
      <w:b/>
      <w:color w:val="000000"/>
      <w:sz w:val="32"/>
      <w:szCs w:val="32"/>
    </w:rPr>
  </w:style>
  <w:style w:type="paragraph" w:customStyle="1" w:styleId="123">
    <w:name w:val="表格"/>
    <w:basedOn w:val="1"/>
    <w:uiPriority w:val="0"/>
    <w:pPr>
      <w:spacing w:line="400" w:lineRule="exact"/>
    </w:pPr>
    <w:rPr>
      <w:sz w:val="24"/>
    </w:rPr>
  </w:style>
  <w:style w:type="paragraph" w:customStyle="1" w:styleId="124">
    <w:name w:val="样式 首行缩进:  2 字符"/>
    <w:basedOn w:val="1"/>
    <w:uiPriority w:val="0"/>
    <w:pPr>
      <w:spacing w:line="400" w:lineRule="exact"/>
      <w:ind w:firstLine="200" w:firstLineChars="200"/>
    </w:pPr>
    <w:rPr>
      <w:rFonts w:cs="宋体"/>
      <w:sz w:val="24"/>
    </w:rPr>
  </w:style>
  <w:style w:type="paragraph" w:customStyle="1" w:styleId="125">
    <w:name w:val="xl22"/>
    <w:basedOn w:val="1"/>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6">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paragraph" w:customStyle="1" w:styleId="127">
    <w:name w:val="正文首行缩进两字符"/>
    <w:basedOn w:val="1"/>
    <w:uiPriority w:val="0"/>
    <w:pPr>
      <w:spacing w:line="360" w:lineRule="auto"/>
      <w:ind w:firstLine="200" w:firstLineChars="200"/>
    </w:pPr>
  </w:style>
  <w:style w:type="paragraph" w:customStyle="1" w:styleId="128">
    <w:name w:val="正文段"/>
    <w:basedOn w:val="1"/>
    <w:uiPriority w:val="0"/>
    <w:pPr>
      <w:widowControl/>
      <w:snapToGrid w:val="0"/>
      <w:spacing w:after="50" w:afterLines="50"/>
      <w:ind w:firstLine="200" w:firstLineChars="200"/>
    </w:pPr>
    <w:rPr>
      <w:kern w:val="0"/>
      <w:sz w:val="24"/>
      <w:szCs w:val="20"/>
    </w:rPr>
  </w:style>
  <w:style w:type="table" w:customStyle="1" w:styleId="129">
    <w:name w:val="Table Normal"/>
    <w:semiHidden/>
    <w:qFormat/>
    <w:uiPriority w:val="2"/>
    <w:pPr>
      <w:widowControl w:val="0"/>
    </w:pPr>
    <w:rPr>
      <w:rFonts w:ascii="Calibri" w:hAnsi="Calibri" w:eastAsia="Times New Roman"/>
      <w:sz w:val="22"/>
      <w:szCs w:val="22"/>
      <w:lang w:val="en-US" w:eastAsia="en-US" w:bidi="ar-SA"/>
    </w:rPr>
    <w:tblPr>
      <w:tblStyle w:val="50"/>
      <w:tblCellMar>
        <w:top w:w="0" w:type="dxa"/>
        <w:left w:w="0" w:type="dxa"/>
        <w:bottom w:w="0" w:type="dxa"/>
        <w:right w:w="0" w:type="dxa"/>
      </w:tblCellMar>
    </w:tblPr>
  </w:style>
  <w:style w:type="character" w:customStyle="1" w:styleId="130">
    <w:name w:val="页脚 字符"/>
    <w:uiPriority w:val="99"/>
  </w:style>
  <w:style w:type="character" w:customStyle="1" w:styleId="131">
    <w:name w:val="标题 1 Char1"/>
    <w:uiPriority w:val="0"/>
    <w:rPr>
      <w:rFonts w:eastAsia="宋体"/>
      <w:b/>
      <w:bCs/>
      <w:kern w:val="44"/>
      <w:sz w:val="44"/>
      <w:szCs w:val="44"/>
      <w:lang w:val="en-US" w:eastAsia="zh-CN" w:bidi="ar-SA"/>
    </w:rPr>
  </w:style>
  <w:style w:type="character" w:customStyle="1" w:styleId="132">
    <w:name w:val="layui-layer-tabnow"/>
    <w:basedOn w:val="52"/>
    <w:uiPriority w:val="0"/>
    <w:rPr>
      <w:bdr w:val="single" w:color="CCCCCC" w:sz="4" w:space="0"/>
      <w:shd w:val="clear" w:color="auto" w:fill="FFFFFF"/>
    </w:rPr>
  </w:style>
  <w:style w:type="character" w:customStyle="1" w:styleId="133">
    <w:name w:val="first-child"/>
    <w:basedOn w:val="52"/>
    <w:uiPriority w:val="0"/>
  </w:style>
  <w:style w:type="character" w:customStyle="1" w:styleId="134">
    <w:name w:val="fn-left2"/>
    <w:basedOn w:val="52"/>
    <w:uiPriority w:val="0"/>
  </w:style>
  <w:style w:type="character" w:customStyle="1" w:styleId="135">
    <w:name w:val="font21"/>
    <w:basedOn w:val="52"/>
    <w:uiPriority w:val="0"/>
    <w:rPr>
      <w:rFonts w:hint="eastAsia" w:ascii="宋体" w:hAnsi="宋体" w:eastAsia="宋体" w:cs="宋体"/>
      <w:color w:val="000000"/>
      <w:sz w:val="20"/>
      <w:szCs w:val="20"/>
      <w:u w:val="none"/>
    </w:rPr>
  </w:style>
  <w:style w:type="character" w:customStyle="1" w:styleId="136">
    <w:name w:val="font51"/>
    <w:basedOn w:val="52"/>
    <w:uiPriority w:val="0"/>
    <w:rPr>
      <w:rFonts w:hint="default" w:ascii="Times New Roman" w:hAnsi="Times New Roman" w:cs="Times New Roman"/>
      <w:color w:val="000000"/>
      <w:sz w:val="20"/>
      <w:szCs w:val="20"/>
      <w:u w:val="none"/>
    </w:rPr>
  </w:style>
  <w:style w:type="character" w:customStyle="1" w:styleId="137">
    <w:name w:val="font31"/>
    <w:basedOn w:val="52"/>
    <w:uiPriority w:val="0"/>
    <w:rPr>
      <w:rFonts w:hint="default" w:ascii="Times New Roman" w:hAnsi="Times New Roman" w:cs="Times New Roman"/>
      <w:color w:val="333333"/>
      <w:sz w:val="20"/>
      <w:szCs w:val="20"/>
      <w:u w:val="none"/>
    </w:rPr>
  </w:style>
  <w:style w:type="character" w:customStyle="1" w:styleId="138">
    <w:name w:val="font41"/>
    <w:basedOn w:val="52"/>
    <w:uiPriority w:val="0"/>
    <w:rPr>
      <w:rFonts w:hint="eastAsia" w:ascii="宋体" w:hAnsi="宋体" w:eastAsia="宋体" w:cs="宋体"/>
      <w:color w:val="000000"/>
      <w:sz w:val="28"/>
      <w:szCs w:val="28"/>
      <w:u w:val="none"/>
    </w:rPr>
  </w:style>
  <w:style w:type="character" w:customStyle="1" w:styleId="139">
    <w:name w:val="font11"/>
    <w:basedOn w:val="52"/>
    <w:uiPriority w:val="0"/>
    <w:rPr>
      <w:rFonts w:hint="eastAsia" w:ascii="微软雅黑" w:hAnsi="微软雅黑" w:eastAsia="微软雅黑" w:cs="微软雅黑"/>
      <w:b/>
      <w:color w:val="000000"/>
      <w:sz w:val="22"/>
      <w:szCs w:val="22"/>
      <w:u w:val="none"/>
    </w:rPr>
  </w:style>
  <w:style w:type="character" w:customStyle="1" w:styleId="140">
    <w:name w:val="font01"/>
    <w:qFormat/>
    <w:uiPriority w:val="0"/>
    <w:rPr>
      <w:rFonts w:hint="eastAsia" w:ascii="宋体" w:hAnsi="宋体" w:eastAsia="宋体" w:cs="宋体"/>
      <w:color w:val="000000"/>
      <w:sz w:val="22"/>
      <w:szCs w:val="22"/>
      <w:u w:val="none"/>
    </w:rPr>
  </w:style>
  <w:style w:type="character" w:customStyle="1" w:styleId="141">
    <w:name w:val="NormalCharacter"/>
    <w:qFormat/>
    <w:uiPriority w:val="0"/>
    <w:rPr>
      <w:rFonts w:ascii="Times New Roman" w:hAnsi="Times New Roman" w:eastAsia="宋体" w:cs="Times New Roman"/>
    </w:rPr>
  </w:style>
  <w:style w:type="paragraph" w:customStyle="1" w:styleId="142">
    <w:name w:val="pa-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3">
    <w:name w:val="ca-1"/>
    <w:qFormat/>
    <w:uiPriority w:val="0"/>
    <w:rPr>
      <w:rFonts w:ascii="Times New Roman" w:hAnsi="Times New Roman" w:eastAsia="宋体" w:cs="Times New Roman"/>
    </w:rPr>
  </w:style>
  <w:style w:type="paragraph" w:customStyle="1" w:styleId="144">
    <w:name w:val="CM17"/>
    <w:basedOn w:val="97"/>
    <w:next w:val="97"/>
    <w:unhideWhenUsed/>
    <w:qFormat/>
    <w:uiPriority w:val="99"/>
    <w:pPr>
      <w:spacing w:after="93" w:afterLines="0"/>
    </w:pPr>
    <w:rPr>
      <w:rFonts w:hint="default"/>
    </w:rPr>
  </w:style>
  <w:style w:type="paragraph" w:customStyle="1" w:styleId="145">
    <w:name w:val="TOC 标题2"/>
    <w:next w:val="1"/>
    <w:qFormat/>
    <w:uiPriority w:val="99"/>
    <w:pPr>
      <w:wordWrap w:val="0"/>
    </w:pPr>
    <w:rPr>
      <w:rFonts w:ascii="Calibri" w:hAnsi="Calibri" w:eastAsia="宋体" w:cs="Times New Roman"/>
      <w:sz w:val="32"/>
      <w:lang w:val="en-US" w:eastAsia="zh-CN" w:bidi="ar-SA"/>
    </w:rPr>
  </w:style>
  <w:style w:type="paragraph" w:customStyle="1" w:styleId="146">
    <w:name w:val="正文缩进111"/>
    <w:basedOn w:val="1"/>
    <w:qFormat/>
    <w:uiPriority w:val="0"/>
    <w:pPr>
      <w:ind w:firstLine="420"/>
    </w:pPr>
    <w:rPr>
      <w:kern w:val="0"/>
      <w:sz w:val="20"/>
    </w:rPr>
  </w:style>
  <w:style w:type="paragraph" w:customStyle="1" w:styleId="147">
    <w:name w:val="Heading #1|1"/>
    <w:basedOn w:val="1"/>
    <w:qFormat/>
    <w:uiPriority w:val="0"/>
    <w:pPr>
      <w:widowControl w:val="0"/>
      <w:shd w:val="clear" w:color="auto" w:fill="auto"/>
      <w:spacing w:before="380" w:after="360"/>
      <w:jc w:val="center"/>
      <w:outlineLvl w:val="0"/>
    </w:pPr>
    <w:rPr>
      <w:rFonts w:ascii="宋体" w:hAnsi="宋体" w:eastAsia="宋体" w:cs="宋体"/>
      <w:sz w:val="32"/>
      <w:szCs w:val="32"/>
      <w:u w:val="none"/>
      <w:shd w:val="clear" w:color="auto" w:fill="auto"/>
      <w:lang w:val="zh-TW" w:eastAsia="zh-TW" w:bidi="zh-TW"/>
    </w:rPr>
  </w:style>
  <w:style w:type="paragraph" w:customStyle="1" w:styleId="148">
    <w:name w:val="样式 正文 + 首行缩进:  2 字符"/>
    <w:basedOn w:val="1"/>
    <w:qFormat/>
    <w:uiPriority w:val="0"/>
    <w:pPr>
      <w:keepNext/>
      <w:keepLines/>
      <w:spacing w:line="360" w:lineRule="auto"/>
      <w:ind w:firstLine="880" w:firstLineChars="200"/>
      <w:jc w:val="left"/>
    </w:pPr>
    <w:rPr>
      <w:rFonts w:ascii="宋体" w:hAnsi="宋体" w:cs="宋体"/>
      <w:kern w:val="0"/>
    </w:rPr>
  </w:style>
  <w:style w:type="paragraph" w:customStyle="1" w:styleId="14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3" textRotate="1"/>
    <customShpInfo spid="_x0000_s2074" textRotate="1"/>
    <customShpInfo spid="_x0000_s2075" textRotate="1"/>
    <customShpInfo spid="_x0000_s2076" textRotate="1"/>
    <customShpInfo spid="_x0000_s2077" textRotate="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90</Pages>
  <Words>269</Words>
  <Characters>358</Characters>
  <Lines>386</Lines>
  <Paragraphs>108</Paragraphs>
  <TotalTime>14</TotalTime>
  <ScaleCrop>false</ScaleCrop>
  <LinksUpToDate>false</LinksUpToDate>
  <CharactersWithSpaces>387</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2021-12-02T00:31:00Z</dcterms:created>
  <dc:creator>KWZB</dc:creator>
  <cp:lastModifiedBy>科文招标</cp:lastModifiedBy>
  <cp:lastPrinted>2026-03-17T00:45:24Z</cp:lastPrinted>
  <dcterms:modified xsi:type="dcterms:W3CDTF">2026-06-05T08:20:41Z</dcterms:modified>
  <dc:title>公开招标采购文件范本</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9CCB0CE3785D4A6AA45F02B1B6B0FEBC_13</vt:lpwstr>
  </property>
  <property fmtid="{D5CDD505-2E9C-101B-9397-08002B2CF9AE}" pid="4" name="commondata">
    <vt:lpwstr>eyJoZGlkIjoiOTdhN2IxNzAyYWIwYWVjNWUzZmNmNTA3ODA5MmJlMjYifQ==</vt:lpwstr>
  </property>
  <property fmtid="{D5CDD505-2E9C-101B-9397-08002B2CF9AE}" pid="5" name="KSOTemplateDocerSaveRecord">
    <vt:lpwstr>eyJoZGlkIjoiMTViYmY3YzM0NTk3ZGYxZjE3MTJhNjczN2RjYThiMjQiLCJ1c2VySWQiOiIzNjg3ODg0MDUifQ==</vt:lpwstr>
  </property>
</Properties>
</file>