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E51CD">
      <w:pPr>
        <w:pStyle w:val="20"/>
        <w:jc w:val="center"/>
        <w:rPr>
          <w:rFonts w:hint="eastAsia" w:ascii="Times New Roman" w:hAnsi="Times New Roman" w:eastAsia="华文新魏"/>
          <w:color w:val="auto"/>
          <w:spacing w:val="30"/>
          <w:kern w:val="52"/>
          <w:sz w:val="64"/>
          <w:szCs w:val="64"/>
        </w:rPr>
      </w:pPr>
      <w:bookmarkStart w:id="1220" w:name="_GoBack"/>
      <w:bookmarkEnd w:id="1220"/>
      <w:r>
        <w:rPr>
          <w:color w:val="auto"/>
        </w:rPr>
        <w:pict>
          <v:shape id="_x0000_i1025" o:spt="75" alt="国泰标志" type="#_x0000_t75" style="height:75.75pt;width:81.4pt;" filled="f" o:preferrelative="t" stroked="f" coordsize="21600,21600">
            <v:path/>
            <v:fill on="f" focussize="0,0"/>
            <v:stroke on="f"/>
            <v:imagedata r:id="rId14" o:title="国泰标志"/>
            <o:lock v:ext="edit" aspectratio="t"/>
            <w10:wrap type="none"/>
            <w10:anchorlock/>
          </v:shape>
        </w:pict>
      </w:r>
    </w:p>
    <w:p w14:paraId="34EDEBB2">
      <w:pPr>
        <w:pStyle w:val="20"/>
        <w:jc w:val="center"/>
        <w:rPr>
          <w:rFonts w:hint="eastAsia" w:ascii="黑体" w:hAnsi="黑体" w:eastAsia="黑体"/>
          <w:color w:val="auto"/>
          <w:spacing w:val="30"/>
          <w:kern w:val="52"/>
          <w:sz w:val="64"/>
          <w:szCs w:val="64"/>
          <w:lang w:eastAsia="zh-CN"/>
        </w:rPr>
      </w:pPr>
      <w:r>
        <w:rPr>
          <w:rFonts w:hint="eastAsia" w:ascii="黑体" w:hAnsi="黑体" w:eastAsia="黑体"/>
          <w:color w:val="auto"/>
          <w:spacing w:val="30"/>
          <w:kern w:val="52"/>
          <w:sz w:val="64"/>
          <w:szCs w:val="64"/>
          <w:lang w:eastAsia="zh-CN"/>
        </w:rPr>
        <w:t>广西国泰招标咨询有限公司</w:t>
      </w:r>
    </w:p>
    <w:p w14:paraId="5B58F23B">
      <w:pPr>
        <w:pStyle w:val="20"/>
        <w:jc w:val="center"/>
        <w:rPr>
          <w:rFonts w:hint="eastAsia" w:ascii="黑体" w:hAnsi="黑体" w:eastAsia="黑体" w:cs="方正小标宋简体"/>
          <w:b/>
          <w:color w:val="auto"/>
          <w:sz w:val="44"/>
          <w:szCs w:val="44"/>
        </w:rPr>
      </w:pPr>
      <w:r>
        <w:rPr>
          <w:rFonts w:ascii="黑体" w:hAnsi="黑体" w:eastAsia="黑体"/>
          <w:b/>
          <w:color w:val="auto"/>
          <w:spacing w:val="-18"/>
          <w:sz w:val="64"/>
          <w:szCs w:val="64"/>
        </w:rPr>
        <w:pict>
          <v:line id="_x0000_s1026" o:spid="_x0000_s1026" o:spt="20" style="position:absolute;left:0pt;margin-left:9pt;margin-top:7.8pt;height:0pt;width:432pt;z-index:251659264;mso-width-relative:page;mso-height-relative:page;" filled="f" stroked="t" coordsize="21600,21600">
            <v:path arrowok="t"/>
            <v:fill on="f" focussize="0,0"/>
            <v:stroke weight="1pt"/>
            <v:imagedata o:title=""/>
            <o:lock v:ext="edit" grouping="f" rotation="f" text="f" aspectratio="f"/>
          </v:line>
        </w:pict>
      </w:r>
    </w:p>
    <w:p w14:paraId="0FBED3B0">
      <w:pPr>
        <w:snapToGrid w:val="0"/>
        <w:spacing w:before="156" w:beforeLines="50" w:line="360" w:lineRule="auto"/>
        <w:jc w:val="center"/>
        <w:rPr>
          <w:rFonts w:hint="eastAsia" w:ascii="黑体" w:hAnsi="黑体" w:eastAsia="黑体"/>
          <w:color w:val="auto"/>
          <w:sz w:val="48"/>
          <w:szCs w:val="48"/>
        </w:rPr>
      </w:pPr>
    </w:p>
    <w:p w14:paraId="163FE7A4">
      <w:pPr>
        <w:snapToGrid w:val="0"/>
        <w:spacing w:before="156" w:beforeLines="50" w:line="360" w:lineRule="auto"/>
        <w:jc w:val="center"/>
        <w:rPr>
          <w:rFonts w:hint="eastAsia" w:ascii="黑体" w:hAnsi="黑体" w:eastAsia="黑体"/>
          <w:color w:val="auto"/>
          <w:sz w:val="84"/>
          <w:szCs w:val="84"/>
        </w:rPr>
      </w:pPr>
      <w:r>
        <w:rPr>
          <w:rFonts w:hint="eastAsia" w:ascii="黑体" w:hAnsi="黑体" w:eastAsia="黑体"/>
          <w:color w:val="auto"/>
          <w:sz w:val="84"/>
          <w:szCs w:val="84"/>
        </w:rPr>
        <w:t>竞争性磋商文件</w:t>
      </w:r>
    </w:p>
    <w:p w14:paraId="667EA99A">
      <w:pPr>
        <w:pStyle w:val="20"/>
        <w:snapToGrid w:val="0"/>
        <w:spacing w:line="360" w:lineRule="auto"/>
        <w:rPr>
          <w:rFonts w:hint="eastAsia" w:ascii="仿宋_GB2312" w:hAnsi="宋体" w:eastAsia="仿宋_GB2312"/>
          <w:b/>
          <w:bCs/>
          <w:color w:val="auto"/>
          <w:sz w:val="36"/>
          <w:szCs w:val="36"/>
          <w:lang w:eastAsia="zh-CN"/>
        </w:rPr>
      </w:pPr>
    </w:p>
    <w:p w14:paraId="5178BBE7">
      <w:pPr>
        <w:keepNext w:val="0"/>
        <w:keepLines w:val="0"/>
        <w:pageBreakBefore w:val="0"/>
        <w:widowControl w:val="0"/>
        <w:kinsoku/>
        <w:wordWrap/>
        <w:overflowPunct/>
        <w:topLinePunct w:val="0"/>
        <w:autoSpaceDE/>
        <w:autoSpaceDN/>
        <w:bidi w:val="0"/>
        <w:adjustRightInd/>
        <w:spacing w:line="800" w:lineRule="exact"/>
        <w:ind w:firstLine="723" w:firstLineChars="200"/>
        <w:jc w:val="both"/>
        <w:textAlignment w:val="auto"/>
        <w:rPr>
          <w:rFonts w:hint="eastAsia" w:ascii="仿宋_GB2312" w:hAnsi="宋体" w:eastAsia="仿宋_GB2312" w:cs="Times New Roman"/>
          <w:b/>
          <w:bCs/>
          <w:color w:val="auto"/>
          <w:sz w:val="36"/>
          <w:szCs w:val="36"/>
          <w:lang w:val="en-US" w:eastAsia="zh-CN"/>
        </w:rPr>
      </w:pPr>
      <w:r>
        <w:rPr>
          <w:rFonts w:hint="eastAsia" w:ascii="仿宋_GB2312" w:hAnsi="宋体" w:eastAsia="仿宋_GB2312"/>
          <w:b/>
          <w:bCs/>
          <w:color w:val="auto"/>
          <w:sz w:val="36"/>
          <w:szCs w:val="36"/>
        </w:rPr>
        <w:t>项目</w:t>
      </w:r>
      <w:r>
        <w:rPr>
          <w:rFonts w:hint="eastAsia" w:ascii="仿宋_GB2312" w:hAnsi="宋体" w:eastAsia="仿宋_GB2312" w:cs="Times New Roman"/>
          <w:b/>
          <w:bCs/>
          <w:color w:val="auto"/>
          <w:sz w:val="36"/>
          <w:szCs w:val="36"/>
          <w:lang w:val="en-US" w:eastAsia="zh-CN"/>
        </w:rPr>
        <w:t>名称：博白县人民医院1号楼旧楼门诊业务用</w:t>
      </w:r>
    </w:p>
    <w:p w14:paraId="599B227C">
      <w:pPr>
        <w:keepNext w:val="0"/>
        <w:keepLines w:val="0"/>
        <w:pageBreakBefore w:val="0"/>
        <w:widowControl w:val="0"/>
        <w:kinsoku/>
        <w:wordWrap/>
        <w:overflowPunct/>
        <w:topLinePunct w:val="0"/>
        <w:autoSpaceDE/>
        <w:autoSpaceDN/>
        <w:bidi w:val="0"/>
        <w:adjustRightInd/>
        <w:spacing w:line="800" w:lineRule="exact"/>
        <w:ind w:firstLine="2530" w:firstLineChars="700"/>
        <w:jc w:val="both"/>
        <w:textAlignment w:val="auto"/>
        <w:rPr>
          <w:rFonts w:hint="eastAsia" w:ascii="仿宋_GB2312" w:hAnsi="宋体" w:eastAsia="仿宋_GB2312" w:cs="Times New Roman"/>
          <w:b/>
          <w:bCs/>
          <w:color w:val="auto"/>
          <w:sz w:val="36"/>
          <w:szCs w:val="36"/>
          <w:lang w:val="en-US" w:eastAsia="zh-CN"/>
        </w:rPr>
      </w:pPr>
      <w:r>
        <w:rPr>
          <w:rFonts w:hint="eastAsia" w:ascii="仿宋_GB2312" w:hAnsi="宋体" w:eastAsia="仿宋_GB2312" w:cs="Times New Roman"/>
          <w:b/>
          <w:bCs/>
          <w:color w:val="auto"/>
          <w:sz w:val="36"/>
          <w:szCs w:val="36"/>
          <w:lang w:val="en-US" w:eastAsia="zh-CN"/>
        </w:rPr>
        <w:t>房优化布局改造提升工程（儿科部分）</w:t>
      </w:r>
    </w:p>
    <w:p w14:paraId="74FDB459">
      <w:pPr>
        <w:keepNext w:val="0"/>
        <w:keepLines w:val="0"/>
        <w:pageBreakBefore w:val="0"/>
        <w:widowControl w:val="0"/>
        <w:kinsoku/>
        <w:wordWrap/>
        <w:overflowPunct/>
        <w:topLinePunct w:val="0"/>
        <w:autoSpaceDE/>
        <w:autoSpaceDN/>
        <w:bidi w:val="0"/>
        <w:adjustRightInd/>
        <w:spacing w:line="800" w:lineRule="exact"/>
        <w:ind w:firstLine="723" w:firstLineChars="200"/>
        <w:jc w:val="both"/>
        <w:textAlignment w:val="auto"/>
        <w:rPr>
          <w:rFonts w:hint="default" w:ascii="仿宋_GB2312" w:hAnsi="宋体" w:eastAsia="仿宋_GB2312" w:cs="Times New Roman"/>
          <w:b/>
          <w:bCs/>
          <w:color w:val="auto"/>
          <w:sz w:val="36"/>
          <w:szCs w:val="36"/>
          <w:lang w:val="en-US" w:eastAsia="zh-CN"/>
        </w:rPr>
      </w:pPr>
      <w:r>
        <w:rPr>
          <w:rFonts w:hint="eastAsia" w:ascii="仿宋_GB2312" w:hAnsi="宋体" w:eastAsia="仿宋_GB2312" w:cs="Times New Roman"/>
          <w:b/>
          <w:bCs/>
          <w:color w:val="auto"/>
          <w:sz w:val="36"/>
          <w:szCs w:val="36"/>
          <w:lang w:val="en-US" w:eastAsia="zh-CN"/>
        </w:rPr>
        <w:t>采购计划文号：</w:t>
      </w:r>
      <w:r>
        <w:rPr>
          <w:rFonts w:hint="eastAsia" w:ascii="仿宋_GB2312" w:hAnsi="宋体" w:eastAsia="仿宋_GB2312" w:cs="Times New Roman"/>
          <w:b/>
          <w:bCs/>
          <w:color w:val="auto"/>
          <w:sz w:val="36"/>
          <w:szCs w:val="36"/>
          <w:lang w:eastAsia="zh-CN"/>
        </w:rPr>
        <w:t>YLZC2026</w:t>
      </w:r>
      <w:r>
        <w:rPr>
          <w:rFonts w:hint="eastAsia" w:ascii="仿宋_GB2312" w:hAnsi="宋体" w:eastAsia="仿宋_GB2312" w:cs="Times New Roman"/>
          <w:b/>
          <w:bCs/>
          <w:color w:val="auto"/>
          <w:sz w:val="36"/>
          <w:szCs w:val="36"/>
          <w:lang w:val="en-US" w:eastAsia="zh-CN"/>
        </w:rPr>
        <w:t>-C2-61600</w:t>
      </w:r>
    </w:p>
    <w:p w14:paraId="10EA8FB3">
      <w:pPr>
        <w:pStyle w:val="20"/>
        <w:keepNext w:val="0"/>
        <w:keepLines w:val="0"/>
        <w:pageBreakBefore w:val="0"/>
        <w:widowControl w:val="0"/>
        <w:kinsoku/>
        <w:wordWrap/>
        <w:overflowPunct/>
        <w:topLinePunct w:val="0"/>
        <w:autoSpaceDE/>
        <w:autoSpaceDN/>
        <w:bidi w:val="0"/>
        <w:adjustRightInd/>
        <w:snapToGrid w:val="0"/>
        <w:spacing w:line="800" w:lineRule="exact"/>
        <w:ind w:firstLine="723" w:firstLineChars="200"/>
        <w:textAlignment w:val="auto"/>
        <w:rPr>
          <w:rFonts w:hint="eastAsia" w:ascii="仿宋_GB2312" w:hAnsi="宋体" w:eastAsia="仿宋_GB2312" w:cs="Times New Roman"/>
          <w:b/>
          <w:bCs/>
          <w:color w:val="auto"/>
          <w:sz w:val="36"/>
          <w:szCs w:val="36"/>
          <w:lang w:eastAsia="zh-CN"/>
        </w:rPr>
      </w:pPr>
      <w:r>
        <w:rPr>
          <w:rFonts w:hint="eastAsia" w:ascii="仿宋_GB2312" w:hAnsi="宋体" w:eastAsia="仿宋_GB2312"/>
          <w:b/>
          <w:bCs/>
          <w:color w:val="auto"/>
          <w:sz w:val="36"/>
          <w:szCs w:val="36"/>
        </w:rPr>
        <w:t>项目</w:t>
      </w:r>
      <w:r>
        <w:rPr>
          <w:rFonts w:hint="eastAsia" w:ascii="仿宋_GB2312" w:hAnsi="宋体" w:eastAsia="仿宋_GB2312" w:cs="Times New Roman"/>
          <w:b/>
          <w:bCs/>
          <w:color w:val="auto"/>
          <w:sz w:val="36"/>
          <w:szCs w:val="36"/>
        </w:rPr>
        <w:t>编号：</w:t>
      </w:r>
      <w:r>
        <w:rPr>
          <w:rFonts w:hint="eastAsia" w:ascii="仿宋_GB2312" w:hAnsi="宋体" w:eastAsia="仿宋_GB2312" w:cs="Times New Roman"/>
          <w:b/>
          <w:bCs/>
          <w:color w:val="auto"/>
          <w:sz w:val="36"/>
          <w:szCs w:val="36"/>
          <w:lang w:eastAsia="zh-CN"/>
        </w:rPr>
        <w:t>YLZC2026-C2-230121-GTZB</w:t>
      </w:r>
    </w:p>
    <w:p w14:paraId="1BF3A80B">
      <w:pPr>
        <w:pStyle w:val="29"/>
        <w:ind w:left="0" w:leftChars="0" w:firstLine="0" w:firstLineChars="0"/>
        <w:rPr>
          <w:rFonts w:hint="eastAsia"/>
          <w:color w:val="auto"/>
        </w:rPr>
      </w:pPr>
    </w:p>
    <w:p w14:paraId="152B3D2C">
      <w:pPr>
        <w:pStyle w:val="20"/>
        <w:keepNext w:val="0"/>
        <w:keepLines w:val="0"/>
        <w:pageBreakBefore w:val="0"/>
        <w:widowControl w:val="0"/>
        <w:kinsoku/>
        <w:wordWrap/>
        <w:overflowPunct/>
        <w:topLinePunct w:val="0"/>
        <w:autoSpaceDE/>
        <w:autoSpaceDN/>
        <w:bidi w:val="0"/>
        <w:adjustRightInd/>
        <w:snapToGrid w:val="0"/>
        <w:spacing w:line="360" w:lineRule="auto"/>
        <w:ind w:firstLine="1374" w:firstLineChars="400"/>
        <w:textAlignment w:val="auto"/>
        <w:rPr>
          <w:rFonts w:hint="eastAsia" w:ascii="仿宋_GB2312" w:hAnsi="宋体" w:eastAsia="仿宋_GB2312" w:cs="Times New Roman"/>
          <w:b/>
          <w:bCs/>
          <w:color w:val="auto"/>
          <w:w w:val="95"/>
          <w:sz w:val="36"/>
          <w:szCs w:val="36"/>
          <w:lang w:val="en-US" w:eastAsia="zh-CN"/>
        </w:rPr>
      </w:pPr>
      <w:r>
        <w:rPr>
          <w:rFonts w:hint="eastAsia" w:ascii="仿宋_GB2312" w:hAnsi="宋体" w:eastAsia="仿宋_GB2312"/>
          <w:b/>
          <w:bCs/>
          <w:color w:val="auto"/>
          <w:w w:val="95"/>
          <w:sz w:val="36"/>
          <w:szCs w:val="36"/>
        </w:rPr>
        <w:t xml:space="preserve">采 </w:t>
      </w:r>
      <w:r>
        <w:rPr>
          <w:rFonts w:hint="eastAsia" w:ascii="仿宋_GB2312" w:hAnsi="宋体" w:eastAsia="仿宋_GB2312"/>
          <w:b/>
          <w:bCs/>
          <w:color w:val="auto"/>
          <w:w w:val="95"/>
          <w:sz w:val="36"/>
          <w:szCs w:val="36"/>
          <w:lang w:val="en-US" w:eastAsia="zh-CN"/>
        </w:rPr>
        <w:t xml:space="preserve">  </w:t>
      </w:r>
      <w:r>
        <w:rPr>
          <w:rFonts w:hint="eastAsia" w:ascii="仿宋_GB2312" w:hAnsi="宋体" w:eastAsia="仿宋_GB2312"/>
          <w:b/>
          <w:bCs/>
          <w:color w:val="auto"/>
          <w:w w:val="95"/>
          <w:sz w:val="36"/>
          <w:szCs w:val="36"/>
        </w:rPr>
        <w:t>购</w:t>
      </w:r>
      <w:r>
        <w:rPr>
          <w:rFonts w:hint="eastAsia" w:ascii="仿宋_GB2312" w:hAnsi="宋体" w:eastAsia="仿宋_GB2312"/>
          <w:b/>
          <w:bCs/>
          <w:color w:val="auto"/>
          <w:w w:val="95"/>
          <w:sz w:val="36"/>
          <w:szCs w:val="36"/>
          <w:lang w:val="en-US" w:eastAsia="zh-CN"/>
        </w:rPr>
        <w:t xml:space="preserve">  </w:t>
      </w:r>
      <w:r>
        <w:rPr>
          <w:rFonts w:hint="eastAsia" w:ascii="仿宋_GB2312" w:hAnsi="宋体" w:eastAsia="仿宋_GB2312"/>
          <w:b/>
          <w:bCs/>
          <w:color w:val="auto"/>
          <w:w w:val="95"/>
          <w:sz w:val="36"/>
          <w:szCs w:val="36"/>
        </w:rPr>
        <w:t xml:space="preserve"> 人</w:t>
      </w:r>
      <w:r>
        <w:rPr>
          <w:rFonts w:hint="eastAsia" w:ascii="仿宋_GB2312" w:hAnsi="宋体" w:eastAsia="仿宋_GB2312" w:cs="Times New Roman"/>
          <w:b/>
          <w:bCs/>
          <w:color w:val="auto"/>
          <w:w w:val="95"/>
          <w:sz w:val="36"/>
          <w:szCs w:val="36"/>
          <w:lang w:val="en-US" w:eastAsia="zh-CN"/>
        </w:rPr>
        <w:t>：博白县人民医院</w:t>
      </w:r>
    </w:p>
    <w:p w14:paraId="49D15018">
      <w:pPr>
        <w:pStyle w:val="20"/>
        <w:keepNext w:val="0"/>
        <w:keepLines w:val="0"/>
        <w:pageBreakBefore w:val="0"/>
        <w:widowControl w:val="0"/>
        <w:kinsoku/>
        <w:wordWrap/>
        <w:overflowPunct/>
        <w:topLinePunct w:val="0"/>
        <w:autoSpaceDE/>
        <w:autoSpaceDN/>
        <w:bidi w:val="0"/>
        <w:adjustRightInd/>
        <w:snapToGrid w:val="0"/>
        <w:spacing w:line="360" w:lineRule="auto"/>
        <w:ind w:firstLine="1374" w:firstLineChars="400"/>
        <w:textAlignment w:val="auto"/>
        <w:rPr>
          <w:rFonts w:hint="eastAsia" w:ascii="仿宋_GB2312" w:hAnsi="宋体" w:eastAsia="仿宋_GB2312"/>
          <w:b/>
          <w:bCs/>
          <w:color w:val="auto"/>
          <w:w w:val="95"/>
          <w:sz w:val="36"/>
          <w:szCs w:val="36"/>
          <w:lang w:eastAsia="zh-CN"/>
        </w:rPr>
      </w:pPr>
      <w:r>
        <w:rPr>
          <w:rFonts w:hint="eastAsia" w:ascii="仿宋_GB2312" w:hAnsi="宋体" w:eastAsia="仿宋_GB2312"/>
          <w:b/>
          <w:bCs/>
          <w:color w:val="auto"/>
          <w:w w:val="95"/>
          <w:sz w:val="36"/>
          <w:szCs w:val="36"/>
        </w:rPr>
        <w:t>采购代理机构：</w:t>
      </w:r>
      <w:r>
        <w:rPr>
          <w:rFonts w:hint="eastAsia" w:ascii="仿宋_GB2312" w:hAnsi="宋体" w:eastAsia="仿宋_GB2312"/>
          <w:b/>
          <w:color w:val="auto"/>
          <w:sz w:val="36"/>
          <w:szCs w:val="36"/>
          <w:lang w:eastAsia="zh-CN"/>
        </w:rPr>
        <w:t>广西国泰招标咨询有限公司</w:t>
      </w:r>
    </w:p>
    <w:p w14:paraId="5D84CB38">
      <w:pPr>
        <w:pStyle w:val="20"/>
        <w:snapToGrid w:val="0"/>
        <w:spacing w:line="360" w:lineRule="auto"/>
        <w:ind w:firstLine="1350" w:firstLineChars="393"/>
        <w:rPr>
          <w:rFonts w:hint="eastAsia" w:ascii="仿宋_GB2312" w:hAnsi="宋体" w:eastAsia="仿宋_GB2312"/>
          <w:b/>
          <w:bCs/>
          <w:color w:val="auto"/>
          <w:w w:val="95"/>
          <w:sz w:val="36"/>
          <w:szCs w:val="36"/>
        </w:rPr>
      </w:pPr>
    </w:p>
    <w:p w14:paraId="7036B1D3">
      <w:pPr>
        <w:pStyle w:val="20"/>
        <w:snapToGrid w:val="0"/>
        <w:spacing w:line="360" w:lineRule="auto"/>
        <w:ind w:left="420" w:firstLine="1010" w:firstLineChars="294"/>
        <w:rPr>
          <w:rFonts w:hint="eastAsia" w:ascii="仿宋_GB2312" w:hAnsi="宋体" w:eastAsia="仿宋_GB2312"/>
          <w:b/>
          <w:bCs/>
          <w:color w:val="auto"/>
          <w:w w:val="95"/>
          <w:sz w:val="36"/>
          <w:szCs w:val="36"/>
          <w:lang w:val="en-US" w:eastAsia="zh-CN"/>
        </w:rPr>
      </w:pPr>
      <w:r>
        <w:rPr>
          <w:rFonts w:hint="eastAsia" w:ascii="仿宋_GB2312" w:hAnsi="宋体" w:eastAsia="仿宋_GB2312"/>
          <w:b/>
          <w:bCs/>
          <w:color w:val="auto"/>
          <w:w w:val="95"/>
          <w:sz w:val="36"/>
          <w:szCs w:val="36"/>
        </w:rPr>
        <w:t xml:space="preserve">         </w:t>
      </w:r>
      <w:r>
        <w:rPr>
          <w:rFonts w:hint="eastAsia" w:ascii="仿宋_GB2312" w:hAnsi="宋体" w:eastAsia="仿宋_GB2312"/>
          <w:b/>
          <w:bCs/>
          <w:color w:val="auto"/>
          <w:w w:val="95"/>
          <w:sz w:val="36"/>
          <w:szCs w:val="36"/>
          <w:lang w:val="en-US" w:eastAsia="zh-CN"/>
        </w:rPr>
        <w:t xml:space="preserve">  </w:t>
      </w:r>
      <w:r>
        <w:rPr>
          <w:rFonts w:hint="eastAsia" w:ascii="仿宋_GB2312" w:hAnsi="宋体" w:eastAsia="仿宋_GB2312"/>
          <w:b/>
          <w:bCs/>
          <w:color w:val="auto"/>
          <w:w w:val="95"/>
          <w:sz w:val="36"/>
          <w:szCs w:val="36"/>
        </w:rPr>
        <w:t xml:space="preserve"> </w:t>
      </w:r>
      <w:r>
        <w:rPr>
          <w:rFonts w:hint="eastAsia" w:ascii="仿宋_GB2312" w:hAnsi="宋体" w:eastAsia="仿宋_GB2312"/>
          <w:b/>
          <w:bCs/>
          <w:color w:val="auto"/>
          <w:w w:val="95"/>
          <w:sz w:val="36"/>
          <w:szCs w:val="36"/>
          <w:lang w:eastAsia="zh-CN"/>
        </w:rPr>
        <w:t>2026年</w:t>
      </w:r>
      <w:r>
        <w:rPr>
          <w:rFonts w:hint="eastAsia" w:ascii="仿宋_GB2312" w:hAnsi="宋体" w:eastAsia="仿宋_GB2312"/>
          <w:b/>
          <w:bCs/>
          <w:color w:val="auto"/>
          <w:w w:val="95"/>
          <w:sz w:val="36"/>
          <w:szCs w:val="36"/>
          <w:lang w:val="en-US" w:eastAsia="zh-CN"/>
        </w:rPr>
        <w:t>6月</w:t>
      </w:r>
    </w:p>
    <w:p w14:paraId="079B30FB">
      <w:pPr>
        <w:rPr>
          <w:rFonts w:hint="eastAsia"/>
          <w:color w:val="auto"/>
        </w:rPr>
      </w:pPr>
    </w:p>
    <w:p w14:paraId="7D6E78D3">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55538F2D">
      <w:pPr>
        <w:spacing w:line="400" w:lineRule="exact"/>
        <w:jc w:val="center"/>
        <w:rPr>
          <w:rFonts w:hint="eastAsia" w:ascii="宋体" w:hAnsi="宋体"/>
          <w:b/>
          <w:color w:val="auto"/>
          <w:sz w:val="44"/>
          <w:szCs w:val="44"/>
        </w:rPr>
      </w:pPr>
    </w:p>
    <w:p w14:paraId="373372EB">
      <w:pPr>
        <w:pStyle w:val="25"/>
        <w:tabs>
          <w:tab w:val="right" w:leader="dot" w:pos="8869"/>
        </w:tabs>
        <w:snapToGrid w:val="0"/>
        <w:spacing w:line="500" w:lineRule="atLeast"/>
        <w:rPr>
          <w:rFonts w:ascii="宋体" w:hAnsi="宋体"/>
          <w:b/>
          <w:color w:val="auto"/>
          <w:sz w:val="24"/>
        </w:rPr>
      </w:pPr>
      <w:r>
        <w:rPr>
          <w:rFonts w:ascii="宋体" w:hAnsi="宋体"/>
          <w:b/>
          <w:color w:val="auto"/>
          <w:sz w:val="24"/>
        </w:rPr>
        <w:fldChar w:fldCharType="begin"/>
      </w:r>
      <w:r>
        <w:rPr>
          <w:rFonts w:ascii="宋体" w:hAnsi="宋体"/>
          <w:b/>
          <w:color w:val="auto"/>
          <w:sz w:val="24"/>
        </w:rPr>
        <w:instrText xml:space="preserve"> </w:instrText>
      </w:r>
      <w:r>
        <w:rPr>
          <w:rFonts w:hint="eastAsia" w:ascii="宋体" w:hAnsi="宋体"/>
          <w:b/>
          <w:color w:val="auto"/>
          <w:sz w:val="24"/>
        </w:rPr>
        <w:instrText xml:space="preserve">TOC \o "1-3" \h \z \u</w:instrText>
      </w:r>
      <w:r>
        <w:rPr>
          <w:rFonts w:ascii="宋体" w:hAnsi="宋体"/>
          <w:b/>
          <w:color w:val="auto"/>
          <w:sz w:val="24"/>
        </w:rPr>
        <w:instrText xml:space="preserve"> </w:instrText>
      </w:r>
      <w:r>
        <w:rPr>
          <w:rFonts w:ascii="宋体" w:hAnsi="宋体"/>
          <w:b/>
          <w:color w:val="auto"/>
          <w:sz w:val="24"/>
        </w:rPr>
        <w:fldChar w:fldCharType="separate"/>
      </w:r>
      <w:r>
        <w:rPr>
          <w:rStyle w:val="35"/>
          <w:rFonts w:ascii="宋体" w:hAnsi="宋体"/>
          <w:b/>
          <w:color w:val="auto"/>
          <w:sz w:val="24"/>
        </w:rPr>
        <w:fldChar w:fldCharType="begin"/>
      </w:r>
      <w:r>
        <w:rPr>
          <w:rStyle w:val="35"/>
          <w:rFonts w:ascii="宋体" w:hAnsi="宋体"/>
          <w:b/>
          <w:color w:val="auto"/>
          <w:sz w:val="24"/>
        </w:rPr>
        <w:instrText xml:space="preserve"> </w:instrText>
      </w:r>
      <w:r>
        <w:rPr>
          <w:rFonts w:ascii="宋体" w:hAnsi="宋体"/>
          <w:b/>
          <w:color w:val="auto"/>
          <w:sz w:val="24"/>
        </w:rPr>
        <w:instrText xml:space="preserve">HYPERLINK \l "_Toc74323456"</w:instrText>
      </w:r>
      <w:r>
        <w:rPr>
          <w:rStyle w:val="35"/>
          <w:rFonts w:ascii="宋体" w:hAnsi="宋体"/>
          <w:b/>
          <w:color w:val="auto"/>
          <w:sz w:val="24"/>
        </w:rPr>
        <w:instrText xml:space="preserve"> </w:instrText>
      </w:r>
      <w:r>
        <w:rPr>
          <w:rStyle w:val="35"/>
          <w:rFonts w:ascii="宋体" w:hAnsi="宋体"/>
          <w:b/>
          <w:color w:val="auto"/>
          <w:sz w:val="24"/>
        </w:rPr>
        <w:fldChar w:fldCharType="separate"/>
      </w:r>
      <w:r>
        <w:rPr>
          <w:rStyle w:val="35"/>
          <w:rFonts w:hint="eastAsia" w:ascii="宋体" w:hAnsi="宋体"/>
          <w:b/>
          <w:color w:val="auto"/>
          <w:sz w:val="24"/>
        </w:rPr>
        <w:t>第一章</w:t>
      </w:r>
      <w:r>
        <w:rPr>
          <w:rStyle w:val="35"/>
          <w:rFonts w:ascii="宋体" w:hAnsi="宋体"/>
          <w:b/>
          <w:color w:val="auto"/>
          <w:sz w:val="24"/>
        </w:rPr>
        <w:t xml:space="preserve"> </w:t>
      </w:r>
      <w:r>
        <w:rPr>
          <w:rStyle w:val="35"/>
          <w:rFonts w:hint="eastAsia" w:ascii="宋体" w:hAnsi="宋体"/>
          <w:b/>
          <w:color w:val="auto"/>
          <w:sz w:val="24"/>
        </w:rPr>
        <w:t>竞争性磋商公告</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_Toc74323456 \h </w:instrText>
      </w:r>
      <w:r>
        <w:rPr>
          <w:rFonts w:ascii="宋体" w:hAnsi="宋体"/>
          <w:b/>
          <w:color w:val="auto"/>
          <w:sz w:val="24"/>
        </w:rPr>
        <w:fldChar w:fldCharType="separate"/>
      </w:r>
      <w:r>
        <w:rPr>
          <w:rFonts w:ascii="宋体" w:hAnsi="宋体"/>
          <w:b/>
          <w:color w:val="auto"/>
          <w:sz w:val="24"/>
        </w:rPr>
        <w:t>2</w:t>
      </w:r>
      <w:r>
        <w:rPr>
          <w:rFonts w:ascii="宋体" w:hAnsi="宋体"/>
          <w:b/>
          <w:color w:val="auto"/>
          <w:sz w:val="24"/>
        </w:rPr>
        <w:fldChar w:fldCharType="end"/>
      </w:r>
      <w:r>
        <w:rPr>
          <w:rStyle w:val="35"/>
          <w:rFonts w:ascii="宋体" w:hAnsi="宋体"/>
          <w:b/>
          <w:color w:val="auto"/>
          <w:sz w:val="24"/>
        </w:rPr>
        <w:fldChar w:fldCharType="end"/>
      </w:r>
    </w:p>
    <w:p w14:paraId="6F09B75E">
      <w:pPr>
        <w:pStyle w:val="25"/>
        <w:tabs>
          <w:tab w:val="right" w:leader="dot" w:pos="8869"/>
        </w:tabs>
        <w:snapToGrid w:val="0"/>
        <w:spacing w:line="500" w:lineRule="atLeast"/>
        <w:rPr>
          <w:rFonts w:ascii="宋体" w:hAnsi="宋体"/>
          <w:b/>
          <w:color w:val="auto"/>
          <w:sz w:val="24"/>
        </w:rPr>
      </w:pPr>
      <w:r>
        <w:rPr>
          <w:rStyle w:val="35"/>
          <w:rFonts w:ascii="宋体" w:hAnsi="宋体"/>
          <w:b/>
          <w:color w:val="auto"/>
          <w:sz w:val="24"/>
        </w:rPr>
        <w:fldChar w:fldCharType="begin"/>
      </w:r>
      <w:r>
        <w:rPr>
          <w:rStyle w:val="35"/>
          <w:rFonts w:ascii="宋体" w:hAnsi="宋体"/>
          <w:b/>
          <w:color w:val="auto"/>
          <w:sz w:val="24"/>
        </w:rPr>
        <w:instrText xml:space="preserve"> </w:instrText>
      </w:r>
      <w:r>
        <w:rPr>
          <w:rFonts w:ascii="宋体" w:hAnsi="宋体"/>
          <w:b/>
          <w:color w:val="auto"/>
          <w:sz w:val="24"/>
        </w:rPr>
        <w:instrText xml:space="preserve">HYPERLINK \l "_Toc74323457"</w:instrText>
      </w:r>
      <w:r>
        <w:rPr>
          <w:rStyle w:val="35"/>
          <w:rFonts w:ascii="宋体" w:hAnsi="宋体"/>
          <w:b/>
          <w:color w:val="auto"/>
          <w:sz w:val="24"/>
        </w:rPr>
        <w:instrText xml:space="preserve"> </w:instrText>
      </w:r>
      <w:r>
        <w:rPr>
          <w:rStyle w:val="35"/>
          <w:rFonts w:ascii="宋体" w:hAnsi="宋体"/>
          <w:b/>
          <w:color w:val="auto"/>
          <w:sz w:val="24"/>
        </w:rPr>
        <w:fldChar w:fldCharType="separate"/>
      </w:r>
      <w:r>
        <w:rPr>
          <w:rStyle w:val="35"/>
          <w:rFonts w:hint="eastAsia" w:ascii="宋体" w:hAnsi="宋体"/>
          <w:b/>
          <w:color w:val="auto"/>
          <w:sz w:val="24"/>
        </w:rPr>
        <w:t>第二章</w:t>
      </w:r>
      <w:r>
        <w:rPr>
          <w:rStyle w:val="35"/>
          <w:rFonts w:ascii="宋体" w:hAnsi="宋体"/>
          <w:b/>
          <w:color w:val="auto"/>
          <w:sz w:val="24"/>
        </w:rPr>
        <w:t xml:space="preserve"> </w:t>
      </w:r>
      <w:r>
        <w:rPr>
          <w:rStyle w:val="35"/>
          <w:rFonts w:hint="eastAsia" w:ascii="宋体" w:hAnsi="宋体"/>
          <w:b/>
          <w:color w:val="auto"/>
          <w:sz w:val="24"/>
        </w:rPr>
        <w:t>供应</w:t>
      </w:r>
      <w:bookmarkStart w:id="0" w:name="_Hlt82161237"/>
      <w:r>
        <w:rPr>
          <w:rStyle w:val="35"/>
          <w:rFonts w:hint="eastAsia" w:ascii="宋体" w:hAnsi="宋体"/>
          <w:b/>
          <w:color w:val="auto"/>
          <w:sz w:val="24"/>
        </w:rPr>
        <w:t>商</w:t>
      </w:r>
      <w:bookmarkEnd w:id="0"/>
      <w:r>
        <w:rPr>
          <w:rStyle w:val="35"/>
          <w:rFonts w:hint="eastAsia" w:ascii="宋体" w:hAnsi="宋体"/>
          <w:b/>
          <w:color w:val="auto"/>
          <w:sz w:val="24"/>
        </w:rPr>
        <w:t>须知</w:t>
      </w:r>
      <w:r>
        <w:rPr>
          <w:rFonts w:ascii="宋体" w:hAnsi="宋体"/>
          <w:b/>
          <w:color w:val="auto"/>
          <w:sz w:val="24"/>
        </w:rPr>
        <w:tab/>
      </w:r>
      <w:r>
        <w:rPr>
          <w:rFonts w:hint="eastAsia" w:ascii="宋体" w:hAnsi="宋体"/>
          <w:b/>
          <w:color w:val="auto"/>
          <w:sz w:val="24"/>
          <w:lang w:val="en-US" w:eastAsia="zh-CN"/>
        </w:rPr>
        <w:t>6</w:t>
      </w:r>
      <w:r>
        <w:rPr>
          <w:rStyle w:val="35"/>
          <w:rFonts w:ascii="宋体" w:hAnsi="宋体"/>
          <w:b/>
          <w:color w:val="auto"/>
          <w:sz w:val="24"/>
        </w:rPr>
        <w:fldChar w:fldCharType="end"/>
      </w:r>
    </w:p>
    <w:p w14:paraId="33E5B403">
      <w:pPr>
        <w:pStyle w:val="25"/>
        <w:tabs>
          <w:tab w:val="right" w:leader="dot" w:pos="8869"/>
        </w:tabs>
        <w:snapToGrid w:val="0"/>
        <w:spacing w:line="500" w:lineRule="atLeast"/>
        <w:rPr>
          <w:rFonts w:hint="default" w:ascii="宋体" w:hAnsi="宋体" w:eastAsia="宋体"/>
          <w:b/>
          <w:color w:val="auto"/>
          <w:sz w:val="24"/>
          <w:lang w:val="en-US" w:eastAsia="zh-CN"/>
        </w:rPr>
      </w:pPr>
      <w:r>
        <w:rPr>
          <w:rStyle w:val="35"/>
          <w:rFonts w:ascii="宋体" w:hAnsi="宋体"/>
          <w:b/>
          <w:color w:val="auto"/>
          <w:sz w:val="24"/>
        </w:rPr>
        <w:fldChar w:fldCharType="begin"/>
      </w:r>
      <w:r>
        <w:rPr>
          <w:rStyle w:val="35"/>
          <w:rFonts w:ascii="宋体" w:hAnsi="宋体"/>
          <w:b/>
          <w:color w:val="auto"/>
          <w:sz w:val="24"/>
        </w:rPr>
        <w:instrText xml:space="preserve"> </w:instrText>
      </w:r>
      <w:r>
        <w:rPr>
          <w:rFonts w:ascii="宋体" w:hAnsi="宋体"/>
          <w:b/>
          <w:color w:val="auto"/>
          <w:sz w:val="24"/>
        </w:rPr>
        <w:instrText xml:space="preserve">HYPERLINK \l "_Toc74323458"</w:instrText>
      </w:r>
      <w:r>
        <w:rPr>
          <w:rStyle w:val="35"/>
          <w:rFonts w:ascii="宋体" w:hAnsi="宋体"/>
          <w:b/>
          <w:color w:val="auto"/>
          <w:sz w:val="24"/>
        </w:rPr>
        <w:instrText xml:space="preserve"> </w:instrText>
      </w:r>
      <w:r>
        <w:rPr>
          <w:rStyle w:val="35"/>
          <w:rFonts w:ascii="宋体" w:hAnsi="宋体"/>
          <w:b/>
          <w:color w:val="auto"/>
          <w:sz w:val="24"/>
        </w:rPr>
        <w:fldChar w:fldCharType="separate"/>
      </w:r>
      <w:r>
        <w:rPr>
          <w:rStyle w:val="35"/>
          <w:rFonts w:hint="eastAsia" w:ascii="宋体" w:hAnsi="宋体"/>
          <w:b/>
          <w:color w:val="auto"/>
          <w:sz w:val="24"/>
        </w:rPr>
        <w:t>第三章</w:t>
      </w:r>
      <w:r>
        <w:rPr>
          <w:rStyle w:val="35"/>
          <w:rFonts w:ascii="宋体" w:hAnsi="宋体"/>
          <w:b/>
          <w:color w:val="auto"/>
          <w:sz w:val="24"/>
        </w:rPr>
        <w:t xml:space="preserve"> </w:t>
      </w:r>
      <w:r>
        <w:rPr>
          <w:rStyle w:val="35"/>
          <w:rFonts w:hint="eastAsia" w:ascii="宋体" w:hAnsi="宋体"/>
          <w:b/>
          <w:color w:val="auto"/>
          <w:sz w:val="24"/>
        </w:rPr>
        <w:t>采购需</w:t>
      </w:r>
      <w:bookmarkStart w:id="1" w:name="_Hlt82166940"/>
      <w:r>
        <w:rPr>
          <w:rStyle w:val="35"/>
          <w:rFonts w:hint="eastAsia" w:ascii="宋体" w:hAnsi="宋体"/>
          <w:b/>
          <w:color w:val="auto"/>
          <w:sz w:val="24"/>
        </w:rPr>
        <w:t>求</w:t>
      </w:r>
      <w:bookmarkEnd w:id="1"/>
      <w:r>
        <w:rPr>
          <w:rFonts w:ascii="宋体" w:hAnsi="宋体"/>
          <w:b/>
          <w:color w:val="auto"/>
          <w:sz w:val="24"/>
        </w:rPr>
        <w:tab/>
      </w:r>
      <w:r>
        <w:rPr>
          <w:rStyle w:val="35"/>
          <w:rFonts w:ascii="宋体" w:hAnsi="宋体"/>
          <w:b/>
          <w:color w:val="auto"/>
          <w:sz w:val="24"/>
        </w:rPr>
        <w:fldChar w:fldCharType="end"/>
      </w:r>
      <w:r>
        <w:rPr>
          <w:rStyle w:val="35"/>
          <w:rFonts w:hint="eastAsia" w:ascii="宋体" w:hAnsi="宋体"/>
          <w:b/>
          <w:color w:val="auto"/>
          <w:sz w:val="24"/>
          <w:lang w:val="en-US" w:eastAsia="zh-CN"/>
        </w:rPr>
        <w:t>26</w:t>
      </w:r>
    </w:p>
    <w:p w14:paraId="0B8C57B1">
      <w:pPr>
        <w:pStyle w:val="25"/>
        <w:tabs>
          <w:tab w:val="right" w:leader="dot" w:pos="8869"/>
        </w:tabs>
        <w:snapToGrid w:val="0"/>
        <w:spacing w:line="500" w:lineRule="atLeast"/>
        <w:rPr>
          <w:rFonts w:hint="default" w:ascii="宋体" w:hAnsi="宋体" w:eastAsia="宋体"/>
          <w:b/>
          <w:color w:val="auto"/>
          <w:sz w:val="24"/>
          <w:lang w:val="en-US" w:eastAsia="zh-CN"/>
        </w:rPr>
      </w:pPr>
      <w:r>
        <w:rPr>
          <w:rStyle w:val="35"/>
          <w:rFonts w:ascii="宋体" w:hAnsi="宋体"/>
          <w:b/>
          <w:color w:val="auto"/>
          <w:sz w:val="24"/>
        </w:rPr>
        <w:fldChar w:fldCharType="begin"/>
      </w:r>
      <w:r>
        <w:rPr>
          <w:rStyle w:val="35"/>
          <w:rFonts w:ascii="宋体" w:hAnsi="宋体"/>
          <w:b/>
          <w:color w:val="auto"/>
          <w:sz w:val="24"/>
        </w:rPr>
        <w:instrText xml:space="preserve"> </w:instrText>
      </w:r>
      <w:r>
        <w:rPr>
          <w:rFonts w:ascii="宋体" w:hAnsi="宋体"/>
          <w:b/>
          <w:color w:val="auto"/>
          <w:sz w:val="24"/>
        </w:rPr>
        <w:instrText xml:space="preserve">HYPERLINK \l "_Toc74323459"</w:instrText>
      </w:r>
      <w:r>
        <w:rPr>
          <w:rStyle w:val="35"/>
          <w:rFonts w:ascii="宋体" w:hAnsi="宋体"/>
          <w:b/>
          <w:color w:val="auto"/>
          <w:sz w:val="24"/>
        </w:rPr>
        <w:instrText xml:space="preserve"> </w:instrText>
      </w:r>
      <w:r>
        <w:rPr>
          <w:rStyle w:val="35"/>
          <w:rFonts w:ascii="宋体" w:hAnsi="宋体"/>
          <w:b/>
          <w:color w:val="auto"/>
          <w:sz w:val="24"/>
        </w:rPr>
        <w:fldChar w:fldCharType="separate"/>
      </w:r>
      <w:r>
        <w:rPr>
          <w:rStyle w:val="35"/>
          <w:rFonts w:hint="eastAsia" w:ascii="宋体" w:hAnsi="宋体"/>
          <w:b/>
          <w:color w:val="auto"/>
          <w:sz w:val="24"/>
        </w:rPr>
        <w:t>第四章</w:t>
      </w:r>
      <w:r>
        <w:rPr>
          <w:rStyle w:val="35"/>
          <w:rFonts w:ascii="宋体" w:hAnsi="宋体"/>
          <w:b/>
          <w:color w:val="auto"/>
          <w:sz w:val="24"/>
        </w:rPr>
        <w:t xml:space="preserve"> </w:t>
      </w:r>
      <w:r>
        <w:rPr>
          <w:rStyle w:val="35"/>
          <w:rFonts w:hint="eastAsia" w:ascii="宋体" w:hAnsi="宋体"/>
          <w:b/>
          <w:color w:val="auto"/>
          <w:sz w:val="24"/>
        </w:rPr>
        <w:t>评审程序、</w:t>
      </w:r>
      <w:bookmarkStart w:id="2" w:name="_Hlt82166000"/>
      <w:r>
        <w:rPr>
          <w:rStyle w:val="35"/>
          <w:rFonts w:hint="eastAsia" w:ascii="宋体" w:hAnsi="宋体"/>
          <w:b/>
          <w:color w:val="auto"/>
          <w:sz w:val="24"/>
        </w:rPr>
        <w:t>评</w:t>
      </w:r>
      <w:bookmarkEnd w:id="2"/>
      <w:r>
        <w:rPr>
          <w:rStyle w:val="35"/>
          <w:rFonts w:hint="eastAsia" w:ascii="宋体" w:hAnsi="宋体"/>
          <w:b/>
          <w:color w:val="auto"/>
          <w:sz w:val="24"/>
        </w:rPr>
        <w:t>审方法和评审标准</w:t>
      </w:r>
      <w:r>
        <w:rPr>
          <w:rFonts w:ascii="宋体" w:hAnsi="宋体"/>
          <w:b/>
          <w:color w:val="auto"/>
          <w:sz w:val="24"/>
        </w:rPr>
        <w:tab/>
      </w:r>
      <w:r>
        <w:rPr>
          <w:rStyle w:val="35"/>
          <w:rFonts w:ascii="宋体" w:hAnsi="宋体"/>
          <w:b/>
          <w:color w:val="auto"/>
          <w:sz w:val="24"/>
        </w:rPr>
        <w:fldChar w:fldCharType="end"/>
      </w:r>
      <w:r>
        <w:rPr>
          <w:rStyle w:val="35"/>
          <w:rFonts w:hint="eastAsia" w:ascii="宋体" w:hAnsi="宋体"/>
          <w:b/>
          <w:color w:val="auto"/>
          <w:sz w:val="24"/>
          <w:lang w:val="en-US" w:eastAsia="zh-CN"/>
        </w:rPr>
        <w:t>30</w:t>
      </w:r>
    </w:p>
    <w:p w14:paraId="7DDACAE9">
      <w:pPr>
        <w:pStyle w:val="25"/>
        <w:tabs>
          <w:tab w:val="right" w:leader="dot" w:pos="8869"/>
        </w:tabs>
        <w:snapToGrid w:val="0"/>
        <w:spacing w:line="500" w:lineRule="atLeast"/>
        <w:rPr>
          <w:rFonts w:hint="default" w:ascii="宋体" w:hAnsi="宋体" w:eastAsia="宋体"/>
          <w:b/>
          <w:color w:val="auto"/>
          <w:sz w:val="24"/>
          <w:lang w:val="en-US" w:eastAsia="zh-CN"/>
        </w:rPr>
      </w:pPr>
      <w:r>
        <w:rPr>
          <w:rStyle w:val="35"/>
          <w:rFonts w:ascii="宋体" w:hAnsi="宋体"/>
          <w:b/>
          <w:color w:val="auto"/>
          <w:sz w:val="24"/>
        </w:rPr>
        <w:fldChar w:fldCharType="begin"/>
      </w:r>
      <w:r>
        <w:rPr>
          <w:rStyle w:val="35"/>
          <w:rFonts w:ascii="宋体" w:hAnsi="宋体"/>
          <w:b/>
          <w:color w:val="auto"/>
          <w:sz w:val="24"/>
        </w:rPr>
        <w:instrText xml:space="preserve"> </w:instrText>
      </w:r>
      <w:r>
        <w:rPr>
          <w:rFonts w:ascii="宋体" w:hAnsi="宋体"/>
          <w:b/>
          <w:color w:val="auto"/>
          <w:sz w:val="24"/>
        </w:rPr>
        <w:instrText xml:space="preserve">HYPERLINK \l "_Toc74323460"</w:instrText>
      </w:r>
      <w:r>
        <w:rPr>
          <w:rStyle w:val="35"/>
          <w:rFonts w:ascii="宋体" w:hAnsi="宋体"/>
          <w:b/>
          <w:color w:val="auto"/>
          <w:sz w:val="24"/>
        </w:rPr>
        <w:instrText xml:space="preserve"> </w:instrText>
      </w:r>
      <w:r>
        <w:rPr>
          <w:rStyle w:val="35"/>
          <w:rFonts w:ascii="宋体" w:hAnsi="宋体"/>
          <w:b/>
          <w:color w:val="auto"/>
          <w:sz w:val="24"/>
        </w:rPr>
        <w:fldChar w:fldCharType="separate"/>
      </w:r>
      <w:r>
        <w:rPr>
          <w:rStyle w:val="35"/>
          <w:rFonts w:hint="eastAsia" w:ascii="宋体" w:hAnsi="宋体"/>
          <w:b/>
          <w:color w:val="auto"/>
          <w:sz w:val="24"/>
        </w:rPr>
        <w:t>第五章</w:t>
      </w:r>
      <w:r>
        <w:rPr>
          <w:rStyle w:val="35"/>
          <w:rFonts w:ascii="宋体" w:hAnsi="宋体"/>
          <w:b/>
          <w:color w:val="auto"/>
          <w:sz w:val="24"/>
        </w:rPr>
        <w:t xml:space="preserve"> </w:t>
      </w:r>
      <w:r>
        <w:rPr>
          <w:rStyle w:val="35"/>
          <w:rFonts w:hint="eastAsia" w:ascii="宋体" w:hAnsi="宋体"/>
          <w:b/>
          <w:color w:val="auto"/>
          <w:sz w:val="24"/>
        </w:rPr>
        <w:t>响应文件格式</w:t>
      </w:r>
      <w:r>
        <w:rPr>
          <w:rFonts w:ascii="宋体" w:hAnsi="宋体"/>
          <w:b/>
          <w:color w:val="auto"/>
          <w:sz w:val="24"/>
        </w:rPr>
        <w:tab/>
      </w:r>
      <w:r>
        <w:rPr>
          <w:rStyle w:val="35"/>
          <w:rFonts w:ascii="宋体" w:hAnsi="宋体"/>
          <w:b/>
          <w:color w:val="auto"/>
          <w:sz w:val="24"/>
        </w:rPr>
        <w:fldChar w:fldCharType="end"/>
      </w:r>
      <w:r>
        <w:rPr>
          <w:rStyle w:val="35"/>
          <w:rFonts w:hint="eastAsia" w:ascii="宋体" w:hAnsi="宋体"/>
          <w:b/>
          <w:color w:val="auto"/>
          <w:sz w:val="24"/>
          <w:lang w:val="en-US" w:eastAsia="zh-CN"/>
        </w:rPr>
        <w:t>41</w:t>
      </w:r>
    </w:p>
    <w:p w14:paraId="4C506C02">
      <w:pPr>
        <w:pStyle w:val="25"/>
        <w:tabs>
          <w:tab w:val="right" w:leader="dot" w:pos="8869"/>
        </w:tabs>
        <w:snapToGrid w:val="0"/>
        <w:spacing w:line="500" w:lineRule="atLeast"/>
        <w:rPr>
          <w:rFonts w:hint="default" w:ascii="宋体" w:hAnsi="宋体" w:eastAsia="宋体"/>
          <w:color w:val="auto"/>
          <w:sz w:val="24"/>
          <w:lang w:val="en-US" w:eastAsia="zh-CN"/>
        </w:rPr>
      </w:pPr>
      <w:r>
        <w:rPr>
          <w:rStyle w:val="35"/>
          <w:rFonts w:ascii="宋体" w:hAnsi="宋体"/>
          <w:b/>
          <w:color w:val="auto"/>
          <w:sz w:val="24"/>
        </w:rPr>
        <w:fldChar w:fldCharType="begin"/>
      </w:r>
      <w:r>
        <w:rPr>
          <w:rStyle w:val="35"/>
          <w:rFonts w:ascii="宋体" w:hAnsi="宋体"/>
          <w:b/>
          <w:color w:val="auto"/>
          <w:sz w:val="24"/>
        </w:rPr>
        <w:instrText xml:space="preserve"> </w:instrText>
      </w:r>
      <w:r>
        <w:rPr>
          <w:rFonts w:ascii="宋体" w:hAnsi="宋体"/>
          <w:b/>
          <w:color w:val="auto"/>
          <w:sz w:val="24"/>
        </w:rPr>
        <w:instrText xml:space="preserve">HYPERLINK \l "_Toc74323461"</w:instrText>
      </w:r>
      <w:r>
        <w:rPr>
          <w:rStyle w:val="35"/>
          <w:rFonts w:ascii="宋体" w:hAnsi="宋体"/>
          <w:b/>
          <w:color w:val="auto"/>
          <w:sz w:val="24"/>
        </w:rPr>
        <w:instrText xml:space="preserve"> </w:instrText>
      </w:r>
      <w:r>
        <w:rPr>
          <w:rStyle w:val="35"/>
          <w:rFonts w:ascii="宋体" w:hAnsi="宋体"/>
          <w:b/>
          <w:color w:val="auto"/>
          <w:sz w:val="24"/>
        </w:rPr>
        <w:fldChar w:fldCharType="separate"/>
      </w:r>
      <w:r>
        <w:rPr>
          <w:rStyle w:val="35"/>
          <w:rFonts w:hint="eastAsia" w:ascii="宋体" w:hAnsi="宋体"/>
          <w:b/>
          <w:color w:val="auto"/>
          <w:sz w:val="24"/>
        </w:rPr>
        <w:t>第六章</w:t>
      </w:r>
      <w:r>
        <w:rPr>
          <w:rStyle w:val="35"/>
          <w:rFonts w:ascii="宋体" w:hAnsi="宋体"/>
          <w:b/>
          <w:color w:val="auto"/>
          <w:sz w:val="24"/>
        </w:rPr>
        <w:t xml:space="preserve"> </w:t>
      </w:r>
      <w:r>
        <w:rPr>
          <w:rStyle w:val="35"/>
          <w:rFonts w:hint="eastAsia" w:ascii="宋体" w:hAnsi="宋体"/>
          <w:b/>
          <w:color w:val="auto"/>
          <w:sz w:val="24"/>
        </w:rPr>
        <w:t>合同文本</w:t>
      </w:r>
      <w:r>
        <w:rPr>
          <w:rFonts w:ascii="宋体" w:hAnsi="宋体"/>
          <w:b/>
          <w:color w:val="auto"/>
          <w:sz w:val="24"/>
        </w:rPr>
        <w:tab/>
      </w:r>
      <w:r>
        <w:rPr>
          <w:rStyle w:val="35"/>
          <w:rFonts w:ascii="宋体" w:hAnsi="宋体"/>
          <w:b/>
          <w:color w:val="auto"/>
          <w:sz w:val="24"/>
        </w:rPr>
        <w:fldChar w:fldCharType="end"/>
      </w:r>
      <w:r>
        <w:rPr>
          <w:rStyle w:val="35"/>
          <w:rFonts w:hint="eastAsia" w:ascii="宋体" w:hAnsi="宋体"/>
          <w:b/>
          <w:color w:val="auto"/>
          <w:sz w:val="24"/>
          <w:lang w:val="en-US" w:eastAsia="zh-CN"/>
        </w:rPr>
        <w:t>71</w:t>
      </w:r>
    </w:p>
    <w:p w14:paraId="11ACE00F">
      <w:pPr>
        <w:pStyle w:val="26"/>
        <w:tabs>
          <w:tab w:val="right" w:leader="dot" w:pos="8931"/>
          <w:tab w:val="clear" w:pos="8296"/>
        </w:tabs>
        <w:snapToGrid w:val="0"/>
        <w:spacing w:line="500" w:lineRule="atLeast"/>
        <w:ind w:left="0" w:leftChars="0"/>
        <w:rPr>
          <w:rFonts w:hint="eastAsia" w:ascii="宋体" w:hAnsi="宋体"/>
          <w:b/>
          <w:color w:val="auto"/>
          <w:sz w:val="24"/>
        </w:rPr>
      </w:pPr>
      <w:r>
        <w:rPr>
          <w:rFonts w:ascii="宋体" w:hAnsi="宋体"/>
          <w:b/>
          <w:color w:val="auto"/>
          <w:sz w:val="24"/>
        </w:rPr>
        <w:fldChar w:fldCharType="end"/>
      </w:r>
    </w:p>
    <w:p w14:paraId="1A4FE56B">
      <w:pPr>
        <w:spacing w:line="400" w:lineRule="exact"/>
        <w:jc w:val="left"/>
        <w:rPr>
          <w:rFonts w:hint="eastAsia" w:ascii="宋体" w:hAnsi="宋体"/>
          <w:b/>
          <w:color w:val="auto"/>
          <w:sz w:val="32"/>
          <w:szCs w:val="32"/>
        </w:rPr>
      </w:pPr>
    </w:p>
    <w:p w14:paraId="4811A11D">
      <w:pPr>
        <w:spacing w:line="400" w:lineRule="exact"/>
        <w:jc w:val="center"/>
        <w:rPr>
          <w:rFonts w:hint="eastAsia" w:ascii="宋体" w:hAnsi="宋体"/>
          <w:b/>
          <w:color w:val="auto"/>
          <w:sz w:val="32"/>
          <w:szCs w:val="32"/>
        </w:rPr>
      </w:pPr>
    </w:p>
    <w:p w14:paraId="2EAF565D">
      <w:pPr>
        <w:spacing w:line="400" w:lineRule="exact"/>
        <w:jc w:val="center"/>
        <w:rPr>
          <w:rFonts w:hint="eastAsia" w:ascii="宋体" w:hAnsi="宋体"/>
          <w:b/>
          <w:color w:val="auto"/>
          <w:sz w:val="32"/>
          <w:szCs w:val="32"/>
        </w:rPr>
      </w:pPr>
    </w:p>
    <w:p w14:paraId="4E5BD176">
      <w:pPr>
        <w:spacing w:line="400" w:lineRule="exact"/>
        <w:jc w:val="center"/>
        <w:rPr>
          <w:rFonts w:hint="eastAsia" w:ascii="宋体" w:hAnsi="宋体"/>
          <w:b/>
          <w:color w:val="auto"/>
          <w:sz w:val="32"/>
          <w:szCs w:val="32"/>
        </w:rPr>
      </w:pPr>
    </w:p>
    <w:p w14:paraId="1066F94F">
      <w:pPr>
        <w:spacing w:line="400" w:lineRule="exact"/>
        <w:jc w:val="center"/>
        <w:rPr>
          <w:rFonts w:hint="eastAsia" w:ascii="宋体" w:hAnsi="宋体"/>
          <w:b/>
          <w:color w:val="auto"/>
          <w:sz w:val="32"/>
          <w:szCs w:val="32"/>
        </w:rPr>
      </w:pPr>
    </w:p>
    <w:p w14:paraId="43C76177">
      <w:pPr>
        <w:spacing w:line="400" w:lineRule="exact"/>
        <w:rPr>
          <w:rFonts w:hint="eastAsia" w:ascii="宋体" w:hAnsi="宋体"/>
          <w:b/>
          <w:color w:val="auto"/>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30C09B44">
      <w:pPr>
        <w:pStyle w:val="2"/>
        <w:pageBreakBefore w:val="0"/>
        <w:widowControl w:val="0"/>
        <w:kinsoku/>
        <w:wordWrap/>
        <w:overflowPunct/>
        <w:topLinePunct w:val="0"/>
        <w:autoSpaceDE/>
        <w:autoSpaceDN/>
        <w:bidi w:val="0"/>
        <w:adjustRightInd/>
        <w:snapToGrid/>
        <w:spacing w:line="300" w:lineRule="exact"/>
        <w:jc w:val="center"/>
        <w:textAlignment w:val="auto"/>
        <w:rPr>
          <w:color w:val="auto"/>
        </w:rPr>
      </w:pPr>
      <w:bookmarkStart w:id="3" w:name="_Toc74323456"/>
      <w:r>
        <w:rPr>
          <w:rFonts w:hint="eastAsia"/>
          <w:color w:val="auto"/>
        </w:rPr>
        <w:t>第一章 竞争性磋商公告</w:t>
      </w:r>
      <w:bookmarkEnd w:id="3"/>
    </w:p>
    <w:p w14:paraId="3AC0B79E">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color w:val="auto"/>
          <w:sz w:val="30"/>
          <w:szCs w:val="30"/>
        </w:rPr>
      </w:pPr>
    </w:p>
    <w:p w14:paraId="5ABE4A95">
      <w:pPr>
        <w:pStyle w:val="2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b/>
          <w:bCs w:val="0"/>
          <w:color w:val="auto"/>
          <w:sz w:val="30"/>
          <w:szCs w:val="30"/>
          <w:lang w:eastAsia="zh-CN"/>
        </w:rPr>
      </w:pPr>
      <w:r>
        <w:rPr>
          <w:rFonts w:hint="eastAsia"/>
          <w:b/>
          <w:bCs w:val="0"/>
          <w:color w:val="auto"/>
          <w:sz w:val="30"/>
          <w:szCs w:val="30"/>
          <w:lang w:eastAsia="zh-CN"/>
        </w:rPr>
        <w:t>广西国泰招标咨询有限公司</w:t>
      </w:r>
    </w:p>
    <w:p w14:paraId="0572CD82">
      <w:pPr>
        <w:jc w:val="center"/>
        <w:rPr>
          <w:rFonts w:hint="eastAsia" w:ascii="宋体" w:hAnsi="Courier New"/>
          <w:b/>
          <w:bCs w:val="0"/>
          <w:color w:val="auto"/>
          <w:sz w:val="30"/>
          <w:szCs w:val="30"/>
        </w:rPr>
      </w:pPr>
      <w:r>
        <w:rPr>
          <w:rFonts w:hint="eastAsia" w:ascii="宋体" w:hAnsi="Courier New"/>
          <w:b/>
          <w:bCs w:val="0"/>
          <w:color w:val="auto"/>
          <w:sz w:val="30"/>
          <w:szCs w:val="30"/>
          <w:lang w:eastAsia="zh-CN"/>
        </w:rPr>
        <w:t>博白县人民医院1号楼旧楼门诊业务用房优化布局改造提升工程（儿科部分）</w:t>
      </w:r>
      <w:r>
        <w:rPr>
          <w:rFonts w:hint="eastAsia" w:ascii="宋体" w:hAnsi="Courier New"/>
          <w:b/>
          <w:bCs w:val="0"/>
          <w:color w:val="auto"/>
          <w:sz w:val="30"/>
          <w:szCs w:val="30"/>
        </w:rPr>
        <w:t>（</w:t>
      </w:r>
      <w:r>
        <w:rPr>
          <w:rFonts w:hint="eastAsia" w:ascii="宋体" w:hAnsi="Courier New"/>
          <w:b/>
          <w:bCs w:val="0"/>
          <w:color w:val="auto"/>
          <w:sz w:val="30"/>
          <w:szCs w:val="30"/>
          <w:lang w:eastAsia="zh-CN"/>
        </w:rPr>
        <w:t>项目编号：YLZC2026-C2-230121-GTZB</w:t>
      </w:r>
      <w:r>
        <w:rPr>
          <w:rFonts w:hint="eastAsia" w:ascii="宋体" w:hAnsi="Courier New"/>
          <w:b/>
          <w:bCs w:val="0"/>
          <w:color w:val="auto"/>
          <w:sz w:val="30"/>
          <w:szCs w:val="30"/>
        </w:rPr>
        <w:t>）</w:t>
      </w:r>
    </w:p>
    <w:p w14:paraId="3E5B09FB">
      <w:pPr>
        <w:jc w:val="center"/>
        <w:rPr>
          <w:rFonts w:hint="eastAsia" w:ascii="宋体" w:hAnsi="Courier New"/>
          <w:b/>
          <w:bCs w:val="0"/>
          <w:color w:val="auto"/>
          <w:kern w:val="0"/>
          <w:sz w:val="30"/>
          <w:szCs w:val="30"/>
        </w:rPr>
      </w:pPr>
      <w:r>
        <w:rPr>
          <w:rFonts w:hint="eastAsia" w:ascii="宋体" w:hAnsi="Courier New"/>
          <w:b/>
          <w:bCs w:val="0"/>
          <w:color w:val="auto"/>
          <w:kern w:val="0"/>
          <w:sz w:val="30"/>
          <w:szCs w:val="30"/>
        </w:rPr>
        <w:t>竞争性磋商公告</w:t>
      </w:r>
    </w:p>
    <w:p w14:paraId="4B74CC6A">
      <w:pPr>
        <w:spacing w:line="360" w:lineRule="auto"/>
        <w:jc w:val="center"/>
        <w:rPr>
          <w:rFonts w:ascii="宋体" w:hAnsi="宋体"/>
          <w:color w:val="auto"/>
          <w:szCs w:val="21"/>
        </w:rPr>
      </w:pPr>
    </w:p>
    <w:p w14:paraId="3FE7DF1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bookmarkStart w:id="4" w:name="_Hlk37430271"/>
      <w:r>
        <w:rPr>
          <w:rFonts w:hint="eastAsia" w:ascii="宋体" w:hAnsi="宋体"/>
          <w:color w:val="auto"/>
          <w:szCs w:val="21"/>
        </w:rPr>
        <w:t>项目概况</w:t>
      </w:r>
    </w:p>
    <w:p w14:paraId="4DB59D3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lang w:eastAsia="zh-CN"/>
        </w:rPr>
        <w:t>博白县人民医院1号楼旧楼门诊业务用房优化布局改造提升工程（儿科部分）</w:t>
      </w:r>
      <w:r>
        <w:rPr>
          <w:rFonts w:hint="eastAsia" w:ascii="宋体" w:hAnsi="宋体"/>
          <w:color w:val="auto"/>
          <w:szCs w:val="21"/>
        </w:rPr>
        <w:t>的潜在供应商应在</w:t>
      </w:r>
      <w:r>
        <w:rPr>
          <w:rFonts w:hint="eastAsia" w:ascii="宋体" w:hAnsi="宋体"/>
          <w:color w:val="auto"/>
          <w:szCs w:val="21"/>
          <w:lang w:eastAsia="zh-CN"/>
        </w:rPr>
        <w:t>广西政府采购云平台</w:t>
      </w:r>
      <w:r>
        <w:rPr>
          <w:rFonts w:hint="eastAsia" w:ascii="宋体" w:hAnsi="宋体"/>
          <w:color w:val="auto"/>
          <w:szCs w:val="21"/>
        </w:rPr>
        <w:t>（https://</w:t>
      </w:r>
      <w:r>
        <w:rPr>
          <w:rFonts w:hint="eastAsia" w:ascii="宋体" w:hAnsi="宋体"/>
          <w:color w:val="auto"/>
          <w:szCs w:val="21"/>
          <w:lang w:val="en-US" w:eastAsia="zh-CN"/>
        </w:rPr>
        <w:t>www</w:t>
      </w:r>
      <w:r>
        <w:rPr>
          <w:rFonts w:hint="eastAsia" w:ascii="宋体" w:hAnsi="宋体"/>
          <w:color w:val="auto"/>
          <w:szCs w:val="21"/>
        </w:rPr>
        <w:t>.gcy.zfcg.gxzf.gov.cn/）获取（下载）竞争性磋商文件，并于</w:t>
      </w:r>
      <w:r>
        <w:rPr>
          <w:rFonts w:hint="eastAsia" w:ascii="宋体" w:hAnsi="宋体"/>
          <w:color w:val="auto"/>
          <w:szCs w:val="21"/>
          <w:lang w:eastAsia="zh-CN"/>
        </w:rPr>
        <w:t>2026年</w:t>
      </w:r>
      <w:r>
        <w:rPr>
          <w:rFonts w:hint="eastAsia" w:ascii="宋体" w:hAnsi="宋体" w:cs="Arial"/>
          <w:strike w:val="0"/>
          <w:dstrike w:val="0"/>
          <w:color w:val="auto"/>
          <w:lang w:val="en-US" w:eastAsia="zh-CN"/>
        </w:rPr>
        <w:t>7月8日9时00时</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p w14:paraId="6CC3780F">
      <w:pPr>
        <w:spacing w:line="360" w:lineRule="auto"/>
        <w:ind w:firstLine="482" w:firstLineChars="200"/>
        <w:rPr>
          <w:rFonts w:ascii="黑体" w:hAnsi="黑体" w:eastAsia="黑体"/>
          <w:b/>
          <w:color w:val="auto"/>
          <w:sz w:val="24"/>
        </w:rPr>
      </w:pPr>
      <w:bookmarkStart w:id="5" w:name="_Hlk37429674"/>
      <w:bookmarkStart w:id="6" w:name="_Toc28359095"/>
      <w:bookmarkStart w:id="7" w:name="_Toc44229885"/>
      <w:bookmarkStart w:id="8" w:name="_Toc28359018"/>
      <w:bookmarkStart w:id="9" w:name="_Toc35393636"/>
      <w:bookmarkStart w:id="10" w:name="_Toc35393805"/>
      <w:r>
        <w:rPr>
          <w:rFonts w:hint="eastAsia" w:ascii="黑体" w:hAnsi="黑体" w:eastAsia="黑体"/>
          <w:b/>
          <w:color w:val="auto"/>
          <w:sz w:val="24"/>
        </w:rPr>
        <w:t>一、项目基本情况</w:t>
      </w:r>
    </w:p>
    <w:p w14:paraId="50EC81E6">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YLZC2026-C2-230121-GTZB</w:t>
      </w:r>
    </w:p>
    <w:p w14:paraId="1A3E9E6C">
      <w:pPr>
        <w:spacing w:line="360" w:lineRule="auto"/>
        <w:ind w:firstLine="420" w:firstLineChars="200"/>
        <w:rPr>
          <w:rFonts w:hint="eastAsia" w:ascii="宋体" w:hAnsi="宋体" w:eastAsia="宋体"/>
          <w:color w:val="auto"/>
          <w:szCs w:val="21"/>
          <w:u w:val="single"/>
          <w:lang w:eastAsia="zh-CN"/>
        </w:rPr>
      </w:pPr>
      <w:r>
        <w:rPr>
          <w:rFonts w:hint="eastAsia" w:ascii="宋体" w:hAnsi="宋体"/>
          <w:color w:val="auto"/>
          <w:szCs w:val="21"/>
        </w:rPr>
        <w:t>项目名称：</w:t>
      </w:r>
      <w:r>
        <w:rPr>
          <w:rFonts w:hint="eastAsia" w:ascii="宋体" w:hAnsi="宋体"/>
          <w:color w:val="auto"/>
          <w:szCs w:val="21"/>
          <w:lang w:eastAsia="zh-CN"/>
        </w:rPr>
        <w:t>博白县人民医院1号楼旧楼门诊业务用房优化布局改造提升工程（儿科部分）</w:t>
      </w:r>
    </w:p>
    <w:p w14:paraId="16891E09">
      <w:pPr>
        <w:spacing w:line="360" w:lineRule="auto"/>
        <w:ind w:firstLine="420" w:firstLineChars="200"/>
        <w:rPr>
          <w:rFonts w:ascii="宋体" w:hAnsi="宋体"/>
          <w:color w:val="auto"/>
          <w:szCs w:val="21"/>
        </w:rPr>
      </w:pPr>
      <w:r>
        <w:rPr>
          <w:rFonts w:hint="eastAsia" w:ascii="宋体" w:hAnsi="宋体"/>
          <w:color w:val="auto"/>
          <w:szCs w:val="21"/>
        </w:rPr>
        <w:t>采购方式：竞争性磋商</w:t>
      </w:r>
    </w:p>
    <w:p w14:paraId="2895D202">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预算金额：</w:t>
      </w:r>
      <w:r>
        <w:rPr>
          <w:rFonts w:hint="eastAsia" w:ascii="宋体" w:hAnsi="宋体"/>
          <w:color w:val="auto"/>
          <w:szCs w:val="21"/>
          <w:lang w:val="en-US" w:eastAsia="zh-CN"/>
        </w:rPr>
        <w:t>1300481.84元</w:t>
      </w:r>
    </w:p>
    <w:p w14:paraId="4109DB4F">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最高限价（如有）：</w:t>
      </w:r>
    </w:p>
    <w:p w14:paraId="4334B2E6">
      <w:pPr>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工程概况</w:t>
      </w:r>
    </w:p>
    <w:p w14:paraId="29E486BC">
      <w:pPr>
        <w:numPr>
          <w:ilvl w:val="0"/>
          <w:numId w:val="2"/>
        </w:num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采购范围：本项目改造面积约为915.02㎡，包含拆除、建筑、装饰装修、安装工程等</w:t>
      </w:r>
      <w:r>
        <w:rPr>
          <w:rFonts w:hint="eastAsia" w:ascii="宋体" w:hAnsi="宋体" w:eastAsia="宋体"/>
          <w:color w:val="auto"/>
          <w:szCs w:val="21"/>
          <w:lang w:eastAsia="zh-CN"/>
        </w:rPr>
        <w:t>，详见工程预算书、图纸（如有）。</w:t>
      </w:r>
    </w:p>
    <w:p w14:paraId="68188C7E">
      <w:pPr>
        <w:numPr>
          <w:ilvl w:val="0"/>
          <w:numId w:val="0"/>
        </w:numPr>
        <w:spacing w:line="360" w:lineRule="auto"/>
        <w:ind w:firstLine="420" w:firstLineChars="200"/>
        <w:rPr>
          <w:rFonts w:hint="eastAsia" w:ascii="宋体" w:hAnsi="宋体"/>
          <w:color w:val="auto"/>
          <w:szCs w:val="21"/>
          <w:lang w:val="en-US" w:eastAsia="zh-CN"/>
        </w:rPr>
      </w:pPr>
      <w:r>
        <w:rPr>
          <w:rFonts w:hint="eastAsia" w:ascii="宋体" w:hAnsi="宋体" w:eastAsia="宋体"/>
          <w:color w:val="auto"/>
          <w:szCs w:val="21"/>
          <w:lang w:val="en-US" w:eastAsia="zh-CN"/>
        </w:rPr>
        <w:t>2、项目地理位置：</w:t>
      </w:r>
      <w:r>
        <w:rPr>
          <w:rFonts w:hint="eastAsia" w:ascii="宋体" w:hAnsi="宋体" w:eastAsia="宋体" w:cs="Times New Roman"/>
          <w:color w:val="auto"/>
          <w:szCs w:val="21"/>
          <w:lang w:val="en-US" w:eastAsia="zh-CN"/>
        </w:rPr>
        <w:t>位于广西玉林市博白县兴隆东路9号博白县人民医院。</w:t>
      </w:r>
    </w:p>
    <w:p w14:paraId="6FE067D9">
      <w:pPr>
        <w:spacing w:line="360" w:lineRule="auto"/>
        <w:ind w:firstLine="420" w:firstLineChars="200"/>
        <w:rPr>
          <w:rFonts w:hint="eastAsia" w:ascii="宋体" w:hAnsi="宋体" w:eastAsia="宋体" w:cs="Times New Roman"/>
          <w:color w:val="auto"/>
          <w:szCs w:val="21"/>
          <w:lang w:val="en-US" w:eastAsia="zh-CN"/>
        </w:rPr>
      </w:pPr>
      <w:r>
        <w:rPr>
          <w:rFonts w:hint="eastAsia" w:ascii="宋体" w:hAnsi="宋体"/>
          <w:color w:val="auto"/>
          <w:szCs w:val="21"/>
          <w:lang w:val="en-US" w:eastAsia="zh-CN"/>
        </w:rPr>
        <w:t>3、合同履约期</w:t>
      </w:r>
      <w:r>
        <w:rPr>
          <w:rFonts w:hint="eastAsia" w:ascii="宋体" w:hAnsi="宋体" w:eastAsia="宋体" w:cs="Times New Roman"/>
          <w:color w:val="auto"/>
          <w:szCs w:val="21"/>
          <w:lang w:val="en-US" w:eastAsia="zh-CN"/>
        </w:rPr>
        <w:t>限：</w:t>
      </w:r>
      <w:r>
        <w:rPr>
          <w:rFonts w:hint="eastAsia" w:ascii="宋体" w:hAnsi="宋体" w:cs="Times New Roman"/>
          <w:color w:val="auto"/>
          <w:szCs w:val="21"/>
          <w:lang w:val="en-US" w:eastAsia="zh-CN"/>
        </w:rPr>
        <w:t>签订合同后60天（日历天）内。</w:t>
      </w:r>
    </w:p>
    <w:p w14:paraId="371DFF89">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w:t>
      </w:r>
      <w:r>
        <w:rPr>
          <w:rFonts w:hint="eastAsia" w:cs="Arial"/>
          <w:color w:val="auto"/>
          <w:szCs w:val="21"/>
        </w:rPr>
        <w:t>质量要求：达到国家施工验收规范合格标准</w:t>
      </w:r>
      <w:r>
        <w:rPr>
          <w:rFonts w:hint="eastAsia" w:cs="Arial"/>
          <w:color w:val="auto"/>
          <w:szCs w:val="21"/>
          <w:lang w:eastAsia="zh-CN"/>
        </w:rPr>
        <w:t>。</w:t>
      </w:r>
    </w:p>
    <w:p w14:paraId="74C3B32F">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5、</w:t>
      </w:r>
      <w:r>
        <w:rPr>
          <w:rFonts w:hint="eastAsia" w:ascii="宋体" w:hAnsi="宋体"/>
          <w:color w:val="auto"/>
          <w:szCs w:val="21"/>
        </w:rPr>
        <w:t>本项目</w:t>
      </w:r>
      <w:r>
        <w:rPr>
          <w:rFonts w:hint="eastAsia" w:ascii="宋体" w:hAnsi="宋体"/>
          <w:color w:val="auto"/>
          <w:szCs w:val="21"/>
          <w:lang w:eastAsia="zh-CN"/>
        </w:rPr>
        <w:t>不</w:t>
      </w:r>
      <w:r>
        <w:rPr>
          <w:rFonts w:hint="eastAsia" w:ascii="宋体" w:hAnsi="宋体"/>
          <w:color w:val="auto"/>
          <w:szCs w:val="21"/>
        </w:rPr>
        <w:t>接受联合体</w:t>
      </w:r>
      <w:r>
        <w:rPr>
          <w:rFonts w:hint="eastAsia" w:ascii="宋体" w:hAnsi="宋体"/>
          <w:color w:val="auto"/>
          <w:szCs w:val="21"/>
          <w:lang w:eastAsia="zh-CN"/>
        </w:rPr>
        <w:t>。</w:t>
      </w:r>
    </w:p>
    <w:p w14:paraId="4F529887">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其余具体内容详见竞争性磋商文件。</w:t>
      </w:r>
    </w:p>
    <w:p w14:paraId="163E6378">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二、申请人的资格条件：</w:t>
      </w:r>
    </w:p>
    <w:p w14:paraId="18F7CE6E">
      <w:pPr>
        <w:spacing w:line="360" w:lineRule="auto"/>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14:paraId="0F7357CD">
      <w:pPr>
        <w:spacing w:line="360" w:lineRule="auto"/>
        <w:ind w:firstLine="420" w:firstLineChars="200"/>
        <w:rPr>
          <w:rFonts w:hint="eastAsia" w:ascii="宋体" w:hAnsi="宋体"/>
          <w:color w:val="auto"/>
          <w:szCs w:val="21"/>
          <w:u w:val="single"/>
          <w:lang w:eastAsia="zh-CN"/>
        </w:rPr>
      </w:pPr>
      <w:r>
        <w:rPr>
          <w:rFonts w:ascii="宋体" w:hAnsi="宋体"/>
          <w:color w:val="auto"/>
          <w:szCs w:val="21"/>
        </w:rPr>
        <w:t>2</w:t>
      </w:r>
      <w:r>
        <w:rPr>
          <w:rFonts w:hint="eastAsia" w:ascii="宋体" w:hAnsi="宋体"/>
          <w:color w:val="auto"/>
          <w:szCs w:val="21"/>
        </w:rPr>
        <w:t>、落实政府采购政策需满足的资格要求：</w:t>
      </w:r>
      <w:r>
        <w:rPr>
          <w:rFonts w:hint="eastAsia" w:ascii="宋体" w:hAnsi="宋体"/>
          <w:color w:val="auto"/>
          <w:szCs w:val="21"/>
          <w:highlight w:val="none"/>
          <w:lang w:eastAsia="zh-CN"/>
        </w:rPr>
        <w:t>专门面向中小企业采购的项目（供应商应为中小微企业或监狱企业或残疾人福利性单位）</w:t>
      </w:r>
      <w:r>
        <w:rPr>
          <w:rFonts w:hint="eastAsia" w:ascii="宋体" w:hAnsi="宋体"/>
          <w:color w:val="auto"/>
          <w:szCs w:val="21"/>
          <w:u w:val="none"/>
          <w:lang w:eastAsia="zh-CN"/>
        </w:rPr>
        <w:t>；</w:t>
      </w:r>
    </w:p>
    <w:p w14:paraId="2C6B8B79">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color w:val="auto"/>
          <w:szCs w:val="21"/>
        </w:rPr>
        <w:t>3、本项目</w:t>
      </w:r>
      <w:r>
        <w:rPr>
          <w:rFonts w:hint="eastAsia" w:ascii="宋体" w:hAnsi="宋体" w:eastAsia="宋体" w:cs="Times New Roman"/>
          <w:color w:val="auto"/>
          <w:szCs w:val="21"/>
        </w:rPr>
        <w:t>的特定资格要求：</w:t>
      </w:r>
    </w:p>
    <w:p w14:paraId="15B1B2C9">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(1)供应商</w:t>
      </w:r>
      <w:r>
        <w:rPr>
          <w:rFonts w:hint="eastAsia" w:ascii="宋体" w:hAnsi="宋体" w:eastAsia="宋体" w:cs="Times New Roman"/>
          <w:color w:val="auto"/>
          <w:szCs w:val="21"/>
        </w:rPr>
        <w:t>具有建筑</w:t>
      </w:r>
      <w:r>
        <w:rPr>
          <w:rFonts w:hint="eastAsia" w:ascii="宋体" w:hAnsi="宋体" w:eastAsia="宋体" w:cs="Times New Roman"/>
          <w:color w:val="auto"/>
          <w:szCs w:val="21"/>
          <w:lang w:eastAsia="zh-CN"/>
        </w:rPr>
        <w:t>工程施工总</w:t>
      </w:r>
      <w:r>
        <w:rPr>
          <w:rFonts w:hint="eastAsia" w:ascii="宋体" w:hAnsi="宋体" w:eastAsia="宋体" w:cs="Times New Roman"/>
          <w:color w:val="auto"/>
          <w:szCs w:val="21"/>
        </w:rPr>
        <w:t>承包</w:t>
      </w:r>
      <w:r>
        <w:rPr>
          <w:rFonts w:hint="eastAsia" w:ascii="宋体" w:hAnsi="宋体" w:eastAsia="宋体" w:cs="Times New Roman"/>
          <w:color w:val="auto"/>
          <w:szCs w:val="21"/>
          <w:lang w:eastAsia="zh-CN"/>
        </w:rPr>
        <w:t>叁</w:t>
      </w:r>
      <w:r>
        <w:rPr>
          <w:rFonts w:hint="eastAsia" w:ascii="宋体" w:hAnsi="宋体" w:eastAsia="宋体" w:cs="Times New Roman"/>
          <w:color w:val="auto"/>
          <w:szCs w:val="21"/>
        </w:rPr>
        <w:t>级以上（含</w:t>
      </w:r>
      <w:r>
        <w:rPr>
          <w:rFonts w:hint="eastAsia" w:ascii="宋体" w:hAnsi="宋体" w:eastAsia="宋体" w:cs="Times New Roman"/>
          <w:color w:val="auto"/>
          <w:szCs w:val="21"/>
          <w:lang w:eastAsia="zh-CN"/>
        </w:rPr>
        <w:t>叁</w:t>
      </w:r>
      <w:r>
        <w:rPr>
          <w:rFonts w:hint="eastAsia" w:ascii="宋体" w:hAnsi="宋体" w:eastAsia="宋体" w:cs="Times New Roman"/>
          <w:color w:val="auto"/>
          <w:szCs w:val="21"/>
        </w:rPr>
        <w:t>级）</w:t>
      </w:r>
      <w:r>
        <w:rPr>
          <w:rFonts w:hint="eastAsia" w:ascii="宋体" w:hAnsi="宋体" w:eastAsia="宋体" w:cs="Times New Roman"/>
          <w:color w:val="auto"/>
          <w:szCs w:val="21"/>
          <w:lang w:eastAsia="zh-CN"/>
        </w:rPr>
        <w:t>资质或建筑装修装饰工程总承包贰级以上（含贰级）资质，</w:t>
      </w:r>
      <w:r>
        <w:rPr>
          <w:rFonts w:hint="eastAsia" w:ascii="宋体" w:hAnsi="宋体" w:eastAsia="宋体" w:cs="Times New Roman"/>
          <w:color w:val="auto"/>
          <w:szCs w:val="21"/>
          <w:lang w:val="en-US" w:eastAsia="zh-CN"/>
        </w:rPr>
        <w:t>具备有效的安全生产许可证</w:t>
      </w:r>
      <w:r>
        <w:rPr>
          <w:rFonts w:hint="eastAsia" w:ascii="宋体" w:hAnsi="宋体" w:eastAsia="宋体" w:cs="Times New Roman"/>
          <w:color w:val="auto"/>
          <w:szCs w:val="21"/>
          <w:lang w:eastAsia="zh-CN"/>
        </w:rPr>
        <w:t>；</w:t>
      </w:r>
    </w:p>
    <w:p w14:paraId="7FCDA29D">
      <w:pPr>
        <w:spacing w:line="360" w:lineRule="auto"/>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lang w:eastAsia="zh-CN"/>
        </w:rPr>
        <w:t>拟派项目经理须具备建筑工程专业</w:t>
      </w:r>
      <w:r>
        <w:rPr>
          <w:rFonts w:hint="eastAsia" w:ascii="宋体" w:hAnsi="宋体" w:eastAsia="宋体" w:cs="Times New Roman"/>
          <w:color w:val="auto"/>
          <w:szCs w:val="21"/>
          <w:lang w:val="en-US" w:eastAsia="zh-CN"/>
        </w:rPr>
        <w:t>贰</w:t>
      </w:r>
      <w:r>
        <w:rPr>
          <w:rFonts w:hint="eastAsia" w:ascii="宋体" w:hAnsi="宋体" w:eastAsia="宋体" w:cs="Times New Roman"/>
          <w:color w:val="auto"/>
          <w:szCs w:val="21"/>
          <w:lang w:eastAsia="zh-CN"/>
        </w:rPr>
        <w:t>级及以上（含</w:t>
      </w:r>
      <w:r>
        <w:rPr>
          <w:rFonts w:hint="eastAsia" w:ascii="宋体" w:hAnsi="宋体" w:eastAsia="宋体" w:cs="Times New Roman"/>
          <w:color w:val="auto"/>
          <w:szCs w:val="21"/>
          <w:lang w:val="en-US" w:eastAsia="zh-CN"/>
        </w:rPr>
        <w:t>本</w:t>
      </w:r>
      <w:r>
        <w:rPr>
          <w:rFonts w:hint="eastAsia" w:ascii="宋体" w:hAnsi="宋体" w:eastAsia="宋体" w:cs="Times New Roman"/>
          <w:color w:val="auto"/>
          <w:szCs w:val="21"/>
          <w:lang w:eastAsia="zh-CN"/>
        </w:rPr>
        <w:t>级）注册建造师执业资格，具备有效的安全生产考核合格证书（</w:t>
      </w:r>
      <w:r>
        <w:rPr>
          <w:rFonts w:hint="eastAsia" w:ascii="宋体" w:hAnsi="宋体" w:eastAsia="宋体" w:cs="Times New Roman"/>
          <w:color w:val="auto"/>
          <w:szCs w:val="21"/>
          <w:lang w:val="en-US" w:eastAsia="zh-CN"/>
        </w:rPr>
        <w:t>B类）；</w:t>
      </w:r>
    </w:p>
    <w:p w14:paraId="1D30B4BC">
      <w:pPr>
        <w:spacing w:line="360" w:lineRule="auto"/>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（3）拟投入的专职安全生产管理人员具备有效的安全生产考核合格证书（C类）。</w:t>
      </w:r>
    </w:p>
    <w:p w14:paraId="45075821">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三、获取竞争性磋商文件</w:t>
      </w:r>
    </w:p>
    <w:p w14:paraId="6B455E8F">
      <w:pPr>
        <w:spacing w:line="360" w:lineRule="auto"/>
        <w:ind w:firstLine="420" w:firstLineChars="200"/>
        <w:rPr>
          <w:rFonts w:hint="eastAsia" w:ascii="宋体" w:hAnsi="宋体" w:cs="宋体"/>
          <w:bCs/>
          <w:strike/>
          <w:dstrike w:val="0"/>
          <w:color w:val="auto"/>
          <w:kern w:val="0"/>
          <w:szCs w:val="21"/>
        </w:rPr>
      </w:pPr>
      <w:r>
        <w:rPr>
          <w:rFonts w:hint="eastAsia" w:ascii="宋体" w:hAnsi="宋体" w:cs="宋体"/>
          <w:bCs/>
          <w:color w:val="auto"/>
          <w:kern w:val="0"/>
          <w:szCs w:val="21"/>
          <w:lang w:val="en-US" w:eastAsia="zh-CN"/>
        </w:rPr>
        <w:t>1、</w:t>
      </w:r>
      <w:r>
        <w:rPr>
          <w:rFonts w:hint="eastAsia" w:ascii="宋体" w:hAnsi="宋体" w:cs="宋体"/>
          <w:bCs/>
          <w:color w:val="auto"/>
          <w:kern w:val="0"/>
          <w:szCs w:val="21"/>
        </w:rPr>
        <w:t>时间：</w:t>
      </w:r>
      <w:r>
        <w:rPr>
          <w:rFonts w:hint="eastAsia" w:ascii="宋体" w:hAnsi="宋体" w:cs="Arial"/>
          <w:strike w:val="0"/>
          <w:dstrike w:val="0"/>
          <w:color w:val="auto"/>
          <w:lang w:eastAsia="zh-CN"/>
        </w:rPr>
        <w:t>公告发布之日起</w:t>
      </w:r>
      <w:r>
        <w:rPr>
          <w:rFonts w:hint="eastAsia" w:ascii="宋体" w:hAnsi="宋体" w:cs="Arial"/>
          <w:strike w:val="0"/>
          <w:dstrike w:val="0"/>
          <w:color w:val="auto"/>
          <w:szCs w:val="21"/>
        </w:rPr>
        <w:t>至</w:t>
      </w:r>
      <w:r>
        <w:rPr>
          <w:rFonts w:hint="eastAsia" w:ascii="宋体" w:hAnsi="宋体" w:cs="Arial"/>
          <w:strike w:val="0"/>
          <w:dstrike w:val="0"/>
          <w:color w:val="auto"/>
          <w:lang w:eastAsia="zh-CN"/>
        </w:rPr>
        <w:t>2026年</w:t>
      </w:r>
      <w:r>
        <w:rPr>
          <w:rFonts w:hint="eastAsia" w:ascii="宋体" w:hAnsi="宋体" w:cs="Arial"/>
          <w:strike w:val="0"/>
          <w:dstrike w:val="0"/>
          <w:color w:val="auto"/>
          <w:lang w:val="en-US" w:eastAsia="zh-CN"/>
        </w:rPr>
        <w:t>7月3日</w:t>
      </w:r>
      <w:r>
        <w:rPr>
          <w:rFonts w:hint="eastAsia" w:ascii="宋体" w:hAnsi="宋体" w:cs="Arial"/>
          <w:strike w:val="0"/>
          <w:dstrike w:val="0"/>
          <w:color w:val="auto"/>
          <w:szCs w:val="21"/>
        </w:rPr>
        <w:t>，每天</w:t>
      </w:r>
      <w:r>
        <w:rPr>
          <w:rFonts w:hint="eastAsia" w:ascii="宋体" w:hAnsi="宋体" w:cs="Arial"/>
          <w:strike w:val="0"/>
          <w:dstrike w:val="0"/>
          <w:color w:val="auto"/>
          <w:lang w:val="en-US" w:eastAsia="zh-CN"/>
        </w:rPr>
        <w:t>08</w:t>
      </w:r>
      <w:r>
        <w:rPr>
          <w:rFonts w:hint="eastAsia" w:ascii="宋体" w:hAnsi="宋体" w:cs="Arial"/>
          <w:strike w:val="0"/>
          <w:dstrike w:val="0"/>
          <w:color w:val="auto"/>
          <w:szCs w:val="21"/>
        </w:rPr>
        <w:t>:00-</w:t>
      </w:r>
      <w:r>
        <w:rPr>
          <w:rFonts w:hint="eastAsia" w:ascii="宋体" w:hAnsi="宋体" w:cs="Arial"/>
          <w:strike w:val="0"/>
          <w:dstrike w:val="0"/>
          <w:color w:val="auto"/>
          <w:lang w:val="en-US" w:eastAsia="zh-CN"/>
        </w:rPr>
        <w:t>12</w:t>
      </w:r>
      <w:r>
        <w:rPr>
          <w:rFonts w:hint="eastAsia" w:ascii="宋体" w:hAnsi="宋体" w:cs="Arial"/>
          <w:strike w:val="0"/>
          <w:dstrike w:val="0"/>
          <w:color w:val="auto"/>
          <w:szCs w:val="21"/>
        </w:rPr>
        <w:t>:00；</w:t>
      </w:r>
      <w:r>
        <w:rPr>
          <w:rFonts w:hint="eastAsia" w:ascii="宋体" w:hAnsi="宋体" w:cs="Arial"/>
          <w:strike w:val="0"/>
          <w:dstrike w:val="0"/>
          <w:color w:val="auto"/>
          <w:lang w:val="en-US" w:eastAsia="zh-CN"/>
        </w:rPr>
        <w:t>15</w:t>
      </w:r>
      <w:r>
        <w:rPr>
          <w:rFonts w:hint="eastAsia" w:ascii="宋体" w:hAnsi="宋体" w:cs="Arial"/>
          <w:strike w:val="0"/>
          <w:dstrike w:val="0"/>
          <w:color w:val="auto"/>
          <w:szCs w:val="21"/>
        </w:rPr>
        <w:t>:</w:t>
      </w:r>
      <w:r>
        <w:rPr>
          <w:rFonts w:hint="eastAsia" w:ascii="宋体" w:hAnsi="宋体" w:cs="Arial"/>
          <w:strike w:val="0"/>
          <w:dstrike w:val="0"/>
          <w:color w:val="auto"/>
        </w:rPr>
        <w:t>00</w:t>
      </w:r>
      <w:r>
        <w:rPr>
          <w:rFonts w:hint="eastAsia" w:ascii="宋体" w:hAnsi="宋体" w:cs="Arial"/>
          <w:strike w:val="0"/>
          <w:dstrike w:val="0"/>
          <w:color w:val="auto"/>
          <w:szCs w:val="21"/>
        </w:rPr>
        <w:t>-</w:t>
      </w:r>
      <w:r>
        <w:rPr>
          <w:rFonts w:hint="eastAsia" w:ascii="宋体" w:hAnsi="宋体" w:cs="Arial"/>
          <w:strike w:val="0"/>
          <w:dstrike w:val="0"/>
          <w:color w:val="auto"/>
          <w:lang w:val="en-US" w:eastAsia="zh-CN"/>
        </w:rPr>
        <w:t>18</w:t>
      </w:r>
      <w:r>
        <w:rPr>
          <w:rFonts w:hint="eastAsia" w:ascii="宋体" w:hAnsi="宋体" w:cs="Arial"/>
          <w:strike w:val="0"/>
          <w:dstrike w:val="0"/>
          <w:color w:val="auto"/>
          <w:szCs w:val="21"/>
          <w:lang w:val="en-US" w:eastAsia="zh-CN"/>
        </w:rPr>
        <w:t>:00</w:t>
      </w:r>
      <w:r>
        <w:rPr>
          <w:rFonts w:hint="eastAsia" w:ascii="宋体" w:hAnsi="宋体" w:cs="Arial"/>
          <w:strike w:val="0"/>
          <w:dstrike w:val="0"/>
          <w:color w:val="auto"/>
          <w:szCs w:val="21"/>
        </w:rPr>
        <w:t>（北京时间，</w:t>
      </w:r>
      <w:r>
        <w:rPr>
          <w:rFonts w:ascii="宋体" w:hAnsi="宋体" w:cs="Arial"/>
          <w:strike w:val="0"/>
          <w:dstrike w:val="0"/>
          <w:color w:val="auto"/>
          <w:szCs w:val="21"/>
        </w:rPr>
        <w:t>法定节假日</w:t>
      </w:r>
      <w:r>
        <w:rPr>
          <w:rFonts w:hint="eastAsia" w:ascii="宋体" w:hAnsi="宋体" w:cs="Arial"/>
          <w:strike w:val="0"/>
          <w:dstrike w:val="0"/>
          <w:color w:val="auto"/>
          <w:szCs w:val="21"/>
        </w:rPr>
        <w:t>除外）</w:t>
      </w:r>
      <w:r>
        <w:rPr>
          <w:rFonts w:hint="eastAsia" w:ascii="宋体" w:hAnsi="宋体" w:cs="宋体"/>
          <w:bCs/>
          <w:strike w:val="0"/>
          <w:dstrike w:val="0"/>
          <w:color w:val="auto"/>
          <w:kern w:val="0"/>
          <w:szCs w:val="21"/>
        </w:rPr>
        <w:t>。</w:t>
      </w:r>
    </w:p>
    <w:p w14:paraId="1EA2EDF5">
      <w:pPr>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cs="宋体"/>
          <w:bCs/>
          <w:color w:val="auto"/>
          <w:kern w:val="0"/>
          <w:szCs w:val="21"/>
          <w:lang w:val="en-US" w:eastAsia="zh-CN"/>
        </w:rPr>
        <w:t>2、</w:t>
      </w:r>
      <w:r>
        <w:rPr>
          <w:rFonts w:hint="eastAsia" w:ascii="宋体" w:hAnsi="宋体" w:cs="宋体"/>
          <w:bCs/>
          <w:color w:val="auto"/>
          <w:kern w:val="0"/>
          <w:szCs w:val="21"/>
        </w:rPr>
        <w:t>地点：</w:t>
      </w:r>
      <w:r>
        <w:rPr>
          <w:rFonts w:hint="eastAsia" w:ascii="宋体" w:hAnsi="宋体" w:cs="宋体"/>
          <w:bCs/>
          <w:color w:val="auto"/>
          <w:kern w:val="0"/>
          <w:szCs w:val="21"/>
          <w:lang w:eastAsia="zh-CN"/>
        </w:rPr>
        <w:t>广西政府采购云平台</w:t>
      </w:r>
      <w:r>
        <w:rPr>
          <w:rFonts w:hint="eastAsia" w:ascii="宋体" w:hAnsi="宋体"/>
          <w:color w:val="auto"/>
          <w:szCs w:val="21"/>
        </w:rPr>
        <w:t>（https://</w:t>
      </w:r>
      <w:r>
        <w:rPr>
          <w:rFonts w:hint="eastAsia" w:ascii="宋体" w:hAnsi="宋体"/>
          <w:color w:val="auto"/>
          <w:szCs w:val="21"/>
          <w:lang w:val="en-US" w:eastAsia="zh-CN"/>
        </w:rPr>
        <w:t>www</w:t>
      </w:r>
      <w:r>
        <w:rPr>
          <w:rFonts w:hint="eastAsia" w:ascii="宋体" w:hAnsi="宋体"/>
          <w:color w:val="auto"/>
          <w:szCs w:val="21"/>
        </w:rPr>
        <w:t>.gcy.zfcg.gxzf.gov.cn/）</w:t>
      </w:r>
      <w:r>
        <w:rPr>
          <w:rFonts w:hint="eastAsia" w:ascii="宋体" w:hAnsi="宋体" w:cs="宋体"/>
          <w:bCs/>
          <w:color w:val="auto"/>
          <w:kern w:val="0"/>
          <w:szCs w:val="21"/>
          <w:lang w:eastAsia="zh-CN"/>
        </w:rPr>
        <w:t>。</w:t>
      </w:r>
    </w:p>
    <w:p w14:paraId="573F7D7D">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lang w:val="en-US" w:eastAsia="zh-CN"/>
        </w:rPr>
        <w:t>3、</w:t>
      </w:r>
      <w:r>
        <w:rPr>
          <w:rFonts w:hint="eastAsia" w:ascii="宋体" w:hAnsi="宋体" w:cs="宋体"/>
          <w:bCs/>
          <w:color w:val="auto"/>
          <w:kern w:val="0"/>
          <w:szCs w:val="21"/>
        </w:rPr>
        <w:t>方式：网上下载。本项目不发放纸质文件，供应商应自行在</w:t>
      </w:r>
      <w:r>
        <w:rPr>
          <w:rFonts w:hint="eastAsia" w:ascii="宋体" w:hAnsi="宋体" w:cs="宋体"/>
          <w:bCs/>
          <w:color w:val="auto"/>
          <w:kern w:val="0"/>
          <w:szCs w:val="21"/>
        </w:rPr>
        <w:fldChar w:fldCharType="begin"/>
      </w:r>
      <w:r>
        <w:rPr>
          <w:rFonts w:hint="eastAsia" w:ascii="宋体" w:hAnsi="宋体" w:cs="宋体"/>
          <w:bCs/>
          <w:color w:val="auto"/>
          <w:kern w:val="0"/>
          <w:szCs w:val="21"/>
        </w:rPr>
        <w:instrText xml:space="preserve"> HYPERLINK "" </w:instrText>
      </w:r>
      <w:r>
        <w:rPr>
          <w:rFonts w:hint="eastAsia" w:ascii="宋体" w:hAnsi="宋体" w:cs="宋体"/>
          <w:bCs/>
          <w:color w:val="auto"/>
          <w:kern w:val="0"/>
          <w:szCs w:val="21"/>
        </w:rPr>
        <w:fldChar w:fldCharType="separate"/>
      </w:r>
      <w:r>
        <w:rPr>
          <w:rFonts w:hint="eastAsia" w:ascii="宋体" w:hAnsi="宋体" w:cs="宋体"/>
          <w:bCs/>
          <w:color w:val="auto"/>
          <w:kern w:val="0"/>
          <w:szCs w:val="21"/>
        </w:rPr>
        <w:fldChar w:fldCharType="end"/>
      </w:r>
      <w:r>
        <w:rPr>
          <w:rFonts w:hint="eastAsia" w:ascii="宋体" w:hAnsi="宋体" w:cs="宋体"/>
          <w:bCs/>
          <w:color w:val="auto"/>
          <w:kern w:val="0"/>
          <w:szCs w:val="21"/>
          <w:lang w:eastAsia="zh-CN"/>
        </w:rPr>
        <w:t>广西政府采购云平台</w:t>
      </w:r>
      <w:r>
        <w:rPr>
          <w:rFonts w:hint="eastAsia" w:ascii="宋体" w:hAnsi="宋体"/>
          <w:color w:val="auto"/>
          <w:szCs w:val="21"/>
        </w:rPr>
        <w:t>（https://</w:t>
      </w:r>
      <w:r>
        <w:rPr>
          <w:rFonts w:hint="eastAsia" w:ascii="宋体" w:hAnsi="宋体"/>
          <w:color w:val="auto"/>
          <w:szCs w:val="21"/>
          <w:lang w:val="en-US" w:eastAsia="zh-CN"/>
        </w:rPr>
        <w:t>www</w:t>
      </w:r>
      <w:r>
        <w:rPr>
          <w:rFonts w:hint="eastAsia" w:ascii="宋体" w:hAnsi="宋体"/>
          <w:color w:val="auto"/>
          <w:szCs w:val="21"/>
        </w:rPr>
        <w:t>.gcy.zfcg.gxzf.gov.cn/）</w:t>
      </w:r>
      <w:r>
        <w:rPr>
          <w:rFonts w:hint="eastAsia" w:ascii="宋体" w:hAnsi="宋体" w:cs="宋体"/>
          <w:bCs/>
          <w:color w:val="auto"/>
          <w:kern w:val="0"/>
          <w:szCs w:val="21"/>
        </w:rPr>
        <w:t>下载竞争性磋商文件（操作路径：登录</w:t>
      </w:r>
      <w:r>
        <w:rPr>
          <w:rFonts w:hint="eastAsia" w:ascii="宋体" w:hAnsi="宋体" w:cs="宋体"/>
          <w:bCs/>
          <w:color w:val="auto"/>
          <w:kern w:val="0"/>
          <w:szCs w:val="21"/>
          <w:lang w:eastAsia="zh-CN"/>
        </w:rPr>
        <w:t>广西政府采购云平台</w:t>
      </w:r>
      <w:r>
        <w:rPr>
          <w:rFonts w:hint="eastAsia" w:ascii="宋体" w:hAnsi="宋体" w:cs="宋体"/>
          <w:bCs/>
          <w:color w:val="auto"/>
          <w:kern w:val="0"/>
          <w:szCs w:val="21"/>
        </w:rPr>
        <w:t>-项目采购-获取采购文件-找到本项目-点击“申请获取采购文件”），电子响应文件制作需要基于</w:t>
      </w:r>
      <w:r>
        <w:rPr>
          <w:rFonts w:hint="eastAsia" w:ascii="宋体" w:hAnsi="宋体" w:cs="宋体"/>
          <w:bCs/>
          <w:color w:val="auto"/>
          <w:kern w:val="0"/>
          <w:szCs w:val="21"/>
          <w:lang w:eastAsia="zh-CN"/>
        </w:rPr>
        <w:t>广西政府采购云平台</w:t>
      </w:r>
      <w:r>
        <w:rPr>
          <w:rFonts w:hint="eastAsia" w:ascii="宋体" w:hAnsi="宋体" w:cs="宋体"/>
          <w:bCs/>
          <w:color w:val="auto"/>
          <w:kern w:val="0"/>
          <w:szCs w:val="21"/>
        </w:rPr>
        <w:t>获取的竞争性磋商文件编制。</w:t>
      </w:r>
    </w:p>
    <w:p w14:paraId="251E74E2">
      <w:pPr>
        <w:spacing w:line="360" w:lineRule="auto"/>
        <w:ind w:firstLine="420" w:firstLineChars="200"/>
        <w:rPr>
          <w:rFonts w:hint="eastAsia" w:ascii="宋体" w:hAnsi="宋体" w:cs="宋体"/>
          <w:color w:val="auto"/>
          <w:szCs w:val="21"/>
        </w:rPr>
      </w:pPr>
      <w:r>
        <w:rPr>
          <w:rFonts w:hint="eastAsia" w:ascii="宋体" w:hAnsi="宋体" w:cs="宋体"/>
          <w:bCs/>
          <w:color w:val="auto"/>
          <w:kern w:val="0"/>
          <w:szCs w:val="21"/>
          <w:lang w:val="en-US" w:eastAsia="zh-CN"/>
        </w:rPr>
        <w:t>4、</w:t>
      </w:r>
      <w:r>
        <w:rPr>
          <w:rFonts w:hint="eastAsia" w:ascii="宋体" w:hAnsi="宋体" w:cs="宋体"/>
          <w:bCs/>
          <w:color w:val="auto"/>
          <w:kern w:val="0"/>
          <w:szCs w:val="21"/>
        </w:rPr>
        <w:t>售价：0</w:t>
      </w:r>
      <w:r>
        <w:rPr>
          <w:rFonts w:hint="eastAsia" w:ascii="宋体" w:hAnsi="宋体" w:cs="宋体"/>
          <w:bCs/>
          <w:color w:val="auto"/>
          <w:kern w:val="0"/>
          <w:szCs w:val="21"/>
          <w:lang w:val="en-US" w:eastAsia="zh-CN"/>
        </w:rPr>
        <w:t>.00</w:t>
      </w:r>
      <w:r>
        <w:rPr>
          <w:rFonts w:hint="eastAsia" w:ascii="宋体" w:hAnsi="宋体" w:cs="宋体"/>
          <w:bCs/>
          <w:color w:val="auto"/>
          <w:kern w:val="0"/>
          <w:szCs w:val="21"/>
        </w:rPr>
        <w:t>元。</w:t>
      </w:r>
    </w:p>
    <w:p w14:paraId="7F18F4D0">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四、响应文件提交</w:t>
      </w:r>
    </w:p>
    <w:p w14:paraId="6BAEC7E6">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1、首次响应文件提交截止时间</w:t>
      </w:r>
      <w:r>
        <w:rPr>
          <w:rFonts w:hint="eastAsia" w:ascii="宋体" w:hAnsi="宋体"/>
          <w:strike w:val="0"/>
          <w:dstrike w:val="0"/>
          <w:color w:val="auto"/>
          <w:szCs w:val="21"/>
        </w:rPr>
        <w:t>：</w:t>
      </w:r>
      <w:r>
        <w:rPr>
          <w:rFonts w:hint="eastAsia" w:ascii="宋体" w:hAnsi="宋体" w:cs="宋体"/>
          <w:bCs/>
          <w:strike w:val="0"/>
          <w:dstrike w:val="0"/>
          <w:color w:val="auto"/>
          <w:kern w:val="0"/>
          <w:szCs w:val="21"/>
          <w:lang w:eastAsia="zh-CN"/>
        </w:rPr>
        <w:t>2026年</w:t>
      </w:r>
      <w:r>
        <w:rPr>
          <w:rFonts w:hint="eastAsia" w:ascii="宋体" w:hAnsi="宋体" w:cs="Arial"/>
          <w:strike w:val="0"/>
          <w:dstrike w:val="0"/>
          <w:color w:val="auto"/>
          <w:lang w:val="en-US" w:eastAsia="zh-CN"/>
        </w:rPr>
        <w:t>7月8日9时00时</w:t>
      </w:r>
      <w:r>
        <w:rPr>
          <w:rFonts w:hint="eastAsia" w:ascii="宋体" w:hAnsi="宋体" w:cs="宋体"/>
          <w:bCs/>
          <w:strike w:val="0"/>
          <w:dstrike w:val="0"/>
          <w:color w:val="auto"/>
          <w:kern w:val="0"/>
          <w:szCs w:val="21"/>
        </w:rPr>
        <w:t>（北京时间）</w:t>
      </w:r>
    </w:p>
    <w:p w14:paraId="452205CD">
      <w:pPr>
        <w:spacing w:line="360" w:lineRule="auto"/>
        <w:ind w:firstLine="420" w:firstLineChars="200"/>
        <w:rPr>
          <w:rFonts w:hint="eastAsia" w:ascii="宋体" w:hAnsi="宋体"/>
          <w:color w:val="auto"/>
          <w:szCs w:val="21"/>
        </w:rPr>
      </w:pPr>
      <w:r>
        <w:rPr>
          <w:rFonts w:hint="eastAsia" w:ascii="宋体" w:hAnsi="宋体"/>
          <w:color w:val="auto"/>
          <w:szCs w:val="21"/>
        </w:rPr>
        <w:t>2、地点：</w:t>
      </w:r>
      <w:r>
        <w:rPr>
          <w:rFonts w:hint="eastAsia" w:ascii="宋体" w:hAnsi="宋体" w:cs="宋体"/>
          <w:color w:val="auto"/>
          <w:szCs w:val="21"/>
          <w:lang w:bidi="ar"/>
        </w:rPr>
        <w:t>通过</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在线提交。</w:t>
      </w:r>
    </w:p>
    <w:p w14:paraId="3501787B">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五、开启</w:t>
      </w:r>
    </w:p>
    <w:p w14:paraId="4BCFB5A1">
      <w:pPr>
        <w:spacing w:line="360" w:lineRule="auto"/>
        <w:ind w:firstLine="420" w:firstLineChars="200"/>
        <w:rPr>
          <w:rFonts w:ascii="宋体" w:hAnsi="宋体"/>
          <w:bCs/>
          <w:color w:val="auto"/>
          <w:szCs w:val="21"/>
          <w:u w:val="single"/>
        </w:rPr>
      </w:pPr>
      <w:r>
        <w:rPr>
          <w:rFonts w:hint="eastAsia" w:ascii="宋体" w:hAnsi="宋体"/>
          <w:color w:val="auto"/>
          <w:szCs w:val="21"/>
        </w:rPr>
        <w:t>1、首次响应文件开启时间：</w:t>
      </w:r>
      <w:r>
        <w:rPr>
          <w:rFonts w:hint="eastAsia" w:ascii="宋体" w:hAnsi="宋体" w:cs="宋体"/>
          <w:bCs/>
          <w:strike w:val="0"/>
          <w:dstrike w:val="0"/>
          <w:color w:val="auto"/>
          <w:kern w:val="0"/>
          <w:szCs w:val="21"/>
          <w:lang w:eastAsia="zh-CN"/>
        </w:rPr>
        <w:t>2026年</w:t>
      </w:r>
      <w:r>
        <w:rPr>
          <w:rFonts w:hint="eastAsia" w:ascii="宋体" w:hAnsi="宋体" w:cs="Arial"/>
          <w:strike w:val="0"/>
          <w:dstrike w:val="0"/>
          <w:color w:val="auto"/>
          <w:lang w:val="en-US" w:eastAsia="zh-CN"/>
        </w:rPr>
        <w:t>7月8日9时00时</w:t>
      </w:r>
      <w:r>
        <w:rPr>
          <w:rFonts w:hint="eastAsia" w:ascii="宋体" w:hAnsi="宋体" w:cs="宋体"/>
          <w:bCs/>
          <w:strike w:val="0"/>
          <w:dstrike w:val="0"/>
          <w:color w:val="auto"/>
          <w:kern w:val="0"/>
          <w:szCs w:val="21"/>
        </w:rPr>
        <w:t>（北京时间）</w:t>
      </w:r>
    </w:p>
    <w:p w14:paraId="3A0BCCBB">
      <w:pPr>
        <w:spacing w:line="360" w:lineRule="auto"/>
        <w:ind w:firstLine="420" w:firstLineChars="200"/>
        <w:rPr>
          <w:rFonts w:ascii="宋体" w:hAnsi="宋体"/>
          <w:color w:val="auto"/>
          <w:szCs w:val="21"/>
        </w:rPr>
      </w:pPr>
      <w:r>
        <w:rPr>
          <w:rFonts w:hint="eastAsia" w:ascii="宋体" w:hAnsi="宋体"/>
          <w:color w:val="auto"/>
          <w:szCs w:val="21"/>
        </w:rPr>
        <w:t>2、地点：</w:t>
      </w:r>
      <w:r>
        <w:rPr>
          <w:rFonts w:hint="eastAsia" w:ascii="宋体" w:hAnsi="宋体" w:cs="宋体"/>
          <w:color w:val="auto"/>
          <w:szCs w:val="21"/>
          <w:lang w:bidi="ar"/>
        </w:rPr>
        <w:t>本项目将在</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电子开标大厅解密、开启。</w:t>
      </w:r>
    </w:p>
    <w:p w14:paraId="2FD5B915">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六、公告期限</w:t>
      </w:r>
    </w:p>
    <w:p w14:paraId="40A7064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w:t>
      </w:r>
      <w:r>
        <w:rPr>
          <w:rFonts w:hint="eastAsia" w:ascii="宋体" w:hAnsi="宋体" w:cs="Arial"/>
          <w:strike w:val="0"/>
          <w:dstrike w:val="0"/>
          <w:color w:val="auto"/>
          <w:lang w:val="en-US" w:eastAsia="zh-CN"/>
        </w:rPr>
        <w:t>5</w:t>
      </w:r>
      <w:r>
        <w:rPr>
          <w:rFonts w:hint="eastAsia" w:ascii="宋体" w:hAnsi="宋体" w:cs="宋体"/>
          <w:color w:val="auto"/>
          <w:kern w:val="0"/>
          <w:szCs w:val="21"/>
        </w:rPr>
        <w:t>个工作日。</w:t>
      </w:r>
    </w:p>
    <w:p w14:paraId="1DE33187">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七、其他补充事宜</w:t>
      </w:r>
    </w:p>
    <w:p w14:paraId="428D6C46">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1、磋商保证金（人民币）：</w:t>
      </w:r>
      <w:r>
        <w:rPr>
          <w:rFonts w:hint="eastAsia" w:ascii="宋体" w:hAnsi="宋体" w:cs="宋体"/>
          <w:color w:val="auto"/>
          <w:szCs w:val="21"/>
          <w:lang w:val="en-US" w:eastAsia="zh-CN" w:bidi="ar"/>
        </w:rPr>
        <w:t>13000.00元</w:t>
      </w:r>
      <w:r>
        <w:rPr>
          <w:rFonts w:hint="eastAsia" w:ascii="宋体" w:hAnsi="宋体" w:cs="宋体"/>
          <w:color w:val="auto"/>
          <w:szCs w:val="21"/>
          <w:lang w:bidi="ar"/>
        </w:rPr>
        <w:t>。</w:t>
      </w:r>
    </w:p>
    <w:p w14:paraId="139655B3">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D214719">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3、根据财政部《关于在政府采购活动中查询及使用信用记录有关问题的通知》（财库〔2016〕125号）的规定，对在“信用中国”网站(www.creditchina.gov.cn) 、中国政府采购网(www.ccgp.gov.cn)被列入失信被执行人、</w:t>
      </w:r>
      <w:r>
        <w:rPr>
          <w:rFonts w:hint="eastAsia" w:ascii="宋体" w:hAnsi="宋体" w:cs="宋体"/>
          <w:color w:val="auto"/>
          <w:szCs w:val="21"/>
          <w:lang w:eastAsia="zh-CN" w:bidi="ar"/>
        </w:rPr>
        <w:t>重大税收违法失信主体</w:t>
      </w:r>
      <w:r>
        <w:rPr>
          <w:rFonts w:hint="eastAsia" w:ascii="宋体" w:hAnsi="宋体" w:cs="宋体"/>
          <w:color w:val="auto"/>
          <w:szCs w:val="21"/>
          <w:lang w:bidi="ar"/>
        </w:rPr>
        <w:t>、政府采购严重违法失信行为记录名单及其他不符合《中华人民共和国政府采购法》第二十二条规定条件的供应商，不得参与政府采购活动。</w:t>
      </w:r>
    </w:p>
    <w:p w14:paraId="5C2BEEFB">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4、网上查询地址：</w:t>
      </w:r>
      <w:r>
        <w:rPr>
          <w:rFonts w:hint="eastAsia" w:ascii="宋体" w:hAnsi="宋体" w:eastAsia="宋体" w:cs="宋体"/>
          <w:color w:val="auto"/>
          <w:kern w:val="0"/>
          <w:szCs w:val="21"/>
          <w:highlight w:val="none"/>
        </w:rPr>
        <w:t>中国政府采购网（www.ccgp.gov.cn）、广西</w:t>
      </w:r>
      <w:r>
        <w:rPr>
          <w:rFonts w:hint="eastAsia" w:ascii="宋体" w:hAnsi="宋体" w:eastAsia="宋体" w:cs="宋体"/>
          <w:color w:val="auto"/>
          <w:kern w:val="0"/>
          <w:szCs w:val="21"/>
          <w:highlight w:val="none"/>
          <w:lang w:eastAsia="zh-CN"/>
        </w:rPr>
        <w:t>壮</w:t>
      </w:r>
      <w:r>
        <w:rPr>
          <w:rFonts w:hint="eastAsia" w:ascii="宋体" w:hAnsi="宋体" w:cs="宋体"/>
          <w:color w:val="auto"/>
          <w:kern w:val="0"/>
          <w:szCs w:val="21"/>
          <w:highlight w:val="none"/>
          <w:lang w:eastAsia="zh-CN"/>
        </w:rPr>
        <w:t>族自治区</w:t>
      </w:r>
      <w:r>
        <w:rPr>
          <w:rFonts w:hint="eastAsia" w:ascii="宋体" w:hAnsi="宋体" w:cs="宋体"/>
          <w:color w:val="auto"/>
          <w:kern w:val="0"/>
          <w:szCs w:val="21"/>
          <w:highlight w:val="none"/>
        </w:rPr>
        <w:t>政府采购网</w:t>
      </w:r>
      <w:r>
        <w:rPr>
          <w:rFonts w:hint="eastAsia" w:ascii="宋体" w:hAnsi="宋体" w:cs="宋体"/>
          <w:color w:val="auto"/>
          <w:szCs w:val="21"/>
          <w:lang w:bidi="ar"/>
        </w:rPr>
        <w:t>（zfcg.gxzf.gov.cn）</w:t>
      </w:r>
      <w:r>
        <w:rPr>
          <w:rFonts w:hint="eastAsia" w:ascii="宋体" w:hAnsi="宋体" w:cs="宋体"/>
          <w:color w:val="FF0000"/>
          <w:szCs w:val="21"/>
          <w:lang w:bidi="ar"/>
        </w:rPr>
        <w:t>。</w:t>
      </w:r>
    </w:p>
    <w:p w14:paraId="4FAAF755">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5、本项目需要落实的政府采购政策：</w:t>
      </w:r>
    </w:p>
    <w:p w14:paraId="48DAA61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EE340C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6DD50A9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5D72B3E1">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6、磋商注意事项：</w:t>
      </w:r>
    </w:p>
    <w:p w14:paraId="5A0CF0C0">
      <w:pPr>
        <w:widowControl/>
        <w:spacing w:line="360" w:lineRule="auto"/>
        <w:ind w:firstLine="420" w:firstLineChars="200"/>
        <w:rPr>
          <w:rFonts w:hint="eastAsia" w:ascii="宋体" w:hAnsi="宋体" w:eastAsia="宋体" w:cs="宋体"/>
          <w:bCs/>
          <w:color w:val="auto"/>
          <w:szCs w:val="21"/>
          <w:lang w:eastAsia="zh-CN"/>
        </w:rPr>
      </w:pPr>
      <w:r>
        <w:rPr>
          <w:rFonts w:hint="eastAsia" w:ascii="宋体" w:hAnsi="宋体" w:cs="宋体"/>
          <w:color w:val="auto"/>
          <w:szCs w:val="21"/>
          <w:lang w:bidi="ar"/>
        </w:rPr>
        <w:t>（1）</w:t>
      </w:r>
      <w:r>
        <w:rPr>
          <w:rFonts w:hint="eastAsia" w:ascii="宋体" w:hAnsi="宋体" w:cs="宋体"/>
          <w:color w:val="auto"/>
          <w:szCs w:val="21"/>
        </w:rPr>
        <w:t>响应文件</w:t>
      </w:r>
      <w:r>
        <w:rPr>
          <w:rFonts w:hint="eastAsia" w:ascii="宋体" w:hAnsi="宋体" w:cs="宋体"/>
          <w:color w:val="auto"/>
          <w:szCs w:val="21"/>
          <w:lang w:bidi="ar"/>
        </w:rPr>
        <w:t>提交方式：本项目为全流程电子化政府采购项目，通过</w:t>
      </w:r>
      <w:r>
        <w:rPr>
          <w:rFonts w:hint="eastAsia" w:ascii="宋体" w:hAnsi="宋体" w:cs="宋体"/>
          <w:color w:val="auto"/>
          <w:szCs w:val="21"/>
          <w:lang w:eastAsia="zh-CN" w:bidi="ar"/>
        </w:rPr>
        <w:t>广西政府采购云平台</w:t>
      </w:r>
      <w:r>
        <w:rPr>
          <w:rFonts w:hint="eastAsia" w:ascii="宋体" w:hAnsi="宋体"/>
          <w:color w:val="auto"/>
          <w:szCs w:val="21"/>
        </w:rPr>
        <w:t>（https://</w:t>
      </w:r>
      <w:r>
        <w:rPr>
          <w:rFonts w:hint="eastAsia" w:ascii="宋体" w:hAnsi="宋体"/>
          <w:color w:val="auto"/>
          <w:szCs w:val="21"/>
          <w:lang w:val="en-US" w:eastAsia="zh-CN"/>
        </w:rPr>
        <w:t>www</w:t>
      </w:r>
      <w:r>
        <w:rPr>
          <w:rFonts w:hint="eastAsia" w:ascii="宋体" w:hAnsi="宋体"/>
          <w:color w:val="auto"/>
          <w:szCs w:val="21"/>
        </w:rPr>
        <w:t>.gcy.zfcg.gxzf.gov.cn/）</w:t>
      </w:r>
      <w:r>
        <w:rPr>
          <w:rFonts w:hint="eastAsia" w:ascii="宋体" w:hAnsi="宋体" w:cs="宋体"/>
          <w:color w:val="auto"/>
          <w:szCs w:val="21"/>
          <w:lang w:bidi="ar"/>
        </w:rPr>
        <w:t>实行在线电子磋商采购，供应商应先安装“</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电子交易客户端”（请自行前往</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进行下载），并按照本项目竞争性磋商文件和</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的要求编制、加密后在</w:t>
      </w:r>
      <w:r>
        <w:rPr>
          <w:rFonts w:hint="eastAsia" w:ascii="宋体" w:hAnsi="宋体" w:cs="宋体"/>
          <w:color w:val="auto"/>
          <w:szCs w:val="21"/>
        </w:rPr>
        <w:t>首次响应文件提交截止时间</w:t>
      </w:r>
      <w:r>
        <w:rPr>
          <w:rFonts w:hint="eastAsia" w:ascii="宋体" w:hAnsi="宋体" w:cs="宋体"/>
          <w:color w:val="auto"/>
          <w:szCs w:val="21"/>
          <w:lang w:bidi="ar"/>
        </w:rPr>
        <w:t>前通过网络上传至</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w:t>
      </w:r>
      <w:r>
        <w:rPr>
          <w:rFonts w:hint="eastAsia" w:ascii="宋体" w:hAnsi="宋体" w:cs="宋体"/>
          <w:b/>
          <w:color w:val="auto"/>
          <w:szCs w:val="21"/>
          <w:lang w:bidi="ar"/>
        </w:rPr>
        <w:t>供应商在</w:t>
      </w:r>
      <w:r>
        <w:rPr>
          <w:rFonts w:hint="eastAsia" w:ascii="宋体" w:hAnsi="宋体" w:cs="宋体"/>
          <w:b/>
          <w:color w:val="auto"/>
          <w:szCs w:val="21"/>
          <w:lang w:eastAsia="zh-CN" w:bidi="ar"/>
        </w:rPr>
        <w:t>广西政府采购云平台</w:t>
      </w:r>
      <w:r>
        <w:rPr>
          <w:rFonts w:hint="eastAsia" w:ascii="宋体" w:hAnsi="宋体" w:cs="宋体"/>
          <w:b/>
          <w:color w:val="auto"/>
          <w:szCs w:val="21"/>
          <w:lang w:bidi="ar"/>
        </w:rPr>
        <w:t>提交电子版响应文件时，请填写参加远程开标活动经办人联系方式</w:t>
      </w:r>
      <w:r>
        <w:rPr>
          <w:rFonts w:hint="eastAsia" w:ascii="宋体" w:hAnsi="宋体" w:cs="宋体"/>
          <w:b/>
          <w:color w:val="auto"/>
          <w:szCs w:val="21"/>
          <w:lang w:eastAsia="zh-CN" w:bidi="ar"/>
        </w:rPr>
        <w:t>；</w:t>
      </w:r>
    </w:p>
    <w:p w14:paraId="032EF0BE">
      <w:pPr>
        <w:widowControl/>
        <w:spacing w:line="360" w:lineRule="auto"/>
        <w:ind w:firstLine="420" w:firstLineChars="200"/>
        <w:rPr>
          <w:rFonts w:hint="eastAsia" w:ascii="宋体" w:hAnsi="宋体" w:eastAsia="宋体" w:cs="宋体"/>
          <w:color w:val="auto"/>
          <w:szCs w:val="21"/>
          <w:lang w:eastAsia="zh-CN" w:bidi="ar"/>
        </w:rPr>
      </w:pPr>
      <w:r>
        <w:rPr>
          <w:rFonts w:hint="eastAsia" w:ascii="宋体" w:hAnsi="宋体" w:cs="宋体"/>
          <w:color w:val="auto"/>
          <w:szCs w:val="21"/>
          <w:lang w:bidi="ar"/>
        </w:rPr>
        <w:t>（2）</w:t>
      </w:r>
      <w:r>
        <w:rPr>
          <w:rFonts w:ascii="宋体" w:hAnsi="宋体" w:cs="宋体"/>
          <w:color w:val="auto"/>
          <w:szCs w:val="21"/>
          <w:lang w:bidi="ar"/>
        </w:rPr>
        <w:t>供应商应及时熟悉掌握电子标系统操作指南（见</w:t>
      </w:r>
      <w:r>
        <w:rPr>
          <w:rFonts w:hint="eastAsia" w:ascii="宋体" w:hAnsi="宋体" w:cs="宋体"/>
          <w:color w:val="auto"/>
          <w:szCs w:val="21"/>
          <w:lang w:eastAsia="zh-CN" w:bidi="ar"/>
        </w:rPr>
        <w:t>广西政府采购云平台</w:t>
      </w:r>
      <w:r>
        <w:rPr>
          <w:rFonts w:ascii="宋体" w:hAnsi="宋体" w:cs="宋体"/>
          <w:color w:val="auto"/>
          <w:szCs w:val="21"/>
          <w:lang w:bidi="ar"/>
        </w:rPr>
        <w:t>电子卖场首页右上角—服务中心—帮助文档—项目采购）：</w:t>
      </w:r>
      <w:r>
        <w:rPr>
          <w:rFonts w:ascii="宋体" w:hAnsi="宋体" w:cs="宋体"/>
          <w:color w:val="auto"/>
          <w:szCs w:val="21"/>
          <w:lang w:bidi="ar"/>
        </w:rPr>
        <w:fldChar w:fldCharType="begin"/>
      </w:r>
      <w:r>
        <w:rPr>
          <w:rFonts w:ascii="宋体" w:hAnsi="宋体" w:cs="宋体"/>
          <w:color w:val="auto"/>
          <w:szCs w:val="21"/>
          <w:lang w:bidi="ar"/>
        </w:rPr>
        <w:instrText xml:space="preserve"> HYPERLINK "https://service.zcygov.cn/#/knowledges/tree?tag=AG1DtGwBFdiHxlNdhY0r" </w:instrText>
      </w:r>
      <w:r>
        <w:rPr>
          <w:rFonts w:ascii="宋体" w:hAnsi="宋体" w:cs="宋体"/>
          <w:color w:val="auto"/>
          <w:szCs w:val="21"/>
          <w:lang w:bidi="ar"/>
        </w:rPr>
        <w:fldChar w:fldCharType="separate"/>
      </w:r>
      <w:r>
        <w:rPr>
          <w:color w:val="auto"/>
          <w:lang w:bidi="ar"/>
        </w:rPr>
        <w:t>https://service.zcygov.cn/#/knowledges/tree?tag=AG1DtGwBFdiHxlNdhY0r</w:t>
      </w:r>
      <w:r>
        <w:rPr>
          <w:rFonts w:ascii="宋体" w:hAnsi="宋体" w:cs="宋体"/>
          <w:color w:val="auto"/>
          <w:szCs w:val="21"/>
          <w:lang w:bidi="ar"/>
        </w:rPr>
        <w:fldChar w:fldCharType="end"/>
      </w:r>
      <w:r>
        <w:rPr>
          <w:rFonts w:hint="eastAsia" w:ascii="宋体" w:hAnsi="宋体" w:cs="宋体"/>
          <w:color w:val="auto"/>
          <w:szCs w:val="21"/>
          <w:lang w:bidi="ar"/>
        </w:rPr>
        <w:t>；</w:t>
      </w:r>
      <w:r>
        <w:rPr>
          <w:rFonts w:ascii="宋体" w:hAnsi="宋体" w:cs="宋体"/>
          <w:color w:val="auto"/>
          <w:szCs w:val="21"/>
          <w:lang w:bidi="ar"/>
        </w:rPr>
        <w:t>及时完成CA申领和绑定（见广西壮族自治区政府采购网—办事服务—下载专区-</w:t>
      </w:r>
      <w:r>
        <w:rPr>
          <w:rFonts w:hint="eastAsia" w:ascii="宋体" w:hAnsi="宋体" w:cs="宋体"/>
          <w:color w:val="auto"/>
          <w:szCs w:val="21"/>
          <w:lang w:eastAsia="zh-CN" w:bidi="ar"/>
        </w:rPr>
        <w:t>广西政府采购云平台</w:t>
      </w:r>
      <w:r>
        <w:rPr>
          <w:rFonts w:ascii="宋体" w:hAnsi="宋体" w:cs="宋体"/>
          <w:color w:val="auto"/>
          <w:szCs w:val="21"/>
          <w:lang w:bidi="ar"/>
        </w:rPr>
        <w:t>CA证书办理操作指南）</w:t>
      </w:r>
      <w:r>
        <w:rPr>
          <w:rFonts w:hint="eastAsia" w:ascii="宋体" w:hAnsi="宋体" w:cs="宋体"/>
          <w:color w:val="auto"/>
          <w:szCs w:val="21"/>
          <w:lang w:eastAsia="zh-CN" w:bidi="ar"/>
        </w:rPr>
        <w:t>；</w:t>
      </w:r>
    </w:p>
    <w:p w14:paraId="68292A7F">
      <w:pPr>
        <w:widowControl/>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lang w:bidi="ar"/>
        </w:rPr>
        <w:t>（3）未进行网上注册并办理数字证书（CA认证）的供应商将无法参与本项目政府采购活动，潜在供应商应当在</w:t>
      </w:r>
      <w:r>
        <w:rPr>
          <w:rFonts w:hint="eastAsia" w:ascii="宋体" w:hAnsi="宋体" w:cs="宋体"/>
          <w:color w:val="auto"/>
          <w:szCs w:val="21"/>
        </w:rPr>
        <w:t>首次响应文件提交截止时间</w:t>
      </w:r>
      <w:r>
        <w:rPr>
          <w:rFonts w:hint="eastAsia" w:ascii="宋体" w:hAnsi="宋体" w:cs="宋体"/>
          <w:color w:val="auto"/>
          <w:szCs w:val="21"/>
          <w:lang w:bidi="ar"/>
        </w:rPr>
        <w:t>前，完成电子交易平台上的CA数字证书办理及响应文件的提交。完成CA数字证书办理预计7日左右，供应商只需办理其中一家CA数字证书及签章，建议各供应商抓紧时间办理</w:t>
      </w:r>
      <w:r>
        <w:rPr>
          <w:rFonts w:hint="eastAsia" w:ascii="宋体" w:hAnsi="宋体" w:cs="宋体"/>
          <w:color w:val="auto"/>
          <w:szCs w:val="21"/>
          <w:lang w:eastAsia="zh-CN" w:bidi="ar"/>
        </w:rPr>
        <w:t>；</w:t>
      </w:r>
    </w:p>
    <w:p w14:paraId="7F81C9C4">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lang w:bidi="ar"/>
        </w:rPr>
        <w:t>（4）为确保网上操作合法、有效和安全，请供应商确保在电子竞标过程中能够对相关数据电文进行加密和使用电子签章，妥善保管CA数字证书并使用有效的CA数字证书参与整个采购活动。</w:t>
      </w:r>
    </w:p>
    <w:p w14:paraId="24E4D604">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bidi="ar"/>
        </w:rPr>
        <w:t>注：供应商应当在首次响应文件提交截止时间前完成电子响应文件的上传、递交，</w:t>
      </w:r>
      <w:r>
        <w:rPr>
          <w:rFonts w:hint="eastAsia" w:ascii="宋体" w:hAnsi="宋体" w:cs="宋体"/>
          <w:b/>
          <w:color w:val="auto"/>
          <w:szCs w:val="21"/>
        </w:rPr>
        <w:t>首次响应文件提交截止时间</w:t>
      </w:r>
      <w:r>
        <w:rPr>
          <w:rFonts w:hint="eastAsia" w:ascii="宋体" w:hAnsi="宋体" w:cs="宋体"/>
          <w:b/>
          <w:bCs/>
          <w:color w:val="auto"/>
          <w:szCs w:val="21"/>
          <w:lang w:bidi="ar"/>
        </w:rPr>
        <w:t>前可以补充、修改或者撤回响应文件。补充或者修改响应文件的，应当先行撤回原文件，补充、修改后重新上传、递交。</w:t>
      </w:r>
      <w:r>
        <w:rPr>
          <w:rFonts w:hint="eastAsia" w:ascii="宋体" w:hAnsi="宋体" w:cs="宋体"/>
          <w:b/>
          <w:color w:val="auto"/>
          <w:szCs w:val="21"/>
        </w:rPr>
        <w:t>首次响应文件提交截止时间</w:t>
      </w:r>
      <w:r>
        <w:rPr>
          <w:rFonts w:hint="eastAsia" w:ascii="宋体" w:hAnsi="宋体" w:cs="宋体"/>
          <w:b/>
          <w:bCs/>
          <w:color w:val="auto"/>
          <w:szCs w:val="21"/>
          <w:lang w:bidi="ar"/>
        </w:rPr>
        <w:t>前未完成上传、递交的，视为撤回响应文件。</w:t>
      </w:r>
      <w:r>
        <w:rPr>
          <w:rFonts w:hint="eastAsia" w:ascii="宋体" w:hAnsi="宋体" w:cs="宋体"/>
          <w:b/>
          <w:color w:val="auto"/>
          <w:szCs w:val="21"/>
        </w:rPr>
        <w:t>首次响应文件提交截止时间</w:t>
      </w:r>
      <w:r>
        <w:rPr>
          <w:rFonts w:hint="eastAsia" w:ascii="宋体" w:hAnsi="宋体" w:cs="宋体"/>
          <w:b/>
          <w:bCs/>
          <w:color w:val="auto"/>
          <w:szCs w:val="21"/>
          <w:lang w:bidi="ar"/>
        </w:rPr>
        <w:t>以后上传递交的响应文件，</w:t>
      </w:r>
      <w:r>
        <w:rPr>
          <w:rFonts w:hint="eastAsia" w:ascii="宋体" w:hAnsi="宋体" w:cs="宋体"/>
          <w:b/>
          <w:bCs/>
          <w:color w:val="auto"/>
          <w:szCs w:val="21"/>
          <w:lang w:eastAsia="zh-CN" w:bidi="ar"/>
        </w:rPr>
        <w:t>广西政府采购云平台</w:t>
      </w:r>
      <w:r>
        <w:rPr>
          <w:rFonts w:hint="eastAsia" w:ascii="宋体" w:hAnsi="宋体" w:cs="宋体"/>
          <w:b/>
          <w:bCs/>
          <w:color w:val="auto"/>
          <w:szCs w:val="21"/>
          <w:lang w:bidi="ar"/>
        </w:rPr>
        <w:t>将予以拒收。</w:t>
      </w:r>
    </w:p>
    <w:p w14:paraId="2EE6D753">
      <w:pPr>
        <w:widowControl/>
        <w:spacing w:line="360" w:lineRule="auto"/>
        <w:ind w:firstLine="420" w:firstLineChars="200"/>
        <w:rPr>
          <w:rFonts w:hint="eastAsia" w:ascii="宋体" w:hAnsi="宋体" w:cs="宋体"/>
          <w:b/>
          <w:bCs/>
          <w:color w:val="auto"/>
          <w:szCs w:val="21"/>
        </w:rPr>
      </w:pPr>
      <w:r>
        <w:rPr>
          <w:rFonts w:hint="eastAsia" w:ascii="宋体" w:hAnsi="宋体" w:cs="宋体"/>
          <w:color w:val="auto"/>
          <w:kern w:val="0"/>
          <w:szCs w:val="21"/>
          <w:lang w:bidi="ar"/>
        </w:rPr>
        <w:t>7、</w:t>
      </w:r>
      <w:r>
        <w:rPr>
          <w:rFonts w:hint="eastAsia" w:ascii="宋体" w:hAnsi="宋体" w:cs="宋体"/>
          <w:color w:val="auto"/>
          <w:szCs w:val="21"/>
          <w:lang w:bidi="ar"/>
        </w:rPr>
        <w:t>CA证书在线解密：首次响应文件开启时，须要供应商携带制作响应文件时用来加密的有效数字证书（CA认证）登录</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电子开标大厅现场按规定时间对加密的响应文件进行解密，否则后果自负。</w:t>
      </w:r>
    </w:p>
    <w:p w14:paraId="08E98461">
      <w:pPr>
        <w:widowControl/>
        <w:spacing w:line="360" w:lineRule="auto"/>
        <w:ind w:firstLine="420" w:firstLineChars="200"/>
        <w:rPr>
          <w:rFonts w:hint="eastAsia" w:ascii="宋体" w:hAnsi="宋体" w:cs="宋体"/>
          <w:color w:val="auto"/>
          <w:kern w:val="0"/>
          <w:szCs w:val="21"/>
        </w:rPr>
      </w:pPr>
      <w:r>
        <w:rPr>
          <w:rFonts w:hint="eastAsia" w:ascii="宋体" w:hAnsi="宋体" w:cs="宋体"/>
          <w:color w:val="auto"/>
          <w:szCs w:val="21"/>
          <w:lang w:bidi="ar"/>
        </w:rPr>
        <w:t>8、供应商需要在具备有摄像头及语音功能且互联网网络状况良好的电脑登录</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远程开标大厅参与本次磋商，否则后果自负。</w:t>
      </w:r>
    </w:p>
    <w:p w14:paraId="225249CA">
      <w:pPr>
        <w:widowControl/>
        <w:spacing w:line="360" w:lineRule="auto"/>
        <w:ind w:firstLine="420" w:firstLineChars="200"/>
        <w:rPr>
          <w:rFonts w:hint="eastAsia" w:ascii="宋体" w:hAnsi="宋体" w:eastAsia="宋体" w:cs="宋体"/>
          <w:color w:val="auto"/>
          <w:szCs w:val="21"/>
          <w:lang w:val="en-US" w:eastAsia="zh-CN" w:bidi="ar"/>
        </w:rPr>
      </w:pPr>
      <w:r>
        <w:rPr>
          <w:rFonts w:hint="eastAsia" w:ascii="宋体" w:hAnsi="宋体" w:cs="宋体"/>
          <w:color w:val="auto"/>
          <w:szCs w:val="21"/>
          <w:lang w:bidi="ar"/>
        </w:rPr>
        <w:t>9</w:t>
      </w:r>
      <w:r>
        <w:rPr>
          <w:rFonts w:hint="eastAsia" w:ascii="宋体" w:hAnsi="宋体" w:cs="宋体"/>
          <w:color w:val="auto"/>
          <w:szCs w:val="21"/>
          <w:lang w:eastAsia="zh-CN" w:bidi="ar"/>
        </w:rPr>
        <w:t>、</w:t>
      </w:r>
      <w:r>
        <w:rPr>
          <w:rFonts w:hint="eastAsia" w:ascii="宋体" w:hAnsi="宋体" w:cs="宋体"/>
          <w:color w:val="auto"/>
          <w:szCs w:val="21"/>
          <w:lang w:bidi="ar"/>
        </w:rPr>
        <w:t>若对项目采购电子交易系统操作有疑问，可登录</w:t>
      </w:r>
      <w:r>
        <w:rPr>
          <w:rFonts w:hint="eastAsia" w:ascii="宋体" w:hAnsi="宋体" w:cs="宋体"/>
          <w:color w:val="auto"/>
          <w:szCs w:val="21"/>
          <w:lang w:eastAsia="zh-CN" w:bidi="ar"/>
        </w:rPr>
        <w:t>广西政府采购云平台</w:t>
      </w:r>
      <w:r>
        <w:rPr>
          <w:rFonts w:hint="eastAsia" w:ascii="宋体" w:hAnsi="宋体"/>
          <w:color w:val="auto"/>
          <w:szCs w:val="21"/>
        </w:rPr>
        <w:t>（https://</w:t>
      </w:r>
      <w:r>
        <w:rPr>
          <w:rFonts w:hint="eastAsia" w:ascii="宋体" w:hAnsi="宋体"/>
          <w:color w:val="auto"/>
          <w:szCs w:val="21"/>
          <w:lang w:val="en-US" w:eastAsia="zh-CN"/>
        </w:rPr>
        <w:t>www</w:t>
      </w:r>
      <w:r>
        <w:rPr>
          <w:rFonts w:hint="eastAsia" w:ascii="宋体" w:hAnsi="宋体"/>
          <w:color w:val="auto"/>
          <w:szCs w:val="21"/>
        </w:rPr>
        <w:t>.gcy.zfcg.gxzf.gov.cn/</w:t>
      </w:r>
      <w:r>
        <w:rPr>
          <w:rFonts w:hint="eastAsia" w:ascii="宋体" w:hAnsi="宋体" w:cs="宋体"/>
          <w:color w:val="auto"/>
          <w:szCs w:val="21"/>
          <w:lang w:bidi="ar"/>
        </w:rPr>
        <w:t>），点击右侧咨询小采，获取采小蜜智能服务管家帮助，或拨打</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服务热线</w:t>
      </w:r>
      <w:r>
        <w:rPr>
          <w:rFonts w:hint="eastAsia" w:ascii="宋体" w:hAnsi="宋体" w:cs="宋体"/>
          <w:color w:val="auto"/>
          <w:szCs w:val="21"/>
          <w:lang w:val="en-US" w:eastAsia="zh-CN" w:bidi="ar"/>
        </w:rPr>
        <w:t>95763</w:t>
      </w:r>
      <w:r>
        <w:rPr>
          <w:rFonts w:hint="eastAsia" w:ascii="宋体" w:hAnsi="宋体" w:cs="宋体"/>
          <w:color w:val="auto"/>
          <w:szCs w:val="21"/>
          <w:lang w:bidi="ar"/>
        </w:rPr>
        <w:t>获取热线服务帮助</w:t>
      </w:r>
      <w:r>
        <w:rPr>
          <w:rFonts w:hint="eastAsia" w:ascii="宋体" w:hAnsi="宋体" w:cs="宋体"/>
          <w:color w:val="auto"/>
          <w:szCs w:val="21"/>
          <w:lang w:val="en-US" w:eastAsia="zh-CN" w:bidi="ar"/>
        </w:rPr>
        <w:t>。</w:t>
      </w:r>
    </w:p>
    <w:bookmarkEnd w:id="5"/>
    <w:p w14:paraId="50224AC0">
      <w:pPr>
        <w:widowControl/>
        <w:spacing w:line="360" w:lineRule="auto"/>
        <w:ind w:firstLine="420" w:firstLineChars="200"/>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10、评审方式：本项目采用远程异地评审。</w:t>
      </w:r>
    </w:p>
    <w:p w14:paraId="1A2A565D">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6"/>
      <w:bookmarkEnd w:id="7"/>
      <w:bookmarkEnd w:id="8"/>
      <w:bookmarkEnd w:id="9"/>
      <w:bookmarkEnd w:id="10"/>
    </w:p>
    <w:p w14:paraId="25A060C5">
      <w:pPr>
        <w:spacing w:line="360" w:lineRule="auto"/>
        <w:ind w:firstLine="567" w:firstLineChars="270"/>
        <w:jc w:val="left"/>
        <w:rPr>
          <w:rFonts w:hint="eastAsia" w:ascii="宋体" w:hAnsi="宋体" w:cs="宋体"/>
          <w:color w:val="auto"/>
          <w:szCs w:val="21"/>
        </w:rPr>
      </w:pPr>
      <w:bookmarkStart w:id="11" w:name="_Toc35393806"/>
      <w:bookmarkStart w:id="12" w:name="_Toc28359019"/>
      <w:bookmarkStart w:id="13" w:name="_Toc35393637"/>
      <w:bookmarkStart w:id="14" w:name="_Toc28359096"/>
      <w:r>
        <w:rPr>
          <w:rFonts w:hint="eastAsia" w:ascii="宋体" w:hAnsi="宋体" w:cs="宋体"/>
          <w:color w:val="auto"/>
          <w:szCs w:val="21"/>
        </w:rPr>
        <w:t>1.采购人信息</w:t>
      </w:r>
    </w:p>
    <w:p w14:paraId="3895771E">
      <w:pPr>
        <w:spacing w:line="360" w:lineRule="auto"/>
        <w:ind w:firstLine="777" w:firstLineChars="370"/>
        <w:jc w:val="left"/>
        <w:rPr>
          <w:rFonts w:hint="eastAsia" w:ascii="宋体" w:hAnsi="宋体" w:cs="Arial"/>
          <w:color w:val="auto"/>
          <w:lang w:val="en-US" w:eastAsia="zh-CN"/>
        </w:rPr>
      </w:pPr>
      <w:r>
        <w:rPr>
          <w:rFonts w:hint="eastAsia" w:ascii="宋体" w:hAnsi="宋体"/>
          <w:color w:val="auto"/>
          <w:szCs w:val="21"/>
        </w:rPr>
        <w:t>名称：</w:t>
      </w:r>
      <w:bookmarkStart w:id="15" w:name="_Toc28359009"/>
      <w:bookmarkStart w:id="16" w:name="_Toc28359086"/>
      <w:r>
        <w:rPr>
          <w:rFonts w:hint="eastAsia" w:ascii="宋体" w:hAnsi="宋体" w:cs="Arial"/>
          <w:color w:val="auto"/>
          <w:lang w:eastAsia="zh-CN"/>
        </w:rPr>
        <w:t>博白县人民医院</w:t>
      </w:r>
      <w:r>
        <w:rPr>
          <w:rFonts w:hint="eastAsia" w:ascii="宋体" w:hAnsi="宋体" w:cs="Arial"/>
          <w:color w:val="auto"/>
          <w:lang w:val="en-US" w:eastAsia="zh-CN"/>
        </w:rPr>
        <w:t xml:space="preserve">                       </w:t>
      </w:r>
    </w:p>
    <w:p w14:paraId="2E73EF46">
      <w:pPr>
        <w:spacing w:line="360" w:lineRule="auto"/>
        <w:ind w:firstLine="777" w:firstLineChars="370"/>
        <w:jc w:val="left"/>
        <w:rPr>
          <w:rFonts w:hint="eastAsia" w:ascii="宋体" w:hAnsi="宋体" w:eastAsia="宋体"/>
          <w:color w:val="auto"/>
          <w:szCs w:val="21"/>
          <w:u w:val="none"/>
          <w:lang w:val="en-US" w:eastAsia="zh-CN"/>
        </w:rPr>
      </w:pPr>
      <w:r>
        <w:rPr>
          <w:rFonts w:hint="eastAsia" w:ascii="宋体" w:hAnsi="宋体"/>
          <w:color w:val="auto"/>
          <w:szCs w:val="21"/>
        </w:rPr>
        <w:t>地址</w:t>
      </w:r>
      <w:r>
        <w:rPr>
          <w:rFonts w:hint="eastAsia" w:ascii="宋体" w:hAnsi="宋体"/>
          <w:color w:val="auto"/>
          <w:szCs w:val="21"/>
          <w:u w:val="none"/>
        </w:rPr>
        <w:t>：</w:t>
      </w:r>
      <w:r>
        <w:rPr>
          <w:rFonts w:hint="eastAsia" w:ascii="宋体" w:hAnsi="宋体" w:cs="宋体"/>
          <w:color w:val="auto"/>
          <w:kern w:val="0"/>
          <w:szCs w:val="21"/>
        </w:rPr>
        <w:t>博白县博白镇兴隆东路009号</w:t>
      </w:r>
    </w:p>
    <w:p w14:paraId="026FA037">
      <w:pPr>
        <w:spacing w:line="360" w:lineRule="auto"/>
        <w:ind w:firstLine="777" w:firstLineChars="370"/>
        <w:jc w:val="left"/>
        <w:rPr>
          <w:rFonts w:hint="eastAsia" w:ascii="宋体" w:hAnsi="宋体"/>
          <w:color w:val="auto"/>
          <w:szCs w:val="21"/>
          <w:u w:val="none"/>
          <w:lang w:val="en-US" w:eastAsia="zh-CN"/>
        </w:rPr>
      </w:pPr>
      <w:r>
        <w:rPr>
          <w:rFonts w:hint="eastAsia" w:ascii="宋体" w:hAnsi="宋体"/>
          <w:color w:val="auto"/>
          <w:szCs w:val="21"/>
          <w:u w:val="none"/>
          <w:lang w:eastAsia="zh-CN"/>
        </w:rPr>
        <w:t>联系人：</w:t>
      </w:r>
      <w:r>
        <w:rPr>
          <w:rFonts w:hint="eastAsia" w:ascii="宋体" w:hAnsi="宋体"/>
          <w:color w:val="auto"/>
          <w:szCs w:val="21"/>
          <w:u w:val="none"/>
          <w:lang w:val="en-US" w:eastAsia="zh-CN"/>
        </w:rPr>
        <w:t xml:space="preserve">王伟旭                               </w:t>
      </w:r>
    </w:p>
    <w:p w14:paraId="14C3AA27">
      <w:pPr>
        <w:spacing w:line="360" w:lineRule="auto"/>
        <w:ind w:firstLine="777" w:firstLineChars="370"/>
        <w:jc w:val="left"/>
        <w:rPr>
          <w:rFonts w:hint="default" w:ascii="宋体" w:hAnsi="宋体" w:eastAsia="宋体" w:cs="Times New Roman"/>
          <w:color w:val="auto"/>
          <w:szCs w:val="21"/>
          <w:u w:val="none"/>
          <w:lang w:val="en-US" w:eastAsia="zh-CN"/>
        </w:rPr>
      </w:pPr>
      <w:r>
        <w:rPr>
          <w:rFonts w:hint="eastAsia" w:ascii="宋体" w:hAnsi="宋体"/>
          <w:color w:val="auto"/>
          <w:szCs w:val="21"/>
          <w:u w:val="none"/>
        </w:rPr>
        <w:t>联系方式：</w:t>
      </w:r>
      <w:r>
        <w:rPr>
          <w:rFonts w:hint="eastAsia" w:ascii="宋体" w:hAnsi="宋体"/>
          <w:color w:val="auto"/>
          <w:szCs w:val="21"/>
          <w:u w:val="none"/>
          <w:lang w:val="en-US" w:eastAsia="zh-CN"/>
        </w:rPr>
        <w:t>0775-8332395</w:t>
      </w:r>
    </w:p>
    <w:p w14:paraId="34E09CAB">
      <w:pPr>
        <w:spacing w:line="360" w:lineRule="auto"/>
        <w:ind w:firstLine="567" w:firstLineChars="270"/>
        <w:jc w:val="left"/>
        <w:rPr>
          <w:rFonts w:ascii="宋体" w:hAnsi="宋体"/>
          <w:color w:val="auto"/>
          <w:szCs w:val="21"/>
        </w:rPr>
      </w:pPr>
      <w:r>
        <w:rPr>
          <w:rFonts w:hint="eastAsia" w:ascii="宋体" w:hAnsi="宋体" w:cs="宋体"/>
          <w:color w:val="auto"/>
          <w:szCs w:val="21"/>
        </w:rPr>
        <w:t>2.采购代理机构信息</w:t>
      </w:r>
      <w:bookmarkEnd w:id="15"/>
      <w:bookmarkEnd w:id="16"/>
    </w:p>
    <w:p w14:paraId="44DB2A19">
      <w:pPr>
        <w:spacing w:line="360" w:lineRule="auto"/>
        <w:ind w:firstLine="777" w:firstLineChars="370"/>
        <w:rPr>
          <w:rFonts w:hint="eastAsia" w:ascii="宋体" w:hAnsi="宋体" w:cs="Arial"/>
          <w:color w:val="auto"/>
          <w:szCs w:val="21"/>
          <w:u w:val="none"/>
          <w:lang w:val="en-US" w:eastAsia="zh-CN"/>
        </w:rPr>
      </w:pPr>
      <w:r>
        <w:rPr>
          <w:rFonts w:hint="eastAsia" w:ascii="宋体" w:hAnsi="宋体"/>
          <w:color w:val="auto"/>
          <w:szCs w:val="21"/>
        </w:rPr>
        <w:t>名</w:t>
      </w:r>
      <w:r>
        <w:rPr>
          <w:rFonts w:hint="eastAsia" w:ascii="宋体" w:hAnsi="宋体"/>
          <w:color w:val="auto"/>
          <w:szCs w:val="21"/>
          <w:u w:val="none"/>
        </w:rPr>
        <w:t>称：</w:t>
      </w:r>
      <w:r>
        <w:rPr>
          <w:rFonts w:hint="eastAsia" w:ascii="宋体" w:hAnsi="宋体" w:cs="Arial"/>
          <w:color w:val="auto"/>
          <w:szCs w:val="21"/>
          <w:u w:val="none"/>
          <w:lang w:eastAsia="zh-CN"/>
        </w:rPr>
        <w:t>广西国泰招标咨询有限公司</w:t>
      </w:r>
      <w:r>
        <w:rPr>
          <w:rFonts w:hint="eastAsia" w:ascii="宋体" w:hAnsi="宋体" w:cs="Arial"/>
          <w:color w:val="auto"/>
          <w:szCs w:val="21"/>
          <w:u w:val="none"/>
          <w:lang w:val="en-US" w:eastAsia="zh-CN"/>
        </w:rPr>
        <w:t xml:space="preserve">                 </w:t>
      </w:r>
    </w:p>
    <w:p w14:paraId="75EDA631">
      <w:pPr>
        <w:spacing w:line="360" w:lineRule="auto"/>
        <w:ind w:firstLine="777" w:firstLineChars="370"/>
        <w:rPr>
          <w:rFonts w:hint="default" w:ascii="宋体" w:hAnsi="宋体" w:eastAsia="宋体"/>
          <w:color w:val="auto"/>
          <w:szCs w:val="21"/>
          <w:u w:val="none"/>
          <w:lang w:val="en-US" w:eastAsia="zh-CN"/>
        </w:rPr>
      </w:pPr>
      <w:r>
        <w:rPr>
          <w:rFonts w:hint="eastAsia" w:ascii="宋体" w:hAnsi="宋体"/>
          <w:color w:val="auto"/>
          <w:szCs w:val="21"/>
          <w:u w:val="none"/>
        </w:rPr>
        <w:t>地址：</w:t>
      </w:r>
      <w:r>
        <w:rPr>
          <w:rFonts w:hint="eastAsia" w:ascii="宋体" w:hAnsi="宋体"/>
          <w:color w:val="auto"/>
          <w:szCs w:val="21"/>
          <w:u w:val="none"/>
          <w:lang w:val="en-US" w:eastAsia="zh-CN"/>
        </w:rPr>
        <w:t>广西南宁市民族大道 141 号中鼎万象东方大厦 D 区六层 D607</w:t>
      </w:r>
    </w:p>
    <w:p w14:paraId="27047AAA">
      <w:pPr>
        <w:pStyle w:val="20"/>
        <w:spacing w:line="360" w:lineRule="auto"/>
        <w:ind w:firstLine="777" w:firstLineChars="370"/>
        <w:rPr>
          <w:rFonts w:hint="eastAsia" w:hAnsi="宋体"/>
          <w:color w:val="auto"/>
          <w:sz w:val="21"/>
          <w:lang w:val="en-US" w:eastAsia="zh-CN"/>
        </w:rPr>
      </w:pPr>
      <w:r>
        <w:rPr>
          <w:rFonts w:hint="eastAsia" w:hAnsi="宋体"/>
          <w:color w:val="auto"/>
          <w:sz w:val="21"/>
        </w:rPr>
        <w:t>项目联系人：</w:t>
      </w:r>
      <w:r>
        <w:rPr>
          <w:rFonts w:hint="eastAsia" w:ascii="宋体" w:hAnsi="宋体" w:eastAsia="宋体" w:cs="Times New Roman"/>
          <w:color w:val="auto"/>
          <w:szCs w:val="21"/>
          <w:u w:val="none"/>
          <w:lang w:eastAsia="zh-CN"/>
        </w:rPr>
        <w:t>文庆金</w:t>
      </w:r>
      <w:r>
        <w:rPr>
          <w:rFonts w:hint="eastAsia" w:hAnsi="宋体"/>
          <w:color w:val="auto"/>
          <w:sz w:val="21"/>
          <w:lang w:val="en-US" w:eastAsia="zh-CN"/>
        </w:rPr>
        <w:t xml:space="preserve">                         </w:t>
      </w:r>
    </w:p>
    <w:p w14:paraId="1FE291D0">
      <w:pPr>
        <w:pStyle w:val="20"/>
        <w:spacing w:line="360" w:lineRule="auto"/>
        <w:ind w:firstLine="740" w:firstLineChars="370"/>
        <w:rPr>
          <w:rFonts w:hint="eastAsia" w:ascii="宋体" w:hAnsi="宋体"/>
          <w:color w:val="auto"/>
          <w:szCs w:val="21"/>
          <w:u w:val="none"/>
          <w:lang w:val="en-US" w:eastAsia="zh-CN"/>
        </w:rPr>
      </w:pPr>
      <w:r>
        <w:rPr>
          <w:rFonts w:hint="eastAsia" w:ascii="宋体" w:hAnsi="宋体"/>
          <w:color w:val="auto"/>
          <w:szCs w:val="21"/>
        </w:rPr>
        <w:t>电话</w:t>
      </w:r>
      <w:r>
        <w:rPr>
          <w:rFonts w:hint="eastAsia" w:ascii="宋体" w:hAnsi="宋体"/>
          <w:color w:val="auto"/>
          <w:szCs w:val="21"/>
          <w:u w:val="none"/>
        </w:rPr>
        <w:t>：</w:t>
      </w:r>
      <w:r>
        <w:rPr>
          <w:rFonts w:hint="eastAsia" w:ascii="宋体" w:hAnsi="宋体"/>
          <w:color w:val="auto"/>
          <w:szCs w:val="21"/>
          <w:u w:val="none"/>
          <w:lang w:val="en-US" w:eastAsia="zh-CN"/>
        </w:rPr>
        <w:t>0775-</w:t>
      </w:r>
      <w:r>
        <w:rPr>
          <w:rFonts w:hint="eastAsia" w:hAnsi="宋体"/>
          <w:color w:val="auto"/>
          <w:szCs w:val="21"/>
          <w:u w:val="none"/>
          <w:lang w:val="en-US" w:eastAsia="zh-CN"/>
        </w:rPr>
        <w:t>2699135</w:t>
      </w:r>
    </w:p>
    <w:p w14:paraId="4A5C596E">
      <w:pPr>
        <w:spacing w:line="360" w:lineRule="auto"/>
        <w:ind w:firstLine="567" w:firstLineChars="270"/>
        <w:jc w:val="left"/>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3.监督单位</w:t>
      </w:r>
    </w:p>
    <w:p w14:paraId="1F1A22EA">
      <w:pPr>
        <w:spacing w:line="360" w:lineRule="auto"/>
        <w:ind w:firstLine="777" w:firstLineChars="370"/>
        <w:jc w:val="left"/>
        <w:rPr>
          <w:rFonts w:hint="eastAsia" w:ascii="宋体" w:hAnsi="宋体" w:eastAsia="宋体" w:cs="宋体"/>
          <w:color w:val="auto"/>
          <w:szCs w:val="21"/>
          <w:lang w:val="en-US" w:eastAsia="zh-CN"/>
        </w:rPr>
      </w:pPr>
      <w:r>
        <w:rPr>
          <w:rFonts w:hint="default" w:ascii="宋体" w:hAnsi="宋体" w:eastAsia="宋体" w:cs="宋体"/>
          <w:color w:val="auto"/>
          <w:szCs w:val="21"/>
          <w:lang w:val="en-US" w:eastAsia="zh-CN"/>
        </w:rPr>
        <w:t>名称：</w:t>
      </w:r>
      <w:r>
        <w:rPr>
          <w:rFonts w:hint="eastAsia" w:ascii="宋体" w:hAnsi="宋体" w:eastAsia="宋体" w:cs="宋体"/>
          <w:color w:val="auto"/>
          <w:szCs w:val="21"/>
          <w:lang w:val="en-US" w:eastAsia="zh-CN"/>
        </w:rPr>
        <w:t>博白县</w:t>
      </w:r>
      <w:r>
        <w:rPr>
          <w:rFonts w:hint="default" w:ascii="宋体" w:hAnsi="宋体" w:eastAsia="宋体" w:cs="宋体"/>
          <w:color w:val="auto"/>
          <w:szCs w:val="21"/>
          <w:lang w:val="en-US" w:eastAsia="zh-CN"/>
        </w:rPr>
        <w:t xml:space="preserve">财政局                     </w:t>
      </w:r>
      <w:r>
        <w:rPr>
          <w:rFonts w:hint="eastAsia" w:ascii="宋体" w:hAnsi="宋体" w:eastAsia="宋体" w:cs="宋体"/>
          <w:color w:val="auto"/>
          <w:szCs w:val="21"/>
          <w:lang w:val="en-US" w:eastAsia="zh-CN"/>
        </w:rPr>
        <w:t xml:space="preserve">    </w:t>
      </w:r>
    </w:p>
    <w:p w14:paraId="59B185F8">
      <w:pPr>
        <w:spacing w:line="360" w:lineRule="auto"/>
        <w:ind w:firstLine="777" w:firstLineChars="370"/>
        <w:jc w:val="left"/>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联系电话：0775-8331612</w:t>
      </w:r>
    </w:p>
    <w:p w14:paraId="6DA53821">
      <w:pPr>
        <w:spacing w:line="380" w:lineRule="exact"/>
        <w:ind w:firstLine="6195" w:firstLineChars="2950"/>
        <w:rPr>
          <w:rFonts w:hint="eastAsia" w:ascii="宋体" w:hAnsi="宋体" w:cs="Arial"/>
          <w:color w:val="auto"/>
          <w:szCs w:val="21"/>
        </w:rPr>
      </w:pPr>
    </w:p>
    <w:p w14:paraId="724EAF04">
      <w:pPr>
        <w:spacing w:line="380" w:lineRule="exact"/>
        <w:ind w:firstLine="6195" w:firstLineChars="2950"/>
        <w:rPr>
          <w:rFonts w:hint="eastAsia" w:ascii="宋体" w:hAnsi="宋体" w:cs="Arial"/>
          <w:color w:val="auto"/>
          <w:szCs w:val="21"/>
        </w:rPr>
      </w:pPr>
    </w:p>
    <w:p w14:paraId="1093F12B">
      <w:pPr>
        <w:keepNext w:val="0"/>
        <w:keepLines w:val="0"/>
        <w:pageBreakBefore w:val="0"/>
        <w:widowControl w:val="0"/>
        <w:kinsoku/>
        <w:wordWrap/>
        <w:overflowPunct/>
        <w:topLinePunct w:val="0"/>
        <w:autoSpaceDE/>
        <w:autoSpaceDN/>
        <w:bidi w:val="0"/>
        <w:adjustRightInd/>
        <w:spacing w:line="400" w:lineRule="exact"/>
        <w:ind w:firstLine="6090" w:firstLineChars="2900"/>
        <w:textAlignment w:val="auto"/>
        <w:rPr>
          <w:rFonts w:hint="eastAsia" w:ascii="宋体" w:hAnsi="宋体" w:eastAsia="宋体"/>
          <w:color w:val="auto"/>
          <w:szCs w:val="21"/>
          <w:lang w:eastAsia="zh-CN"/>
        </w:rPr>
      </w:pPr>
      <w:r>
        <w:rPr>
          <w:rFonts w:hint="eastAsia" w:ascii="宋体" w:hAnsi="宋体" w:cs="Arial"/>
          <w:color w:val="auto"/>
          <w:szCs w:val="21"/>
          <w:lang w:eastAsia="zh-CN"/>
        </w:rPr>
        <w:t>广西国泰招标咨询有限公司</w:t>
      </w:r>
    </w:p>
    <w:p w14:paraId="247D6DF0">
      <w:pPr>
        <w:keepNext w:val="0"/>
        <w:keepLines w:val="0"/>
        <w:pageBreakBefore w:val="0"/>
        <w:widowControl w:val="0"/>
        <w:kinsoku/>
        <w:wordWrap/>
        <w:overflowPunct/>
        <w:topLinePunct w:val="0"/>
        <w:autoSpaceDE/>
        <w:autoSpaceDN/>
        <w:bidi w:val="0"/>
        <w:adjustRightInd/>
        <w:snapToGrid w:val="0"/>
        <w:spacing w:line="500" w:lineRule="exact"/>
        <w:ind w:left="238"/>
        <w:jc w:val="center"/>
        <w:textAlignment w:val="auto"/>
        <w:rPr>
          <w:rFonts w:hint="eastAsia"/>
          <w:color w:val="auto"/>
        </w:rPr>
      </w:pP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w:t>
      </w:r>
      <w:bookmarkEnd w:id="4"/>
      <w:bookmarkEnd w:id="11"/>
      <w:bookmarkEnd w:id="12"/>
      <w:bookmarkEnd w:id="13"/>
      <w:bookmarkEnd w:id="14"/>
      <w:r>
        <w:rPr>
          <w:rFonts w:hint="eastAsia" w:ascii="宋体" w:hAnsi="宋体"/>
          <w:color w:val="auto"/>
          <w:lang w:eastAsia="zh-CN"/>
        </w:rPr>
        <w:t>2026年</w:t>
      </w:r>
      <w:r>
        <w:rPr>
          <w:rFonts w:hint="eastAsia" w:ascii="宋体" w:hAnsi="宋体" w:cs="Arial"/>
          <w:strike w:val="0"/>
          <w:dstrike w:val="0"/>
          <w:color w:val="auto"/>
          <w:lang w:val="en-US" w:eastAsia="zh-CN"/>
        </w:rPr>
        <w:t>6月26</w:t>
      </w:r>
      <w:r>
        <w:rPr>
          <w:rFonts w:hint="eastAsia" w:ascii="宋体" w:hAnsi="宋体"/>
          <w:color w:val="auto"/>
          <w:lang w:val="en-US" w:eastAsia="zh-CN"/>
        </w:rPr>
        <w:t>日</w:t>
      </w:r>
      <w:r>
        <w:rPr>
          <w:rFonts w:ascii="宋体" w:hAnsi="宋体"/>
          <w:b/>
          <w:bCs/>
          <w:color w:val="auto"/>
          <w:sz w:val="32"/>
          <w:szCs w:val="32"/>
        </w:rPr>
        <w:br w:type="page"/>
      </w:r>
      <w:bookmarkStart w:id="17" w:name="_Toc74323457"/>
      <w:r>
        <w:rPr>
          <w:rFonts w:hint="eastAsia"/>
          <w:b/>
          <w:bCs/>
          <w:color w:val="auto"/>
          <w:sz w:val="36"/>
          <w:szCs w:val="36"/>
        </w:rPr>
        <w:t>第二章 供应商须知</w:t>
      </w:r>
      <w:bookmarkEnd w:id="17"/>
    </w:p>
    <w:p w14:paraId="2DBAC5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r>
        <w:rPr>
          <w:rFonts w:hint="eastAsia" w:ascii="宋体" w:hAnsi="宋体"/>
          <w:b/>
          <w:color w:val="auto"/>
          <w:sz w:val="32"/>
          <w:szCs w:val="32"/>
        </w:rPr>
        <w:t>供应商须知前附表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5BD0E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noWrap w:val="0"/>
            <w:vAlign w:val="top"/>
          </w:tcPr>
          <w:p w14:paraId="371BB8E2">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8627" w:type="dxa"/>
            <w:noWrap w:val="0"/>
            <w:vAlign w:val="top"/>
          </w:tcPr>
          <w:p w14:paraId="6D4B118A">
            <w:pPr>
              <w:spacing w:line="360" w:lineRule="auto"/>
              <w:jc w:val="center"/>
              <w:rPr>
                <w:rFonts w:hint="eastAsia" w:ascii="宋体" w:hAnsi="宋体" w:cs="宋体"/>
                <w:b/>
                <w:color w:val="auto"/>
                <w:szCs w:val="21"/>
              </w:rPr>
            </w:pPr>
            <w:r>
              <w:rPr>
                <w:rFonts w:hint="eastAsia" w:ascii="宋体" w:hAnsi="宋体" w:cs="宋体"/>
                <w:b/>
                <w:color w:val="auto"/>
                <w:szCs w:val="21"/>
              </w:rPr>
              <w:t>内    容</w:t>
            </w:r>
          </w:p>
        </w:tc>
      </w:tr>
      <w:tr w14:paraId="11A23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43D4E13">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8627" w:type="dxa"/>
            <w:noWrap w:val="0"/>
            <w:vAlign w:val="center"/>
          </w:tcPr>
          <w:p w14:paraId="5DC5D16F">
            <w:pPr>
              <w:spacing w:line="360" w:lineRule="auto"/>
              <w:rPr>
                <w:rFonts w:hint="eastAsia"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：详见竞争性磋商公告</w:t>
            </w:r>
          </w:p>
        </w:tc>
      </w:tr>
      <w:tr w14:paraId="45018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24BF7B0">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8627" w:type="dxa"/>
            <w:noWrap w:val="0"/>
            <w:vAlign w:val="center"/>
          </w:tcPr>
          <w:p w14:paraId="2260EA11">
            <w:pPr>
              <w:spacing w:line="360" w:lineRule="auto"/>
              <w:rPr>
                <w:rFonts w:hint="eastAsia" w:ascii="宋体" w:hAnsi="宋体" w:cs="宋体"/>
                <w:color w:val="auto"/>
                <w:szCs w:val="21"/>
              </w:rPr>
            </w:pPr>
            <w:r>
              <w:rPr>
                <w:rFonts w:hint="eastAsia" w:ascii="宋体" w:hAnsi="宋体" w:cs="宋体"/>
                <w:color w:val="auto"/>
                <w:szCs w:val="21"/>
              </w:rPr>
              <w:t>是否接受联合体竞标：详见竞争性磋商公告</w:t>
            </w:r>
          </w:p>
        </w:tc>
      </w:tr>
      <w:tr w14:paraId="27A2E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5BEEF14">
            <w:pPr>
              <w:spacing w:line="360" w:lineRule="auto"/>
              <w:jc w:val="center"/>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8627" w:type="dxa"/>
            <w:noWrap w:val="0"/>
            <w:vAlign w:val="center"/>
          </w:tcPr>
          <w:p w14:paraId="702B5E28">
            <w:pPr>
              <w:spacing w:line="360" w:lineRule="auto"/>
              <w:rPr>
                <w:rFonts w:ascii="宋体" w:hAnsi="宋体" w:cs="宋体"/>
                <w:color w:val="auto"/>
                <w:szCs w:val="21"/>
              </w:rPr>
            </w:pPr>
            <w:r>
              <w:rPr>
                <w:rFonts w:hint="eastAsia" w:ascii="宋体" w:hAnsi="宋体"/>
                <w:color w:val="auto"/>
                <w:szCs w:val="21"/>
              </w:rPr>
              <w:t>如接受联合体竞标，联合体竞标要求如下：</w:t>
            </w:r>
          </w:p>
          <w:p w14:paraId="55DD68B9">
            <w:pPr>
              <w:autoSpaceDE w:val="0"/>
              <w:autoSpaceDN w:val="0"/>
              <w:snapToGrid w:val="0"/>
              <w:spacing w:line="400" w:lineRule="exact"/>
              <w:textAlignment w:val="bottom"/>
              <w:rPr>
                <w:rFonts w:hint="eastAsia" w:ascii="宋体" w:hAnsi="宋体"/>
                <w:color w:val="auto"/>
                <w:szCs w:val="21"/>
              </w:rPr>
            </w:pPr>
            <w:r>
              <w:rPr>
                <w:rFonts w:hint="eastAsia" w:ascii="宋体" w:hAnsi="宋体"/>
                <w:color w:val="auto"/>
                <w:szCs w:val="21"/>
              </w:rPr>
              <w:t>1、两个以上供应商可以组成一个竞标联合体，以一个供应商的身份共同参加竞标，联合体供应商的名称应统一按“XXX 公司与 XXX 公司的联合体”的规则填写。</w:t>
            </w:r>
            <w:r>
              <w:rPr>
                <w:rFonts w:hint="eastAsia" w:ascii="宋体" w:hAnsi="宋体"/>
                <w:color w:val="auto"/>
                <w:szCs w:val="21"/>
              </w:rPr>
              <w:tab/>
            </w:r>
          </w:p>
          <w:p w14:paraId="4681144E">
            <w:pPr>
              <w:autoSpaceDE w:val="0"/>
              <w:autoSpaceDN w:val="0"/>
              <w:snapToGrid w:val="0"/>
              <w:spacing w:line="400" w:lineRule="exact"/>
              <w:textAlignment w:val="bottom"/>
              <w:rPr>
                <w:rFonts w:hint="eastAsia" w:ascii="宋体" w:hAnsi="宋体"/>
                <w:color w:val="auto"/>
                <w:szCs w:val="21"/>
              </w:rPr>
            </w:pPr>
            <w:r>
              <w:rPr>
                <w:rFonts w:hint="eastAsia" w:ascii="宋体" w:hAnsi="宋体"/>
                <w:color w:val="auto"/>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61EDE64B">
            <w:pPr>
              <w:autoSpaceDE w:val="0"/>
              <w:autoSpaceDN w:val="0"/>
              <w:snapToGrid w:val="0"/>
              <w:spacing w:line="400" w:lineRule="exact"/>
              <w:textAlignment w:val="bottom"/>
              <w:rPr>
                <w:rFonts w:hint="eastAsia" w:ascii="宋体" w:hAnsi="宋体"/>
                <w:color w:val="auto"/>
                <w:szCs w:val="21"/>
              </w:rPr>
            </w:pPr>
            <w:r>
              <w:rPr>
                <w:rFonts w:hint="eastAsia" w:ascii="宋体" w:hAnsi="宋体"/>
                <w:color w:val="auto"/>
                <w:szCs w:val="21"/>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color w:val="auto"/>
                <w:szCs w:val="21"/>
              </w:rPr>
              <w:tab/>
            </w:r>
          </w:p>
          <w:p w14:paraId="12FD0582">
            <w:pPr>
              <w:autoSpaceDE w:val="0"/>
              <w:autoSpaceDN w:val="0"/>
              <w:snapToGrid w:val="0"/>
              <w:spacing w:line="400" w:lineRule="exact"/>
              <w:textAlignment w:val="bottom"/>
              <w:rPr>
                <w:rFonts w:hint="eastAsia" w:ascii="宋体" w:hAnsi="宋体"/>
                <w:color w:val="auto"/>
                <w:szCs w:val="21"/>
              </w:rPr>
            </w:pPr>
            <w:r>
              <w:rPr>
                <w:rFonts w:hint="eastAsia" w:ascii="宋体" w:hAnsi="宋体"/>
                <w:color w:val="auto"/>
                <w:szCs w:val="21"/>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olor w:val="auto"/>
                <w:szCs w:val="21"/>
              </w:rPr>
              <w:tab/>
            </w:r>
            <w:r>
              <w:rPr>
                <w:rFonts w:hint="eastAsia" w:ascii="宋体" w:hAnsi="宋体"/>
                <w:color w:val="auto"/>
                <w:szCs w:val="21"/>
              </w:rPr>
              <w:tab/>
            </w:r>
          </w:p>
          <w:p w14:paraId="72DDE8FE">
            <w:pPr>
              <w:autoSpaceDE w:val="0"/>
              <w:autoSpaceDN w:val="0"/>
              <w:snapToGrid w:val="0"/>
              <w:spacing w:line="400" w:lineRule="exact"/>
              <w:textAlignment w:val="bottom"/>
              <w:rPr>
                <w:rFonts w:hint="eastAsia" w:ascii="宋体" w:hAnsi="宋体"/>
                <w:color w:val="auto"/>
                <w:szCs w:val="21"/>
              </w:rPr>
            </w:pPr>
            <w:r>
              <w:rPr>
                <w:rFonts w:hint="eastAsia" w:ascii="宋体" w:hAnsi="宋体"/>
                <w:color w:val="auto"/>
                <w:szCs w:val="21"/>
              </w:rPr>
              <w:t>5、联合体中有同类资质的供应商按照联合体分工承担相同工作的，应当按照资质等级较低的供应商确定资质等级。</w:t>
            </w:r>
            <w:r>
              <w:rPr>
                <w:rFonts w:hint="eastAsia" w:ascii="宋体" w:hAnsi="宋体"/>
                <w:color w:val="auto"/>
                <w:szCs w:val="21"/>
              </w:rPr>
              <w:tab/>
            </w:r>
            <w:r>
              <w:rPr>
                <w:rFonts w:hint="eastAsia" w:ascii="宋体" w:hAnsi="宋体"/>
                <w:color w:val="auto"/>
                <w:szCs w:val="21"/>
              </w:rPr>
              <w:tab/>
            </w:r>
          </w:p>
          <w:p w14:paraId="20CEB71E">
            <w:pPr>
              <w:autoSpaceDE w:val="0"/>
              <w:autoSpaceDN w:val="0"/>
              <w:snapToGrid w:val="0"/>
              <w:spacing w:line="400" w:lineRule="exact"/>
              <w:textAlignment w:val="bottom"/>
              <w:rPr>
                <w:rFonts w:hint="eastAsia" w:ascii="宋体" w:hAnsi="宋体"/>
                <w:color w:val="auto"/>
                <w:szCs w:val="21"/>
              </w:rPr>
            </w:pPr>
            <w:r>
              <w:rPr>
                <w:rFonts w:hint="eastAsia" w:ascii="宋体" w:hAnsi="宋体"/>
                <w:color w:val="auto"/>
                <w:szCs w:val="21"/>
              </w:rPr>
              <w:t>6、联合体竞标业绩、履约能力按照联合体各方其中较高的一方认定并计算（竞争性磋商文件另有规定的除外）。</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14:paraId="62C4DF23">
            <w:pPr>
              <w:spacing w:line="360" w:lineRule="auto"/>
              <w:rPr>
                <w:rFonts w:hint="eastAsia" w:ascii="宋体" w:hAnsi="宋体" w:cs="宋体"/>
                <w:color w:val="auto"/>
                <w:szCs w:val="21"/>
              </w:rPr>
            </w:pPr>
            <w:r>
              <w:rPr>
                <w:rFonts w:hint="eastAsia" w:ascii="宋体" w:hAnsi="宋体"/>
                <w:color w:val="auto"/>
                <w:szCs w:val="21"/>
              </w:rPr>
              <w:t>7、联合体各方均应按照竞争性磋商文件的规定提交资格证明文件。</w:t>
            </w:r>
          </w:p>
        </w:tc>
      </w:tr>
      <w:tr w14:paraId="5AC44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EE94A1">
            <w:pPr>
              <w:spacing w:line="360" w:lineRule="auto"/>
              <w:jc w:val="center"/>
              <w:rPr>
                <w:rFonts w:hint="eastAsia" w:ascii="宋体" w:hAnsi="宋体" w:cs="宋体"/>
                <w:color w:val="auto"/>
                <w:szCs w:val="21"/>
              </w:rPr>
            </w:pPr>
            <w:r>
              <w:rPr>
                <w:rFonts w:hint="eastAsia" w:ascii="宋体" w:hAnsi="宋体" w:cs="宋体"/>
                <w:color w:val="auto"/>
                <w:szCs w:val="21"/>
              </w:rPr>
              <w:t>6.2</w:t>
            </w:r>
          </w:p>
        </w:tc>
        <w:tc>
          <w:tcPr>
            <w:tcW w:w="8627" w:type="dxa"/>
            <w:noWrap w:val="0"/>
            <w:vAlign w:val="center"/>
          </w:tcPr>
          <w:p w14:paraId="45E04B81">
            <w:pPr>
              <w:pStyle w:val="13"/>
              <w:spacing w:line="400" w:lineRule="exact"/>
              <w:rPr>
                <w:rFonts w:hint="eastAsia" w:ascii="宋体" w:hAnsi="宋体" w:cs="宋体"/>
                <w:color w:val="auto"/>
                <w:szCs w:val="21"/>
                <w:lang w:val="en-US" w:eastAsia="zh-CN"/>
              </w:rPr>
            </w:pPr>
            <w:r>
              <w:rPr>
                <w:rFonts w:hint="eastAsia" w:ascii="宋体" w:hAnsi="宋体"/>
                <w:color w:val="auto"/>
                <w:szCs w:val="21"/>
                <w:lang w:val="en-US" w:eastAsia="zh-CN"/>
              </w:rPr>
              <w:t>本项目不允许分包。</w:t>
            </w:r>
          </w:p>
        </w:tc>
      </w:tr>
      <w:tr w14:paraId="5A355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7B3EA84">
            <w:pPr>
              <w:spacing w:line="360" w:lineRule="auto"/>
              <w:jc w:val="center"/>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8627" w:type="dxa"/>
            <w:noWrap w:val="0"/>
            <w:vAlign w:val="center"/>
          </w:tcPr>
          <w:p w14:paraId="769389DD">
            <w:pPr>
              <w:snapToGrid w:val="0"/>
              <w:spacing w:line="360" w:lineRule="auto"/>
              <w:jc w:val="left"/>
              <w:rPr>
                <w:rFonts w:hint="eastAsia" w:ascii="宋体" w:hAnsi="宋体" w:cs="宋体"/>
                <w:b/>
                <w:color w:val="auto"/>
                <w:szCs w:val="21"/>
              </w:rPr>
            </w:pPr>
            <w:r>
              <w:rPr>
                <w:rFonts w:hint="eastAsia" w:ascii="宋体" w:hAnsi="宋体" w:cs="宋体"/>
                <w:b/>
                <w:color w:val="auto"/>
                <w:szCs w:val="21"/>
              </w:rPr>
              <w:t>资格证明文件</w:t>
            </w:r>
          </w:p>
          <w:p w14:paraId="04F7B5A2">
            <w:pPr>
              <w:pStyle w:val="13"/>
              <w:spacing w:line="360" w:lineRule="auto"/>
              <w:rPr>
                <w:rFonts w:hint="eastAsia" w:ascii="宋体" w:hAnsi="宋体"/>
                <w:color w:val="auto"/>
                <w:szCs w:val="21"/>
                <w:lang w:val="en-US" w:eastAsia="zh-CN"/>
              </w:rPr>
            </w:pPr>
            <w:r>
              <w:rPr>
                <w:rFonts w:hint="eastAsia" w:ascii="宋体" w:hAnsi="宋体" w:cs="宋体"/>
                <w:color w:val="auto"/>
                <w:szCs w:val="21"/>
                <w:lang w:val="en-US" w:eastAsia="zh-CN"/>
              </w:rPr>
              <w:t>1、供应商为法人或者其他组织的，</w:t>
            </w:r>
            <w:r>
              <w:rPr>
                <w:rFonts w:hint="eastAsia" w:ascii="宋体" w:hAnsi="宋体"/>
                <w:color w:val="auto"/>
                <w:szCs w:val="21"/>
                <w:lang w:val="en-US" w:eastAsia="zh-CN"/>
              </w:rPr>
              <w:t>证明文件为其营业执照复印件（如营业执照或者事业单位法人证书或者执业许可证等）；供应商为自然人的，证明文件为其身份证复印件</w:t>
            </w:r>
            <w:r>
              <w:rPr>
                <w:rFonts w:hint="eastAsia" w:ascii="宋体" w:hAnsi="宋体" w:cs="宋体"/>
                <w:color w:val="auto"/>
                <w:szCs w:val="21"/>
                <w:lang w:val="en-US" w:eastAsia="zh-CN"/>
              </w:rPr>
              <w:t>；（</w:t>
            </w:r>
            <w:r>
              <w:rPr>
                <w:rFonts w:hint="eastAsia" w:ascii="宋体" w:hAnsi="宋体" w:cs="宋体"/>
                <w:b/>
                <w:color w:val="auto"/>
                <w:szCs w:val="21"/>
                <w:lang w:val="en-US" w:eastAsia="zh-CN"/>
              </w:rPr>
              <w:t>必须提供，否则响应文件按无效响应处理</w:t>
            </w:r>
            <w:r>
              <w:rPr>
                <w:rFonts w:hint="eastAsia" w:ascii="宋体" w:hAnsi="宋体" w:cs="宋体"/>
                <w:color w:val="auto"/>
                <w:szCs w:val="21"/>
                <w:lang w:val="en-US" w:eastAsia="zh-CN"/>
              </w:rPr>
              <w:t>）</w:t>
            </w:r>
          </w:p>
          <w:p w14:paraId="308B2307">
            <w:pPr>
              <w:spacing w:line="360" w:lineRule="auto"/>
              <w:contextualSpacing/>
              <w:jc w:val="left"/>
              <w:rPr>
                <w:rFonts w:hint="eastAsia" w:ascii="宋体" w:hAnsi="宋体" w:cs="宋体"/>
                <w:color w:val="auto"/>
                <w:szCs w:val="21"/>
              </w:rPr>
            </w:pPr>
            <w:r>
              <w:rPr>
                <w:rFonts w:hint="eastAsia" w:ascii="宋体" w:hAnsi="宋体" w:cs="宋体"/>
                <w:color w:val="auto"/>
                <w:szCs w:val="21"/>
              </w:rPr>
              <w:t>2、供应商依法缴纳税收的相关材料</w:t>
            </w:r>
            <w:r>
              <w:rPr>
                <w:rFonts w:hint="eastAsia" w:ascii="宋体" w:hAnsi="宋体" w:eastAsia="宋体" w:cs="宋体"/>
                <w:color w:val="auto"/>
                <w:szCs w:val="21"/>
                <w:lang w:eastAsia="zh-CN"/>
              </w:rPr>
              <w:t>（2026年</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月至开标截止时间前</w:t>
            </w:r>
            <w:r>
              <w:rPr>
                <w:rFonts w:hint="eastAsia" w:ascii="宋体" w:hAnsi="宋体" w:cs="宋体"/>
                <w:color w:val="auto"/>
                <w:szCs w:val="21"/>
                <w:lang w:eastAsia="zh-CN"/>
              </w:rPr>
              <w:t>任意1个月</w:t>
            </w:r>
            <w:r>
              <w:rPr>
                <w:rFonts w:hint="eastAsia" w:ascii="宋体" w:hAnsi="宋体" w:eastAsia="宋体" w:cs="宋体"/>
                <w:color w:val="auto"/>
                <w:szCs w:val="21"/>
              </w:rPr>
              <w:t>的依法</w:t>
            </w:r>
            <w:r>
              <w:rPr>
                <w:rFonts w:hint="eastAsia"/>
                <w:color w:val="auto"/>
                <w:highlight w:val="none"/>
              </w:rPr>
              <w:t>缴纳税收的凭据复印件</w:t>
            </w:r>
            <w:r>
              <w:rPr>
                <w:rFonts w:hint="eastAsia" w:ascii="宋体" w:hAnsi="宋体" w:cs="宋体"/>
                <w:color w:val="auto"/>
                <w:szCs w:val="21"/>
              </w:rPr>
              <w:t>；</w:t>
            </w:r>
            <w:r>
              <w:rPr>
                <w:rFonts w:hint="eastAsia"/>
                <w:color w:val="auto"/>
              </w:rPr>
              <w:t>依法免税的，必须提供相应文件证明其依法免税。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A604952">
            <w:pPr>
              <w:spacing w:line="360" w:lineRule="auto"/>
              <w:contextualSpacing/>
              <w:jc w:val="left"/>
              <w:rPr>
                <w:rFonts w:hint="eastAsia" w:ascii="宋体" w:hAnsi="宋体" w:cs="宋体"/>
                <w:color w:val="auto"/>
                <w:szCs w:val="21"/>
              </w:rPr>
            </w:pPr>
            <w:r>
              <w:rPr>
                <w:rFonts w:hint="eastAsia" w:ascii="宋体" w:hAnsi="宋体" w:cs="宋体"/>
                <w:color w:val="auto"/>
                <w:szCs w:val="21"/>
              </w:rPr>
              <w:t>3、</w:t>
            </w:r>
            <w:bookmarkStart w:id="18" w:name="OLE_LINK5"/>
            <w:r>
              <w:rPr>
                <w:rFonts w:hint="eastAsia" w:ascii="宋体" w:hAnsi="宋体" w:cs="宋体"/>
                <w:color w:val="auto"/>
                <w:szCs w:val="21"/>
              </w:rPr>
              <w:t>供应商依法缴纳社会保障资金的相关</w:t>
            </w:r>
            <w:r>
              <w:rPr>
                <w:rFonts w:hint="eastAsia" w:ascii="宋体" w:hAnsi="宋体" w:eastAsia="宋体" w:cs="宋体"/>
                <w:color w:val="auto"/>
                <w:szCs w:val="21"/>
              </w:rPr>
              <w:t>材料[</w:t>
            </w:r>
            <w:r>
              <w:rPr>
                <w:rFonts w:hint="eastAsia" w:ascii="宋体" w:hAnsi="宋体" w:eastAsia="宋体" w:cs="宋体"/>
                <w:color w:val="auto"/>
                <w:szCs w:val="21"/>
                <w:lang w:eastAsia="zh-CN"/>
              </w:rPr>
              <w:t>2026年</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月至开标截止时间前</w:t>
            </w:r>
            <w:r>
              <w:rPr>
                <w:rFonts w:hint="eastAsia" w:ascii="宋体" w:hAnsi="宋体" w:cs="宋体"/>
                <w:color w:val="auto"/>
                <w:szCs w:val="21"/>
                <w:lang w:eastAsia="zh-CN"/>
              </w:rPr>
              <w:t>任意1个月</w:t>
            </w:r>
            <w:r>
              <w:rPr>
                <w:rFonts w:hint="eastAsia" w:ascii="宋体" w:hAnsi="宋体" w:eastAsia="宋体" w:cs="宋体"/>
                <w:color w:val="auto"/>
                <w:szCs w:val="21"/>
              </w:rPr>
              <w:t>的依法缴</w:t>
            </w:r>
            <w:r>
              <w:rPr>
                <w:rFonts w:hint="eastAsia"/>
                <w:color w:val="auto"/>
                <w:highlight w:val="none"/>
              </w:rPr>
              <w:t>纳社会保障资金的缴费凭证</w:t>
            </w:r>
            <w:r>
              <w:rPr>
                <w:rFonts w:hint="eastAsia"/>
                <w:color w:val="auto"/>
                <w:highlight w:val="none"/>
                <w:lang w:eastAsia="zh-CN"/>
              </w:rPr>
              <w:t>（</w:t>
            </w:r>
            <w:r>
              <w:rPr>
                <w:rFonts w:hint="eastAsia" w:ascii="宋体" w:hAnsi="宋体" w:cs="宋体"/>
                <w:color w:val="auto"/>
                <w:szCs w:val="21"/>
              </w:rPr>
              <w:t>完税证明或者社会保险缴费证明</w:t>
            </w:r>
            <w:r>
              <w:rPr>
                <w:rFonts w:hint="eastAsia"/>
                <w:color w:val="auto"/>
                <w:highlight w:val="none"/>
              </w:rPr>
              <w:t>）复印件</w:t>
            </w:r>
            <w:r>
              <w:rPr>
                <w:rFonts w:hint="eastAsia" w:ascii="宋体" w:hAnsi="宋体" w:cs="宋体"/>
                <w:color w:val="auto"/>
                <w:szCs w:val="21"/>
              </w:rPr>
              <w:t>；</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bookmarkEnd w:id="18"/>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919FEED">
            <w:pPr>
              <w:spacing w:line="360" w:lineRule="auto"/>
              <w:contextualSpacing/>
              <w:jc w:val="left"/>
              <w:rPr>
                <w:rFonts w:hint="eastAsia" w:ascii="宋体" w:hAnsi="宋体" w:cs="宋体"/>
                <w:b/>
                <w:color w:val="auto"/>
                <w:szCs w:val="21"/>
              </w:rPr>
            </w:pPr>
            <w:r>
              <w:rPr>
                <w:rFonts w:hint="eastAsia" w:ascii="宋体" w:hAnsi="宋体" w:cs="宋体"/>
                <w:color w:val="auto"/>
                <w:szCs w:val="21"/>
              </w:rPr>
              <w:t>4、供应商</w:t>
            </w:r>
            <w:r>
              <w:rPr>
                <w:rFonts w:hint="eastAsia"/>
                <w:color w:val="auto"/>
                <w:szCs w:val="21"/>
              </w:rPr>
              <w:t>财务状</w:t>
            </w:r>
            <w:r>
              <w:rPr>
                <w:rFonts w:hint="eastAsia" w:ascii="Times New Roman" w:hAnsi="Times New Roman" w:eastAsia="宋体" w:cs="Times New Roman"/>
                <w:color w:val="auto"/>
                <w:szCs w:val="21"/>
              </w:rPr>
              <w:t>况报告（</w:t>
            </w:r>
            <w:r>
              <w:rPr>
                <w:rFonts w:hint="eastAsia" w:ascii="宋体" w:hAnsi="宋体" w:eastAsia="宋体" w:cs="宋体"/>
                <w:color w:val="auto"/>
                <w:szCs w:val="21"/>
                <w:lang w:val="en-US" w:eastAsia="zh-CN"/>
              </w:rPr>
              <w:t>2025</w:t>
            </w:r>
            <w:r>
              <w:rPr>
                <w:rFonts w:hint="eastAsia" w:ascii="Times New Roman" w:hAnsi="Times New Roman" w:eastAsia="宋体" w:cs="Times New Roman"/>
                <w:color w:val="auto"/>
                <w:szCs w:val="21"/>
                <w:lang w:val="en-US" w:eastAsia="zh-CN"/>
              </w:rPr>
              <w:t>年</w:t>
            </w:r>
            <w:r>
              <w:rPr>
                <w:rFonts w:hint="eastAsia" w:ascii="Times New Roman" w:hAnsi="Times New Roman" w:eastAsia="宋体" w:cs="Times New Roman"/>
                <w:color w:val="auto"/>
                <w:szCs w:val="21"/>
              </w:rPr>
              <w:t>度财务报表复印件或</w:t>
            </w:r>
            <w:r>
              <w:rPr>
                <w:rFonts w:hint="eastAsia"/>
                <w:color w:val="auto"/>
                <w:szCs w:val="21"/>
              </w:rPr>
              <w:t>者银行出具的资信证明；供应商属于</w:t>
            </w:r>
            <w:r>
              <w:rPr>
                <w:rFonts w:hint="eastAsia"/>
                <w:color w:val="auto"/>
              </w:rPr>
              <w:t>成立</w:t>
            </w:r>
            <w:r>
              <w:rPr>
                <w:color w:val="auto"/>
              </w:rPr>
              <w:t>时间</w:t>
            </w:r>
            <w:r>
              <w:rPr>
                <w:rFonts w:hint="eastAsia"/>
                <w:color w:val="auto"/>
                <w:kern w:val="0"/>
              </w:rPr>
              <w:t>在规定年度之后</w:t>
            </w:r>
            <w:r>
              <w:rPr>
                <w:color w:val="auto"/>
              </w:rPr>
              <w:t>的</w:t>
            </w:r>
            <w:r>
              <w:rPr>
                <w:rFonts w:hint="eastAsia"/>
                <w:color w:val="auto"/>
                <w:szCs w:val="21"/>
              </w:rPr>
              <w:t>法人或其他组织</w:t>
            </w:r>
            <w:r>
              <w:rPr>
                <w:color w:val="auto"/>
              </w:rPr>
              <w:t>，需提供成立</w:t>
            </w:r>
            <w:r>
              <w:rPr>
                <w:rFonts w:hint="eastAsia"/>
                <w:color w:val="auto"/>
              </w:rPr>
              <w:t>之日起至响应文件提交截止时间前</w:t>
            </w:r>
            <w:r>
              <w:rPr>
                <w:color w:val="auto"/>
              </w:rPr>
              <w:t>的月报表</w:t>
            </w:r>
            <w:r>
              <w:rPr>
                <w:rFonts w:hint="eastAsia"/>
                <w:color w:val="auto"/>
                <w:szCs w:val="21"/>
              </w:rPr>
              <w:t>或银行出具的资信证明；资信证明应在有效期内，未注明有效期的，银行出具时间至响应文件提交截止时间不超过一年）</w:t>
            </w:r>
            <w:r>
              <w:rPr>
                <w:rFonts w:hint="eastAsia" w:ascii="宋体" w:hAnsi="宋体" w:cs="宋体"/>
                <w:color w:val="auto"/>
                <w:szCs w:val="21"/>
              </w:rPr>
              <w:t>；</w:t>
            </w:r>
            <w:r>
              <w:rPr>
                <w:rFonts w:hint="eastAsia" w:ascii="宋体" w:hAnsi="宋体" w:cs="宋体"/>
                <w:bCs/>
                <w:color w:val="auto"/>
                <w:szCs w:val="21"/>
              </w:rPr>
              <w:t>（</w:t>
            </w:r>
            <w:r>
              <w:rPr>
                <w:rFonts w:hint="eastAsia" w:ascii="宋体" w:hAnsi="宋体"/>
                <w:b/>
                <w:color w:val="auto"/>
                <w:szCs w:val="21"/>
              </w:rPr>
              <w:t>除自然人外必须提供</w:t>
            </w:r>
            <w:r>
              <w:rPr>
                <w:rFonts w:hint="eastAsia" w:ascii="宋体" w:hAnsi="宋体" w:cs="宋体"/>
                <w:b/>
                <w:color w:val="auto"/>
                <w:szCs w:val="21"/>
              </w:rPr>
              <w:t>，否则响应文件按无效响应处理</w:t>
            </w:r>
            <w:r>
              <w:rPr>
                <w:rFonts w:hint="eastAsia" w:ascii="宋体" w:hAnsi="宋体" w:cs="宋体"/>
                <w:bCs/>
                <w:color w:val="auto"/>
                <w:szCs w:val="21"/>
              </w:rPr>
              <w:t>）</w:t>
            </w:r>
          </w:p>
          <w:p w14:paraId="373079B4">
            <w:pPr>
              <w:snapToGrid w:val="0"/>
              <w:spacing w:line="360" w:lineRule="auto"/>
              <w:jc w:val="left"/>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887D8CA">
            <w:pPr>
              <w:snapToGrid w:val="0"/>
              <w:spacing w:line="360" w:lineRule="auto"/>
              <w:jc w:val="left"/>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B271F22">
            <w:pPr>
              <w:snapToGrid w:val="0"/>
              <w:spacing w:line="360" w:lineRule="auto"/>
              <w:jc w:val="left"/>
              <w:rPr>
                <w:rFonts w:hint="eastAsia" w:ascii="宋体" w:hAnsi="宋体" w:eastAsia="宋体" w:cs="宋体"/>
                <w:b/>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eastAsia="宋体" w:cs="宋体"/>
                <w:color w:val="auto"/>
                <w:szCs w:val="21"/>
                <w:lang w:val="en-US" w:eastAsia="zh-CN"/>
              </w:rPr>
              <w:t>供应商应为中小微企业或监狱企业或残疾人福利性单位【供应商为中小微企业的应当提供《中小企业声明函》；供应商为监狱企业的应当提供省级以上监狱管理局、戒毒管理局（含新疆生产建设兵团）出具的属于监狱企业的证明文件；供应商为残疾人福利性单位的应当提供《残疾人福利性单位声明函》】（声明函格式后附）；</w:t>
            </w:r>
            <w:r>
              <w:rPr>
                <w:rFonts w:hint="eastAsia" w:ascii="宋体" w:hAnsi="宋体" w:eastAsia="宋体" w:cs="宋体"/>
                <w:b/>
                <w:color w:val="auto"/>
                <w:szCs w:val="21"/>
                <w:lang w:val="en-US" w:eastAsia="zh-CN"/>
              </w:rPr>
              <w:t>（必须提供，否则响应文件按无效响应处理）</w:t>
            </w:r>
          </w:p>
          <w:p w14:paraId="2DA0C8F9">
            <w:pPr>
              <w:snapToGrid w:val="0"/>
              <w:spacing w:line="360" w:lineRule="auto"/>
              <w:jc w:val="left"/>
              <w:rPr>
                <w:rFonts w:hint="eastAsia" w:ascii="宋体" w:hAnsi="宋体"/>
                <w:color w:val="auto"/>
                <w:szCs w:val="21"/>
                <w:highlight w:val="none"/>
              </w:rPr>
            </w:pP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highlight w:val="none"/>
                <w:lang w:val="en-US" w:eastAsia="zh-CN"/>
              </w:rPr>
              <w:t>本项目特定资格要求</w:t>
            </w:r>
            <w:r>
              <w:rPr>
                <w:rFonts w:hint="eastAsia" w:ascii="宋体" w:hAnsi="宋体"/>
                <w:color w:val="auto"/>
                <w:szCs w:val="21"/>
                <w:highlight w:val="none"/>
              </w:rPr>
              <w:t>（</w:t>
            </w:r>
            <w:r>
              <w:rPr>
                <w:rFonts w:hint="eastAsia" w:ascii="宋体" w:hAnsi="宋体" w:eastAsia="宋体" w:cs="宋体"/>
                <w:b/>
                <w:color w:val="auto"/>
                <w:szCs w:val="21"/>
                <w:highlight w:val="none"/>
              </w:rPr>
              <w:t>必</w:t>
            </w:r>
            <w:r>
              <w:rPr>
                <w:rFonts w:hint="eastAsia" w:ascii="宋体" w:hAnsi="宋体"/>
                <w:b/>
                <w:color w:val="auto"/>
                <w:szCs w:val="21"/>
                <w:highlight w:val="none"/>
              </w:rPr>
              <w:t>须提供，否则响应文件按无效响应处理</w:t>
            </w:r>
            <w:r>
              <w:rPr>
                <w:rFonts w:hint="eastAsia" w:ascii="宋体" w:hAnsi="宋体"/>
                <w:color w:val="auto"/>
                <w:szCs w:val="21"/>
                <w:highlight w:val="none"/>
              </w:rPr>
              <w:t>）</w:t>
            </w:r>
          </w:p>
          <w:p w14:paraId="40BA9CAA">
            <w:pPr>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1）</w:t>
            </w:r>
            <w:r>
              <w:rPr>
                <w:rFonts w:hint="eastAsia" w:ascii="宋体" w:hAnsi="宋体" w:eastAsia="宋体" w:cs="Times New Roman"/>
                <w:color w:val="auto"/>
                <w:szCs w:val="21"/>
                <w:highlight w:val="none"/>
                <w:lang w:val="en-US" w:eastAsia="zh-CN"/>
              </w:rPr>
              <w:t>建筑工程施工总承包叁级以上（含叁级）资质或建筑装修装饰工程总承包贰级以上（含贰级）资质，具备有效的安全生产许可证；</w:t>
            </w:r>
          </w:p>
          <w:p w14:paraId="2CE8FB3B">
            <w:pPr>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（2）拟派项目经理须具备建筑工程专业贰级及以上（含本级）注册建造师执业资格，具备有效的安全生产考核合格证书（B类）；</w:t>
            </w:r>
          </w:p>
          <w:p w14:paraId="7F0F432E">
            <w:pPr>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（3）拟投入的专职安全生产管理人员具备有效的安全生产考核合格证书（C类）。</w:t>
            </w:r>
          </w:p>
          <w:p w14:paraId="110D7544">
            <w:pPr>
              <w:snapToGrid w:val="0"/>
              <w:spacing w:line="360" w:lineRule="auto"/>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eastAsia="宋体" w:cs="宋体"/>
                <w:color w:val="auto"/>
                <w:szCs w:val="21"/>
                <w:lang w:val="en-US" w:eastAsia="zh-CN"/>
              </w:rPr>
              <w:t>除磋商文件规定必须提供以外，供应商认为需要提供的其他证明材料。（如有）</w:t>
            </w:r>
          </w:p>
          <w:p w14:paraId="2429AFFA">
            <w:pPr>
              <w:snapToGrid w:val="0"/>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t>注：</w:t>
            </w:r>
          </w:p>
          <w:p w14:paraId="222FCE50">
            <w:pPr>
              <w:snapToGrid w:val="0"/>
              <w:spacing w:line="360" w:lineRule="auto"/>
              <w:ind w:firstLine="413" w:firstLineChars="196"/>
              <w:jc w:val="left"/>
              <w:rPr>
                <w:rFonts w:hint="eastAsia" w:ascii="宋体" w:hAnsi="宋体" w:cs="宋体"/>
                <w:b/>
                <w:color w:val="auto"/>
                <w:szCs w:val="21"/>
              </w:rPr>
            </w:pPr>
            <w:r>
              <w:rPr>
                <w:rFonts w:hint="eastAsia" w:ascii="宋体" w:hAnsi="宋体" w:cs="宋体"/>
                <w:b/>
                <w:color w:val="auto"/>
                <w:szCs w:val="21"/>
              </w:rPr>
              <w:t>1、以上标明“必须提供”的材料属于复印件的，必须加盖供应商公章，否则响应文件按无效响应处理。</w:t>
            </w:r>
          </w:p>
          <w:p w14:paraId="1D861595">
            <w:pPr>
              <w:snapToGrid w:val="0"/>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t>2、竞标声明必须由法定代表人在规定签章处签字并加盖供应商公章，否则响应文件按无效响应处理。</w:t>
            </w:r>
          </w:p>
          <w:p w14:paraId="5986F958">
            <w:pPr>
              <w:snapToGrid w:val="0"/>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t>3、供应商直接控股、管理关系信息表必须由</w:t>
            </w:r>
            <w:r>
              <w:rPr>
                <w:rFonts w:hint="eastAsia" w:ascii="宋体" w:hAnsi="宋体" w:cs="宋体"/>
                <w:b/>
                <w:color w:val="auto"/>
                <w:szCs w:val="21"/>
                <w:lang w:eastAsia="zh-CN"/>
              </w:rPr>
              <w:t>法定代表人（或负责人）或者委托代理人</w:t>
            </w:r>
            <w:r>
              <w:rPr>
                <w:rFonts w:hint="eastAsia" w:ascii="宋体" w:hAnsi="宋体" w:cs="宋体"/>
                <w:b/>
                <w:color w:val="auto"/>
                <w:szCs w:val="21"/>
              </w:rPr>
              <w:t>在规定签章处签字并加盖供应商公章，否则响应文件按无效响应处理。</w:t>
            </w:r>
          </w:p>
          <w:p w14:paraId="53674C09">
            <w:pPr>
              <w:pStyle w:val="13"/>
              <w:spacing w:line="360" w:lineRule="auto"/>
              <w:ind w:firstLine="422" w:firstLineChars="200"/>
              <w:rPr>
                <w:rFonts w:hint="eastAsia" w:ascii="宋体" w:hAnsi="宋体" w:cs="宋体"/>
                <w:b/>
                <w:color w:val="auto"/>
                <w:szCs w:val="21"/>
                <w:lang w:val="en-US" w:eastAsia="zh-CN"/>
              </w:rPr>
            </w:pPr>
            <w:r>
              <w:rPr>
                <w:rFonts w:hint="eastAsia" w:ascii="宋体" w:hAnsi="宋体" w:cs="宋体"/>
                <w:b/>
                <w:color w:val="auto"/>
                <w:szCs w:val="21"/>
                <w:lang w:val="en-US" w:eastAsia="zh-CN"/>
              </w:rPr>
              <w:t>4、联合体竞标时，第1-</w:t>
            </w:r>
            <w:r>
              <w:rPr>
                <w:rFonts w:ascii="宋体" w:hAnsi="宋体" w:cs="宋体"/>
                <w:b/>
                <w:color w:val="auto"/>
                <w:szCs w:val="21"/>
                <w:lang w:val="en-US" w:eastAsia="zh-CN"/>
              </w:rPr>
              <w:t>5</w:t>
            </w:r>
            <w:r>
              <w:rPr>
                <w:rFonts w:hint="eastAsia" w:ascii="宋体" w:hAnsi="宋体" w:cs="宋体"/>
                <w:b/>
                <w:color w:val="auto"/>
                <w:szCs w:val="21"/>
                <w:lang w:val="en-US" w:eastAsia="zh-CN"/>
              </w:rPr>
              <w:t>项资格证明文件联合体各方均必须分别提供，联合体各方分别盖章和签字，否则响应文件按无效响应处理。</w:t>
            </w:r>
          </w:p>
          <w:p w14:paraId="7EE018F2">
            <w:pPr>
              <w:pStyle w:val="13"/>
              <w:spacing w:line="360" w:lineRule="auto"/>
              <w:ind w:firstLine="422" w:firstLineChars="200"/>
              <w:rPr>
                <w:rFonts w:hint="default" w:ascii="宋体" w:hAnsi="宋体" w:cs="宋体"/>
                <w:b/>
                <w:color w:val="auto"/>
                <w:szCs w:val="21"/>
                <w:lang w:val="en-US" w:eastAsia="zh-CN"/>
              </w:rPr>
            </w:pPr>
            <w:r>
              <w:rPr>
                <w:rFonts w:hint="eastAsia" w:ascii="宋体" w:hAnsi="宋体" w:cs="宋体"/>
                <w:b/>
                <w:color w:val="auto"/>
                <w:szCs w:val="21"/>
                <w:lang w:val="en-US" w:eastAsia="zh-CN"/>
              </w:rPr>
              <w:t>5、</w:t>
            </w:r>
            <w:r>
              <w:rPr>
                <w:rFonts w:hint="eastAsia" w:ascii="宋体" w:hAnsi="宋体" w:cs="宋体"/>
                <w:b/>
                <w:bCs w:val="0"/>
                <w:color w:val="auto"/>
                <w:szCs w:val="21"/>
                <w:lang w:val="en-US" w:eastAsia="zh-CN"/>
              </w:rPr>
              <w:t>分公司参加竞标的，应当取得总公司授权，否则响应文件按无效响应处理。</w:t>
            </w:r>
          </w:p>
        </w:tc>
      </w:tr>
      <w:tr w14:paraId="30CB4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7A2A34">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12.1.2</w:t>
            </w:r>
          </w:p>
        </w:tc>
        <w:tc>
          <w:tcPr>
            <w:tcW w:w="8627" w:type="dxa"/>
            <w:noWrap w:val="0"/>
            <w:vAlign w:val="center"/>
          </w:tcPr>
          <w:p w14:paraId="1B1C8C60">
            <w:pPr>
              <w:pStyle w:val="13"/>
              <w:spacing w:line="360" w:lineRule="auto"/>
              <w:rPr>
                <w:rFonts w:hint="eastAsia" w:ascii="宋体" w:hAnsi="宋体" w:cs="宋体"/>
                <w:b/>
                <w:color w:val="auto"/>
                <w:szCs w:val="21"/>
                <w:lang w:val="en-US" w:eastAsia="zh-CN"/>
              </w:rPr>
            </w:pPr>
            <w:r>
              <w:rPr>
                <w:rFonts w:hint="eastAsia" w:ascii="宋体" w:hAnsi="宋体" w:cs="宋体"/>
                <w:b/>
                <w:color w:val="auto"/>
                <w:szCs w:val="21"/>
                <w:lang w:val="en-US" w:eastAsia="zh-CN"/>
              </w:rPr>
              <w:t>报价文件</w:t>
            </w:r>
          </w:p>
          <w:p w14:paraId="4FBC6151">
            <w:pPr>
              <w:spacing w:line="360" w:lineRule="auto"/>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lang w:eastAsia="zh-CN"/>
              </w:rPr>
              <w:t>磋商函</w:t>
            </w:r>
            <w:r>
              <w:rPr>
                <w:rFonts w:hint="eastAsia" w:ascii="宋体" w:hAnsi="宋体" w:cs="宋体"/>
                <w:color w:val="auto"/>
                <w:szCs w:val="21"/>
              </w:rPr>
              <w:t>（格式后附）；（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C4AC26C">
            <w:pPr>
              <w:spacing w:line="360" w:lineRule="auto"/>
              <w:rPr>
                <w:rFonts w:hint="eastAsia" w:ascii="宋体" w:hAnsi="宋体" w:eastAsia="宋体" w:cs="宋体"/>
                <w:b/>
                <w:color w:val="auto"/>
                <w:szCs w:val="21"/>
                <w:lang w:eastAsia="zh-CN"/>
              </w:rPr>
            </w:pPr>
            <w:r>
              <w:rPr>
                <w:rFonts w:hint="eastAsia" w:ascii="宋体" w:hAnsi="宋体" w:eastAsia="宋体" w:cs="宋体"/>
                <w:color w:val="auto"/>
                <w:szCs w:val="21"/>
                <w:lang w:val="en-US" w:eastAsia="zh-CN"/>
              </w:rPr>
              <w:t>2、磋商</w:t>
            </w:r>
            <w:r>
              <w:rPr>
                <w:rFonts w:hint="eastAsia" w:ascii="宋体" w:hAnsi="宋体" w:eastAsia="宋体" w:cs="宋体"/>
                <w:color w:val="auto"/>
                <w:szCs w:val="21"/>
                <w:lang w:eastAsia="zh-CN"/>
              </w:rPr>
              <w:t>报价表（格式后附）；</w:t>
            </w:r>
            <w:r>
              <w:rPr>
                <w:rFonts w:hint="eastAsia" w:ascii="宋体" w:hAnsi="宋体" w:eastAsia="宋体" w:cs="宋体"/>
                <w:b/>
                <w:color w:val="auto"/>
                <w:szCs w:val="21"/>
                <w:lang w:eastAsia="zh-CN"/>
              </w:rPr>
              <w:t>（必须提供，否则响应文件按无效响应处理）</w:t>
            </w:r>
          </w:p>
          <w:p w14:paraId="704BF5CD">
            <w:pPr>
              <w:spacing w:line="360" w:lineRule="auto"/>
              <w:rPr>
                <w:rFonts w:hint="eastAsia"/>
                <w:color w:val="auto"/>
                <w:lang w:eastAsia="zh-CN"/>
              </w:rPr>
            </w:pPr>
            <w:r>
              <w:rPr>
                <w:rFonts w:hint="eastAsia" w:ascii="宋体" w:hAnsi="宋体" w:cs="宋体"/>
                <w:color w:val="auto"/>
                <w:szCs w:val="21"/>
                <w:lang w:val="en-US" w:eastAsia="zh-CN"/>
              </w:rPr>
              <w:t>3、已标价的工程量清单；</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64E8ED3">
            <w:pPr>
              <w:pStyle w:val="13"/>
              <w:spacing w:line="360" w:lineRule="auto"/>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4、供应商</w:t>
            </w:r>
            <w:r>
              <w:rPr>
                <w:rFonts w:hint="eastAsia" w:ascii="宋体" w:hAnsi="宋体" w:cs="宋体"/>
                <w:color w:val="auto"/>
                <w:szCs w:val="21"/>
              </w:rPr>
              <w:t>认为需要提供的其他有关资料。</w:t>
            </w:r>
          </w:p>
          <w:p w14:paraId="56E314BA">
            <w:pPr>
              <w:pStyle w:val="13"/>
              <w:spacing w:line="360" w:lineRule="auto"/>
              <w:rPr>
                <w:rFonts w:hint="default" w:ascii="宋体" w:hAnsi="宋体" w:cs="宋体"/>
                <w:color w:val="auto"/>
                <w:szCs w:val="21"/>
                <w:lang w:val="en-US" w:eastAsia="zh-CN"/>
              </w:rPr>
            </w:pPr>
            <w:r>
              <w:rPr>
                <w:rFonts w:hint="eastAsia" w:ascii="宋体" w:hAnsi="宋体" w:cs="宋体"/>
                <w:b/>
                <w:color w:val="auto"/>
                <w:szCs w:val="21"/>
              </w:rPr>
              <w:t>注：以上标明“必须提供”的材料属于复印件的，必须加盖供应商公章，否则响应文件按无效响应处理。</w:t>
            </w:r>
          </w:p>
        </w:tc>
      </w:tr>
      <w:tr w14:paraId="5CC5C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6D9DED">
            <w:pPr>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hint="eastAsia" w:ascii="宋体" w:hAnsi="宋体" w:cs="宋体"/>
                <w:color w:val="auto"/>
                <w:szCs w:val="21"/>
                <w:lang w:val="en-US" w:eastAsia="zh-CN"/>
              </w:rPr>
              <w:t>3</w:t>
            </w:r>
          </w:p>
        </w:tc>
        <w:tc>
          <w:tcPr>
            <w:tcW w:w="8627" w:type="dxa"/>
            <w:noWrap w:val="0"/>
            <w:vAlign w:val="center"/>
          </w:tcPr>
          <w:p w14:paraId="433CBB47">
            <w:pPr>
              <w:spacing w:line="360" w:lineRule="auto"/>
              <w:rPr>
                <w:rFonts w:hint="eastAsia" w:ascii="宋体" w:hAnsi="宋体" w:cs="宋体"/>
                <w:b/>
                <w:bCs/>
                <w:color w:val="auto"/>
                <w:szCs w:val="21"/>
              </w:rPr>
            </w:pPr>
            <w:r>
              <w:rPr>
                <w:rFonts w:hint="eastAsia" w:ascii="宋体" w:hAnsi="宋体" w:cs="宋体"/>
                <w:b/>
                <w:bCs/>
                <w:color w:val="auto"/>
                <w:szCs w:val="21"/>
              </w:rPr>
              <w:t>商务技术文件</w:t>
            </w:r>
          </w:p>
          <w:p w14:paraId="7B849441">
            <w:pPr>
              <w:spacing w:line="360" w:lineRule="auto"/>
              <w:rPr>
                <w:rFonts w:hint="eastAsia"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A2FDE9B">
            <w:pPr>
              <w:spacing w:line="360" w:lineRule="auto"/>
              <w:rPr>
                <w:rFonts w:hint="eastAsia"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olor w:val="auto"/>
                <w:szCs w:val="21"/>
              </w:rPr>
              <w:t>（</w:t>
            </w:r>
            <w:r>
              <w:rPr>
                <w:rFonts w:hint="eastAsia" w:ascii="宋体" w:hAnsi="宋体" w:cs="宋体"/>
                <w:b/>
                <w:bCs/>
                <w:color w:val="auto"/>
                <w:szCs w:val="21"/>
              </w:rPr>
              <w:t>自然人</w:t>
            </w:r>
            <w:r>
              <w:rPr>
                <w:rFonts w:hint="eastAsia" w:ascii="宋体" w:hAnsi="宋体" w:cs="宋体"/>
                <w:b/>
                <w:bCs/>
                <w:color w:val="auto"/>
                <w:szCs w:val="21"/>
                <w:lang w:eastAsia="zh-CN"/>
              </w:rPr>
              <w:t>参加时，只需要提供身份证复印件，</w:t>
            </w:r>
            <w:r>
              <w:rPr>
                <w:rFonts w:hint="eastAsia" w:ascii="宋体" w:hAnsi="宋体"/>
                <w:b/>
                <w:color w:val="auto"/>
                <w:szCs w:val="21"/>
              </w:rPr>
              <w:t>必须提供，否则按无效</w:t>
            </w:r>
            <w:r>
              <w:rPr>
                <w:rFonts w:hint="eastAsia" w:ascii="宋体" w:hAnsi="宋体"/>
                <w:b/>
                <w:color w:val="auto"/>
                <w:szCs w:val="21"/>
                <w:lang w:eastAsia="zh-CN"/>
              </w:rPr>
              <w:t>响应</w:t>
            </w:r>
            <w:r>
              <w:rPr>
                <w:rFonts w:hint="eastAsia" w:ascii="宋体" w:hAnsi="宋体"/>
                <w:b/>
                <w:color w:val="auto"/>
                <w:szCs w:val="21"/>
              </w:rPr>
              <w:t>处理</w:t>
            </w:r>
            <w:r>
              <w:rPr>
                <w:rFonts w:hint="eastAsia" w:ascii="宋体" w:hAnsi="宋体"/>
                <w:color w:val="auto"/>
                <w:szCs w:val="21"/>
              </w:rPr>
              <w:t>）</w:t>
            </w:r>
          </w:p>
          <w:p w14:paraId="18E4501C">
            <w:pPr>
              <w:spacing w:line="360" w:lineRule="auto"/>
              <w:rPr>
                <w:rFonts w:hint="eastAsia" w:ascii="宋体" w:hAnsi="宋体" w:cs="宋体"/>
                <w:b/>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132F2862">
            <w:pPr>
              <w:spacing w:line="360" w:lineRule="auto"/>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olor w:val="000000"/>
                <w:szCs w:val="21"/>
                <w:highlight w:val="none"/>
                <w:lang w:val="en-US" w:eastAsia="zh-CN"/>
              </w:rPr>
              <w:t>竞标</w:t>
            </w:r>
            <w:r>
              <w:rPr>
                <w:rFonts w:hint="eastAsia" w:ascii="宋体" w:hAnsi="宋体"/>
                <w:color w:val="000000"/>
                <w:szCs w:val="21"/>
                <w:highlight w:val="none"/>
              </w:rPr>
              <w:t>保证金提交凭证；（</w:t>
            </w:r>
            <w:r>
              <w:rPr>
                <w:rFonts w:hint="eastAsia"/>
                <w:b/>
                <w:bCs/>
                <w:color w:val="000000"/>
                <w:highlight w:val="none"/>
              </w:rPr>
              <w:t>如要求提交</w:t>
            </w:r>
            <w:r>
              <w:rPr>
                <w:rFonts w:hint="eastAsia"/>
                <w:b/>
                <w:bCs/>
                <w:color w:val="000000"/>
                <w:highlight w:val="none"/>
                <w:lang w:val="en-US" w:eastAsia="zh-CN"/>
              </w:rPr>
              <w:t>竞</w:t>
            </w:r>
            <w:r>
              <w:rPr>
                <w:rFonts w:hint="eastAsia"/>
                <w:b/>
                <w:bCs/>
                <w:color w:val="000000"/>
                <w:highlight w:val="none"/>
              </w:rPr>
              <w:t>标保证金的则必须提供</w:t>
            </w:r>
            <w:r>
              <w:rPr>
                <w:rFonts w:hint="eastAsia" w:ascii="宋体" w:hAnsi="宋体"/>
                <w:b/>
                <w:color w:val="000000"/>
                <w:szCs w:val="21"/>
                <w:highlight w:val="none"/>
              </w:rPr>
              <w:t>，否则按无效</w:t>
            </w:r>
            <w:r>
              <w:rPr>
                <w:rFonts w:hint="eastAsia" w:ascii="宋体" w:hAnsi="宋体"/>
                <w:b/>
                <w:color w:val="000000"/>
                <w:szCs w:val="21"/>
                <w:highlight w:val="none"/>
                <w:lang w:val="en-US" w:eastAsia="zh-CN"/>
              </w:rPr>
              <w:t>竞</w:t>
            </w:r>
            <w:r>
              <w:rPr>
                <w:rFonts w:hint="eastAsia" w:ascii="宋体" w:hAnsi="宋体"/>
                <w:b/>
                <w:color w:val="000000"/>
                <w:szCs w:val="21"/>
                <w:highlight w:val="none"/>
              </w:rPr>
              <w:t>标处理</w:t>
            </w:r>
            <w:r>
              <w:rPr>
                <w:rFonts w:hint="eastAsia" w:ascii="宋体" w:hAnsi="宋体"/>
                <w:color w:val="000000"/>
                <w:szCs w:val="21"/>
                <w:highlight w:val="none"/>
              </w:rPr>
              <w:t>）</w:t>
            </w:r>
          </w:p>
          <w:p w14:paraId="2AB81BA7">
            <w:pPr>
              <w:spacing w:line="360" w:lineRule="auto"/>
              <w:rPr>
                <w:rFonts w:hint="eastAsia" w:ascii="宋体" w:hAnsi="宋体" w:cs="宋体"/>
                <w:color w:val="auto"/>
                <w:szCs w:val="21"/>
              </w:rPr>
            </w:pPr>
            <w:r>
              <w:rPr>
                <w:rFonts w:hint="eastAsia" w:ascii="宋体" w:hAnsi="宋体" w:eastAsia="宋体" w:cs="宋体"/>
                <w:color w:val="auto"/>
                <w:szCs w:val="21"/>
                <w:lang w:val="en-US" w:eastAsia="zh-CN"/>
              </w:rPr>
              <w:t>5、针对本项目</w:t>
            </w:r>
            <w:r>
              <w:rPr>
                <w:rFonts w:hint="eastAsia" w:ascii="宋体" w:hAnsi="宋体" w:eastAsia="宋体" w:cs="宋体"/>
                <w:color w:val="auto"/>
                <w:szCs w:val="21"/>
              </w:rPr>
              <w:t>施工组织设计</w:t>
            </w:r>
            <w:r>
              <w:rPr>
                <w:rFonts w:hint="eastAsia" w:ascii="宋体" w:hAnsi="宋体" w:eastAsia="宋体" w:cs="宋体"/>
                <w:color w:val="auto"/>
                <w:szCs w:val="21"/>
                <w:lang w:eastAsia="zh-CN"/>
              </w:rPr>
              <w:t>方案</w:t>
            </w:r>
            <w:r>
              <w:rPr>
                <w:rFonts w:hint="eastAsia" w:ascii="宋体" w:hAnsi="宋体" w:eastAsia="宋体" w:cs="宋体"/>
                <w:color w:val="auto"/>
                <w:szCs w:val="21"/>
              </w:rPr>
              <w:t>（格式</w:t>
            </w:r>
            <w:r>
              <w:rPr>
                <w:rFonts w:hint="eastAsia" w:ascii="宋体" w:hAnsi="宋体" w:cs="宋体"/>
                <w:color w:val="auto"/>
                <w:szCs w:val="21"/>
              </w:rPr>
              <w:t>自拟）；（</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37BC7E8">
            <w:pPr>
              <w:spacing w:line="360" w:lineRule="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lang w:eastAsia="zh-CN"/>
              </w:rPr>
              <w:t>拟委任的项目经理资历表</w:t>
            </w:r>
            <w:r>
              <w:rPr>
                <w:rFonts w:hint="eastAsia" w:ascii="宋体" w:hAnsi="宋体" w:cs="宋体"/>
                <w:color w:val="auto"/>
                <w:szCs w:val="21"/>
              </w:rPr>
              <w:t>（格式后附）；（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490CB8D">
            <w:pPr>
              <w:spacing w:line="360" w:lineRule="auto"/>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eastAsia="zh-CN"/>
              </w:rPr>
              <w:t>拟委托的主要管理人员和技术人员资历表</w:t>
            </w:r>
            <w:r>
              <w:rPr>
                <w:rFonts w:hint="eastAsia" w:ascii="宋体" w:hAnsi="宋体" w:cs="宋体"/>
                <w:color w:val="auto"/>
                <w:szCs w:val="21"/>
              </w:rPr>
              <w:t>（格式后附）；（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D20148F">
            <w:pPr>
              <w:spacing w:line="360" w:lineRule="auto"/>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eastAsia="zh-CN"/>
              </w:rPr>
              <w:t>建设工程项目管理承诺书</w:t>
            </w:r>
            <w:r>
              <w:rPr>
                <w:rFonts w:hint="eastAsia" w:ascii="宋体" w:hAnsi="宋体" w:cs="宋体"/>
                <w:color w:val="auto"/>
                <w:szCs w:val="21"/>
              </w:rPr>
              <w:t>（格式后附）；（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74EB1AF">
            <w:pPr>
              <w:spacing w:line="360" w:lineRule="auto"/>
              <w:rPr>
                <w:rFonts w:hint="eastAsia" w:ascii="宋体" w:hAnsi="宋体" w:cs="宋体"/>
                <w:b/>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、供应商认为需要提供的其他有关资料。</w:t>
            </w:r>
          </w:p>
          <w:p w14:paraId="6B03B0D4">
            <w:pPr>
              <w:snapToGrid w:val="0"/>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t>注：以上标明“必须提供”的材料属于复印件的，必须加盖供应商公章，否则响应文件按无效响应处理。</w:t>
            </w:r>
          </w:p>
        </w:tc>
      </w:tr>
      <w:tr w14:paraId="382B5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3E472F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15.2</w:t>
            </w:r>
          </w:p>
        </w:tc>
        <w:tc>
          <w:tcPr>
            <w:tcW w:w="8627" w:type="dxa"/>
            <w:noWrap w:val="0"/>
            <w:vAlign w:val="center"/>
          </w:tcPr>
          <w:p w14:paraId="1979EE8F">
            <w:pPr>
              <w:snapToGrid w:val="0"/>
              <w:spacing w:line="360" w:lineRule="auto"/>
              <w:jc w:val="left"/>
              <w:rPr>
                <w:rFonts w:hint="eastAsia" w:ascii="Times New Roman" w:hAnsi="Times New Roman" w:eastAsia="宋体" w:cs="Times New Roman"/>
                <w:color w:val="auto"/>
                <w:lang w:val="en-US" w:eastAsia="zh-CN"/>
              </w:rPr>
            </w:pPr>
            <w:r>
              <w:rPr>
                <w:rFonts w:hint="eastAsia"/>
                <w:color w:val="auto"/>
              </w:rPr>
              <w:t>竞标报价</w:t>
            </w:r>
            <w:r>
              <w:rPr>
                <w:rFonts w:hint="eastAsia"/>
                <w:color w:val="auto"/>
                <w:lang w:eastAsia="zh-CN"/>
              </w:rPr>
              <w:t>内容及要求：</w:t>
            </w:r>
          </w:p>
          <w:p w14:paraId="3A2859AD">
            <w:pPr>
              <w:snapToGrid w:val="0"/>
              <w:spacing w:line="360" w:lineRule="auto"/>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本工程磋商报价采用工程量清单报价。</w:t>
            </w:r>
          </w:p>
          <w:p w14:paraId="662A1D00">
            <w:pPr>
              <w:snapToGrid w:val="0"/>
              <w:spacing w:line="360" w:lineRule="auto"/>
              <w:ind w:firstLine="210" w:firstLineChars="100"/>
              <w:jc w:val="left"/>
              <w:rPr>
                <w:rFonts w:hint="eastAsia" w:ascii="宋体" w:hAnsi="宋体" w:eastAsia="宋体" w:cs="宋体"/>
                <w:color w:val="auto"/>
                <w:lang w:eastAsia="zh-CN"/>
              </w:rPr>
            </w:pPr>
            <w:r>
              <w:rPr>
                <w:rFonts w:hint="eastAsia" w:ascii="宋体" w:hAnsi="宋体" w:eastAsia="宋体" w:cs="宋体"/>
                <w:color w:val="auto"/>
                <w:lang w:val="en-US" w:eastAsia="zh-CN"/>
              </w:rPr>
              <w:t>（1)供应商必须就所竞标的全部内容作完整报价，漏项报价的或有选择的或有条件</w:t>
            </w:r>
            <w:r>
              <w:rPr>
                <w:rFonts w:hint="eastAsia" w:ascii="宋体" w:hAnsi="宋体" w:eastAsia="宋体" w:cs="宋体"/>
                <w:color w:val="auto"/>
                <w:lang w:eastAsia="zh-CN"/>
              </w:rPr>
              <w:t>的报价，其竞标将视为无效。</w:t>
            </w:r>
          </w:p>
          <w:p w14:paraId="09DC4163">
            <w:pPr>
              <w:snapToGrid w:val="0"/>
              <w:spacing w:line="360" w:lineRule="auto"/>
              <w:ind w:firstLine="210" w:firstLineChars="100"/>
              <w:jc w:val="left"/>
              <w:rPr>
                <w:rFonts w:hint="eastAsia" w:ascii="宋体" w:hAnsi="宋体" w:eastAsia="宋体" w:cs="宋体"/>
                <w:color w:val="auto"/>
                <w:lang w:eastAsia="zh-CN"/>
              </w:rPr>
            </w:pPr>
            <w:r>
              <w:rPr>
                <w:rFonts w:hint="eastAsia" w:ascii="宋体" w:hAnsi="宋体" w:eastAsia="宋体" w:cs="宋体"/>
                <w:color w:val="auto"/>
                <w:lang w:val="en-US" w:eastAsia="zh-CN"/>
              </w:rPr>
              <w:t>（2)</w:t>
            </w:r>
            <w:r>
              <w:rPr>
                <w:rFonts w:hint="eastAsia" w:ascii="宋体" w:hAnsi="宋体" w:eastAsia="宋体" w:cs="宋体"/>
                <w:color w:val="auto"/>
                <w:lang w:eastAsia="zh-CN"/>
              </w:rPr>
              <w:t>本项目采用工程量清单报价方式，供应商应使用符合该数据交换标准的计价软件导入电子工程量清单，填写单价和计算总额价，完成已标价工程量清单的编制。严禁供应商修改工程量清单的项目结构、标段名称、单项工程名称、单位工程名称、项目编码、项目名称、项目特征、计量单位、工程量、清单顺序和序号。供应商不得对工程量清单项目进行增减调整。</w:t>
            </w:r>
          </w:p>
          <w:p w14:paraId="200D47D3">
            <w:pPr>
              <w:snapToGrid w:val="0"/>
              <w:spacing w:line="360" w:lineRule="auto"/>
              <w:ind w:firstLine="210" w:firstLineChars="100"/>
              <w:jc w:val="left"/>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因设计变更引起工程项目、工程量变化的，工程量清单报价表中有相同细目的按供应商竞标时的成交单价进行结算，工程量清单报价表中有类似细目的参考类似成交单价结算：新增项目有定额的套定额计算，其中材料价格有信息的按信息价，无信息的按市场价：新增项目无定额可套的，由发包人、承包人根据市场价格协商决定：新增项目的单价应经有资质的审核机构审定。国家和自治区政策性调整有关费用标准的，按文件规定执行。</w:t>
            </w:r>
          </w:p>
          <w:p w14:paraId="0F8C0C95">
            <w:pPr>
              <w:snapToGrid w:val="0"/>
              <w:spacing w:line="360" w:lineRule="auto"/>
              <w:ind w:firstLine="210" w:firstLineChars="1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rPr>
              <w:t>磋商单位应认真填写工程量清单中所列的所有各细目的单价和合价，填写工程量清单时应注意：</w:t>
            </w:r>
          </w:p>
          <w:p w14:paraId="15A045BC">
            <w:pPr>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lang w:eastAsia="zh-CN"/>
              </w:rPr>
              <w:t>①</w:t>
            </w:r>
            <w:r>
              <w:rPr>
                <w:rFonts w:hint="eastAsia" w:ascii="宋体" w:hAnsi="宋体" w:eastAsia="宋体" w:cs="宋体"/>
                <w:color w:val="auto"/>
              </w:rPr>
              <w:t>有工程数量的应报单价和合价。</w:t>
            </w:r>
          </w:p>
          <w:p w14:paraId="620AB9DC">
            <w:pPr>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lang w:eastAsia="zh-CN"/>
              </w:rPr>
              <w:t>②</w:t>
            </w:r>
            <w:r>
              <w:rPr>
                <w:rFonts w:hint="eastAsia" w:ascii="宋体" w:hAnsi="宋体" w:eastAsia="宋体" w:cs="宋体"/>
                <w:color w:val="auto"/>
              </w:rPr>
              <w:t>无工程数量的项目不报价。</w:t>
            </w:r>
          </w:p>
          <w:p w14:paraId="641671E2">
            <w:pPr>
              <w:snapToGrid w:val="0"/>
              <w:spacing w:line="360" w:lineRule="auto"/>
              <w:ind w:firstLine="210" w:firstLineChars="100"/>
              <w:jc w:val="lef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磋商供应商应按采购代理机构提供的工程量清单中列出的工程项目和工程量填报单价和合价。每一项目只允许有一个报价。任何有选择的报价将不予接受。磋商供应商未填单价或合价的工程项目在实施后，业主将不予以支付，并视为该项费用已包括在其他有价款的单价或合价内，磋商供应商必须完成工程量清单中未填入单价或总额价的工程细目，但不能得到支付与结算。</w:t>
            </w:r>
          </w:p>
          <w:p w14:paraId="27736427">
            <w:pPr>
              <w:snapToGrid w:val="0"/>
              <w:spacing w:line="360" w:lineRule="auto"/>
              <w:ind w:firstLine="210" w:firstLineChars="100"/>
              <w:jc w:val="left"/>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6）</w:t>
            </w:r>
            <w:r>
              <w:rPr>
                <w:rFonts w:hint="eastAsia" w:ascii="宋体" w:hAnsi="宋体" w:eastAsia="宋体" w:cs="宋体"/>
                <w:color w:val="auto"/>
                <w:lang w:eastAsia="zh-CN"/>
              </w:rPr>
              <w:t>采购人所提供的工程量清单，应认为已包括按正常施工工艺完成工程量清单项目各单项的有关内容。凡工程量清单所示工程所必不可少的附属工程、相关工程、衔接与后续工程所需的费用，供应商应计入相关项目的单价中。</w:t>
            </w:r>
          </w:p>
          <w:p w14:paraId="18281E31">
            <w:pPr>
              <w:snapToGrid w:val="0"/>
              <w:spacing w:line="360" w:lineRule="auto"/>
              <w:ind w:firstLine="210" w:firstLineChars="100"/>
              <w:jc w:val="left"/>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7）</w:t>
            </w:r>
            <w:r>
              <w:rPr>
                <w:rFonts w:hint="eastAsia" w:ascii="宋体" w:hAnsi="宋体" w:eastAsia="宋体" w:cs="宋体"/>
                <w:color w:val="auto"/>
                <w:lang w:eastAsia="zh-CN"/>
              </w:rPr>
              <w:t>供应商的竞标报价须按竞争性磋商文件及澄清答疑中所确认的工程量清单及清单顺序进行报价，否则，将视为实质上不响应竞争性磋商文件的要求。</w:t>
            </w:r>
          </w:p>
          <w:p w14:paraId="0B64564D">
            <w:pPr>
              <w:snapToGrid w:val="0"/>
              <w:spacing w:line="360" w:lineRule="auto"/>
              <w:ind w:firstLine="210" w:firstLineChars="1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8）</w:t>
            </w:r>
            <w:r>
              <w:rPr>
                <w:rFonts w:hint="eastAsia" w:ascii="宋体" w:hAnsi="宋体" w:eastAsia="宋体" w:cs="宋体"/>
                <w:color w:val="auto"/>
              </w:rPr>
              <w:t>按采购预算控制价明细施工，工程最终按实际工程结算。</w:t>
            </w:r>
          </w:p>
          <w:p w14:paraId="01903DBE">
            <w:pPr>
              <w:snapToGrid w:val="0"/>
              <w:spacing w:line="360" w:lineRule="auto"/>
              <w:ind w:firstLine="210" w:firstLineChars="1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9）</w:t>
            </w:r>
            <w:r>
              <w:rPr>
                <w:rFonts w:hint="eastAsia" w:ascii="宋体" w:hAnsi="宋体" w:eastAsia="宋体" w:cs="宋体"/>
                <w:color w:val="auto"/>
              </w:rPr>
              <w:t>承包方式：综合单价包干，包工包料。</w:t>
            </w:r>
          </w:p>
          <w:p w14:paraId="79026E33">
            <w:pPr>
              <w:snapToGrid w:val="0"/>
              <w:spacing w:line="360" w:lineRule="auto"/>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lang w:eastAsia="zh-CN"/>
              </w:rPr>
              <w:t>（</w:t>
            </w:r>
            <w:r>
              <w:rPr>
                <w:rFonts w:hint="eastAsia" w:ascii="宋体" w:hAnsi="宋体" w:eastAsia="宋体" w:cs="宋体"/>
                <w:color w:val="auto"/>
                <w:lang w:val="en-US" w:eastAsia="zh-CN"/>
              </w:rPr>
              <w:t>10）</w:t>
            </w:r>
            <w:r>
              <w:rPr>
                <w:rFonts w:hint="eastAsia" w:ascii="宋体" w:hAnsi="宋体" w:eastAsia="宋体" w:cs="宋体"/>
                <w:color w:val="auto"/>
              </w:rPr>
              <w:t>磋商供应商的临时占地（含预制厂、料厂、拌和站、借弃土场、项目部驻地等）租用费（含拆迁补偿）、临时用地的环保、恢复及所有临时性占地的青苗补偿及地面附着物发生的费用均由磋商供应商负责；由于磋商供应商原因引起工期延长造成磋商供应商临时占地的租用费增加由磋商供应商负责。以上费用在磋商价中自行考虑。</w:t>
            </w:r>
          </w:p>
          <w:p w14:paraId="16203751">
            <w:pPr>
              <w:snapToGrid w:val="0"/>
              <w:spacing w:line="360" w:lineRule="auto"/>
              <w:ind w:firstLine="210" w:firstLineChars="1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11）</w:t>
            </w:r>
            <w:r>
              <w:rPr>
                <w:rFonts w:hint="eastAsia" w:ascii="宋体" w:hAnsi="宋体" w:eastAsia="宋体" w:cs="宋体"/>
                <w:color w:val="auto"/>
              </w:rPr>
              <w:t>磋商供应商在报价中所报的单价和合价，以及磋商报价汇总表中的价格均包括完成该工程项目的成本、利润、税金、开办费、技术措施费、大型机械进出场费、风险费、政策性文件规定费用等所有费用。</w:t>
            </w:r>
          </w:p>
          <w:p w14:paraId="54D149D3">
            <w:pPr>
              <w:snapToGrid w:val="0"/>
              <w:spacing w:line="360" w:lineRule="auto"/>
              <w:ind w:firstLine="210" w:firstLineChars="1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12）</w:t>
            </w:r>
            <w:r>
              <w:rPr>
                <w:rFonts w:hint="eastAsia" w:ascii="宋体" w:hAnsi="宋体" w:eastAsia="宋体" w:cs="宋体"/>
                <w:color w:val="auto"/>
              </w:rPr>
              <w:t>磋商供应商可先到工地踏勘以充分了解工地位置、情况、道路、储存空间、装卸限制及任何其他足以影响承包价的情况，任何因忽视或误解工地情况而导致的索赔或工期延长申请将不被批准。</w:t>
            </w:r>
          </w:p>
          <w:p w14:paraId="32B09925">
            <w:pPr>
              <w:snapToGrid w:val="0"/>
              <w:spacing w:line="360" w:lineRule="auto"/>
              <w:ind w:firstLine="210" w:firstLineChars="1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13）</w:t>
            </w:r>
            <w:r>
              <w:rPr>
                <w:rFonts w:hint="eastAsia" w:ascii="宋体" w:hAnsi="宋体" w:eastAsia="宋体" w:cs="宋体"/>
                <w:color w:val="auto"/>
              </w:rPr>
              <w:t xml:space="preserve"> 磋商货币</w:t>
            </w:r>
          </w:p>
          <w:p w14:paraId="25F8E71B">
            <w:pPr>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响应文件报价中的单价和合价全部采用人民币表示。</w:t>
            </w:r>
          </w:p>
          <w:p w14:paraId="2D0DAB63">
            <w:pPr>
              <w:snapToGrid w:val="0"/>
              <w:spacing w:line="360" w:lineRule="auto"/>
              <w:ind w:firstLine="210" w:firstLineChars="100"/>
              <w:jc w:val="left"/>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14）</w:t>
            </w:r>
            <w:r>
              <w:rPr>
                <w:rFonts w:hint="eastAsia" w:ascii="宋体" w:hAnsi="宋体" w:eastAsia="宋体" w:cs="宋体"/>
                <w:color w:val="auto"/>
              </w:rPr>
              <w:t>本项目采用多次报价（最多三次）方式，作最终报价时磋商小组将书面告知磋商供应商，磋商供应商的最终报价如有变动，则必须以工程量清单报价表的格式编制提交，不得以总价下浮的方式做报价，否则作无效磋商处理。磋商供应商须提前做好相关准备并按时提交最终报价文件。</w:t>
            </w:r>
          </w:p>
        </w:tc>
      </w:tr>
      <w:tr w14:paraId="5B1D3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6FD7FA8">
            <w:pPr>
              <w:spacing w:line="360" w:lineRule="auto"/>
              <w:jc w:val="center"/>
              <w:rPr>
                <w:rFonts w:hint="eastAsia"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8627" w:type="dxa"/>
            <w:noWrap w:val="0"/>
            <w:vAlign w:val="center"/>
          </w:tcPr>
          <w:p w14:paraId="185C14F3">
            <w:pPr>
              <w:spacing w:line="360" w:lineRule="auto"/>
              <w:rPr>
                <w:rFonts w:hint="eastAsia" w:ascii="宋体" w:hAnsi="宋体" w:cs="宋体"/>
                <w:color w:val="auto"/>
                <w:szCs w:val="21"/>
              </w:rPr>
            </w:pPr>
            <w:r>
              <w:rPr>
                <w:rFonts w:hint="eastAsia" w:ascii="宋体" w:hAnsi="宋体" w:cs="宋体"/>
                <w:color w:val="auto"/>
                <w:szCs w:val="21"/>
              </w:rPr>
              <w:t>竞标有效期：首次响应文件提交截止之日起60天内。</w:t>
            </w:r>
          </w:p>
        </w:tc>
      </w:tr>
      <w:tr w14:paraId="69120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C4A2BAA">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8627" w:type="dxa"/>
            <w:noWrap w:val="0"/>
            <w:vAlign w:val="bottom"/>
          </w:tcPr>
          <w:p w14:paraId="39312CA6">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□本项目不收取</w:t>
            </w:r>
            <w:r>
              <w:rPr>
                <w:rFonts w:hint="eastAsia" w:ascii="宋体" w:hAnsi="宋体"/>
                <w:color w:val="auto"/>
                <w:szCs w:val="21"/>
              </w:rPr>
              <w:t>磋商</w:t>
            </w:r>
            <w:r>
              <w:rPr>
                <w:rFonts w:hint="eastAsia" w:ascii="宋体" w:hAnsi="宋体" w:cs="宋体"/>
                <w:color w:val="auto"/>
                <w:szCs w:val="21"/>
                <w:lang w:val="en-US" w:eastAsia="zh-CN"/>
              </w:rPr>
              <w:t>保证金</w:t>
            </w:r>
            <w:r>
              <w:rPr>
                <w:rFonts w:hint="eastAsia" w:ascii="宋体" w:hAnsi="宋体" w:eastAsia="宋体" w:cs="宋体"/>
                <w:color w:val="auto"/>
                <w:szCs w:val="21"/>
                <w:lang w:val="en-US" w:eastAsia="zh-CN"/>
              </w:rPr>
              <w:t xml:space="preserve">。 </w:t>
            </w:r>
          </w:p>
          <w:p w14:paraId="46FD7521">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☑本项目收取</w:t>
            </w:r>
            <w:r>
              <w:rPr>
                <w:rFonts w:hint="eastAsia" w:ascii="宋体" w:hAnsi="宋体"/>
                <w:color w:val="auto"/>
                <w:szCs w:val="21"/>
              </w:rPr>
              <w:t>磋商</w:t>
            </w:r>
            <w:r>
              <w:rPr>
                <w:rFonts w:hint="eastAsia" w:ascii="宋体" w:hAnsi="宋体" w:cs="宋体"/>
                <w:color w:val="auto"/>
                <w:szCs w:val="21"/>
                <w:lang w:val="en-US" w:eastAsia="zh-CN"/>
              </w:rPr>
              <w:t>保证金</w:t>
            </w:r>
            <w:r>
              <w:rPr>
                <w:rFonts w:hint="eastAsia" w:ascii="宋体" w:hAnsi="宋体" w:cs="宋体"/>
                <w:color w:val="auto"/>
                <w:szCs w:val="21"/>
                <w:u w:val="single"/>
                <w:lang w:val="en-US" w:eastAsia="zh-CN"/>
              </w:rPr>
              <w:t>13000</w:t>
            </w:r>
            <w:r>
              <w:rPr>
                <w:rFonts w:hint="eastAsia" w:ascii="宋体" w:hAnsi="宋体" w:eastAsia="宋体" w:cs="宋体"/>
                <w:color w:val="auto"/>
                <w:szCs w:val="21"/>
                <w:u w:val="single"/>
                <w:lang w:val="en-US" w:eastAsia="zh-CN"/>
              </w:rPr>
              <w:t xml:space="preserve">.00 </w:t>
            </w:r>
            <w:r>
              <w:rPr>
                <w:rFonts w:hint="eastAsia" w:ascii="宋体" w:hAnsi="宋体" w:eastAsia="宋体" w:cs="宋体"/>
                <w:color w:val="auto"/>
                <w:szCs w:val="21"/>
                <w:lang w:val="en-US" w:eastAsia="zh-CN"/>
              </w:rPr>
              <w:t xml:space="preserve">元。 </w:t>
            </w:r>
          </w:p>
          <w:p w14:paraId="7B7295C0">
            <w:pPr>
              <w:spacing w:line="360" w:lineRule="auto"/>
              <w:rPr>
                <w:rFonts w:hint="eastAsia" w:ascii="宋体" w:hAnsi="宋体" w:eastAsia="宋体" w:cs="宋体"/>
                <w:color w:val="auto"/>
                <w:szCs w:val="21"/>
              </w:rPr>
            </w:pPr>
            <w:r>
              <w:rPr>
                <w:rFonts w:hint="eastAsia" w:ascii="宋体" w:hAnsi="宋体"/>
                <w:color w:val="auto"/>
                <w:szCs w:val="21"/>
              </w:rPr>
              <w:t>磋商</w:t>
            </w:r>
            <w:r>
              <w:rPr>
                <w:rFonts w:hint="eastAsia" w:ascii="宋体" w:hAnsi="宋体" w:cs="宋体"/>
                <w:color w:val="auto"/>
                <w:szCs w:val="21"/>
                <w:lang w:val="en-US" w:eastAsia="zh-CN"/>
              </w:rPr>
              <w:t>保证金</w:t>
            </w:r>
            <w:r>
              <w:rPr>
                <w:rFonts w:hint="eastAsia" w:ascii="宋体" w:hAnsi="宋体" w:eastAsia="宋体" w:cs="宋体"/>
                <w:color w:val="auto"/>
                <w:szCs w:val="21"/>
                <w:lang w:val="en-US" w:eastAsia="zh-CN"/>
              </w:rPr>
              <w:t xml:space="preserve">的交纳方式：银行转账、支票、汇票、本票或者银行、保险机构出具的保函（包 </w:t>
            </w:r>
          </w:p>
          <w:p w14:paraId="642194DA">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含电子保函），禁止采用现钞方式。采用银行转账方式的，在响应文件提交截止时间前从竞标人账户交至指定账户并且到账（开户名称：广西国泰招标咨询有限公司玉林分公司，开户银行：农业银行玉林金玉路支行，银行账号：20410801040003746）。 </w:t>
            </w:r>
          </w:p>
          <w:p w14:paraId="57E587AC">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相关要求： </w:t>
            </w:r>
          </w:p>
          <w:p w14:paraId="75889183">
            <w:pPr>
              <w:spacing w:line="360" w:lineRule="auto"/>
              <w:rPr>
                <w:rFonts w:hint="eastAsia" w:ascii="宋体" w:hAnsi="宋体" w:eastAsia="宋体" w:cs="宋体"/>
                <w:b/>
                <w:bCs/>
                <w:color w:val="auto"/>
                <w:szCs w:val="21"/>
              </w:rPr>
            </w:pPr>
            <w:r>
              <w:rPr>
                <w:rFonts w:hint="eastAsia" w:ascii="宋体" w:hAnsi="宋体" w:eastAsia="宋体" w:cs="宋体"/>
                <w:color w:val="auto"/>
                <w:szCs w:val="21"/>
                <w:lang w:val="en-US" w:eastAsia="zh-CN"/>
              </w:rPr>
              <w:t>1、</w:t>
            </w:r>
            <w:r>
              <w:rPr>
                <w:rFonts w:hint="eastAsia" w:ascii="宋体" w:hAnsi="宋体"/>
                <w:color w:val="auto"/>
                <w:szCs w:val="21"/>
              </w:rPr>
              <w:t>磋商</w:t>
            </w:r>
            <w:r>
              <w:rPr>
                <w:rFonts w:hint="eastAsia" w:ascii="宋体" w:hAnsi="宋体" w:cs="宋体"/>
                <w:color w:val="auto"/>
                <w:szCs w:val="21"/>
                <w:lang w:val="en-US" w:eastAsia="zh-CN"/>
              </w:rPr>
              <w:t>保证金</w:t>
            </w:r>
            <w:r>
              <w:rPr>
                <w:rFonts w:hint="eastAsia" w:ascii="宋体" w:hAnsi="宋体" w:eastAsia="宋体" w:cs="宋体"/>
                <w:color w:val="auto"/>
                <w:szCs w:val="21"/>
                <w:lang w:val="en-US" w:eastAsia="zh-CN"/>
              </w:rPr>
              <w:t>采用银行转账交纳方式，在</w:t>
            </w:r>
            <w:r>
              <w:rPr>
                <w:rFonts w:hint="eastAsia" w:ascii="宋体" w:hAnsi="宋体" w:cs="宋体"/>
                <w:color w:val="auto"/>
                <w:szCs w:val="21"/>
                <w:lang w:eastAsia="zh-CN"/>
              </w:rPr>
              <w:t>响应文件</w:t>
            </w:r>
            <w:r>
              <w:rPr>
                <w:rFonts w:hint="eastAsia" w:ascii="宋体" w:hAnsi="宋体" w:cs="宋体"/>
                <w:color w:val="auto"/>
                <w:szCs w:val="21"/>
              </w:rPr>
              <w:t>提交截止时间</w:t>
            </w:r>
            <w:r>
              <w:rPr>
                <w:rFonts w:hint="eastAsia" w:ascii="宋体" w:hAnsi="宋体" w:eastAsia="宋体" w:cs="宋体"/>
                <w:color w:val="auto"/>
                <w:szCs w:val="21"/>
                <w:lang w:val="en-US" w:eastAsia="zh-CN"/>
              </w:rPr>
              <w:t>前交至指定账户并且到账，</w:t>
            </w:r>
            <w:r>
              <w:rPr>
                <w:rFonts w:hint="eastAsia" w:ascii="宋体" w:hAnsi="宋体" w:cs="宋体"/>
                <w:color w:val="auto"/>
                <w:szCs w:val="21"/>
                <w:lang w:val="en-US" w:eastAsia="zh-CN"/>
              </w:rPr>
              <w:t>供应商</w:t>
            </w:r>
            <w:r>
              <w:rPr>
                <w:rFonts w:hint="eastAsia" w:ascii="宋体" w:hAnsi="宋体" w:eastAsia="宋体" w:cs="宋体"/>
                <w:color w:val="auto"/>
                <w:szCs w:val="21"/>
                <w:lang w:val="en-US" w:eastAsia="zh-CN"/>
              </w:rPr>
              <w:t>应将银行转账底单的复印件作为</w:t>
            </w:r>
            <w:r>
              <w:rPr>
                <w:rFonts w:hint="eastAsia" w:ascii="宋体" w:hAnsi="宋体"/>
                <w:color w:val="auto"/>
                <w:szCs w:val="21"/>
              </w:rPr>
              <w:t>磋商</w:t>
            </w:r>
            <w:r>
              <w:rPr>
                <w:rFonts w:hint="eastAsia" w:ascii="宋体" w:hAnsi="宋体" w:cs="宋体"/>
                <w:color w:val="auto"/>
                <w:szCs w:val="21"/>
                <w:lang w:val="en-US" w:eastAsia="zh-CN"/>
              </w:rPr>
              <w:t>保证金</w:t>
            </w:r>
            <w:r>
              <w:rPr>
                <w:rFonts w:hint="eastAsia" w:ascii="宋体" w:hAnsi="宋体" w:eastAsia="宋体" w:cs="宋体"/>
                <w:color w:val="auto"/>
                <w:szCs w:val="21"/>
                <w:lang w:val="en-US" w:eastAsia="zh-CN"/>
              </w:rPr>
              <w:t>提交凭证，放置于商务及技术文件中，</w:t>
            </w:r>
            <w:r>
              <w:rPr>
                <w:rFonts w:hint="eastAsia" w:ascii="宋体" w:hAnsi="宋体" w:eastAsia="宋体" w:cs="宋体"/>
                <w:b/>
                <w:bCs/>
                <w:color w:val="auto"/>
                <w:szCs w:val="21"/>
                <w:lang w:val="en-US" w:eastAsia="zh-CN"/>
              </w:rPr>
              <w:t>否则</w:t>
            </w:r>
            <w:r>
              <w:rPr>
                <w:rFonts w:hint="eastAsia" w:ascii="宋体" w:hAnsi="宋体" w:cs="宋体"/>
                <w:b/>
                <w:bCs/>
                <w:color w:val="auto"/>
                <w:szCs w:val="21"/>
                <w:lang w:val="en-US" w:eastAsia="zh-CN"/>
              </w:rPr>
              <w:t>竞标无效</w:t>
            </w:r>
            <w:r>
              <w:rPr>
                <w:rFonts w:hint="eastAsia" w:ascii="宋体" w:hAnsi="宋体" w:eastAsia="宋体" w:cs="宋体"/>
                <w:b/>
                <w:bCs/>
                <w:color w:val="auto"/>
                <w:szCs w:val="21"/>
                <w:lang w:val="en-US" w:eastAsia="zh-CN"/>
              </w:rPr>
              <w:t xml:space="preserve">。 </w:t>
            </w:r>
          </w:p>
          <w:p w14:paraId="01884E99">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olor w:val="auto"/>
                <w:szCs w:val="21"/>
              </w:rPr>
              <w:t>磋商</w:t>
            </w:r>
            <w:r>
              <w:rPr>
                <w:rFonts w:hint="eastAsia" w:ascii="宋体" w:hAnsi="宋体" w:cs="宋体"/>
                <w:color w:val="auto"/>
                <w:szCs w:val="21"/>
                <w:lang w:val="en-US" w:eastAsia="zh-CN"/>
              </w:rPr>
              <w:t>保证金</w:t>
            </w:r>
            <w:r>
              <w:rPr>
                <w:rFonts w:hint="eastAsia" w:ascii="宋体" w:hAnsi="宋体" w:eastAsia="宋体" w:cs="宋体"/>
                <w:color w:val="auto"/>
                <w:szCs w:val="21"/>
                <w:lang w:val="en-US" w:eastAsia="zh-CN"/>
              </w:rPr>
              <w:t xml:space="preserve">采用支票、汇票、本票或者银行、保险机构出具的保函（包含电子保函）交纳 </w:t>
            </w:r>
          </w:p>
          <w:p w14:paraId="32B7E769">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方式的，</w:t>
            </w:r>
            <w:r>
              <w:rPr>
                <w:rFonts w:hint="eastAsia" w:ascii="宋体" w:hAnsi="宋体" w:cs="宋体"/>
                <w:color w:val="auto"/>
                <w:szCs w:val="21"/>
                <w:lang w:val="en-US" w:eastAsia="zh-CN"/>
              </w:rPr>
              <w:t>供应商</w:t>
            </w:r>
            <w:r>
              <w:rPr>
                <w:rFonts w:hint="eastAsia" w:ascii="宋体" w:hAnsi="宋体" w:eastAsia="宋体" w:cs="宋体"/>
                <w:color w:val="auto"/>
                <w:szCs w:val="21"/>
                <w:lang w:val="en-US" w:eastAsia="zh-CN"/>
              </w:rPr>
              <w:t xml:space="preserve">应将支票、汇票、本票或者银行、保险机构出具的保函（包含电子保函）的 </w:t>
            </w:r>
          </w:p>
          <w:p w14:paraId="6458B649">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复印件作为</w:t>
            </w:r>
            <w:r>
              <w:rPr>
                <w:rFonts w:hint="eastAsia" w:ascii="宋体" w:hAnsi="宋体"/>
                <w:color w:val="auto"/>
                <w:szCs w:val="21"/>
              </w:rPr>
              <w:t>磋商</w:t>
            </w:r>
            <w:r>
              <w:rPr>
                <w:rFonts w:hint="eastAsia" w:ascii="宋体" w:hAnsi="宋体" w:cs="宋体"/>
                <w:color w:val="auto"/>
                <w:szCs w:val="21"/>
                <w:lang w:val="en-US" w:eastAsia="zh-CN"/>
              </w:rPr>
              <w:t>保证金</w:t>
            </w:r>
            <w:r>
              <w:rPr>
                <w:rFonts w:hint="eastAsia" w:ascii="宋体" w:hAnsi="宋体" w:eastAsia="宋体" w:cs="宋体"/>
                <w:color w:val="auto"/>
                <w:szCs w:val="21"/>
                <w:lang w:val="en-US" w:eastAsia="zh-CN"/>
              </w:rPr>
              <w:t>提交凭证，放置于商务及技术文件中，</w:t>
            </w:r>
            <w:r>
              <w:rPr>
                <w:rFonts w:hint="eastAsia" w:ascii="宋体" w:hAnsi="宋体" w:eastAsia="宋体" w:cs="宋体"/>
                <w:b/>
                <w:bCs/>
                <w:color w:val="auto"/>
                <w:szCs w:val="21"/>
                <w:lang w:val="en-US" w:eastAsia="zh-CN"/>
              </w:rPr>
              <w:t>否则</w:t>
            </w:r>
            <w:r>
              <w:rPr>
                <w:rFonts w:hint="eastAsia" w:ascii="宋体" w:hAnsi="宋体" w:cs="宋体"/>
                <w:b/>
                <w:bCs/>
                <w:color w:val="auto"/>
                <w:szCs w:val="21"/>
                <w:lang w:val="en-US" w:eastAsia="zh-CN"/>
              </w:rPr>
              <w:t>竞标无效</w:t>
            </w:r>
            <w:r>
              <w:rPr>
                <w:rFonts w:hint="eastAsia" w:ascii="宋体" w:hAnsi="宋体" w:eastAsia="宋体" w:cs="宋体"/>
                <w:color w:val="auto"/>
                <w:szCs w:val="21"/>
                <w:lang w:val="en-US" w:eastAsia="zh-CN"/>
              </w:rPr>
              <w:t>。</w:t>
            </w:r>
          </w:p>
          <w:p w14:paraId="349A690D">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竞标人</w:t>
            </w:r>
            <w:r>
              <w:rPr>
                <w:rFonts w:hint="eastAsia" w:ascii="宋体" w:hAnsi="宋体" w:eastAsia="宋体" w:cs="宋体"/>
                <w:color w:val="auto"/>
                <w:szCs w:val="21"/>
                <w:lang w:val="en-US" w:eastAsia="zh-CN"/>
              </w:rPr>
              <w:t>为联合体的，可以由联合体中的一方或者多方共同交纳</w:t>
            </w:r>
            <w:r>
              <w:rPr>
                <w:rFonts w:hint="eastAsia" w:ascii="宋体" w:hAnsi="宋体"/>
                <w:color w:val="auto"/>
                <w:szCs w:val="21"/>
              </w:rPr>
              <w:t>磋商</w:t>
            </w:r>
            <w:r>
              <w:rPr>
                <w:rFonts w:hint="eastAsia" w:ascii="宋体" w:hAnsi="宋体" w:cs="宋体"/>
                <w:color w:val="auto"/>
                <w:szCs w:val="21"/>
                <w:lang w:val="en-US" w:eastAsia="zh-CN"/>
              </w:rPr>
              <w:t>保证金</w:t>
            </w:r>
            <w:r>
              <w:rPr>
                <w:rFonts w:hint="eastAsia" w:ascii="宋体" w:hAnsi="宋体" w:eastAsia="宋体" w:cs="宋体"/>
                <w:color w:val="auto"/>
                <w:szCs w:val="21"/>
                <w:lang w:val="en-US" w:eastAsia="zh-CN"/>
              </w:rPr>
              <w:t xml:space="preserve">，其交纳的保证 </w:t>
            </w:r>
          </w:p>
          <w:p w14:paraId="413CD4FF">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金对联合体各方均具有约束力。 </w:t>
            </w:r>
          </w:p>
          <w:p w14:paraId="1570465E">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备注： </w:t>
            </w:r>
          </w:p>
          <w:p w14:paraId="373AC793">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1、磋商</w:t>
            </w:r>
            <w:r>
              <w:rPr>
                <w:rFonts w:hint="eastAsia" w:ascii="宋体" w:hAnsi="宋体" w:cs="宋体"/>
                <w:b/>
                <w:bCs/>
                <w:color w:val="auto"/>
                <w:szCs w:val="21"/>
                <w:lang w:val="en-US" w:eastAsia="zh-CN"/>
              </w:rPr>
              <w:t>保证金</w:t>
            </w:r>
            <w:r>
              <w:rPr>
                <w:rFonts w:hint="eastAsia" w:ascii="宋体" w:hAnsi="宋体" w:eastAsia="宋体" w:cs="宋体"/>
                <w:b/>
                <w:bCs/>
                <w:color w:val="auto"/>
                <w:szCs w:val="21"/>
                <w:lang w:val="en-US" w:eastAsia="zh-CN"/>
              </w:rPr>
              <w:t>在</w:t>
            </w:r>
            <w:r>
              <w:rPr>
                <w:rFonts w:hint="eastAsia" w:ascii="宋体" w:hAnsi="宋体" w:cs="宋体"/>
                <w:b/>
                <w:bCs/>
                <w:color w:val="auto"/>
                <w:szCs w:val="21"/>
                <w:lang w:eastAsia="zh-CN"/>
              </w:rPr>
              <w:t>响应文件</w:t>
            </w:r>
            <w:r>
              <w:rPr>
                <w:rFonts w:hint="eastAsia" w:ascii="宋体" w:hAnsi="宋体" w:cs="宋体"/>
                <w:b/>
                <w:bCs/>
                <w:color w:val="auto"/>
                <w:szCs w:val="21"/>
              </w:rPr>
              <w:t>提交截止时间</w:t>
            </w:r>
            <w:r>
              <w:rPr>
                <w:rFonts w:hint="eastAsia" w:ascii="宋体" w:hAnsi="宋体" w:eastAsia="宋体" w:cs="宋体"/>
                <w:b/>
                <w:bCs/>
                <w:color w:val="auto"/>
                <w:szCs w:val="21"/>
                <w:lang w:val="en-US" w:eastAsia="zh-CN"/>
              </w:rPr>
              <w:t>后提交的，或者不按规定交纳方式交纳的，或者未足额交纳的（包含保函额度不足的），视为无效磋商</w:t>
            </w:r>
            <w:r>
              <w:rPr>
                <w:rFonts w:hint="eastAsia" w:ascii="宋体" w:hAnsi="宋体" w:cs="宋体"/>
                <w:b/>
                <w:bCs/>
                <w:color w:val="auto"/>
                <w:szCs w:val="21"/>
                <w:lang w:val="en-US" w:eastAsia="zh-CN"/>
              </w:rPr>
              <w:t>保证金</w:t>
            </w:r>
            <w:r>
              <w:rPr>
                <w:rFonts w:hint="eastAsia" w:ascii="宋体" w:hAnsi="宋体" w:eastAsia="宋体" w:cs="宋体"/>
                <w:b/>
                <w:bCs/>
                <w:color w:val="auto"/>
                <w:szCs w:val="21"/>
                <w:lang w:val="en-US" w:eastAsia="zh-CN"/>
              </w:rPr>
              <w:t xml:space="preserve">。 </w:t>
            </w:r>
          </w:p>
          <w:p w14:paraId="1FD38054">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2、</w:t>
            </w:r>
            <w:r>
              <w:rPr>
                <w:rFonts w:hint="eastAsia" w:ascii="宋体" w:hAnsi="宋体" w:cs="宋体"/>
                <w:b/>
                <w:bCs/>
                <w:color w:val="auto"/>
                <w:szCs w:val="21"/>
                <w:lang w:val="en-US" w:eastAsia="zh-CN"/>
              </w:rPr>
              <w:t>竞标人</w:t>
            </w:r>
            <w:r>
              <w:rPr>
                <w:rFonts w:hint="eastAsia" w:ascii="宋体" w:hAnsi="宋体" w:eastAsia="宋体" w:cs="宋体"/>
                <w:b/>
                <w:bCs/>
                <w:color w:val="auto"/>
                <w:szCs w:val="21"/>
                <w:lang w:val="en-US" w:eastAsia="zh-CN"/>
              </w:rPr>
              <w:t>采用现钞方式或者从个人账户（自然人</w:t>
            </w:r>
            <w:r>
              <w:rPr>
                <w:rFonts w:hint="eastAsia" w:ascii="宋体" w:hAnsi="宋体" w:cs="宋体"/>
                <w:b/>
                <w:bCs/>
                <w:color w:val="auto"/>
                <w:szCs w:val="21"/>
                <w:lang w:val="en-US" w:eastAsia="zh-CN"/>
              </w:rPr>
              <w:t>竞</w:t>
            </w:r>
            <w:r>
              <w:rPr>
                <w:rFonts w:hint="eastAsia" w:ascii="宋体" w:hAnsi="宋体" w:eastAsia="宋体" w:cs="宋体"/>
                <w:b/>
                <w:bCs/>
                <w:color w:val="auto"/>
                <w:szCs w:val="21"/>
                <w:lang w:val="en-US" w:eastAsia="zh-CN"/>
              </w:rPr>
              <w:t>标除外）转出的磋商</w:t>
            </w:r>
            <w:r>
              <w:rPr>
                <w:rFonts w:hint="eastAsia" w:ascii="宋体" w:hAnsi="宋体" w:cs="宋体"/>
                <w:b/>
                <w:bCs/>
                <w:color w:val="auto"/>
                <w:szCs w:val="21"/>
                <w:lang w:val="en-US" w:eastAsia="zh-CN"/>
              </w:rPr>
              <w:t>保证金</w:t>
            </w:r>
            <w:r>
              <w:rPr>
                <w:rFonts w:hint="eastAsia" w:ascii="宋体" w:hAnsi="宋体" w:eastAsia="宋体" w:cs="宋体"/>
                <w:b/>
                <w:bCs/>
                <w:color w:val="auto"/>
                <w:szCs w:val="21"/>
                <w:lang w:val="en-US" w:eastAsia="zh-CN"/>
              </w:rPr>
              <w:t xml:space="preserve">，视为无效磋商保证金。 </w:t>
            </w:r>
          </w:p>
          <w:p w14:paraId="6479A1BD">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3、支票、汇票或者本票出现无效或者背书情形的，视为无效磋商</w:t>
            </w:r>
            <w:r>
              <w:rPr>
                <w:rFonts w:hint="eastAsia" w:ascii="宋体" w:hAnsi="宋体" w:cs="宋体"/>
                <w:b/>
                <w:bCs/>
                <w:color w:val="auto"/>
                <w:szCs w:val="21"/>
                <w:lang w:val="en-US" w:eastAsia="zh-CN"/>
              </w:rPr>
              <w:t>保证金</w:t>
            </w:r>
            <w:r>
              <w:rPr>
                <w:rFonts w:hint="eastAsia" w:ascii="宋体" w:hAnsi="宋体" w:eastAsia="宋体" w:cs="宋体"/>
                <w:b/>
                <w:bCs/>
                <w:color w:val="auto"/>
                <w:szCs w:val="21"/>
                <w:lang w:val="en-US" w:eastAsia="zh-CN"/>
              </w:rPr>
              <w:t xml:space="preserve">。 </w:t>
            </w:r>
          </w:p>
          <w:p w14:paraId="4E9F6C12">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4、保函有效期低于</w:t>
            </w:r>
            <w:r>
              <w:rPr>
                <w:rFonts w:hint="eastAsia" w:ascii="宋体" w:hAnsi="宋体" w:cs="宋体"/>
                <w:b/>
                <w:bCs/>
                <w:color w:val="auto"/>
                <w:szCs w:val="21"/>
                <w:lang w:val="en-US" w:eastAsia="zh-CN"/>
              </w:rPr>
              <w:t>竞标</w:t>
            </w:r>
            <w:r>
              <w:rPr>
                <w:rFonts w:hint="eastAsia" w:ascii="宋体" w:hAnsi="宋体" w:eastAsia="宋体" w:cs="宋体"/>
                <w:b/>
                <w:bCs/>
                <w:color w:val="auto"/>
                <w:szCs w:val="21"/>
                <w:lang w:val="en-US" w:eastAsia="zh-CN"/>
              </w:rPr>
              <w:t>有效期的，视为无效磋商</w:t>
            </w:r>
            <w:r>
              <w:rPr>
                <w:rFonts w:hint="eastAsia" w:ascii="宋体" w:hAnsi="宋体" w:cs="宋体"/>
                <w:b/>
                <w:bCs/>
                <w:color w:val="auto"/>
                <w:szCs w:val="21"/>
                <w:lang w:val="en-US" w:eastAsia="zh-CN"/>
              </w:rPr>
              <w:t>保证金</w:t>
            </w:r>
            <w:r>
              <w:rPr>
                <w:rFonts w:hint="eastAsia" w:ascii="宋体" w:hAnsi="宋体" w:eastAsia="宋体" w:cs="宋体"/>
                <w:b/>
                <w:bCs/>
                <w:color w:val="auto"/>
                <w:szCs w:val="21"/>
                <w:lang w:val="en-US" w:eastAsia="zh-CN"/>
              </w:rPr>
              <w:t xml:space="preserve">。 </w:t>
            </w:r>
          </w:p>
          <w:p w14:paraId="5921AB81">
            <w:pPr>
              <w:autoSpaceDE w:val="0"/>
              <w:autoSpaceDN w:val="0"/>
              <w:snapToGrid w:val="0"/>
              <w:spacing w:line="360" w:lineRule="auto"/>
              <w:jc w:val="left"/>
              <w:textAlignment w:val="bottom"/>
              <w:rPr>
                <w:rFonts w:hint="eastAsia" w:ascii="宋体" w:hAnsi="宋体"/>
                <w:color w:val="auto"/>
                <w:szCs w:val="21"/>
              </w:rPr>
            </w:pPr>
            <w:r>
              <w:rPr>
                <w:rFonts w:hint="eastAsia" w:ascii="宋体" w:hAnsi="宋体" w:eastAsia="宋体" w:cs="宋体"/>
                <w:b/>
                <w:bCs/>
                <w:color w:val="auto"/>
                <w:szCs w:val="21"/>
                <w:lang w:val="en-US" w:eastAsia="zh-CN"/>
              </w:rPr>
              <w:t>5、采用银行、保险机构出具保函的，必须为无条件保函，否则视为无效磋商</w:t>
            </w:r>
            <w:r>
              <w:rPr>
                <w:rFonts w:hint="eastAsia" w:ascii="宋体" w:hAnsi="宋体" w:cs="宋体"/>
                <w:b/>
                <w:bCs/>
                <w:color w:val="auto"/>
                <w:szCs w:val="21"/>
                <w:lang w:val="en-US" w:eastAsia="zh-CN"/>
              </w:rPr>
              <w:t>保证金</w:t>
            </w:r>
            <w:r>
              <w:rPr>
                <w:rFonts w:hint="eastAsia" w:ascii="宋体" w:hAnsi="宋体" w:eastAsia="宋体" w:cs="宋体"/>
                <w:b/>
                <w:bCs/>
                <w:color w:val="auto"/>
                <w:szCs w:val="21"/>
                <w:lang w:val="en-US" w:eastAsia="zh-CN"/>
              </w:rPr>
              <w:t xml:space="preserve">。 </w:t>
            </w:r>
          </w:p>
        </w:tc>
      </w:tr>
      <w:tr w14:paraId="252CF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noWrap w:val="0"/>
            <w:vAlign w:val="center"/>
          </w:tcPr>
          <w:p w14:paraId="675472DF">
            <w:pPr>
              <w:spacing w:line="360" w:lineRule="auto"/>
              <w:jc w:val="center"/>
              <w:rPr>
                <w:rFonts w:hint="eastAsia" w:ascii="宋体" w:hAnsi="宋体" w:cs="宋体"/>
                <w:color w:val="auto"/>
                <w:szCs w:val="21"/>
              </w:rPr>
            </w:pPr>
            <w:r>
              <w:rPr>
                <w:rFonts w:hint="eastAsia" w:ascii="宋体" w:hAnsi="宋体" w:cs="宋体"/>
                <w:color w:val="auto"/>
                <w:szCs w:val="21"/>
              </w:rPr>
              <w:t>18.2</w:t>
            </w:r>
          </w:p>
        </w:tc>
        <w:tc>
          <w:tcPr>
            <w:tcW w:w="8627" w:type="dxa"/>
            <w:noWrap w:val="0"/>
            <w:vAlign w:val="center"/>
          </w:tcPr>
          <w:p w14:paraId="3E5AA635">
            <w:pPr>
              <w:spacing w:line="360" w:lineRule="auto"/>
              <w:rPr>
                <w:rFonts w:hint="eastAsia" w:ascii="宋体" w:hAnsi="宋体" w:cs="宋体"/>
                <w:color w:val="auto"/>
                <w:szCs w:val="21"/>
              </w:rPr>
            </w:pPr>
            <w:r>
              <w:rPr>
                <w:rFonts w:hint="eastAsia" w:ascii="宋体" w:hAnsi="宋体" w:cs="宋体"/>
                <w:color w:val="auto"/>
                <w:szCs w:val="21"/>
              </w:rPr>
              <w:t>响应文件应按资格证明文件、</w:t>
            </w:r>
            <w:r>
              <w:rPr>
                <w:rFonts w:hint="eastAsia" w:ascii="宋体" w:hAnsi="宋体" w:cs="宋体"/>
                <w:color w:val="auto"/>
                <w:szCs w:val="21"/>
                <w:lang w:eastAsia="zh-CN"/>
              </w:rPr>
              <w:t>报价文件、</w:t>
            </w:r>
            <w:r>
              <w:rPr>
                <w:rFonts w:hint="eastAsia" w:ascii="宋体" w:hAnsi="宋体" w:cs="宋体"/>
                <w:color w:val="auto"/>
                <w:szCs w:val="21"/>
              </w:rPr>
              <w:t>商务技术文件分别编制，</w:t>
            </w:r>
            <w:r>
              <w:rPr>
                <w:rFonts w:hint="eastAsia" w:ascii="宋体" w:hAnsi="宋体" w:cs="宋体"/>
                <w:color w:val="auto"/>
                <w:szCs w:val="21"/>
                <w:lang w:bidi="ar"/>
              </w:rPr>
              <w:t>并按</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的要求编制、加密、上传。</w:t>
            </w:r>
          </w:p>
        </w:tc>
      </w:tr>
      <w:tr w14:paraId="3E6C5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55CFDAC">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8627" w:type="dxa"/>
            <w:noWrap w:val="0"/>
            <w:vAlign w:val="center"/>
          </w:tcPr>
          <w:p w14:paraId="0ECB8FBA">
            <w:pPr>
              <w:spacing w:line="360" w:lineRule="auto"/>
              <w:contextualSpacing/>
              <w:rPr>
                <w:rFonts w:hint="eastAsia" w:ascii="宋体" w:hAnsi="宋体" w:cs="宋体"/>
                <w:color w:val="auto"/>
                <w:szCs w:val="21"/>
              </w:rPr>
            </w:pPr>
            <w:r>
              <w:rPr>
                <w:rFonts w:hint="eastAsia" w:ascii="宋体" w:hAnsi="宋体" w:cs="宋体"/>
                <w:color w:val="auto"/>
                <w:szCs w:val="21"/>
              </w:rPr>
              <w:t>首次响应文件提交截止时间：详见竞争性磋商公告。</w:t>
            </w:r>
          </w:p>
          <w:p w14:paraId="6380D2DB">
            <w:pPr>
              <w:spacing w:line="360" w:lineRule="auto"/>
              <w:contextualSpacing/>
              <w:rPr>
                <w:rFonts w:hint="eastAsia" w:ascii="宋体" w:hAnsi="宋体" w:cs="宋体"/>
                <w:color w:val="auto"/>
                <w:szCs w:val="21"/>
              </w:rPr>
            </w:pPr>
            <w:r>
              <w:rPr>
                <w:rFonts w:hint="eastAsia" w:ascii="宋体" w:hAnsi="宋体" w:cs="宋体"/>
                <w:color w:val="auto"/>
                <w:szCs w:val="21"/>
              </w:rPr>
              <w:t>首次响应文件提交地点：详见竞争性磋商公告。</w:t>
            </w:r>
          </w:p>
        </w:tc>
      </w:tr>
      <w:tr w14:paraId="017BA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6D4E90F">
            <w:pPr>
              <w:spacing w:line="360" w:lineRule="auto"/>
              <w:jc w:val="center"/>
              <w:rPr>
                <w:rFonts w:hint="eastAsia" w:ascii="宋体" w:hAnsi="宋体" w:cs="宋体"/>
                <w:color w:val="auto"/>
                <w:szCs w:val="21"/>
              </w:rPr>
            </w:pPr>
            <w:r>
              <w:rPr>
                <w:rFonts w:hint="eastAsia" w:ascii="宋体" w:hAnsi="宋体" w:cs="宋体"/>
                <w:color w:val="auto"/>
                <w:szCs w:val="21"/>
              </w:rPr>
              <w:t>24.1</w:t>
            </w:r>
          </w:p>
        </w:tc>
        <w:tc>
          <w:tcPr>
            <w:tcW w:w="8627" w:type="dxa"/>
            <w:noWrap w:val="0"/>
            <w:vAlign w:val="center"/>
          </w:tcPr>
          <w:p w14:paraId="724DE44D">
            <w:pPr>
              <w:snapToGrid w:val="0"/>
              <w:spacing w:line="360" w:lineRule="auto"/>
              <w:rPr>
                <w:rFonts w:hint="eastAsia" w:ascii="宋体" w:hAnsi="宋体" w:cs="宋体"/>
                <w:color w:val="auto"/>
                <w:szCs w:val="21"/>
                <w:u w:val="single"/>
              </w:rPr>
            </w:pPr>
            <w:r>
              <w:rPr>
                <w:rFonts w:hint="eastAsia" w:ascii="宋体" w:hAnsi="宋体" w:cs="宋体"/>
                <w:color w:val="auto"/>
                <w:szCs w:val="21"/>
              </w:rPr>
              <w:t>磋商小组的人数：3人。</w:t>
            </w:r>
          </w:p>
        </w:tc>
      </w:tr>
      <w:tr w14:paraId="44C71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992" w:type="dxa"/>
            <w:noWrap w:val="0"/>
            <w:vAlign w:val="center"/>
          </w:tcPr>
          <w:p w14:paraId="120F38E1">
            <w:pPr>
              <w:spacing w:line="360" w:lineRule="auto"/>
              <w:jc w:val="center"/>
              <w:rPr>
                <w:rFonts w:hint="eastAsia" w:ascii="宋体" w:hAnsi="宋体" w:cs="宋体"/>
                <w:color w:val="auto"/>
                <w:szCs w:val="21"/>
              </w:rPr>
            </w:pPr>
            <w:r>
              <w:rPr>
                <w:rFonts w:hint="eastAsia" w:ascii="宋体" w:hAnsi="宋体" w:cs="宋体"/>
                <w:color w:val="auto"/>
                <w:szCs w:val="21"/>
              </w:rPr>
              <w:t>25.2</w:t>
            </w:r>
          </w:p>
        </w:tc>
        <w:tc>
          <w:tcPr>
            <w:tcW w:w="8627" w:type="dxa"/>
            <w:noWrap w:val="0"/>
            <w:vAlign w:val="center"/>
          </w:tcPr>
          <w:p w14:paraId="3B82A0FB">
            <w:pPr>
              <w:snapToGrid w:val="0"/>
              <w:spacing w:line="360" w:lineRule="auto"/>
              <w:rPr>
                <w:rFonts w:hint="eastAsia" w:ascii="宋体" w:hAnsi="宋体" w:cs="宋体"/>
                <w:color w:val="auto"/>
                <w:szCs w:val="21"/>
              </w:rPr>
            </w:pPr>
            <w:r>
              <w:rPr>
                <w:rFonts w:hint="eastAsia" w:ascii="宋体" w:hAnsi="宋体" w:cs="宋体"/>
                <w:color w:val="auto"/>
                <w:szCs w:val="21"/>
              </w:rPr>
              <w:t>采购代理机构将依托电子交易平台发起开始解密指令，</w:t>
            </w:r>
            <w:r>
              <w:rPr>
                <w:rFonts w:hint="eastAsia" w:ascii="宋体" w:hAnsi="宋体" w:cs="宋体"/>
                <w:b/>
                <w:color w:val="auto"/>
                <w:szCs w:val="21"/>
              </w:rPr>
              <w:t>供应商的法定代表人或其委托代理人须携带加密时所用的CA锁按平台提示和采购文件的规定登录到</w:t>
            </w:r>
            <w:r>
              <w:rPr>
                <w:rFonts w:hint="eastAsia" w:ascii="宋体" w:hAnsi="宋体" w:cs="宋体"/>
                <w:b/>
                <w:color w:val="auto"/>
                <w:szCs w:val="21"/>
                <w:lang w:eastAsia="zh-CN"/>
              </w:rPr>
              <w:t>广西政府采购云平台</w:t>
            </w:r>
            <w:r>
              <w:rPr>
                <w:rFonts w:hint="eastAsia" w:ascii="宋体" w:hAnsi="宋体" w:cs="宋体"/>
                <w:b/>
                <w:color w:val="auto"/>
                <w:szCs w:val="21"/>
              </w:rPr>
              <w:t>电子开标大厅签到并在发起解密指令之时起30分钟内完成对电子响应文件在线解密。</w:t>
            </w:r>
            <w:r>
              <w:rPr>
                <w:rFonts w:hint="eastAsia" w:ascii="宋体" w:hAnsi="宋体"/>
                <w:b/>
                <w:bCs/>
                <w:color w:val="auto"/>
                <w:szCs w:val="21"/>
              </w:rPr>
              <w:t>响应文件未按时解密的，</w:t>
            </w:r>
            <w:r>
              <w:rPr>
                <w:rFonts w:hint="eastAsia" w:ascii="宋体" w:hAnsi="宋体" w:cs="宋体"/>
                <w:b/>
                <w:color w:val="auto"/>
                <w:szCs w:val="21"/>
              </w:rPr>
              <w:t>视为响应</w:t>
            </w:r>
            <w:r>
              <w:rPr>
                <w:rFonts w:hint="eastAsia" w:ascii="宋体" w:hAnsi="宋体"/>
                <w:b/>
                <w:bCs/>
                <w:color w:val="auto"/>
                <w:szCs w:val="21"/>
              </w:rPr>
              <w:t>文件无效。</w:t>
            </w:r>
          </w:p>
        </w:tc>
      </w:tr>
      <w:tr w14:paraId="7D999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noWrap w:val="0"/>
            <w:vAlign w:val="center"/>
          </w:tcPr>
          <w:p w14:paraId="298B98C4">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26</w:t>
            </w:r>
          </w:p>
        </w:tc>
        <w:tc>
          <w:tcPr>
            <w:tcW w:w="8627" w:type="dxa"/>
            <w:noWrap w:val="0"/>
            <w:vAlign w:val="center"/>
          </w:tcPr>
          <w:p w14:paraId="727F1D8F">
            <w:pPr>
              <w:pStyle w:val="13"/>
              <w:spacing w:line="320" w:lineRule="exact"/>
              <w:jc w:val="both"/>
              <w:rPr>
                <w:rFonts w:hint="eastAsia" w:ascii="宋体" w:hAnsi="宋体" w:cs="宋体"/>
                <w:color w:val="auto"/>
                <w:szCs w:val="21"/>
                <w:lang w:val="en-US" w:eastAsia="zh-CN"/>
              </w:rPr>
            </w:pPr>
            <w:r>
              <w:rPr>
                <w:rFonts w:hint="eastAsia" w:ascii="宋体" w:hAnsi="宋体" w:cs="宋体"/>
                <w:color w:val="auto"/>
                <w:szCs w:val="21"/>
                <w:lang w:val="en-US" w:eastAsia="zh-CN"/>
              </w:rPr>
              <w:t>磋商的顺序：</w:t>
            </w:r>
            <w:r>
              <w:rPr>
                <w:rFonts w:hint="eastAsia" w:ascii="宋体" w:hAnsi="宋体" w:cs="宋体"/>
                <w:color w:val="auto"/>
                <w:szCs w:val="21"/>
              </w:rPr>
              <w:t>按“</w:t>
            </w:r>
            <w:r>
              <w:rPr>
                <w:rFonts w:hint="eastAsia" w:ascii="宋体" w:hAnsi="宋体" w:cs="宋体"/>
                <w:color w:val="auto"/>
                <w:szCs w:val="21"/>
                <w:lang w:eastAsia="zh-CN"/>
              </w:rPr>
              <w:t>广西政府采购云平台</w:t>
            </w:r>
            <w:r>
              <w:rPr>
                <w:rFonts w:hint="eastAsia" w:ascii="宋体" w:hAnsi="宋体" w:cs="宋体"/>
                <w:color w:val="auto"/>
                <w:szCs w:val="21"/>
              </w:rPr>
              <w:t>”系统的编号顺序</w:t>
            </w:r>
            <w:r>
              <w:rPr>
                <w:rFonts w:hint="eastAsia" w:ascii="宋体" w:hAnsi="宋体" w:cs="宋体"/>
                <w:color w:val="auto"/>
                <w:szCs w:val="21"/>
                <w:lang w:val="en-US" w:eastAsia="zh-CN"/>
              </w:rPr>
              <w:t>。</w:t>
            </w:r>
          </w:p>
          <w:p w14:paraId="0F9F706B">
            <w:pPr>
              <w:pStyle w:val="13"/>
              <w:spacing w:line="360" w:lineRule="auto"/>
              <w:jc w:val="both"/>
              <w:rPr>
                <w:rFonts w:hint="eastAsia" w:ascii="宋体" w:hAnsi="宋体" w:cs="宋体"/>
                <w:b/>
                <w:color w:val="auto"/>
                <w:szCs w:val="21"/>
                <w:lang w:val="en-US" w:eastAsia="zh-CN"/>
              </w:rPr>
            </w:pPr>
            <w:r>
              <w:rPr>
                <w:rFonts w:hint="eastAsia" w:ascii="宋体" w:hAnsi="宋体" w:cs="宋体"/>
                <w:b/>
                <w:color w:val="auto"/>
                <w:szCs w:val="21"/>
                <w:lang w:val="en-US" w:eastAsia="zh-CN"/>
              </w:rPr>
              <w:t>符合磋商资格的供应商必须在接到磋商通知后规定时间内参加磋商，未在规定时间内参加磋商的视同放弃参加磋商权利，其响应文件按无效响应处理。</w:t>
            </w:r>
          </w:p>
          <w:p w14:paraId="39C7B9D2">
            <w:pPr>
              <w:pStyle w:val="13"/>
              <w:spacing w:line="360" w:lineRule="auto"/>
              <w:jc w:val="both"/>
              <w:rPr>
                <w:rFonts w:hint="eastAsia" w:ascii="宋体" w:hAnsi="宋体" w:cs="宋体"/>
                <w:b/>
                <w:color w:val="auto"/>
                <w:szCs w:val="21"/>
                <w:lang w:val="en-US" w:eastAsia="zh-CN"/>
              </w:rPr>
            </w:pPr>
            <w:r>
              <w:rPr>
                <w:rFonts w:hint="eastAsia" w:ascii="宋体" w:hAnsi="宋体" w:cs="宋体"/>
                <w:b/>
                <w:color w:val="auto"/>
                <w:szCs w:val="21"/>
                <w:lang w:val="en-US" w:eastAsia="zh-CN"/>
              </w:rPr>
              <w:t>注：参与磋商前，供应商法定代表人（或负责人）或者委托代理人向磋商小组出示本人有效证件原件[有效证件可以是身份证（含临时身份证明）或者护照的其中一项]。</w:t>
            </w:r>
          </w:p>
        </w:tc>
      </w:tr>
      <w:tr w14:paraId="557BE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B2B22A0">
            <w:pPr>
              <w:spacing w:line="360" w:lineRule="auto"/>
              <w:jc w:val="center"/>
              <w:rPr>
                <w:rFonts w:hint="eastAsia" w:ascii="宋体" w:hAnsi="宋体" w:cs="宋体"/>
                <w:color w:val="auto"/>
                <w:szCs w:val="21"/>
              </w:rPr>
            </w:pPr>
            <w:r>
              <w:rPr>
                <w:rFonts w:ascii="宋体" w:hAnsi="宋体" w:cs="宋体"/>
                <w:color w:val="auto"/>
                <w:szCs w:val="21"/>
              </w:rPr>
              <w:t>28.1</w:t>
            </w:r>
          </w:p>
        </w:tc>
        <w:tc>
          <w:tcPr>
            <w:tcW w:w="8627" w:type="dxa"/>
            <w:noWrap w:val="0"/>
            <w:vAlign w:val="center"/>
          </w:tcPr>
          <w:p w14:paraId="1A5E8B95">
            <w:pPr>
              <w:autoSpaceDE w:val="0"/>
              <w:autoSpaceDN w:val="0"/>
              <w:snapToGrid w:val="0"/>
              <w:spacing w:line="360" w:lineRule="auto"/>
              <w:textAlignment w:val="bottom"/>
              <w:rPr>
                <w:rFonts w:hint="eastAsia" w:ascii="宋体" w:hAnsi="宋体" w:cs="宋体"/>
                <w:color w:val="auto"/>
                <w:szCs w:val="21"/>
              </w:rPr>
            </w:pPr>
            <w:r>
              <w:rPr>
                <w:rFonts w:hint="eastAsia" w:ascii="宋体" w:hAnsi="宋体"/>
                <w:color w:val="auto"/>
                <w:szCs w:val="21"/>
              </w:rPr>
              <w:t>本项目不收取履约保证金。</w:t>
            </w:r>
          </w:p>
        </w:tc>
      </w:tr>
      <w:tr w14:paraId="655B5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C6FECA0">
            <w:pPr>
              <w:spacing w:line="360" w:lineRule="auto"/>
              <w:jc w:val="center"/>
              <w:rPr>
                <w:rFonts w:hint="eastAsia" w:ascii="宋体" w:hAnsi="宋体" w:cs="宋体"/>
                <w:color w:val="auto"/>
                <w:szCs w:val="21"/>
              </w:rPr>
            </w:pPr>
            <w:r>
              <w:rPr>
                <w:rFonts w:ascii="宋体" w:hAnsi="宋体" w:cs="宋体"/>
                <w:color w:val="auto"/>
                <w:szCs w:val="21"/>
              </w:rPr>
              <w:t>29.1</w:t>
            </w:r>
          </w:p>
        </w:tc>
        <w:tc>
          <w:tcPr>
            <w:tcW w:w="8627" w:type="dxa"/>
            <w:noWrap w:val="0"/>
            <w:vAlign w:val="center"/>
          </w:tcPr>
          <w:p w14:paraId="4D4544FB">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 xml:space="preserve">签订合同携带的证明材料： </w:t>
            </w:r>
          </w:p>
          <w:p w14:paraId="48F41008">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1、委托代理人负责签订合同的，须携带授权委托书及委托代理人身份证原件等其他资格证件。</w:t>
            </w:r>
          </w:p>
          <w:p w14:paraId="59377C0D">
            <w:pPr>
              <w:snapToGrid w:val="0"/>
              <w:spacing w:line="360" w:lineRule="auto"/>
              <w:rPr>
                <w:rFonts w:hint="eastAsia" w:ascii="宋体" w:hAnsi="宋体"/>
                <w:color w:val="auto"/>
                <w:szCs w:val="21"/>
              </w:rPr>
            </w:pPr>
            <w:r>
              <w:rPr>
                <w:rFonts w:hint="eastAsia" w:ascii="宋体" w:hAnsi="宋体"/>
                <w:color w:val="auto"/>
                <w:szCs w:val="21"/>
              </w:rPr>
              <w:t>2、法定代表人负责签订合同的，须携带法定代表人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4DC79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A7927FA">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8627" w:type="dxa"/>
            <w:noWrap w:val="0"/>
            <w:vAlign w:val="center"/>
          </w:tcPr>
          <w:p w14:paraId="0BFF7F31">
            <w:pPr>
              <w:pStyle w:val="20"/>
              <w:snapToGrid w:val="0"/>
              <w:spacing w:line="360" w:lineRule="auto"/>
              <w:rPr>
                <w:rFonts w:hint="eastAsia" w:hAnsi="宋体" w:cs="宋体"/>
                <w:color w:val="auto"/>
                <w:sz w:val="21"/>
                <w:lang w:val="en-US" w:eastAsia="zh-CN"/>
              </w:rPr>
            </w:pPr>
            <w:r>
              <w:rPr>
                <w:rFonts w:hint="eastAsia" w:hAnsi="宋体" w:cs="宋体"/>
                <w:color w:val="auto"/>
                <w:sz w:val="21"/>
                <w:lang w:val="en-US" w:eastAsia="zh-CN"/>
              </w:rPr>
              <w:t>接收质疑函方式：以纸质书面形式。</w:t>
            </w:r>
          </w:p>
          <w:p w14:paraId="23AFF65F">
            <w:pPr>
              <w:pStyle w:val="20"/>
              <w:snapToGrid w:val="0"/>
              <w:spacing w:line="360" w:lineRule="auto"/>
              <w:rPr>
                <w:rFonts w:hint="default" w:ascii="宋体" w:hAnsi="宋体" w:eastAsia="宋体" w:cs="宋体"/>
                <w:color w:val="auto"/>
                <w:sz w:val="21"/>
                <w:lang w:val="en-US" w:eastAsia="zh-CN"/>
              </w:rPr>
            </w:pPr>
            <w:r>
              <w:rPr>
                <w:rFonts w:hint="eastAsia" w:hAnsi="宋体" w:cs="宋体"/>
                <w:color w:val="auto"/>
                <w:sz w:val="21"/>
                <w:lang w:val="en-US" w:eastAsia="zh-CN"/>
              </w:rPr>
              <w:t>质疑联系部门及联系方</w:t>
            </w:r>
            <w:r>
              <w:rPr>
                <w:rFonts w:hint="eastAsia" w:ascii="宋体" w:hAnsi="宋体" w:eastAsia="宋体" w:cs="宋体"/>
                <w:color w:val="auto"/>
                <w:sz w:val="21"/>
                <w:lang w:val="en-US" w:eastAsia="zh-CN"/>
              </w:rPr>
              <w:t>式：广西国泰招标咨询有限公司，质疑联系人：文庆金，联系电话：0775-2699135，通讯地址：玉林市玉州区人民东路东202号新茂里4号楼。</w:t>
            </w:r>
          </w:p>
          <w:p w14:paraId="07E4C6CC">
            <w:pPr>
              <w:pStyle w:val="20"/>
              <w:snapToGrid w:val="0"/>
              <w:spacing w:line="360" w:lineRule="auto"/>
              <w:rPr>
                <w:rFonts w:hint="eastAsia" w:hAnsi="宋体"/>
                <w:color w:val="auto"/>
                <w:lang w:val="en-US" w:eastAsia="zh-CN"/>
              </w:rPr>
            </w:pPr>
            <w:r>
              <w:rPr>
                <w:rFonts w:hint="eastAsia" w:hAnsi="宋体" w:cs="宋体"/>
                <w:color w:val="auto"/>
                <w:sz w:val="21"/>
                <w:lang w:val="en-US" w:eastAsia="zh-CN"/>
              </w:rPr>
              <w:t>现场提交质疑办理业务时间：工作日，8:00-12:00；15:00-18:00（北京时间）</w:t>
            </w:r>
          </w:p>
        </w:tc>
      </w:tr>
      <w:tr w14:paraId="3EC44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92" w:type="dxa"/>
            <w:noWrap w:val="0"/>
            <w:vAlign w:val="center"/>
          </w:tcPr>
          <w:p w14:paraId="45F549DF">
            <w:pPr>
              <w:spacing w:line="360" w:lineRule="auto"/>
              <w:jc w:val="center"/>
              <w:rPr>
                <w:rFonts w:hint="eastAsia" w:ascii="宋体" w:hAnsi="宋体" w:cs="宋体"/>
                <w:color w:val="auto"/>
                <w:szCs w:val="21"/>
              </w:rPr>
            </w:pPr>
            <w:r>
              <w:rPr>
                <w:rFonts w:ascii="宋体" w:hAnsi="宋体" w:cs="宋体"/>
                <w:color w:val="auto"/>
                <w:szCs w:val="21"/>
              </w:rPr>
              <w:t>32</w:t>
            </w:r>
          </w:p>
        </w:tc>
        <w:tc>
          <w:tcPr>
            <w:tcW w:w="8627" w:type="dxa"/>
            <w:noWrap w:val="0"/>
            <w:vAlign w:val="center"/>
          </w:tcPr>
          <w:p w14:paraId="0AECCC40">
            <w:pPr>
              <w:pStyle w:val="20"/>
              <w:numPr>
                <w:ilvl w:val="0"/>
                <w:numId w:val="0"/>
              </w:numPr>
              <w:snapToGrid w:val="0"/>
              <w:spacing w:line="400" w:lineRule="exac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w:t>
            </w:r>
            <w:r>
              <w:rPr>
                <w:rFonts w:hint="eastAsia" w:ascii="宋体" w:hAnsi="宋体" w:eastAsia="宋体" w:cs="宋体"/>
                <w:color w:val="auto"/>
                <w:kern w:val="2"/>
                <w:sz w:val="21"/>
                <w:lang w:val="en-US" w:eastAsia="zh-CN"/>
              </w:rPr>
              <w:t>采购代理服务费支付方式：本项目的招标代理服务费按以下收费标准向成交供应商收取，</w:t>
            </w:r>
            <w:r>
              <w:rPr>
                <w:rFonts w:hint="eastAsia" w:ascii="宋体" w:hAnsi="宋体" w:eastAsia="宋体" w:cs="宋体"/>
                <w:color w:val="auto"/>
                <w:sz w:val="21"/>
                <w:lang w:val="en-US" w:eastAsia="zh-CN"/>
              </w:rPr>
              <w:t>领取成交通知书前，成交供应商应向采购代理机构一次付清招标代理服务费，否则采购代理机构有权不予以办理。</w:t>
            </w:r>
          </w:p>
          <w:p w14:paraId="18682865">
            <w:pPr>
              <w:pStyle w:val="20"/>
              <w:numPr>
                <w:ilvl w:val="0"/>
                <w:numId w:val="0"/>
              </w:numPr>
              <w:snapToGrid w:val="0"/>
              <w:spacing w:line="400" w:lineRule="exac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2、采购代理服务费收取标准：</w:t>
            </w:r>
            <w:r>
              <w:rPr>
                <w:rFonts w:hint="eastAsia" w:hAnsi="宋体" w:eastAsia="宋体" w:cs="宋体"/>
                <w:color w:val="auto"/>
                <w:sz w:val="21"/>
                <w:lang w:val="en-US" w:eastAsia="zh-CN"/>
              </w:rPr>
              <w:t>参照国家发展计划委员会计价格【2002】1980号《招标代理服务费管理暂行办法》工程类收费标准</w:t>
            </w:r>
            <w:r>
              <w:rPr>
                <w:rFonts w:hint="eastAsia" w:ascii="宋体" w:hAnsi="宋体" w:eastAsia="宋体" w:cs="宋体"/>
                <w:color w:val="auto"/>
                <w:sz w:val="21"/>
                <w:lang w:val="en-US" w:eastAsia="zh-CN"/>
              </w:rPr>
              <w:t>。</w:t>
            </w:r>
          </w:p>
          <w:p w14:paraId="2228CFB7">
            <w:pPr>
              <w:pStyle w:val="20"/>
              <w:numPr>
                <w:ilvl w:val="0"/>
                <w:numId w:val="0"/>
              </w:numPr>
              <w:snapToGrid w:val="0"/>
              <w:spacing w:line="400" w:lineRule="exac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3、户名：</w:t>
            </w:r>
            <w:r>
              <w:rPr>
                <w:rFonts w:hint="eastAsia" w:hAnsi="宋体" w:cs="宋体"/>
                <w:color w:val="auto"/>
                <w:sz w:val="21"/>
                <w:lang w:val="en-US" w:eastAsia="zh-CN"/>
              </w:rPr>
              <w:t>广西国泰招标咨询有限公司玉林分公司</w:t>
            </w:r>
          </w:p>
          <w:p w14:paraId="12827163">
            <w:pPr>
              <w:pStyle w:val="20"/>
              <w:numPr>
                <w:ilvl w:val="0"/>
                <w:numId w:val="0"/>
              </w:numPr>
              <w:snapToGrid w:val="0"/>
              <w:spacing w:line="400" w:lineRule="exac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开户银行：</w:t>
            </w:r>
            <w:r>
              <w:rPr>
                <w:rFonts w:hint="eastAsia" w:hAnsi="宋体" w:cs="宋体"/>
                <w:color w:val="auto"/>
                <w:sz w:val="21"/>
                <w:lang w:val="en-US" w:eastAsia="zh-CN"/>
              </w:rPr>
              <w:t>农业银行玉林金玉路支行</w:t>
            </w:r>
          </w:p>
          <w:p w14:paraId="450137F1">
            <w:pPr>
              <w:pStyle w:val="20"/>
              <w:numPr>
                <w:ilvl w:val="0"/>
                <w:numId w:val="0"/>
              </w:numPr>
              <w:snapToGrid w:val="0"/>
              <w:spacing w:line="400" w:lineRule="exact"/>
              <w:rPr>
                <w:rFonts w:hint="eastAsia" w:hAnsi="宋体" w:cs="宋体"/>
                <w:color w:val="auto"/>
                <w:sz w:val="21"/>
                <w:lang w:val="en-US" w:eastAsia="zh-CN"/>
              </w:rPr>
            </w:pPr>
            <w:r>
              <w:rPr>
                <w:rFonts w:hint="eastAsia" w:ascii="宋体" w:hAnsi="宋体" w:eastAsia="宋体" w:cs="宋体"/>
                <w:color w:val="auto"/>
                <w:sz w:val="21"/>
                <w:lang w:val="en-US" w:eastAsia="zh-CN"/>
              </w:rPr>
              <w:t>账号：</w:t>
            </w:r>
            <w:r>
              <w:rPr>
                <w:rFonts w:hint="eastAsia" w:ascii="宋体" w:hAnsi="宋体" w:eastAsia="宋体" w:cs="宋体"/>
                <w:color w:val="auto"/>
                <w:sz w:val="21"/>
                <w:szCs w:val="21"/>
                <w:lang w:val="en-US" w:eastAsia="zh-CN"/>
              </w:rPr>
              <w:t>20410801040003746</w:t>
            </w:r>
          </w:p>
        </w:tc>
      </w:tr>
      <w:tr w14:paraId="1F53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54A67E0">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8627" w:type="dxa"/>
            <w:noWrap w:val="0"/>
            <w:vAlign w:val="center"/>
          </w:tcPr>
          <w:p w14:paraId="4AEA6624">
            <w:pPr>
              <w:pStyle w:val="20"/>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F3AA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4" w:hRule="atLeast"/>
          <w:jc w:val="center"/>
        </w:trPr>
        <w:tc>
          <w:tcPr>
            <w:tcW w:w="992" w:type="dxa"/>
            <w:noWrap w:val="0"/>
            <w:vAlign w:val="center"/>
          </w:tcPr>
          <w:p w14:paraId="7F95D042">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8627" w:type="dxa"/>
            <w:noWrap w:val="0"/>
            <w:vAlign w:val="center"/>
          </w:tcPr>
          <w:p w14:paraId="499335FA">
            <w:pPr>
              <w:pStyle w:val="20"/>
              <w:snapToGrid w:val="0"/>
              <w:spacing w:line="360" w:lineRule="auto"/>
              <w:rPr>
                <w:rFonts w:hint="eastAsia" w:hAnsi="宋体" w:cs="宋体"/>
                <w:color w:val="auto"/>
                <w:sz w:val="21"/>
                <w:lang w:val="en-US" w:eastAsia="zh-CN"/>
              </w:rPr>
            </w:pPr>
            <w:r>
              <w:rPr>
                <w:rFonts w:hint="eastAsia" w:hAnsi="宋体" w:cs="宋体"/>
                <w:color w:val="auto"/>
                <w:sz w:val="21"/>
                <w:lang w:val="en-US" w:eastAsia="zh-CN"/>
              </w:rPr>
              <w:t>1、本磋商文件中描述供应商的“公章”是指根据我国对公章的管理规定，用供应商法定主体行为名称制作的印章【含通过指定电子化政府采购平台办理数字证书（CA认证）获得的以法定主体行为名称制作的电子印章】，除本磋商文件有特殊规定外，供应商的财务章、部门章、分公司章、工会章、合同章、竞标/投标专用章、业务专用章及银行的转账章、现金收讫章、现金付讫章等其他形式印章均不能代替公章。</w:t>
            </w:r>
          </w:p>
          <w:p w14:paraId="127DCC82">
            <w:pPr>
              <w:pStyle w:val="20"/>
              <w:snapToGrid w:val="0"/>
              <w:spacing w:line="360" w:lineRule="auto"/>
              <w:rPr>
                <w:rFonts w:hAnsi="宋体" w:cs="宋体"/>
                <w:color w:val="auto"/>
                <w:sz w:val="21"/>
                <w:lang w:val="en-US" w:eastAsia="zh-CN"/>
              </w:rPr>
            </w:pPr>
            <w:r>
              <w:rPr>
                <w:rFonts w:hint="eastAsia" w:hAnsi="宋体" w:cs="宋体"/>
                <w:color w:val="auto"/>
                <w:sz w:val="21"/>
                <w:lang w:val="en-US" w:eastAsia="zh-CN"/>
              </w:rPr>
              <w:t>2、供应商为其他组织或者自然人时，本磋商文件规定的法定代表人指负责人或者自然人。本磋商文件所称负责人是指参加竞标的其他组织</w:t>
            </w:r>
            <w:r>
              <w:rPr>
                <w:rFonts w:hint="eastAsia" w:hAnsi="宋体" w:cs="宋体"/>
                <w:bCs/>
                <w:color w:val="auto"/>
                <w:sz w:val="21"/>
                <w:lang w:val="en-US" w:eastAsia="zh-CN"/>
              </w:rPr>
              <w:t>营业执照或者执业许可证等证照上的</w:t>
            </w:r>
            <w:r>
              <w:rPr>
                <w:rFonts w:hint="eastAsia" w:hAnsi="宋体" w:cs="宋体"/>
                <w:color w:val="auto"/>
                <w:sz w:val="21"/>
                <w:lang w:val="en-US" w:eastAsia="zh-CN"/>
              </w:rPr>
              <w:t>负责人，本磋商文件所称自然人指参与竞标的自然人本人，</w:t>
            </w:r>
            <w:r>
              <w:rPr>
                <w:rFonts w:hint="eastAsia" w:hAnsi="宋体" w:cs="宋体"/>
                <w:bCs/>
                <w:color w:val="auto"/>
                <w:sz w:val="21"/>
                <w:lang w:val="en-US" w:eastAsia="zh-CN"/>
              </w:rPr>
              <w:t>且应具备独立承担民事责任能力，自然人应当为年满18周岁以上成年人（十六周岁以上的未成年人，以自己的劳动收入为主要生活来源的，视为完全民事行为能力人）。</w:t>
            </w:r>
          </w:p>
          <w:p w14:paraId="31A92AAA">
            <w:pPr>
              <w:pStyle w:val="20"/>
              <w:snapToGrid w:val="0"/>
              <w:spacing w:line="360" w:lineRule="auto"/>
              <w:rPr>
                <w:rFonts w:hint="eastAsia" w:hAnsi="宋体" w:cs="宋体"/>
                <w:color w:val="auto"/>
                <w:sz w:val="21"/>
                <w:lang w:val="en-US" w:eastAsia="zh-CN"/>
              </w:rPr>
            </w:pPr>
            <w:r>
              <w:rPr>
                <w:rFonts w:hAnsi="宋体" w:cs="宋体"/>
                <w:color w:val="auto"/>
                <w:sz w:val="21"/>
                <w:lang w:val="en-US" w:eastAsia="zh-CN"/>
              </w:rPr>
              <w:t>3</w:t>
            </w:r>
            <w:r>
              <w:rPr>
                <w:rFonts w:hint="eastAsia" w:hAnsi="宋体" w:cs="宋体"/>
                <w:color w:val="auto"/>
                <w:sz w:val="21"/>
                <w:lang w:val="en-US" w:eastAsia="zh-CN"/>
              </w:rPr>
              <w:t>、本磋商文件中描述供应商的“签字”是指供应商的法定代表人（或负责人）或者委托代理人在文件规定签署处签名【含通过指定电子化政府采购平台办理数字证书（CA认证）获得的以供应商法定代表人（负责人）或者委托代理人姓名制作的电子印章】的行为，私章、印鉴等其他形式均不能代替签字。</w:t>
            </w:r>
          </w:p>
          <w:p w14:paraId="0994CCE0">
            <w:pPr>
              <w:pStyle w:val="20"/>
              <w:snapToGrid w:val="0"/>
              <w:spacing w:line="360" w:lineRule="auto"/>
              <w:rPr>
                <w:rFonts w:hAnsi="宋体" w:cs="宋体"/>
                <w:color w:val="auto"/>
                <w:sz w:val="21"/>
                <w:lang w:val="en-US" w:eastAsia="zh-CN"/>
              </w:rPr>
            </w:pPr>
            <w:r>
              <w:rPr>
                <w:rFonts w:hAnsi="宋体" w:cs="宋体"/>
                <w:color w:val="auto"/>
                <w:sz w:val="21"/>
                <w:lang w:val="en-US" w:eastAsia="zh-CN"/>
              </w:rPr>
              <w:t>4</w:t>
            </w:r>
            <w:r>
              <w:rPr>
                <w:rFonts w:hint="eastAsia" w:hAnsi="宋体" w:cs="宋体"/>
                <w:color w:val="auto"/>
                <w:sz w:val="21"/>
                <w:lang w:val="en-US" w:eastAsia="zh-CN"/>
              </w:rPr>
              <w:t>、自然人竞标的，磋商文件规定盖公章处由自然人摁手指指印。</w:t>
            </w:r>
          </w:p>
          <w:p w14:paraId="74E589A7">
            <w:pPr>
              <w:pStyle w:val="20"/>
              <w:snapToGrid w:val="0"/>
              <w:spacing w:line="360" w:lineRule="auto"/>
              <w:rPr>
                <w:rFonts w:hint="eastAsia" w:ascii="宋体" w:hAnsi="宋体" w:eastAsia="宋体" w:cs="宋体"/>
                <w:color w:val="auto"/>
                <w:sz w:val="21"/>
                <w:lang w:val="en-US" w:eastAsia="zh-CN"/>
              </w:rPr>
            </w:pPr>
            <w:r>
              <w:rPr>
                <w:rFonts w:hint="eastAsia" w:hAnsi="宋体" w:cs="宋体"/>
                <w:color w:val="auto"/>
                <w:sz w:val="21"/>
                <w:lang w:val="en-US" w:eastAsia="zh-CN"/>
              </w:rPr>
              <w:t>5、本磋商文件所称的“以上”“以下”“以内”“届满”，包括本数；所称的“不满”“超过”“以外”，不包括本数。</w:t>
            </w:r>
          </w:p>
        </w:tc>
      </w:tr>
      <w:tr w14:paraId="2D8F1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4" w:hRule="atLeast"/>
          <w:jc w:val="center"/>
        </w:trPr>
        <w:tc>
          <w:tcPr>
            <w:tcW w:w="992" w:type="dxa"/>
            <w:noWrap w:val="0"/>
            <w:vAlign w:val="center"/>
          </w:tcPr>
          <w:p w14:paraId="691452A2">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33.4</w:t>
            </w:r>
          </w:p>
        </w:tc>
        <w:tc>
          <w:tcPr>
            <w:tcW w:w="8627" w:type="dxa"/>
            <w:noWrap w:val="0"/>
            <w:vAlign w:val="center"/>
          </w:tcPr>
          <w:p w14:paraId="37368FC3">
            <w:pPr>
              <w:pStyle w:val="20"/>
              <w:snapToGrid w:val="0"/>
              <w:spacing w:line="360" w:lineRule="auto"/>
              <w:rPr>
                <w:rFonts w:hint="eastAsia"/>
                <w:color w:val="auto"/>
                <w:lang w:eastAsia="zh-CN"/>
              </w:rPr>
            </w:pPr>
            <w:r>
              <w:rPr>
                <w:rFonts w:hint="eastAsia" w:ascii="宋体" w:hAnsi="宋体" w:eastAsia="宋体" w:cs="宋体"/>
                <w:color w:val="auto"/>
                <w:sz w:val="21"/>
                <w:lang w:val="en-US" w:eastAsia="zh-CN"/>
              </w:rPr>
              <w:t>本项目涉及中小企业采购，符合《政府采购促进中小企业发展管理办法》中第十二条：</w:t>
            </w:r>
          </w:p>
          <w:p w14:paraId="13F39DFE">
            <w:pPr>
              <w:pStyle w:val="20"/>
              <w:numPr>
                <w:ilvl w:val="0"/>
                <w:numId w:val="0"/>
              </w:numPr>
              <w:snapToGrid w:val="0"/>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ascii="宋体" w:hAnsi="宋体" w:eastAsia="宋体" w:cs="宋体"/>
                <w:color w:val="auto"/>
                <w:sz w:val="21"/>
                <w:szCs w:val="21"/>
              </w:rPr>
              <w:t>标的的名称：</w:t>
            </w:r>
            <w:r>
              <w:rPr>
                <w:rFonts w:hint="eastAsia" w:ascii="宋体" w:hAnsi="宋体" w:eastAsia="宋体" w:cs="宋体"/>
                <w:color w:val="auto"/>
                <w:sz w:val="21"/>
                <w:szCs w:val="21"/>
                <w:lang w:eastAsia="zh-CN"/>
              </w:rPr>
              <w:t>博白县人民医院1号楼旧楼门诊业务用房优化布局改造提升工程（儿科部分）</w:t>
            </w:r>
            <w:r>
              <w:rPr>
                <w:rFonts w:ascii="宋体" w:hAnsi="宋体" w:eastAsia="宋体" w:cs="宋体"/>
                <w:color w:val="auto"/>
                <w:sz w:val="21"/>
                <w:szCs w:val="21"/>
              </w:rPr>
              <w:t>；</w:t>
            </w:r>
          </w:p>
          <w:p w14:paraId="49A5F496">
            <w:pPr>
              <w:pStyle w:val="20"/>
              <w:numPr>
                <w:ilvl w:val="0"/>
                <w:numId w:val="0"/>
              </w:numPr>
              <w:snapToGrid w:val="0"/>
              <w:spacing w:line="380" w:lineRule="exact"/>
              <w:ind w:firstLine="420" w:firstLineChars="200"/>
              <w:rPr>
                <w:rFonts w:hint="eastAsia" w:ascii="宋体" w:hAnsi="宋体" w:eastAsia="宋体" w:cs="宋体"/>
                <w:color w:val="0000FF"/>
                <w:sz w:val="21"/>
                <w:szCs w:val="21"/>
                <w:lang w:eastAsia="zh-CN"/>
              </w:rPr>
            </w:pPr>
            <w:r>
              <w:rPr>
                <w:rFonts w:ascii="宋体" w:hAnsi="宋体" w:eastAsia="宋体" w:cs="宋体"/>
                <w:color w:val="auto"/>
                <w:sz w:val="21"/>
                <w:szCs w:val="21"/>
              </w:rPr>
              <w:t>专门面向中小企业预留金额为：</w:t>
            </w:r>
            <w:r>
              <w:rPr>
                <w:rFonts w:hint="eastAsia" w:ascii="宋体" w:hAnsi="宋体" w:eastAsia="宋体" w:cs="宋体"/>
                <w:color w:val="auto"/>
                <w:sz w:val="21"/>
                <w:szCs w:val="21"/>
                <w:lang w:eastAsia="zh-CN"/>
              </w:rPr>
              <w:t>人民币</w:t>
            </w:r>
            <w:r>
              <w:rPr>
                <w:rFonts w:hint="eastAsia" w:ascii="宋体" w:hAnsi="宋体" w:eastAsia="宋体" w:cs="宋体"/>
                <w:color w:val="auto"/>
                <w:sz w:val="21"/>
                <w:szCs w:val="21"/>
                <w:lang w:val="en-US" w:eastAsia="zh-CN"/>
              </w:rPr>
              <w:t>1300481.84</w:t>
            </w:r>
            <w:r>
              <w:rPr>
                <w:rFonts w:hint="eastAsia" w:ascii="宋体" w:hAnsi="宋体" w:eastAsia="宋体" w:cs="宋体"/>
                <w:color w:val="auto"/>
                <w:sz w:val="21"/>
                <w:szCs w:val="21"/>
                <w:lang w:eastAsia="zh-CN"/>
              </w:rPr>
              <w:t>元</w:t>
            </w:r>
            <w:r>
              <w:rPr>
                <w:rFonts w:ascii="宋体" w:hAnsi="宋体" w:eastAsia="宋体" w:cs="宋体"/>
                <w:color w:val="auto"/>
                <w:sz w:val="21"/>
                <w:szCs w:val="21"/>
              </w:rPr>
              <w:t>，即项目预算金额；</w:t>
            </w:r>
          </w:p>
          <w:p w14:paraId="3FB15FE9">
            <w:pPr>
              <w:pStyle w:val="20"/>
              <w:numPr>
                <w:ilvl w:val="0"/>
                <w:numId w:val="0"/>
              </w:numPr>
              <w:snapToGrid w:val="0"/>
              <w:spacing w:line="380" w:lineRule="exact"/>
              <w:ind w:firstLine="420" w:firstLineChars="200"/>
              <w:rPr>
                <w:rFonts w:hint="eastAsia" w:ascii="宋体" w:hAnsi="宋体" w:eastAsia="宋体" w:cs="宋体"/>
                <w:color w:val="auto"/>
                <w:sz w:val="21"/>
                <w:szCs w:val="21"/>
                <w:lang w:eastAsia="zh-CN"/>
              </w:rPr>
            </w:pPr>
            <w:r>
              <w:rPr>
                <w:rFonts w:ascii="宋体" w:hAnsi="宋体" w:eastAsia="宋体" w:cs="宋体"/>
                <w:color w:val="auto"/>
                <w:sz w:val="21"/>
                <w:szCs w:val="21"/>
              </w:rPr>
              <w:t>专门面向中小企业预留份额为：100%</w:t>
            </w:r>
            <w:r>
              <w:rPr>
                <w:rFonts w:hint="eastAsia" w:ascii="宋体" w:hAnsi="宋体" w:eastAsia="宋体" w:cs="宋体"/>
                <w:color w:val="auto"/>
                <w:sz w:val="21"/>
                <w:szCs w:val="21"/>
                <w:lang w:eastAsia="zh-CN"/>
              </w:rPr>
              <w:t>。</w:t>
            </w:r>
          </w:p>
          <w:p w14:paraId="51ECEBB5">
            <w:pPr>
              <w:pStyle w:val="20"/>
              <w:numPr>
                <w:ilvl w:val="0"/>
                <w:numId w:val="0"/>
              </w:numPr>
              <w:snapToGrid w:val="0"/>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ascii="宋体" w:hAnsi="宋体" w:eastAsia="宋体" w:cs="宋体"/>
                <w:color w:val="auto"/>
                <w:sz w:val="21"/>
                <w:szCs w:val="21"/>
              </w:rPr>
              <w:t>本项目不接受联合体</w:t>
            </w:r>
            <w:r>
              <w:rPr>
                <w:rFonts w:hint="eastAsia" w:ascii="宋体" w:hAnsi="宋体" w:eastAsia="宋体" w:cs="宋体"/>
                <w:color w:val="auto"/>
                <w:sz w:val="21"/>
                <w:szCs w:val="21"/>
                <w:lang w:eastAsia="zh-CN"/>
              </w:rPr>
              <w:t>竞标</w:t>
            </w:r>
            <w:r>
              <w:rPr>
                <w:rFonts w:ascii="宋体" w:hAnsi="宋体" w:eastAsia="宋体" w:cs="宋体"/>
                <w:color w:val="auto"/>
                <w:sz w:val="21"/>
                <w:szCs w:val="21"/>
              </w:rPr>
              <w:t>，本项目不允许分包</w:t>
            </w:r>
            <w:r>
              <w:rPr>
                <w:rFonts w:hint="eastAsia" w:ascii="宋体" w:hAnsi="宋体" w:eastAsia="宋体" w:cs="宋体"/>
                <w:color w:val="auto"/>
                <w:sz w:val="21"/>
                <w:szCs w:val="21"/>
                <w:lang w:eastAsia="zh-CN"/>
              </w:rPr>
              <w:t>。</w:t>
            </w:r>
          </w:p>
          <w:p w14:paraId="37FC7689">
            <w:pPr>
              <w:pStyle w:val="20"/>
              <w:numPr>
                <w:ilvl w:val="0"/>
                <w:numId w:val="0"/>
              </w:numPr>
              <w:snapToGrid w:val="0"/>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ascii="宋体" w:hAnsi="宋体" w:eastAsia="宋体" w:cs="宋体"/>
                <w:color w:val="auto"/>
                <w:sz w:val="21"/>
                <w:szCs w:val="21"/>
              </w:rPr>
              <w:t>本项目属于专门面向中小企业采购的项目或者采购包，不再设置价格扣除比例或者价格分加分比例</w:t>
            </w:r>
            <w:r>
              <w:rPr>
                <w:rFonts w:hint="eastAsia" w:ascii="宋体" w:hAnsi="宋体" w:eastAsia="宋体" w:cs="宋体"/>
                <w:color w:val="auto"/>
                <w:sz w:val="21"/>
                <w:szCs w:val="21"/>
                <w:lang w:eastAsia="zh-CN"/>
              </w:rPr>
              <w:t>。</w:t>
            </w:r>
          </w:p>
          <w:p w14:paraId="27377555">
            <w:pPr>
              <w:pStyle w:val="20"/>
              <w:numPr>
                <w:ilvl w:val="0"/>
                <w:numId w:val="0"/>
              </w:numPr>
              <w:snapToGrid w:val="0"/>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ascii="宋体" w:hAnsi="宋体" w:eastAsia="宋体" w:cs="宋体"/>
                <w:color w:val="auto"/>
                <w:sz w:val="21"/>
                <w:szCs w:val="21"/>
              </w:rPr>
              <w:t>因本项目属于专门面向中小企业采购的项目，规定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color w:val="auto"/>
                <w:sz w:val="21"/>
                <w:szCs w:val="21"/>
                <w:lang w:eastAsia="zh-CN"/>
              </w:rPr>
              <w:t>。</w:t>
            </w:r>
          </w:p>
          <w:p w14:paraId="5CAFF5F2">
            <w:pPr>
              <w:pStyle w:val="20"/>
              <w:numPr>
                <w:ilvl w:val="0"/>
                <w:numId w:val="0"/>
              </w:numPr>
              <w:snapToGrid w:val="0"/>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项目预付款方式：</w:t>
            </w:r>
          </w:p>
          <w:p w14:paraId="3C589BE7">
            <w:pPr>
              <w:pStyle w:val="20"/>
              <w:numPr>
                <w:ilvl w:val="0"/>
                <w:numId w:val="0"/>
              </w:numPr>
              <w:snapToGrid w:val="0"/>
              <w:spacing w:line="380" w:lineRule="exact"/>
              <w:ind w:firstLine="210" w:firstLineChars="1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①预付款支付比例：合同总价款</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lang w:eastAsia="zh-CN"/>
              </w:rPr>
              <w:t xml:space="preserve">%； </w:t>
            </w:r>
          </w:p>
          <w:p w14:paraId="6A6CE1E5">
            <w:pPr>
              <w:pStyle w:val="20"/>
              <w:numPr>
                <w:ilvl w:val="0"/>
                <w:numId w:val="0"/>
              </w:numPr>
              <w:snapToGrid w:val="0"/>
              <w:spacing w:line="380" w:lineRule="exact"/>
              <w:ind w:firstLine="210" w:firstLineChars="1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②预付款支付期限：签订合同之日起</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个工作日内。</w:t>
            </w:r>
          </w:p>
          <w:p w14:paraId="6D405AF7">
            <w:pPr>
              <w:pStyle w:val="20"/>
              <w:numPr>
                <w:ilvl w:val="0"/>
                <w:numId w:val="0"/>
              </w:numPr>
              <w:snapToGrid w:val="0"/>
              <w:spacing w:line="380" w:lineRule="exact"/>
              <w:rPr>
                <w:rFonts w:hint="eastAsia" w:hAnsi="宋体" w:cs="宋体"/>
                <w:color w:val="auto"/>
                <w:sz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本项目采购标的对应的中小企业划分标准所属行业为：</w:t>
            </w:r>
            <w:r>
              <w:rPr>
                <w:rFonts w:hint="eastAsia" w:ascii="宋体" w:hAnsi="宋体" w:eastAsia="宋体" w:cs="宋体"/>
                <w:color w:val="auto"/>
                <w:sz w:val="21"/>
                <w:szCs w:val="21"/>
                <w:lang w:val="en-US" w:eastAsia="zh-CN"/>
              </w:rPr>
              <w:t>建筑行业</w:t>
            </w:r>
            <w:r>
              <w:rPr>
                <w:rFonts w:hint="eastAsia" w:ascii="宋体" w:hAnsi="宋体" w:eastAsia="宋体" w:cs="宋体"/>
                <w:color w:val="auto"/>
                <w:sz w:val="21"/>
                <w:szCs w:val="21"/>
                <w:lang w:eastAsia="zh-CN"/>
              </w:rPr>
              <w:t>。</w:t>
            </w:r>
          </w:p>
        </w:tc>
      </w:tr>
    </w:tbl>
    <w:p w14:paraId="56CFA4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03FE4C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color w:val="auto"/>
          <w:sz w:val="32"/>
          <w:szCs w:val="32"/>
        </w:rPr>
      </w:pPr>
    </w:p>
    <w:p w14:paraId="48A393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auto"/>
          <w:szCs w:val="21"/>
        </w:rPr>
      </w:pPr>
      <w:r>
        <w:rPr>
          <w:rFonts w:hint="eastAsia" w:ascii="宋体" w:hAnsi="宋体"/>
          <w:b/>
          <w:bCs/>
          <w:color w:val="auto"/>
          <w:sz w:val="32"/>
          <w:szCs w:val="32"/>
        </w:rPr>
        <w:t>一、总则</w:t>
      </w:r>
    </w:p>
    <w:p w14:paraId="5A94F9A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1.适用范围</w:t>
      </w:r>
    </w:p>
    <w:p w14:paraId="4D04685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2500CEE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6C47912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2.定义</w:t>
      </w:r>
    </w:p>
    <w:p w14:paraId="5E64C50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2.1“采购人”是指依法进行政府采购的国家机关、事业单位、团体组织。</w:t>
      </w:r>
    </w:p>
    <w:p w14:paraId="498AFE81">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7A36CF8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166B105C">
      <w:pPr>
        <w:spacing w:line="360" w:lineRule="auto"/>
        <w:ind w:firstLine="420" w:firstLineChars="200"/>
        <w:rPr>
          <w:rFonts w:hint="eastAsia" w:ascii="宋体" w:hAnsi="宋体" w:cs="宋体"/>
          <w:color w:val="auto"/>
          <w:szCs w:val="21"/>
        </w:rPr>
      </w:pPr>
      <w:r>
        <w:rPr>
          <w:rFonts w:hint="eastAsia" w:ascii="宋体" w:hAnsi="宋体"/>
          <w:color w:val="auto"/>
          <w:szCs w:val="21"/>
        </w:rPr>
        <w:t>2.4“服务”是指除货物和工程以外的其他政府采购对象。</w:t>
      </w:r>
    </w:p>
    <w:p w14:paraId="48D6DBE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“竞标”是指供应商按照本项目竞争性磋商公告或者邀请函规定的方式获取磋商文件、提交响应文件并希望获得标的的行为。</w:t>
      </w:r>
    </w:p>
    <w:p w14:paraId="1474BB6A">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3B87E43F">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2.7“响应文件”</w:t>
      </w:r>
      <w:r>
        <w:rPr>
          <w:rFonts w:hint="eastAsia" w:ascii="宋体" w:hAnsi="宋体" w:cs="宋体"/>
          <w:color w:val="auto"/>
          <w:spacing w:val="-6"/>
          <w:szCs w:val="21"/>
        </w:rPr>
        <w:t>是指：供应商根据本磋商文件要求，编制包含资格证明、报价商务技术等所有内容的文件。</w:t>
      </w:r>
    </w:p>
    <w:p w14:paraId="2EDC9D52">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2.8“实质性要求”是指磋商文件中已经指明不满足则响应文件按无效响应处理的条款，或者不能负偏离的条款，或者采购需求中带“▲”的条款。</w:t>
      </w:r>
    </w:p>
    <w:p w14:paraId="63CDBB35">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14:paraId="493209B9">
      <w:pPr>
        <w:spacing w:line="360" w:lineRule="auto"/>
        <w:ind w:firstLine="420" w:firstLineChars="200"/>
        <w:contextualSpacing/>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14:paraId="789743F4">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2.11“允许负偏离的条款”是指采购需求中的不属于“实质性要求”的条款。</w:t>
      </w:r>
    </w:p>
    <w:p w14:paraId="33856D70">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14:paraId="06954C9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02B733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59CFF9CD">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4.竞标费用</w:t>
      </w:r>
    </w:p>
    <w:p w14:paraId="281080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3EB69064">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5.联合体竞标</w:t>
      </w:r>
    </w:p>
    <w:p w14:paraId="552AC3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4712AE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466C78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5.3</w:t>
      </w:r>
      <w:bookmarkStart w:id="19" w:name="_Hlk66782192"/>
      <w:r>
        <w:rPr>
          <w:rFonts w:hint="eastAsia" w:ascii="宋体" w:hAnsi="宋体"/>
          <w:color w:val="auto"/>
          <w:szCs w:val="21"/>
        </w:rPr>
        <w:t>根据《政府采购促进中小企业发展管理办法》（财库〔2020〕46号）第九条第二款的规定</w:t>
      </w:r>
      <w:r>
        <w:rPr>
          <w:rFonts w:hint="eastAsia" w:hAnsi="宋体" w:cs="宋体"/>
          <w:color w:val="auto"/>
          <w:sz w:val="21"/>
          <w:szCs w:val="21"/>
          <w:lang w:eastAsia="zh-CN"/>
        </w:rPr>
        <w:t>及</w:t>
      </w:r>
      <w:r>
        <w:rPr>
          <w:rFonts w:ascii="宋体" w:hAnsi="宋体" w:eastAsia="宋体" w:cs="宋体"/>
          <w:color w:val="auto"/>
          <w:sz w:val="21"/>
          <w:szCs w:val="21"/>
        </w:rPr>
        <w:t>《</w:t>
      </w:r>
      <w:r>
        <w:rPr>
          <w:rFonts w:hint="eastAsia" w:hAnsi="宋体" w:cs="宋体"/>
          <w:color w:val="auto"/>
          <w:sz w:val="21"/>
          <w:szCs w:val="21"/>
          <w:lang w:eastAsia="zh-CN"/>
        </w:rPr>
        <w:t>广西壮族自治区财政厅关于持续优化政府采购营商环境推动高质量发展的通知</w:t>
      </w:r>
      <w:r>
        <w:rPr>
          <w:rFonts w:ascii="宋体" w:hAnsi="宋体" w:eastAsia="宋体" w:cs="宋体"/>
          <w:color w:val="auto"/>
          <w:sz w:val="21"/>
          <w:szCs w:val="21"/>
        </w:rPr>
        <w:t>》</w:t>
      </w:r>
      <w:r>
        <w:rPr>
          <w:rFonts w:hint="eastAsia" w:hAnsi="宋体" w:cs="宋体"/>
          <w:color w:val="auto"/>
          <w:sz w:val="21"/>
          <w:szCs w:val="21"/>
          <w:lang w:eastAsia="zh-CN"/>
        </w:rPr>
        <w:t>桂财采〔2024〕55号</w:t>
      </w:r>
      <w:r>
        <w:rPr>
          <w:rFonts w:hint="eastAsia" w:ascii="宋体" w:hAnsi="宋体"/>
          <w:color w:val="auto"/>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w:t>
      </w:r>
      <w:r>
        <w:rPr>
          <w:rFonts w:hint="eastAsia" w:ascii="宋体" w:hAnsi="宋体" w:eastAsia="宋体" w:cs="Times New Roman"/>
          <w:color w:val="auto"/>
          <w:szCs w:val="21"/>
        </w:rPr>
        <w:t>给予</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6</w:t>
      </w:r>
      <w:r>
        <w:rPr>
          <w:rFonts w:hint="eastAsia" w:ascii="宋体" w:hAnsi="宋体" w:eastAsia="宋体" w:cs="Times New Roman"/>
          <w:color w:val="auto"/>
          <w:szCs w:val="21"/>
        </w:rPr>
        <w:t>%的扣除，</w:t>
      </w:r>
      <w:r>
        <w:rPr>
          <w:rFonts w:hint="eastAsia" w:ascii="宋体" w:hAnsi="宋体"/>
          <w:color w:val="auto"/>
          <w:szCs w:val="21"/>
        </w:rPr>
        <w:t>用扣除后的价格参加评审。</w:t>
      </w:r>
      <w:bookmarkEnd w:id="19"/>
    </w:p>
    <w:p w14:paraId="75C4D55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 xml:space="preserve">6.转包与分包             </w:t>
      </w:r>
    </w:p>
    <w:p w14:paraId="121D0801">
      <w:pPr>
        <w:pStyle w:val="6"/>
        <w:keepNext w:val="0"/>
        <w:keepLines w:val="0"/>
        <w:spacing w:before="0" w:after="0" w:line="360" w:lineRule="auto"/>
        <w:ind w:left="420" w:leftChars="200"/>
        <w:rPr>
          <w:rFonts w:hint="eastAsia" w:ascii="宋体" w:hAnsi="宋体"/>
          <w:b w:val="0"/>
          <w:color w:val="auto"/>
          <w:sz w:val="21"/>
          <w:szCs w:val="21"/>
        </w:rPr>
      </w:pPr>
      <w:bookmarkStart w:id="20" w:name="_Toc254970532"/>
      <w:bookmarkStart w:id="21" w:name="_Toc254970673"/>
      <w:r>
        <w:rPr>
          <w:rFonts w:hint="eastAsia" w:ascii="宋体" w:hAnsi="宋体"/>
          <w:b w:val="0"/>
          <w:color w:val="auto"/>
          <w:sz w:val="21"/>
          <w:szCs w:val="21"/>
        </w:rPr>
        <w:t>6.1本项目不允许转包。</w:t>
      </w:r>
    </w:p>
    <w:p w14:paraId="6276A9E5">
      <w:pPr>
        <w:pStyle w:val="6"/>
        <w:keepNext w:val="0"/>
        <w:keepLines w:val="0"/>
        <w:spacing w:before="0" w:after="0" w:line="360" w:lineRule="auto"/>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880BB2B">
      <w:pPr>
        <w:pStyle w:val="6"/>
        <w:keepNext w:val="0"/>
        <w:keepLines w:val="0"/>
        <w:spacing w:before="0" w:after="0" w:line="360" w:lineRule="auto"/>
        <w:ind w:firstLine="315" w:firstLineChars="150"/>
        <w:rPr>
          <w:rFonts w:hint="eastAsia" w:ascii="宋体" w:hAnsi="宋体"/>
          <w:b w:val="0"/>
          <w:color w:val="auto"/>
          <w:sz w:val="21"/>
          <w:szCs w:val="21"/>
        </w:rPr>
      </w:pPr>
      <w:r>
        <w:rPr>
          <w:rFonts w:hint="eastAsia" w:ascii="宋体" w:hAnsi="宋体"/>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E24CD0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7.特别说明</w:t>
      </w:r>
      <w:bookmarkEnd w:id="20"/>
      <w:bookmarkEnd w:id="21"/>
    </w:p>
    <w:p w14:paraId="76D785D1">
      <w:pPr>
        <w:spacing w:line="360" w:lineRule="auto"/>
        <w:ind w:firstLine="420" w:firstLineChars="200"/>
        <w:rPr>
          <w:rFonts w:hint="eastAsia" w:ascii="宋体" w:hAnsi="宋体" w:cs="宋体"/>
          <w:color w:val="auto"/>
          <w:szCs w:val="21"/>
        </w:rPr>
      </w:pPr>
      <w:bookmarkStart w:id="22" w:name="_8.1提供相同品牌产品且通过资格审查、符合性审查的不同投标人参加同一合"/>
      <w:bookmarkEnd w:id="22"/>
      <w:r>
        <w:rPr>
          <w:rFonts w:hint="eastAsia" w:ascii="宋体" w:hAnsi="宋体" w:cs="宋体"/>
          <w:color w:val="auto"/>
          <w:szCs w:val="21"/>
        </w:rPr>
        <w:t>7.</w:t>
      </w:r>
      <w:r>
        <w:rPr>
          <w:rFonts w:ascii="宋体" w:hAnsi="宋体" w:cs="宋体"/>
          <w:color w:val="auto"/>
          <w:szCs w:val="21"/>
        </w:rPr>
        <w:t>1</w:t>
      </w:r>
      <w:bookmarkStart w:id="23"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23"/>
    <w:p w14:paraId="2DC87A9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08F1F82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供应商在竞标活动中提供任何疑似虚假材料，将报监管部门查处；签订合同后发现的，成交供应商须依法赔偿采购人，且民事赔偿并不免除违法供应商的行政与刑事责任。</w:t>
      </w:r>
    </w:p>
    <w:p w14:paraId="086DE64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78012ED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3FD214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23A35CC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6CC458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3CEEF22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650AF5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B3EDF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5C20E13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（1）不同供应商的响应文件由同一单位或者个人编制； </w:t>
      </w:r>
    </w:p>
    <w:p w14:paraId="448C076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5381B6B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4BB22A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63F203E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217546B3">
      <w:pPr>
        <w:tabs>
          <w:tab w:val="left" w:pos="6931"/>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169E06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05562E2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7B1663A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13B04B0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043F8C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2DA0554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4012821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3B84413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1A410676">
      <w:pPr>
        <w:spacing w:line="360" w:lineRule="auto"/>
        <w:ind w:left="1" w:firstLine="417" w:firstLineChars="199"/>
        <w:jc w:val="center"/>
        <w:rPr>
          <w:rFonts w:hint="eastAsia" w:ascii="宋体" w:hAnsi="宋体"/>
          <w:color w:val="auto"/>
        </w:rPr>
      </w:pPr>
      <w:bookmarkStart w:id="24" w:name="_Toc254970675"/>
      <w:bookmarkStart w:id="25" w:name="_Toc254970534"/>
    </w:p>
    <w:p w14:paraId="0F40F4EE">
      <w:pPr>
        <w:spacing w:line="360" w:lineRule="auto"/>
        <w:jc w:val="center"/>
        <w:rPr>
          <w:rFonts w:hint="eastAsia" w:ascii="宋体" w:hAnsi="宋体"/>
          <w:b/>
          <w:bCs/>
          <w:color w:val="auto"/>
          <w:sz w:val="32"/>
          <w:szCs w:val="32"/>
        </w:rPr>
      </w:pPr>
      <w:r>
        <w:rPr>
          <w:rFonts w:hint="eastAsia" w:ascii="宋体" w:hAnsi="宋体"/>
          <w:b/>
          <w:bCs/>
          <w:color w:val="auto"/>
          <w:sz w:val="32"/>
          <w:szCs w:val="32"/>
        </w:rPr>
        <w:t>二、磋商文件</w:t>
      </w:r>
      <w:bookmarkEnd w:id="24"/>
      <w:bookmarkEnd w:id="25"/>
    </w:p>
    <w:p w14:paraId="357048CF">
      <w:pPr>
        <w:spacing w:line="360" w:lineRule="auto"/>
        <w:ind w:firstLine="482" w:firstLineChars="200"/>
        <w:rPr>
          <w:rFonts w:hint="eastAsia" w:ascii="黑体" w:hAnsi="黑体" w:eastAsia="黑体" w:cs="宋体"/>
          <w:b/>
          <w:bCs/>
          <w:color w:val="auto"/>
          <w:sz w:val="24"/>
        </w:rPr>
      </w:pPr>
    </w:p>
    <w:p w14:paraId="18CA05DF">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8.磋商文件的构成</w:t>
      </w:r>
    </w:p>
    <w:p w14:paraId="6750F1EA">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（1）竞争性磋商公告；</w:t>
      </w:r>
    </w:p>
    <w:p w14:paraId="5766B36D">
      <w:pPr>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（2）供应商须知； </w:t>
      </w:r>
    </w:p>
    <w:p w14:paraId="30038945">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160A9B14">
      <w:pPr>
        <w:spacing w:line="360" w:lineRule="auto"/>
        <w:ind w:firstLine="420" w:firstLineChars="200"/>
        <w:jc w:val="left"/>
        <w:rPr>
          <w:rFonts w:hint="eastAsia" w:ascii="宋体" w:hAnsi="宋体"/>
          <w:color w:val="auto"/>
          <w:szCs w:val="21"/>
        </w:rPr>
      </w:pPr>
      <w:r>
        <w:rPr>
          <w:rFonts w:hint="eastAsia" w:ascii="宋体" w:hAnsi="宋体"/>
          <w:color w:val="auto"/>
          <w:szCs w:val="21"/>
        </w:rPr>
        <w:t>（4）评审程序、评审方法和评审标准；</w:t>
      </w:r>
    </w:p>
    <w:p w14:paraId="01D332FD">
      <w:pPr>
        <w:spacing w:line="360" w:lineRule="auto"/>
        <w:ind w:firstLine="420" w:firstLineChars="200"/>
        <w:jc w:val="left"/>
        <w:rPr>
          <w:rFonts w:hint="eastAsia" w:ascii="宋体" w:hAnsi="宋体"/>
          <w:color w:val="auto"/>
          <w:szCs w:val="21"/>
        </w:rPr>
      </w:pPr>
      <w:r>
        <w:rPr>
          <w:rFonts w:hint="eastAsia" w:ascii="宋体" w:hAnsi="宋体"/>
          <w:color w:val="auto"/>
          <w:szCs w:val="21"/>
        </w:rPr>
        <w:t>（5）响应文件格式；</w:t>
      </w:r>
    </w:p>
    <w:p w14:paraId="7D8C93EB">
      <w:pPr>
        <w:spacing w:line="360" w:lineRule="auto"/>
        <w:ind w:firstLine="420" w:firstLineChars="200"/>
        <w:jc w:val="left"/>
        <w:rPr>
          <w:rFonts w:hint="eastAsia" w:ascii="宋体" w:hAnsi="宋体"/>
          <w:color w:val="auto"/>
          <w:szCs w:val="21"/>
        </w:rPr>
      </w:pPr>
      <w:r>
        <w:rPr>
          <w:rFonts w:hint="eastAsia" w:ascii="宋体" w:hAnsi="宋体"/>
          <w:color w:val="auto"/>
          <w:szCs w:val="21"/>
        </w:rPr>
        <w:t>（6）合同文本。</w:t>
      </w:r>
    </w:p>
    <w:p w14:paraId="5A0D7B4D">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9.供应商的询问</w:t>
      </w:r>
    </w:p>
    <w:p w14:paraId="1D4F9673">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，以纸质书面形式向</w:t>
      </w:r>
      <w:r>
        <w:rPr>
          <w:rFonts w:ascii="宋体" w:hAnsi="宋体"/>
          <w:color w:val="auto"/>
          <w:szCs w:val="21"/>
        </w:rPr>
        <w:t>采购人、采购代理机构</w:t>
      </w:r>
      <w:r>
        <w:rPr>
          <w:rFonts w:hint="eastAsia" w:ascii="宋体" w:hAnsi="宋体"/>
          <w:color w:val="auto"/>
          <w:szCs w:val="21"/>
        </w:rPr>
        <w:t>提出</w:t>
      </w:r>
      <w:r>
        <w:rPr>
          <w:rFonts w:hint="eastAsia" w:ascii="宋体" w:hAnsi="宋体" w:cs="宋体"/>
          <w:color w:val="auto"/>
          <w:szCs w:val="21"/>
        </w:rPr>
        <w:t>，否则，由此产生的后果由供应商自行负责。</w:t>
      </w:r>
    </w:p>
    <w:p w14:paraId="63EA2E3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10.磋商文件的澄清和修改</w:t>
      </w:r>
    </w:p>
    <w:p w14:paraId="10318C3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auto"/>
          <w:szCs w:val="21"/>
        </w:rPr>
        <w:t>5</w:t>
      </w:r>
      <w:r>
        <w:rPr>
          <w:rFonts w:hint="eastAsia" w:ascii="宋体" w:hAnsi="宋体" w:cs="宋体"/>
          <w:color w:val="auto"/>
          <w:szCs w:val="21"/>
        </w:rPr>
        <w:t>日前，在原公告发布媒体上发布更正公告；不足</w:t>
      </w:r>
      <w:r>
        <w:rPr>
          <w:rFonts w:ascii="宋体" w:hAnsi="宋体" w:cs="宋体"/>
          <w:color w:val="auto"/>
          <w:szCs w:val="21"/>
        </w:rPr>
        <w:t>5</w:t>
      </w:r>
      <w:r>
        <w:rPr>
          <w:rFonts w:hint="eastAsia" w:ascii="宋体" w:hAnsi="宋体" w:cs="宋体"/>
          <w:color w:val="auto"/>
          <w:szCs w:val="21"/>
        </w:rPr>
        <w:t>日的，采购人、采购代理机构应当顺延提交首次响应文件截止时间。</w:t>
      </w:r>
    </w:p>
    <w:p w14:paraId="6859FCA7">
      <w:pPr>
        <w:spacing w:line="400" w:lineRule="exact"/>
        <w:ind w:firstLine="420" w:firstLineChars="200"/>
        <w:rPr>
          <w:rFonts w:hint="eastAsia" w:ascii="宋体" w:hAnsi="宋体"/>
          <w:color w:val="auto"/>
          <w:szCs w:val="21"/>
        </w:rPr>
      </w:pPr>
      <w:r>
        <w:rPr>
          <w:rFonts w:hint="eastAsia" w:ascii="宋体" w:hAnsi="宋体" w:cs="宋体"/>
          <w:color w:val="auto"/>
        </w:rPr>
        <w:t>10.2采购人和采购代理机构可以视采购具体情况，变更</w:t>
      </w:r>
      <w:r>
        <w:rPr>
          <w:rFonts w:hint="eastAsia" w:ascii="宋体" w:hAnsi="宋体" w:cs="宋体"/>
          <w:color w:val="auto"/>
          <w:szCs w:val="21"/>
        </w:rPr>
        <w:t>首次响应文件提交截止时间和开启时间</w:t>
      </w:r>
      <w:r>
        <w:rPr>
          <w:rFonts w:hint="eastAsia" w:ascii="宋体" w:hAnsi="宋体" w:cs="宋体"/>
          <w:color w:val="auto"/>
        </w:rPr>
        <w:t>，</w:t>
      </w:r>
      <w:r>
        <w:rPr>
          <w:rFonts w:hint="eastAsia" w:ascii="宋体" w:hAnsi="宋体"/>
          <w:color w:val="auto"/>
        </w:rPr>
        <w:t>并</w:t>
      </w:r>
      <w:r>
        <w:rPr>
          <w:rFonts w:hint="eastAsia" w:ascii="宋体" w:hAnsi="宋体"/>
          <w:color w:val="auto"/>
          <w:szCs w:val="21"/>
        </w:rPr>
        <w:t>在原公告发布媒体上发布更正公告。</w:t>
      </w:r>
    </w:p>
    <w:p w14:paraId="1277F862">
      <w:pPr>
        <w:spacing w:line="400" w:lineRule="exact"/>
        <w:ind w:firstLine="420" w:firstLineChars="200"/>
        <w:rPr>
          <w:rFonts w:hint="eastAsia" w:ascii="宋体" w:hAnsi="宋体" w:cs="宋体"/>
          <w:color w:val="auto"/>
        </w:rPr>
      </w:pPr>
      <w:r>
        <w:rPr>
          <w:rFonts w:hint="eastAsia" w:ascii="宋体" w:hAnsi="宋体" w:cs="宋体"/>
          <w:color w:val="auto"/>
        </w:rPr>
        <w:t>10.3</w:t>
      </w:r>
      <w:r>
        <w:rPr>
          <w:rFonts w:hint="eastAsia" w:ascii="宋体" w:hAnsi="宋体" w:cs="宋体"/>
          <w:color w:val="auto"/>
          <w:szCs w:val="21"/>
        </w:rPr>
        <w:t>磋商文件</w:t>
      </w:r>
      <w:r>
        <w:rPr>
          <w:rFonts w:hint="eastAsia" w:ascii="宋体" w:hAnsi="宋体"/>
          <w:color w:val="auto"/>
          <w:szCs w:val="21"/>
        </w:rPr>
        <w:t>澄清、答复、修改、补充的内容为</w:t>
      </w:r>
      <w:r>
        <w:rPr>
          <w:rFonts w:hint="eastAsia" w:ascii="宋体" w:hAnsi="宋体" w:cs="宋体"/>
          <w:color w:val="auto"/>
          <w:szCs w:val="21"/>
        </w:rPr>
        <w:t>磋商文件</w:t>
      </w:r>
      <w:r>
        <w:rPr>
          <w:rFonts w:hint="eastAsia" w:ascii="宋体" w:hAnsi="宋体"/>
          <w:color w:val="auto"/>
          <w:szCs w:val="21"/>
        </w:rPr>
        <w:t>的组成部分。</w:t>
      </w:r>
      <w:r>
        <w:rPr>
          <w:rFonts w:hint="eastAsia" w:ascii="宋体" w:hAnsi="宋体"/>
          <w:b/>
          <w:color w:val="auto"/>
          <w:szCs w:val="21"/>
        </w:rPr>
        <w:t>当</w:t>
      </w:r>
      <w:r>
        <w:rPr>
          <w:rFonts w:hint="eastAsia" w:ascii="宋体" w:hAnsi="宋体" w:cs="宋体"/>
          <w:b/>
          <w:color w:val="auto"/>
          <w:szCs w:val="21"/>
        </w:rPr>
        <w:t>磋商文件</w:t>
      </w:r>
      <w:r>
        <w:rPr>
          <w:rFonts w:hint="eastAsia" w:ascii="宋体" w:hAnsi="宋体"/>
          <w:b/>
          <w:color w:val="auto"/>
          <w:szCs w:val="21"/>
        </w:rPr>
        <w:t>与</w:t>
      </w:r>
      <w:r>
        <w:rPr>
          <w:rFonts w:hint="eastAsia" w:ascii="宋体" w:hAnsi="宋体" w:cs="宋体"/>
          <w:b/>
          <w:color w:val="auto"/>
          <w:szCs w:val="21"/>
        </w:rPr>
        <w:t>磋商文件</w:t>
      </w:r>
      <w:r>
        <w:rPr>
          <w:rFonts w:hint="eastAsia" w:ascii="宋体" w:hAnsi="宋体"/>
          <w:b/>
          <w:color w:val="auto"/>
          <w:szCs w:val="21"/>
        </w:rPr>
        <w:t>的澄清、答复、修改、补充通知就同一内容的表述不一致时，以最后发出的文件为准。</w:t>
      </w:r>
    </w:p>
    <w:p w14:paraId="40E205DB">
      <w:pPr>
        <w:spacing w:line="400" w:lineRule="exact"/>
        <w:ind w:firstLine="422" w:firstLineChars="200"/>
        <w:rPr>
          <w:rFonts w:hint="eastAsia" w:ascii="宋体" w:hAnsi="宋体"/>
          <w:b/>
          <w:color w:val="auto"/>
          <w:szCs w:val="21"/>
        </w:rPr>
      </w:pPr>
      <w:r>
        <w:rPr>
          <w:rFonts w:hint="eastAsia" w:ascii="宋体" w:hAnsi="宋体" w:cs="宋体"/>
          <w:b/>
          <w:color w:val="auto"/>
        </w:rPr>
        <w:t>10.4</w:t>
      </w:r>
      <w:r>
        <w:rPr>
          <w:rFonts w:hint="eastAsia" w:ascii="宋体" w:hAnsi="宋体"/>
          <w:b/>
          <w:color w:val="auto"/>
          <w:szCs w:val="21"/>
        </w:rPr>
        <w:t>响应文件未按磋商文件的澄清、修改后的内容编制的，其响应文件作无效响应处理。</w:t>
      </w:r>
    </w:p>
    <w:p w14:paraId="76AFE957">
      <w:pPr>
        <w:spacing w:line="400" w:lineRule="exact"/>
        <w:ind w:firstLine="422" w:firstLineChars="200"/>
        <w:rPr>
          <w:rFonts w:hint="eastAsia" w:ascii="宋体" w:hAnsi="宋体"/>
          <w:b/>
          <w:color w:val="auto"/>
          <w:szCs w:val="21"/>
        </w:rPr>
      </w:pPr>
    </w:p>
    <w:p w14:paraId="427821BE">
      <w:pPr>
        <w:spacing w:line="360" w:lineRule="auto"/>
        <w:jc w:val="center"/>
        <w:rPr>
          <w:rFonts w:hint="eastAsia" w:ascii="宋体" w:hAnsi="宋体"/>
          <w:b/>
          <w:bCs/>
          <w:color w:val="auto"/>
          <w:sz w:val="32"/>
          <w:szCs w:val="32"/>
        </w:rPr>
      </w:pPr>
      <w:r>
        <w:rPr>
          <w:rFonts w:hint="eastAsia" w:ascii="宋体" w:hAnsi="宋体"/>
          <w:b/>
          <w:bCs/>
          <w:color w:val="auto"/>
          <w:sz w:val="32"/>
          <w:szCs w:val="32"/>
        </w:rPr>
        <w:t>三、响应文件的编制</w:t>
      </w:r>
    </w:p>
    <w:p w14:paraId="5B28E3F0">
      <w:pPr>
        <w:spacing w:line="360" w:lineRule="auto"/>
        <w:ind w:firstLine="482" w:firstLineChars="200"/>
        <w:rPr>
          <w:rFonts w:hint="eastAsia" w:ascii="黑体" w:hAnsi="黑体" w:eastAsia="黑体" w:cs="宋体"/>
          <w:b/>
          <w:bCs/>
          <w:color w:val="auto"/>
          <w:sz w:val="24"/>
        </w:rPr>
      </w:pPr>
    </w:p>
    <w:p w14:paraId="037B14FF">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11.响应文件的编制原则</w:t>
      </w:r>
    </w:p>
    <w:p w14:paraId="61FE5D3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417063A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727C2DB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12.1响应文件由资格证明文件、报价</w:t>
      </w:r>
      <w:r>
        <w:rPr>
          <w:rFonts w:hint="eastAsia" w:ascii="宋体" w:hAnsi="宋体" w:cs="宋体"/>
          <w:color w:val="auto"/>
          <w:szCs w:val="21"/>
          <w:lang w:eastAsia="zh-CN"/>
        </w:rPr>
        <w:t>文件、</w:t>
      </w:r>
      <w:r>
        <w:rPr>
          <w:rFonts w:hint="eastAsia" w:ascii="宋体" w:hAnsi="宋体" w:cs="宋体"/>
          <w:color w:val="auto"/>
          <w:szCs w:val="21"/>
        </w:rPr>
        <w:t>商务技术文件</w:t>
      </w:r>
      <w:r>
        <w:rPr>
          <w:rFonts w:hint="eastAsia" w:ascii="宋体" w:hAnsi="宋体" w:cs="宋体"/>
          <w:color w:val="auto"/>
          <w:szCs w:val="21"/>
          <w:lang w:eastAsia="zh-CN"/>
        </w:rPr>
        <w:t>三</w:t>
      </w:r>
      <w:r>
        <w:rPr>
          <w:rFonts w:hint="eastAsia" w:ascii="宋体" w:hAnsi="宋体" w:cs="宋体"/>
          <w:color w:val="auto"/>
          <w:szCs w:val="21"/>
        </w:rPr>
        <w:t>部分组成。</w:t>
      </w:r>
    </w:p>
    <w:p w14:paraId="3333F3B3">
      <w:pPr>
        <w:spacing w:line="360" w:lineRule="auto"/>
        <w:ind w:left="840" w:leftChars="200" w:hanging="420" w:hangingChars="200"/>
        <w:rPr>
          <w:rFonts w:hint="eastAsia" w:ascii="宋体" w:hAnsi="宋体" w:eastAsia="宋体" w:cs="宋体"/>
          <w:color w:val="auto"/>
          <w:szCs w:val="21"/>
          <w:lang w:eastAsia="zh-CN"/>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r>
        <w:rPr>
          <w:rFonts w:hint="eastAsia" w:ascii="宋体" w:hAnsi="宋体" w:cs="宋体"/>
          <w:color w:val="auto"/>
          <w:szCs w:val="21"/>
          <w:lang w:eastAsia="zh-CN"/>
        </w:rPr>
        <w:t>；</w:t>
      </w:r>
    </w:p>
    <w:p w14:paraId="532FB63F">
      <w:pPr>
        <w:spacing w:line="360" w:lineRule="auto"/>
        <w:ind w:left="840" w:leftChars="200" w:hanging="420" w:hangingChars="200"/>
        <w:rPr>
          <w:rFonts w:hint="eastAsia" w:ascii="宋体" w:hAnsi="宋体" w:eastAsia="宋体" w:cs="宋体"/>
          <w:color w:val="auto"/>
          <w:szCs w:val="21"/>
          <w:lang w:eastAsia="zh-CN"/>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lang w:eastAsia="zh-CN"/>
        </w:rPr>
        <w:t>报价</w:t>
      </w:r>
      <w:r>
        <w:rPr>
          <w:rFonts w:hint="eastAsia" w:ascii="宋体" w:hAnsi="宋体" w:cs="宋体"/>
          <w:color w:val="auto"/>
          <w:szCs w:val="21"/>
        </w:rPr>
        <w:t>文件：详见须知前附表</w:t>
      </w:r>
      <w:r>
        <w:rPr>
          <w:rFonts w:hint="eastAsia" w:ascii="宋体" w:hAnsi="宋体" w:cs="宋体"/>
          <w:color w:val="auto"/>
          <w:szCs w:val="21"/>
          <w:lang w:eastAsia="zh-CN"/>
        </w:rPr>
        <w:t>；</w:t>
      </w:r>
    </w:p>
    <w:p w14:paraId="5A71629B">
      <w:pPr>
        <w:spacing w:line="360" w:lineRule="auto"/>
        <w:ind w:left="840" w:leftChars="200" w:hanging="420" w:hangingChars="200"/>
        <w:rPr>
          <w:rFonts w:hint="eastAsia" w:ascii="宋体" w:hAnsi="宋体" w:eastAsia="宋体" w:cs="宋体"/>
          <w:color w:val="auto"/>
          <w:szCs w:val="21"/>
          <w:lang w:eastAsia="zh-CN"/>
        </w:rPr>
      </w:pPr>
      <w:r>
        <w:rPr>
          <w:rFonts w:hint="eastAsia" w:ascii="宋体" w:hAnsi="宋体" w:cs="宋体"/>
          <w:color w:val="auto"/>
          <w:szCs w:val="21"/>
          <w:lang w:val="en-US" w:eastAsia="zh-CN"/>
        </w:rPr>
        <w:t>12.1.3</w:t>
      </w:r>
      <w:r>
        <w:rPr>
          <w:rFonts w:hint="eastAsia" w:ascii="宋体" w:hAnsi="宋体" w:cs="宋体"/>
          <w:color w:val="auto"/>
          <w:szCs w:val="21"/>
        </w:rPr>
        <w:t>商务技术文件：详见须知前附表</w:t>
      </w:r>
      <w:r>
        <w:rPr>
          <w:rFonts w:hint="eastAsia" w:ascii="宋体" w:hAnsi="宋体" w:cs="宋体"/>
          <w:color w:val="auto"/>
          <w:szCs w:val="21"/>
          <w:lang w:eastAsia="zh-CN"/>
        </w:rPr>
        <w:t>。</w:t>
      </w:r>
    </w:p>
    <w:p w14:paraId="47E6289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13.计量单位</w:t>
      </w:r>
    </w:p>
    <w:p w14:paraId="7BD4DA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22E1E4B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14.竞标的风险</w:t>
      </w:r>
    </w:p>
    <w:p w14:paraId="1D395F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3AEAF114">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15.竞标报价</w:t>
      </w:r>
    </w:p>
    <w:p w14:paraId="795ED14C">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15.1竞标报价应按磋商文件中“竞标报价表”格式填写。</w:t>
      </w:r>
    </w:p>
    <w:p w14:paraId="422A11DC">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15.2竞标报价的内容</w:t>
      </w:r>
      <w:r>
        <w:rPr>
          <w:rFonts w:hint="eastAsia" w:ascii="宋体" w:hAnsi="宋体" w:cs="宋体"/>
          <w:color w:val="auto"/>
          <w:szCs w:val="21"/>
          <w:lang w:eastAsia="zh-CN"/>
        </w:rPr>
        <w:t>及要求</w:t>
      </w:r>
      <w:r>
        <w:rPr>
          <w:rFonts w:hint="eastAsia" w:ascii="宋体" w:hAnsi="宋体" w:cs="宋体"/>
          <w:color w:val="auto"/>
          <w:szCs w:val="21"/>
        </w:rPr>
        <w:t>见“供应商须知前附表”。</w:t>
      </w:r>
    </w:p>
    <w:p w14:paraId="17A46707">
      <w:pPr>
        <w:spacing w:line="360" w:lineRule="auto"/>
        <w:ind w:firstLine="422" w:firstLineChars="200"/>
        <w:rPr>
          <w:rFonts w:ascii="宋体" w:hAnsi="宋体" w:cs="宋体"/>
          <w:b/>
          <w:color w:val="auto"/>
          <w:szCs w:val="21"/>
        </w:rPr>
      </w:pPr>
      <w:r>
        <w:rPr>
          <w:rFonts w:hint="eastAsia" w:ascii="宋体" w:hAnsi="宋体" w:cs="宋体"/>
          <w:b/>
          <w:color w:val="auto"/>
          <w:szCs w:val="21"/>
        </w:rPr>
        <w:t>1</w:t>
      </w:r>
      <w:r>
        <w:rPr>
          <w:rFonts w:ascii="宋体" w:hAnsi="宋体" w:cs="宋体"/>
          <w:b/>
          <w:color w:val="auto"/>
          <w:szCs w:val="21"/>
        </w:rPr>
        <w:t>5.3.1</w:t>
      </w:r>
      <w:r>
        <w:rPr>
          <w:rFonts w:hint="eastAsia" w:ascii="宋体" w:hAnsi="宋体" w:cs="宋体"/>
          <w:b/>
          <w:color w:val="auto"/>
          <w:szCs w:val="21"/>
        </w:rPr>
        <w:t>供应商的竞标报价应符合以下要求，否则响应文件按无效响应处理：</w:t>
      </w:r>
    </w:p>
    <w:p w14:paraId="3DBE499D">
      <w:pPr>
        <w:spacing w:line="360" w:lineRule="auto"/>
        <w:ind w:firstLine="420" w:firstLine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（1）供应商必须就“采购需求”中所竞标的每个分标的全部内容分别作完整唯一总价报价，不得存在漏项报价；</w:t>
      </w:r>
    </w:p>
    <w:p w14:paraId="26840F09">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0656DC0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最后报价超过所竞标分标规定的采购预算金额或者最高限价的，其响应文件将按无效响应处理。</w:t>
      </w:r>
      <w:bookmarkStart w:id="26" w:name="_Hlk42592874"/>
    </w:p>
    <w:bookmarkEnd w:id="26"/>
    <w:p w14:paraId="54E5C1BD">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16.竞标有效期</w:t>
      </w:r>
    </w:p>
    <w:p w14:paraId="38089ED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37AE5DC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289DDA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4A86039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17.磋商保证金</w:t>
      </w:r>
    </w:p>
    <w:p w14:paraId="03066015">
      <w:pPr>
        <w:spacing w:line="360" w:lineRule="auto"/>
        <w:ind w:left="420" w:leftChars="200"/>
        <w:rPr>
          <w:rFonts w:hint="eastAsia" w:ascii="宋体" w:hAnsi="宋体" w:cs="宋体"/>
          <w:color w:val="auto"/>
          <w:szCs w:val="21"/>
        </w:rPr>
      </w:pPr>
      <w:r>
        <w:rPr>
          <w:rFonts w:hint="eastAsia" w:ascii="宋体" w:hAnsi="宋体" w:cs="宋体"/>
          <w:color w:val="auto"/>
          <w:szCs w:val="21"/>
        </w:rPr>
        <w:t>17.1供应商须按“供应商须知前附表”的规定提交磋商保证金。</w:t>
      </w:r>
    </w:p>
    <w:p w14:paraId="14B91E63">
      <w:pPr>
        <w:spacing w:line="360" w:lineRule="auto"/>
        <w:ind w:left="420" w:leftChars="200"/>
        <w:rPr>
          <w:rFonts w:hint="eastAsia" w:ascii="宋体" w:hAnsi="宋体" w:cs="宋体"/>
          <w:color w:val="auto"/>
          <w:szCs w:val="21"/>
        </w:rPr>
      </w:pPr>
      <w:r>
        <w:rPr>
          <w:rFonts w:hint="eastAsia" w:ascii="宋体" w:hAnsi="宋体" w:cs="宋体"/>
          <w:color w:val="auto"/>
          <w:szCs w:val="21"/>
        </w:rPr>
        <w:t>17.2磋商保证金的退还</w:t>
      </w:r>
    </w:p>
    <w:p w14:paraId="6B53A1E5">
      <w:pPr>
        <w:spacing w:line="360" w:lineRule="auto"/>
        <w:ind w:firstLine="420" w:firstLineChars="200"/>
        <w:rPr>
          <w:rFonts w:hint="eastAsia" w:ascii="宋体" w:hAnsi="宋体" w:cs="宋体"/>
          <w:color w:val="auto"/>
          <w:szCs w:val="21"/>
        </w:rPr>
      </w:pPr>
      <w:bookmarkStart w:id="27" w:name="_Hlk66782243"/>
      <w:r>
        <w:rPr>
          <w:rFonts w:hint="eastAsia" w:ascii="宋体" w:hAnsi="宋体" w:cs="宋体"/>
          <w:color w:val="auto"/>
          <w:szCs w:val="21"/>
        </w:rPr>
        <w:t>未</w:t>
      </w:r>
      <w:r>
        <w:rPr>
          <w:rFonts w:hint="eastAsia" w:ascii="宋体" w:hAnsi="宋体" w:cs="宋体"/>
          <w:color w:val="auto"/>
          <w:spacing w:val="-6"/>
          <w:szCs w:val="21"/>
        </w:rPr>
        <w:t>成交供应商的磋商保证金自成交通知书发出之日起</w:t>
      </w:r>
      <w:r>
        <w:rPr>
          <w:rFonts w:hint="eastAsia" w:ascii="宋体" w:hAnsi="宋体" w:cs="宋体"/>
          <w:color w:val="auto"/>
          <w:spacing w:val="-6"/>
          <w:szCs w:val="21"/>
          <w:lang w:val="en-US" w:eastAsia="zh-CN"/>
        </w:rPr>
        <w:t>5</w:t>
      </w:r>
      <w:r>
        <w:rPr>
          <w:rFonts w:hint="eastAsia" w:ascii="宋体" w:hAnsi="宋体" w:cs="宋体"/>
          <w:color w:val="auto"/>
          <w:spacing w:val="-6"/>
          <w:szCs w:val="21"/>
        </w:rPr>
        <w:t>个工作日内退还；</w:t>
      </w:r>
      <w:r>
        <w:rPr>
          <w:rFonts w:hint="eastAsia" w:ascii="宋体" w:hAnsi="宋体" w:cs="宋体"/>
          <w:color w:val="auto"/>
          <w:szCs w:val="21"/>
        </w:rPr>
        <w:t>成交供应商的磋商保证金自签订合同之日起</w:t>
      </w:r>
      <w:r>
        <w:rPr>
          <w:rFonts w:hint="eastAsia" w:ascii="宋体" w:hAnsi="宋体" w:cs="宋体"/>
          <w:color w:val="auto"/>
          <w:szCs w:val="21"/>
          <w:lang w:val="en-US" w:eastAsia="zh-CN"/>
        </w:rPr>
        <w:t>5</w:t>
      </w:r>
      <w:r>
        <w:rPr>
          <w:rFonts w:hint="eastAsia" w:ascii="宋体" w:hAnsi="宋体" w:cs="宋体"/>
          <w:color w:val="auto"/>
          <w:szCs w:val="21"/>
        </w:rPr>
        <w:t>个工作日内退还。</w:t>
      </w:r>
      <w:bookmarkEnd w:id="27"/>
      <w:r>
        <w:rPr>
          <w:rFonts w:hint="eastAsia" w:ascii="宋体" w:hAnsi="宋体" w:cs="宋体"/>
          <w:color w:val="auto"/>
          <w:szCs w:val="21"/>
        </w:rPr>
        <w:t xml:space="preserve"> </w:t>
      </w:r>
    </w:p>
    <w:p w14:paraId="49309D01">
      <w:pPr>
        <w:spacing w:line="360" w:lineRule="auto"/>
        <w:ind w:left="420" w:leftChars="200"/>
        <w:rPr>
          <w:rFonts w:hint="eastAsia" w:ascii="宋体" w:hAnsi="宋体" w:cs="宋体"/>
          <w:color w:val="auto"/>
          <w:szCs w:val="21"/>
        </w:rPr>
      </w:pPr>
      <w:r>
        <w:rPr>
          <w:rFonts w:hint="eastAsia" w:ascii="宋体" w:hAnsi="宋体" w:cs="宋体"/>
          <w:color w:val="auto"/>
          <w:szCs w:val="21"/>
        </w:rPr>
        <w:t>17.3磋商保证金不计息。</w:t>
      </w:r>
    </w:p>
    <w:p w14:paraId="00610400">
      <w:pPr>
        <w:spacing w:line="360" w:lineRule="auto"/>
        <w:ind w:left="420" w:leftChars="200"/>
        <w:rPr>
          <w:rFonts w:hint="eastAsia"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6BF8A4C6">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（1）供应商在提交首次响应文件截止时间后撤回响应文件的；</w:t>
      </w:r>
    </w:p>
    <w:p w14:paraId="4B04E4E1">
      <w:pPr>
        <w:spacing w:line="360" w:lineRule="auto"/>
        <w:ind w:left="420" w:leftChars="200"/>
        <w:rPr>
          <w:rFonts w:ascii="宋体" w:hAnsi="宋体" w:cs="宋体"/>
          <w:color w:val="auto"/>
          <w:szCs w:val="21"/>
        </w:rPr>
      </w:pPr>
      <w:r>
        <w:rPr>
          <w:rFonts w:hint="eastAsia" w:ascii="宋体" w:hAnsi="宋体"/>
          <w:color w:val="auto"/>
          <w:szCs w:val="21"/>
        </w:rPr>
        <w:t>（2）未按规定提交履约保证金的；</w:t>
      </w:r>
    </w:p>
    <w:p w14:paraId="4044EFF1">
      <w:pPr>
        <w:spacing w:line="360" w:lineRule="auto"/>
        <w:ind w:left="420" w:leftChars="200"/>
        <w:rPr>
          <w:rFonts w:hint="eastAsia" w:ascii="宋体" w:hAnsi="宋体" w:cs="宋体"/>
          <w:color w:val="auto"/>
          <w:szCs w:val="21"/>
        </w:rPr>
      </w:pPr>
      <w:r>
        <w:rPr>
          <w:rFonts w:hint="eastAsia" w:ascii="宋体" w:hAnsi="宋体" w:cs="宋体"/>
          <w:color w:val="auto"/>
          <w:szCs w:val="21"/>
        </w:rPr>
        <w:t>（3）供应商在响应文件中提供虚假材料的；</w:t>
      </w:r>
    </w:p>
    <w:p w14:paraId="79B477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14:paraId="306BE193">
      <w:pPr>
        <w:spacing w:line="360" w:lineRule="auto"/>
        <w:ind w:left="420" w:leftChars="200"/>
        <w:rPr>
          <w:rFonts w:hint="eastAsia" w:ascii="宋体" w:hAnsi="宋体" w:cs="宋体"/>
          <w:color w:val="auto"/>
          <w:szCs w:val="21"/>
        </w:rPr>
      </w:pPr>
      <w:r>
        <w:rPr>
          <w:rFonts w:hint="eastAsia" w:ascii="宋体" w:hAnsi="宋体" w:cs="宋体"/>
          <w:color w:val="auto"/>
          <w:szCs w:val="21"/>
        </w:rPr>
        <w:t>（5）供应商与采购人、其他供应商或者采购代理机构恶意串通的；</w:t>
      </w:r>
    </w:p>
    <w:p w14:paraId="7C7C4828">
      <w:pPr>
        <w:spacing w:line="360" w:lineRule="auto"/>
        <w:ind w:left="420" w:leftChars="200"/>
        <w:rPr>
          <w:rFonts w:hint="eastAsia" w:ascii="宋体" w:hAnsi="宋体" w:cs="宋体"/>
          <w:color w:val="auto"/>
          <w:szCs w:val="21"/>
        </w:rPr>
      </w:pPr>
      <w:r>
        <w:rPr>
          <w:rFonts w:hint="eastAsia" w:ascii="宋体" w:hAnsi="宋体" w:cs="宋体"/>
          <w:color w:val="auto"/>
          <w:szCs w:val="21"/>
        </w:rPr>
        <w:t>（6）法律法规规定的其他情形。</w:t>
      </w:r>
    </w:p>
    <w:p w14:paraId="1B391D7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18.响应文件编制的要求</w:t>
      </w:r>
    </w:p>
    <w:p w14:paraId="469C6AF2">
      <w:pPr>
        <w:spacing w:line="360" w:lineRule="auto"/>
        <w:ind w:firstLine="420" w:firstLineChars="200"/>
        <w:rPr>
          <w:rFonts w:hint="eastAsia" w:ascii="宋体" w:hAnsi="宋体" w:cs="宋体"/>
          <w:color w:val="auto"/>
          <w:spacing w:val="-6"/>
          <w:szCs w:val="21"/>
        </w:rPr>
      </w:pPr>
      <w:r>
        <w:rPr>
          <w:rFonts w:hint="eastAsia" w:ascii="宋体" w:hAnsi="宋体" w:cs="宋体"/>
          <w:color w:val="auto"/>
          <w:szCs w:val="21"/>
        </w:rPr>
        <w:t>18.1供应商应按本磋商文件规定的格式和顺序编制响应文件并标注页码，响应文件内容</w:t>
      </w:r>
      <w:r>
        <w:rPr>
          <w:rFonts w:hint="eastAsia" w:ascii="宋体" w:hAnsi="宋体" w:cs="宋体"/>
          <w:color w:val="auto"/>
          <w:spacing w:val="-6"/>
          <w:szCs w:val="21"/>
        </w:rPr>
        <w:t>不完整、编排混乱导致响应文件被误读、漏读或者查找不到相关内容的，</w:t>
      </w:r>
      <w:r>
        <w:rPr>
          <w:rFonts w:hint="eastAsia" w:ascii="宋体" w:hAnsi="宋体"/>
          <w:color w:val="auto"/>
        </w:rPr>
        <w:t>由此引发的</w:t>
      </w:r>
      <w:r>
        <w:rPr>
          <w:rFonts w:hint="eastAsia" w:ascii="宋体" w:hAnsi="宋体" w:cs="宋体"/>
          <w:color w:val="auto"/>
          <w:spacing w:val="-6"/>
          <w:szCs w:val="21"/>
        </w:rPr>
        <w:t>后果由供应商承担。</w:t>
      </w:r>
    </w:p>
    <w:p w14:paraId="31E27E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18.2响应文件应按资格证明文件、报价</w:t>
      </w:r>
      <w:r>
        <w:rPr>
          <w:rFonts w:hint="eastAsia" w:ascii="宋体" w:hAnsi="宋体" w:cs="宋体"/>
          <w:color w:val="auto"/>
          <w:szCs w:val="21"/>
          <w:lang w:eastAsia="zh-CN"/>
        </w:rPr>
        <w:t>文件、</w:t>
      </w:r>
      <w:r>
        <w:rPr>
          <w:rFonts w:hint="eastAsia" w:ascii="宋体" w:hAnsi="宋体" w:cs="宋体"/>
          <w:color w:val="auto"/>
          <w:szCs w:val="21"/>
        </w:rPr>
        <w:t>商务技术文件分别编制电子文件，</w:t>
      </w:r>
      <w:r>
        <w:rPr>
          <w:rFonts w:hint="eastAsia" w:ascii="宋体" w:hAnsi="宋体" w:cs="宋体"/>
          <w:color w:val="auto"/>
          <w:szCs w:val="21"/>
          <w:lang w:bidi="ar"/>
        </w:rPr>
        <w:t>并按</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的要求编制、加密、上传。</w:t>
      </w:r>
    </w:p>
    <w:p w14:paraId="7B1CF37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w:t>
      </w:r>
      <w:bookmarkStart w:id="28" w:name="_Hlk65832699"/>
      <w:r>
        <w:rPr>
          <w:rFonts w:hint="eastAsia" w:ascii="宋体" w:hAnsi="宋体" w:cs="宋体"/>
          <w:color w:val="auto"/>
          <w:szCs w:val="21"/>
        </w:rPr>
        <w:t>3</w:t>
      </w:r>
      <w:r>
        <w:rPr>
          <w:rFonts w:hint="eastAsia" w:ascii="宋体" w:hAnsi="宋体"/>
          <w:color w:val="auto"/>
          <w:szCs w:val="21"/>
        </w:rPr>
        <w:t>响应文件须由供应商在规定位置盖公章并签字</w:t>
      </w:r>
      <w:bookmarkStart w:id="29" w:name="_Hlk65832569"/>
      <w:r>
        <w:rPr>
          <w:rFonts w:hint="eastAsia" w:ascii="宋体" w:hAnsi="宋体"/>
          <w:color w:val="auto"/>
          <w:szCs w:val="21"/>
        </w:rPr>
        <w:t>（具体以供应商须知前附表或响应文件格式规定为准）</w:t>
      </w:r>
      <w:bookmarkEnd w:id="28"/>
      <w:bookmarkEnd w:id="29"/>
      <w:r>
        <w:rPr>
          <w:rFonts w:hint="eastAsia" w:ascii="宋体" w:hAnsi="宋体" w:cs="宋体"/>
          <w:color w:val="auto"/>
          <w:szCs w:val="21"/>
        </w:rPr>
        <w:t>，否则其响应文件按无效响应处理。</w:t>
      </w:r>
    </w:p>
    <w:p w14:paraId="08329CE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18.4响应文件成交的供应商名称应与营业执照（事业单位法人证书、执业许可证、自然人身份证）及公章一致，否则其响应文件按无效响应处理。</w:t>
      </w:r>
    </w:p>
    <w:p w14:paraId="13B5ABE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7FBCAAD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19.响应文件的加密、解密</w:t>
      </w:r>
    </w:p>
    <w:p w14:paraId="4BFD5760">
      <w:pPr>
        <w:spacing w:line="360" w:lineRule="auto"/>
        <w:ind w:firstLine="420" w:firstLineChars="200"/>
        <w:rPr>
          <w:rFonts w:hint="eastAsia" w:ascii="宋体" w:hAnsi="宋体" w:cs="宋体"/>
          <w:color w:val="auto"/>
          <w:szCs w:val="21"/>
        </w:rPr>
      </w:pPr>
      <w:r>
        <w:rPr>
          <w:rFonts w:hint="eastAsia" w:ascii="宋体" w:hAnsi="宋体"/>
          <w:color w:val="auto"/>
          <w:szCs w:val="21"/>
        </w:rPr>
        <w:t>19.1电子</w:t>
      </w:r>
      <w:r>
        <w:rPr>
          <w:rFonts w:hint="eastAsia" w:ascii="宋体" w:hAnsi="宋体" w:cs="宋体"/>
          <w:color w:val="auto"/>
          <w:szCs w:val="21"/>
        </w:rPr>
        <w:t>响应文件</w:t>
      </w:r>
      <w:r>
        <w:rPr>
          <w:rFonts w:hint="eastAsia" w:ascii="宋体" w:hAnsi="宋体"/>
          <w:color w:val="auto"/>
          <w:szCs w:val="21"/>
        </w:rPr>
        <w:t>编制完成后，供应商应按</w:t>
      </w:r>
      <w:r>
        <w:rPr>
          <w:rFonts w:hint="eastAsia" w:ascii="宋体" w:hAnsi="宋体"/>
          <w:color w:val="auto"/>
          <w:szCs w:val="21"/>
          <w:lang w:eastAsia="zh-CN"/>
        </w:rPr>
        <w:t>广西政府采购云平台</w:t>
      </w:r>
      <w:r>
        <w:rPr>
          <w:rFonts w:hint="eastAsia" w:ascii="宋体" w:hAnsi="宋体"/>
          <w:color w:val="auto"/>
          <w:szCs w:val="21"/>
        </w:rPr>
        <w:t>的要求进行加密，并在规定时间内解密，否则，由此产生的后果由供应商自行负责。</w:t>
      </w:r>
    </w:p>
    <w:p w14:paraId="4EB944F5">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20.响应文件的提交</w:t>
      </w:r>
    </w:p>
    <w:p w14:paraId="3064BCB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20.1供应商必须在“供应商须知前附表”规定的时间和地点提交响应文件。</w:t>
      </w:r>
    </w:p>
    <w:p w14:paraId="554BB705">
      <w:pPr>
        <w:widowControl/>
        <w:spacing w:line="360" w:lineRule="auto"/>
        <w:ind w:firstLine="420" w:firstLineChars="200"/>
        <w:rPr>
          <w:rFonts w:hint="eastAsia" w:ascii="宋体" w:hAnsi="宋体" w:cs="宋体"/>
          <w:b/>
          <w:color w:val="auto"/>
          <w:szCs w:val="21"/>
          <w:lang w:bidi="ar"/>
        </w:rPr>
      </w:pPr>
      <w:r>
        <w:rPr>
          <w:rFonts w:hint="eastAsia" w:ascii="宋体" w:hAnsi="宋体" w:cs="宋体"/>
          <w:color w:val="auto"/>
          <w:szCs w:val="21"/>
        </w:rPr>
        <w:t>20.2</w:t>
      </w:r>
      <w:r>
        <w:rPr>
          <w:rFonts w:hint="eastAsia" w:ascii="宋体" w:hAnsi="宋体" w:cs="宋体"/>
          <w:color w:val="auto"/>
          <w:szCs w:val="21"/>
          <w:lang w:bidi="ar"/>
        </w:rPr>
        <w:t>本项目为全流程电子化政府采购项目，通过</w:t>
      </w:r>
      <w:r>
        <w:rPr>
          <w:rFonts w:hint="eastAsia" w:ascii="宋体" w:hAnsi="宋体" w:cs="宋体"/>
          <w:color w:val="auto"/>
          <w:szCs w:val="21"/>
          <w:lang w:eastAsia="zh-CN" w:bidi="ar"/>
        </w:rPr>
        <w:t>广西政府采购云平台（https://www.gcy.zfcg.gxzf.gov.cn/）</w:t>
      </w:r>
      <w:r>
        <w:rPr>
          <w:rFonts w:hint="eastAsia" w:ascii="宋体" w:hAnsi="宋体" w:cs="宋体"/>
          <w:color w:val="auto"/>
          <w:szCs w:val="21"/>
          <w:lang w:bidi="ar"/>
        </w:rPr>
        <w:t>实行在线电子竞标，供应商应先安装“</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电子交易客户端”（请自行前往</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进行下载），并按照本项目竞争性磋商文件和</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的要求编制、加密后在首次响应文件提交截止时间前通过网络上传至</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w:t>
      </w:r>
      <w:r>
        <w:rPr>
          <w:rFonts w:hint="eastAsia" w:ascii="宋体" w:hAnsi="宋体" w:cs="宋体"/>
          <w:b/>
          <w:color w:val="auto"/>
          <w:szCs w:val="21"/>
          <w:lang w:bidi="ar"/>
        </w:rPr>
        <w:t>供应商在</w:t>
      </w:r>
      <w:r>
        <w:rPr>
          <w:rFonts w:hint="eastAsia" w:ascii="宋体" w:hAnsi="宋体" w:cs="宋体"/>
          <w:b/>
          <w:color w:val="auto"/>
          <w:szCs w:val="21"/>
          <w:lang w:eastAsia="zh-CN" w:bidi="ar"/>
        </w:rPr>
        <w:t>广西政府采购云平台</w:t>
      </w:r>
      <w:r>
        <w:rPr>
          <w:rFonts w:hint="eastAsia" w:ascii="宋体" w:hAnsi="宋体" w:cs="宋体"/>
          <w:b/>
          <w:color w:val="auto"/>
          <w:szCs w:val="21"/>
          <w:lang w:bidi="ar"/>
        </w:rPr>
        <w:t>提交电子版响应文件时，请填写参加远程开标活动经办人联系方式。</w:t>
      </w:r>
    </w:p>
    <w:p w14:paraId="7CC1ED22">
      <w:pPr>
        <w:pStyle w:val="6"/>
        <w:keepNext w:val="0"/>
        <w:keepLines w:val="0"/>
        <w:spacing w:before="0" w:after="0" w:line="360" w:lineRule="auto"/>
        <w:ind w:firstLine="420" w:firstLineChars="200"/>
        <w:jc w:val="left"/>
        <w:rPr>
          <w:rFonts w:hint="eastAsia" w:ascii="宋体" w:hAnsi="宋体"/>
          <w:b w:val="0"/>
          <w:color w:val="auto"/>
          <w:sz w:val="21"/>
          <w:szCs w:val="21"/>
        </w:rPr>
      </w:pPr>
      <w:r>
        <w:rPr>
          <w:rFonts w:hint="eastAsia" w:ascii="宋体" w:hAnsi="宋体"/>
          <w:b w:val="0"/>
          <w:color w:val="auto"/>
          <w:sz w:val="21"/>
          <w:szCs w:val="21"/>
        </w:rPr>
        <w:t>2</w:t>
      </w:r>
      <w:r>
        <w:rPr>
          <w:rFonts w:hint="eastAsia" w:ascii="宋体" w:hAnsi="宋体"/>
          <w:b w:val="0"/>
          <w:color w:val="auto"/>
          <w:sz w:val="21"/>
          <w:szCs w:val="21"/>
          <w:lang w:eastAsia="zh-CN"/>
        </w:rPr>
        <w:t>0</w:t>
      </w:r>
      <w:r>
        <w:rPr>
          <w:rFonts w:hint="eastAsia" w:ascii="宋体" w:hAnsi="宋体"/>
          <w:b w:val="0"/>
          <w:color w:val="auto"/>
          <w:sz w:val="21"/>
          <w:szCs w:val="21"/>
        </w:rPr>
        <w:t>.</w:t>
      </w:r>
      <w:r>
        <w:rPr>
          <w:rFonts w:hint="eastAsia" w:ascii="宋体" w:hAnsi="宋体"/>
          <w:b w:val="0"/>
          <w:color w:val="auto"/>
          <w:sz w:val="21"/>
          <w:szCs w:val="21"/>
          <w:lang w:eastAsia="zh-CN"/>
        </w:rPr>
        <w:t>3</w:t>
      </w:r>
      <w:r>
        <w:rPr>
          <w:rFonts w:hint="eastAsia" w:ascii="宋体" w:hAnsi="宋体"/>
          <w:b w:val="0"/>
          <w:color w:val="auto"/>
          <w:sz w:val="21"/>
          <w:szCs w:val="21"/>
        </w:rPr>
        <w:t>未在规定时间内</w:t>
      </w:r>
      <w:r>
        <w:rPr>
          <w:rFonts w:hint="eastAsia" w:ascii="宋体" w:hAnsi="宋体"/>
          <w:b w:val="0"/>
          <w:color w:val="auto"/>
          <w:sz w:val="21"/>
          <w:szCs w:val="21"/>
          <w:lang w:eastAsia="zh-CN"/>
        </w:rPr>
        <w:t>上传</w:t>
      </w:r>
      <w:r>
        <w:rPr>
          <w:rFonts w:hint="eastAsia" w:ascii="宋体" w:hAnsi="宋体"/>
          <w:b w:val="0"/>
          <w:color w:val="auto"/>
          <w:sz w:val="21"/>
          <w:szCs w:val="21"/>
        </w:rPr>
        <w:t>或者未按</w:t>
      </w:r>
      <w:r>
        <w:rPr>
          <w:rFonts w:hint="eastAsia" w:ascii="宋体" w:hAnsi="宋体"/>
          <w:b w:val="0"/>
          <w:color w:val="auto"/>
          <w:sz w:val="21"/>
          <w:szCs w:val="21"/>
          <w:lang w:eastAsia="zh-CN"/>
        </w:rPr>
        <w:t>广西政府采购云平台</w:t>
      </w:r>
      <w:r>
        <w:rPr>
          <w:rFonts w:hint="eastAsia" w:ascii="宋体" w:hAnsi="宋体"/>
          <w:b w:val="0"/>
          <w:color w:val="auto"/>
          <w:sz w:val="21"/>
          <w:szCs w:val="21"/>
        </w:rPr>
        <w:t>的要求编制、加密的电子响应文件，</w:t>
      </w:r>
      <w:r>
        <w:rPr>
          <w:rFonts w:hint="eastAsia" w:ascii="宋体" w:hAnsi="宋体"/>
          <w:b w:val="0"/>
          <w:color w:val="auto"/>
          <w:sz w:val="21"/>
          <w:szCs w:val="21"/>
          <w:lang w:eastAsia="zh-CN"/>
        </w:rPr>
        <w:t>广西政府采购云平台</w:t>
      </w:r>
      <w:r>
        <w:rPr>
          <w:rFonts w:hint="eastAsia" w:ascii="宋体" w:hAnsi="宋体"/>
          <w:b w:val="0"/>
          <w:color w:val="auto"/>
          <w:sz w:val="21"/>
          <w:szCs w:val="21"/>
        </w:rPr>
        <w:t>将拒收。</w:t>
      </w:r>
    </w:p>
    <w:p w14:paraId="73F9F851">
      <w:pPr>
        <w:pStyle w:val="7"/>
        <w:rPr>
          <w:rFonts w:hint="eastAsia" w:ascii="宋体" w:hAnsi="宋体" w:cs="宋体"/>
          <w:color w:val="auto"/>
          <w:szCs w:val="21"/>
        </w:rPr>
      </w:pPr>
      <w:r>
        <w:rPr>
          <w:rFonts w:hint="eastAsia" w:ascii="宋体" w:hAnsi="宋体"/>
          <w:color w:val="auto"/>
          <w:szCs w:val="21"/>
        </w:rPr>
        <w:t>20.4电子</w:t>
      </w:r>
      <w:r>
        <w:rPr>
          <w:rFonts w:hint="eastAsia" w:ascii="宋体" w:hAnsi="宋体" w:cs="宋体"/>
          <w:color w:val="auto"/>
          <w:szCs w:val="21"/>
        </w:rPr>
        <w:t>响应文件</w:t>
      </w:r>
      <w:r>
        <w:rPr>
          <w:rFonts w:hint="eastAsia" w:ascii="宋体" w:hAnsi="宋体"/>
          <w:color w:val="auto"/>
          <w:szCs w:val="21"/>
        </w:rPr>
        <w:t>提交方</w:t>
      </w:r>
      <w:r>
        <w:rPr>
          <w:rFonts w:hint="eastAsia" w:ascii="宋体" w:hAnsi="宋体"/>
          <w:bCs/>
          <w:color w:val="auto"/>
          <w:szCs w:val="21"/>
        </w:rPr>
        <w:t>式见“竞争性磋商公告”</w:t>
      </w:r>
      <w:r>
        <w:rPr>
          <w:rFonts w:hint="eastAsia" w:ascii="宋体" w:hAnsi="宋体"/>
          <w:color w:val="auto"/>
          <w:szCs w:val="21"/>
        </w:rPr>
        <w:t>中“四、响应文件提交”。</w:t>
      </w:r>
    </w:p>
    <w:p w14:paraId="3464880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1CC5704B">
      <w:pPr>
        <w:spacing w:line="360" w:lineRule="auto"/>
        <w:ind w:firstLine="420" w:firstLineChars="200"/>
        <w:rPr>
          <w:rFonts w:hint="eastAsia" w:ascii="宋体" w:hAnsi="宋体" w:cs="宋体"/>
          <w:bCs/>
          <w:color w:val="auto"/>
          <w:szCs w:val="21"/>
          <w:lang w:bidi="ar"/>
        </w:rPr>
      </w:pPr>
      <w:r>
        <w:rPr>
          <w:rFonts w:hint="eastAsia" w:ascii="宋体" w:hAnsi="宋体" w:cs="宋体"/>
          <w:bCs/>
          <w:color w:val="auto"/>
          <w:szCs w:val="21"/>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cs="宋体"/>
          <w:bCs/>
          <w:color w:val="auto"/>
          <w:szCs w:val="21"/>
          <w:lang w:eastAsia="zh-CN" w:bidi="ar"/>
        </w:rPr>
        <w:t>广西政府采购云平台</w:t>
      </w:r>
      <w:r>
        <w:rPr>
          <w:rFonts w:hint="eastAsia" w:ascii="宋体" w:hAnsi="宋体" w:cs="宋体"/>
          <w:bCs/>
          <w:color w:val="auto"/>
          <w:szCs w:val="21"/>
          <w:lang w:bidi="ar"/>
        </w:rPr>
        <w:t>将予以拒收。</w:t>
      </w:r>
    </w:p>
    <w:p w14:paraId="01F8DBB5">
      <w:pPr>
        <w:spacing w:line="360" w:lineRule="auto"/>
        <w:ind w:firstLine="482" w:firstLineChars="200"/>
        <w:rPr>
          <w:rFonts w:ascii="黑体" w:hAnsi="黑体" w:eastAsia="黑体" w:cs="宋体"/>
          <w:b/>
          <w:bCs/>
          <w:color w:val="auto"/>
          <w:sz w:val="24"/>
        </w:rPr>
      </w:pPr>
      <w:bookmarkStart w:id="30" w:name="_Hlk45702405"/>
      <w:r>
        <w:rPr>
          <w:rFonts w:hint="eastAsia" w:ascii="黑体" w:hAnsi="黑体" w:eastAsia="黑体" w:cs="宋体"/>
          <w:b/>
          <w:bCs/>
          <w:color w:val="auto"/>
          <w:sz w:val="24"/>
        </w:rPr>
        <w:t>22. 首次响应文件的退回</w:t>
      </w:r>
    </w:p>
    <w:p w14:paraId="2040631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22.1在首次响应文件提交截止时间止提交响应文件的供应商不足3家时，</w:t>
      </w:r>
      <w:r>
        <w:rPr>
          <w:rFonts w:hint="eastAsia" w:ascii="宋体" w:hAnsi="宋体"/>
          <w:color w:val="auto"/>
          <w:szCs w:val="21"/>
        </w:rPr>
        <w:t>采购代理机构将根据</w:t>
      </w:r>
      <w:r>
        <w:rPr>
          <w:rFonts w:hint="eastAsia" w:ascii="宋体" w:hAnsi="宋体"/>
          <w:color w:val="auto"/>
          <w:szCs w:val="21"/>
          <w:lang w:eastAsia="zh-CN"/>
        </w:rPr>
        <w:t>广西政府采购云平台</w:t>
      </w:r>
      <w:r>
        <w:rPr>
          <w:rFonts w:hint="eastAsia" w:ascii="宋体" w:hAnsi="宋体"/>
          <w:color w:val="auto"/>
          <w:szCs w:val="21"/>
        </w:rPr>
        <w:t>的操作将电子版响应文件退回，</w:t>
      </w:r>
      <w:r>
        <w:rPr>
          <w:rFonts w:hint="eastAsia" w:ascii="宋体" w:hAnsi="宋体" w:cs="宋体"/>
          <w:color w:val="auto"/>
          <w:szCs w:val="21"/>
        </w:rPr>
        <w:t>除此之外采购人和采购代理机构对已提交的电子响应文件概不退回。</w:t>
      </w:r>
    </w:p>
    <w:p w14:paraId="38EAA19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p w14:paraId="01212EE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23.1供应商在首次响应文件提交截止时间后书面通知采购人、采购代理机构书面撤回响应文件的，将根据本须知正文17.4的规定不予退还其磋商保证金。</w:t>
      </w:r>
    </w:p>
    <w:bookmarkEnd w:id="30"/>
    <w:p w14:paraId="0D562814">
      <w:pPr>
        <w:spacing w:line="360" w:lineRule="auto"/>
        <w:rPr>
          <w:rFonts w:hint="eastAsia" w:ascii="宋体" w:hAnsi="宋体"/>
          <w:color w:val="auto"/>
          <w:szCs w:val="21"/>
        </w:rPr>
      </w:pPr>
    </w:p>
    <w:p w14:paraId="0BD5E279">
      <w:pPr>
        <w:spacing w:line="360" w:lineRule="auto"/>
        <w:jc w:val="center"/>
        <w:rPr>
          <w:rFonts w:hint="eastAsia" w:ascii="宋体" w:hAnsi="宋体"/>
          <w:b/>
          <w:bCs/>
          <w:color w:val="auto"/>
          <w:sz w:val="32"/>
          <w:szCs w:val="32"/>
        </w:rPr>
      </w:pPr>
      <w:r>
        <w:rPr>
          <w:rFonts w:hint="eastAsia" w:ascii="宋体" w:hAnsi="宋体"/>
          <w:b/>
          <w:bCs/>
          <w:color w:val="auto"/>
          <w:sz w:val="32"/>
          <w:szCs w:val="32"/>
        </w:rPr>
        <w:t>四、评审及磋商</w:t>
      </w:r>
    </w:p>
    <w:p w14:paraId="07C8EC81">
      <w:pPr>
        <w:spacing w:line="360" w:lineRule="auto"/>
        <w:ind w:firstLine="482" w:firstLineChars="200"/>
        <w:rPr>
          <w:rFonts w:hint="eastAsia" w:ascii="黑体" w:hAnsi="黑体" w:eastAsia="黑体" w:cs="宋体"/>
          <w:b/>
          <w:bCs/>
          <w:color w:val="auto"/>
          <w:sz w:val="24"/>
        </w:rPr>
      </w:pPr>
    </w:p>
    <w:p w14:paraId="2D0F818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24.磋商小组成立</w:t>
      </w:r>
    </w:p>
    <w:p w14:paraId="481B2F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AA40EC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FB04355">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w:t>
      </w:r>
    </w:p>
    <w:p w14:paraId="5721608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25.1首次响应文件由磋商小组或者采购代理机构在“供应商须知前附表”规定的时间开启。</w:t>
      </w:r>
    </w:p>
    <w:p w14:paraId="6C6F17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rPr>
        <w:t>供应商的法定代表人或其委托代理人须携带加密时所用的CA锁按平台提示和采购文件的规定登录到</w:t>
      </w:r>
      <w:r>
        <w:rPr>
          <w:rFonts w:hint="eastAsia" w:ascii="宋体" w:hAnsi="宋体" w:cs="宋体"/>
          <w:b/>
          <w:color w:val="auto"/>
          <w:szCs w:val="21"/>
          <w:lang w:eastAsia="zh-CN"/>
        </w:rPr>
        <w:t>广西政府采购云平台</w:t>
      </w:r>
      <w:r>
        <w:rPr>
          <w:rFonts w:hint="eastAsia" w:ascii="宋体" w:hAnsi="宋体" w:cs="宋体"/>
          <w:b/>
          <w:color w:val="auto"/>
          <w:szCs w:val="21"/>
        </w:rPr>
        <w:t>电子开标大厅签到并在发起解密指令之时起30分钟内完成对电子响应文件在线解密。</w:t>
      </w:r>
      <w:r>
        <w:rPr>
          <w:rFonts w:hint="eastAsia" w:ascii="宋体" w:hAnsi="宋体"/>
          <w:b/>
          <w:bCs/>
          <w:color w:val="auto"/>
          <w:szCs w:val="21"/>
        </w:rPr>
        <w:t>响应文件未按时解密的，</w:t>
      </w:r>
      <w:r>
        <w:rPr>
          <w:rFonts w:hint="eastAsia" w:ascii="宋体" w:hAnsi="宋体" w:cs="宋体"/>
          <w:b/>
          <w:color w:val="auto"/>
          <w:szCs w:val="21"/>
        </w:rPr>
        <w:t>视为响应</w:t>
      </w:r>
      <w:r>
        <w:rPr>
          <w:rFonts w:hint="eastAsia" w:ascii="宋体" w:hAnsi="宋体"/>
          <w:b/>
          <w:bCs/>
          <w:color w:val="auto"/>
          <w:szCs w:val="21"/>
        </w:rPr>
        <w:t>文件无效。</w:t>
      </w:r>
      <w:r>
        <w:rPr>
          <w:rFonts w:hint="eastAsia" w:ascii="宋体" w:hAnsi="宋体" w:cs="宋体"/>
          <w:color w:val="auto"/>
          <w:szCs w:val="21"/>
        </w:rPr>
        <w:t>（解密异常情况处理：详见本章26.2电子交易活动的中止。）</w:t>
      </w:r>
    </w:p>
    <w:p w14:paraId="407C28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25.3成功解密响应文件的供应商不足3家的，不得磋商。</w:t>
      </w:r>
    </w:p>
    <w:p w14:paraId="013CBDFA">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34543B1C">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1磋商小组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76C55198">
      <w:pPr>
        <w:spacing w:line="400" w:lineRule="exact"/>
        <w:ind w:firstLine="420" w:firstLineChars="200"/>
        <w:rPr>
          <w:rFonts w:hint="eastAsia" w:ascii="宋体" w:hAnsi="宋体" w:cs="宋体"/>
          <w:color w:val="auto"/>
        </w:rPr>
      </w:pPr>
      <w:r>
        <w:rPr>
          <w:rFonts w:hint="eastAsia" w:ascii="宋体" w:hAnsi="宋体" w:cs="宋体"/>
          <w:color w:val="auto"/>
        </w:rPr>
        <w:t>26.2电子交易活动的中止。采购过程中出现以下情形，导致电子交易平台无法正常运行，或者无法保证电子交易的公平、公正和安全时，采购机构可中止电子交易活动：</w:t>
      </w:r>
    </w:p>
    <w:p w14:paraId="38F12AA8">
      <w:pPr>
        <w:spacing w:line="400" w:lineRule="exact"/>
        <w:ind w:firstLine="420" w:firstLineChars="200"/>
        <w:rPr>
          <w:rFonts w:hint="eastAsia" w:ascii="宋体" w:hAnsi="宋体" w:cs="宋体"/>
          <w:color w:val="auto"/>
        </w:rPr>
      </w:pPr>
      <w:r>
        <w:rPr>
          <w:rFonts w:hint="eastAsia" w:ascii="宋体" w:hAnsi="宋体" w:cs="宋体"/>
          <w:color w:val="auto"/>
        </w:rPr>
        <w:t xml:space="preserve">（1）电子交易平台发生故障而无法登录访问的； </w:t>
      </w:r>
    </w:p>
    <w:p w14:paraId="76081C91">
      <w:pPr>
        <w:spacing w:line="400" w:lineRule="exact"/>
        <w:ind w:firstLine="420" w:firstLineChars="200"/>
        <w:rPr>
          <w:rFonts w:hint="eastAsia" w:ascii="宋体" w:hAnsi="宋体" w:cs="宋体"/>
          <w:color w:val="auto"/>
        </w:rPr>
      </w:pPr>
      <w:r>
        <w:rPr>
          <w:rFonts w:hint="eastAsia" w:ascii="宋体" w:hAnsi="宋体" w:cs="宋体"/>
          <w:color w:val="auto"/>
        </w:rPr>
        <w:t>（2）电子交易平台应用或数据库出现错误，不能进行正常操作的；</w:t>
      </w:r>
    </w:p>
    <w:p w14:paraId="0F1C0835">
      <w:pPr>
        <w:spacing w:line="400" w:lineRule="exact"/>
        <w:ind w:firstLine="420" w:firstLineChars="200"/>
        <w:rPr>
          <w:rFonts w:hint="eastAsia" w:ascii="宋体" w:hAnsi="宋体" w:cs="宋体"/>
          <w:color w:val="auto"/>
        </w:rPr>
      </w:pPr>
      <w:r>
        <w:rPr>
          <w:rFonts w:hint="eastAsia" w:ascii="宋体" w:hAnsi="宋体" w:cs="宋体"/>
          <w:color w:val="auto"/>
        </w:rPr>
        <w:t>（3）电子交易平台发现严重安全漏洞，有潜在泄密危险的；</w:t>
      </w:r>
    </w:p>
    <w:p w14:paraId="230F0C2D">
      <w:pPr>
        <w:spacing w:line="400" w:lineRule="exact"/>
        <w:ind w:firstLine="420" w:firstLineChars="200"/>
        <w:rPr>
          <w:rFonts w:hint="eastAsia" w:ascii="宋体" w:hAnsi="宋体" w:cs="宋体"/>
          <w:color w:val="auto"/>
        </w:rPr>
      </w:pPr>
      <w:r>
        <w:rPr>
          <w:rFonts w:hint="eastAsia" w:ascii="宋体" w:hAnsi="宋体" w:cs="宋体"/>
          <w:color w:val="auto"/>
        </w:rPr>
        <w:t xml:space="preserve">（4）病毒发作导致不能进行正常操作的； </w:t>
      </w:r>
    </w:p>
    <w:p w14:paraId="10156FE7">
      <w:pPr>
        <w:spacing w:line="400" w:lineRule="exact"/>
        <w:ind w:firstLine="420" w:firstLineChars="200"/>
        <w:rPr>
          <w:rFonts w:hint="eastAsia" w:ascii="宋体" w:hAnsi="宋体" w:cs="宋体"/>
          <w:color w:val="auto"/>
        </w:rPr>
      </w:pPr>
      <w:r>
        <w:rPr>
          <w:rFonts w:hint="eastAsia" w:ascii="宋体" w:hAnsi="宋体" w:cs="宋体"/>
          <w:color w:val="auto"/>
        </w:rPr>
        <w:t>（4）其他无法保证电子交易的公平、公正和安全的情况。</w:t>
      </w:r>
    </w:p>
    <w:p w14:paraId="52E4A6B0">
      <w:pPr>
        <w:spacing w:line="400" w:lineRule="exact"/>
        <w:ind w:firstLine="420" w:firstLineChars="200"/>
        <w:rPr>
          <w:rFonts w:hint="eastAsia" w:ascii="宋体" w:hAnsi="宋体" w:cs="宋体"/>
          <w:color w:val="auto"/>
          <w:szCs w:val="21"/>
        </w:rPr>
      </w:pPr>
      <w:r>
        <w:rPr>
          <w:rFonts w:hint="eastAsia" w:ascii="宋体" w:hAnsi="宋体" w:cs="宋体"/>
          <w:color w:val="auto"/>
        </w:rPr>
        <w:t>26.3出现以上情形，不影响采购公平、公正性的，采购代理机构可以待上述情形消除后继续组织电子交易活动；影响或可能影响采购公平、公正性的，经采购代理机构确认后，应当重新采购。</w:t>
      </w:r>
    </w:p>
    <w:p w14:paraId="0AE44310">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56FD61AC">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B18939C">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r>
        <w:rPr>
          <w:rFonts w:hint="eastAsia" w:ascii="宋体" w:hAnsi="宋体" w:cs="宋体"/>
          <w:b/>
          <w:color w:val="auto"/>
          <w:szCs w:val="21"/>
        </w:rPr>
        <w:t>采购人或者采购代理机构发出成交通知书前，应当对成交供应商信用进行查询，对列入失信被执行人、</w:t>
      </w:r>
      <w:r>
        <w:rPr>
          <w:rFonts w:hint="eastAsia" w:ascii="宋体" w:hAnsi="宋体" w:eastAsia="宋体" w:cs="宋体"/>
          <w:b/>
          <w:color w:val="auto"/>
          <w:szCs w:val="21"/>
          <w:lang w:eastAsia="zh-CN"/>
        </w:rPr>
        <w:t>重大税收违法失信主体</w:t>
      </w:r>
      <w:r>
        <w:rPr>
          <w:rFonts w:hint="eastAsia" w:ascii="宋体" w:hAnsi="宋体" w:cs="宋体"/>
          <w:b/>
          <w:color w:val="auto"/>
          <w:szCs w:val="21"/>
        </w:rPr>
        <w:t>、政府采购严重违法失信行为记录名单及其他不符合《中华人民共和国政府采购法》第二十二条规定条件的供应商，取消其成交资格，并确定排名第二的成交候选人为成交供应商。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rPr>
        <w:t>排名第二的成交候选人因上述规定的同样原因被取消成交资格的，采购人可以确定排名第三的成交候选人为成交供应商，以此类推。以上信息查询记录及相关证据与磋商文件一并保存。</w:t>
      </w:r>
      <w:bookmarkStart w:id="31"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31"/>
    </w:p>
    <w:p w14:paraId="3D7196EB">
      <w:pPr>
        <w:spacing w:line="360" w:lineRule="auto"/>
        <w:ind w:firstLine="420" w:firstLineChars="200"/>
        <w:rPr>
          <w:rFonts w:hint="eastAsia" w:ascii="宋体" w:hAnsi="宋体" w:cs="Courier New"/>
          <w:color w:val="auto"/>
          <w:szCs w:val="21"/>
        </w:rPr>
      </w:pPr>
      <w:r>
        <w:rPr>
          <w:rFonts w:hint="eastAsia" w:ascii="宋体" w:hAnsi="宋体" w:cs="宋体"/>
          <w:color w:val="auto"/>
          <w:szCs w:val="21"/>
        </w:rPr>
        <w:t>2</w:t>
      </w:r>
      <w:r>
        <w:rPr>
          <w:rFonts w:ascii="宋体" w:hAnsi="宋体" w:cs="宋体"/>
          <w:color w:val="auto"/>
          <w:szCs w:val="21"/>
        </w:rPr>
        <w:t>7.3</w:t>
      </w:r>
      <w:r>
        <w:rPr>
          <w:rFonts w:hint="eastAsia" w:ascii="宋体" w:hAnsi="宋体" w:cs="Courier New"/>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rPr>
        <w:t>拒绝签订政府采购合同的成交供应商不得参加对该项目重新开展的采购活动。</w:t>
      </w:r>
    </w:p>
    <w:p w14:paraId="3609DA16">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081ABB78">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14:paraId="5D4B7F27">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.2在履约保证金退还日期前，若成交供应商的开户名称、开户银行、帐号有变动的，请以书面形式通知履约保证金收取单位，否则由此产生的后果由成交供应商自行承担。</w:t>
      </w:r>
    </w:p>
    <w:p w14:paraId="60E1B109">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3E8ACAFE">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29.1</w:t>
      </w:r>
      <w:r>
        <w:rPr>
          <w:rFonts w:hint="eastAsia" w:ascii="宋体" w:hAnsi="宋体" w:cs="宋体"/>
          <w:color w:val="auto"/>
          <w:szCs w:val="21"/>
        </w:rPr>
        <w:t>签打电子采</w:t>
      </w:r>
      <w:r>
        <w:rPr>
          <w:rFonts w:hint="eastAsia" w:ascii="宋体" w:hAnsi="宋体" w:cs="宋体"/>
          <w:color w:val="auto"/>
          <w:szCs w:val="21"/>
          <w:lang w:eastAsia="zh-CN"/>
        </w:rPr>
        <w:t>购</w:t>
      </w:r>
      <w:r>
        <w:rPr>
          <w:rFonts w:hint="eastAsia" w:ascii="宋体" w:hAnsi="宋体" w:cs="宋体"/>
          <w:color w:val="auto"/>
          <w:szCs w:val="21"/>
        </w:rPr>
        <w:t>合同：成交供应商领取电子成交通知书</w:t>
      </w:r>
      <w:r>
        <w:rPr>
          <w:rFonts w:hint="eastAsia" w:ascii="宋体" w:hAnsi="宋体" w:cs="宋体"/>
          <w:color w:val="auto"/>
          <w:szCs w:val="21"/>
          <w:lang w:eastAsia="zh-CN"/>
        </w:rPr>
        <w:t>（书面或电子）</w:t>
      </w:r>
      <w:r>
        <w:rPr>
          <w:rFonts w:hint="eastAsia" w:ascii="宋体" w:hAnsi="宋体" w:cs="宋体"/>
          <w:color w:val="auto"/>
          <w:szCs w:val="21"/>
        </w:rPr>
        <w:t>后，在规定的日期、时间、地点，</w:t>
      </w:r>
      <w:r>
        <w:rPr>
          <w:rFonts w:hint="eastAsia" w:ascii="宋体" w:hAnsi="宋体" w:cs="宋体"/>
          <w:color w:val="auto"/>
          <w:szCs w:val="21"/>
          <w:lang w:eastAsia="zh-CN"/>
        </w:rPr>
        <w:t>由法</w:t>
      </w:r>
      <w:r>
        <w:rPr>
          <w:rFonts w:hint="eastAsia" w:ascii="宋体" w:hAnsi="宋体" w:cs="宋体"/>
          <w:color w:val="auto"/>
          <w:szCs w:val="21"/>
        </w:rPr>
        <w:t>定代表人或其授权代表与采购人代表签订电子采购合同。如成交供应商为联合体的，由联合体成员各</w:t>
      </w:r>
      <w:r>
        <w:rPr>
          <w:rFonts w:hint="eastAsia" w:ascii="宋体" w:hAnsi="宋体" w:cs="宋体"/>
          <w:color w:val="auto"/>
          <w:szCs w:val="21"/>
          <w:lang w:eastAsia="zh-CN"/>
        </w:rPr>
        <w:t>方</w:t>
      </w:r>
      <w:r>
        <w:rPr>
          <w:rFonts w:hint="eastAsia" w:ascii="宋体" w:hAnsi="宋体" w:cs="宋体"/>
          <w:color w:val="auto"/>
          <w:szCs w:val="21"/>
        </w:rPr>
        <w:t>法定代表人或其授权代表与采购人代表签订合同。</w:t>
      </w:r>
    </w:p>
    <w:p w14:paraId="6A91205C">
      <w:pPr>
        <w:spacing w:line="360" w:lineRule="auto"/>
        <w:ind w:firstLine="424" w:firstLineChars="20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线下签订纸质合同：供应商领取成交通知书后，按“供应商须知前附表”规定向采购人出示相关证明材料，经采购人核验合格后方可签订合同。</w:t>
      </w:r>
    </w:p>
    <w:p w14:paraId="33110947">
      <w:pPr>
        <w:spacing w:line="360" w:lineRule="auto"/>
        <w:ind w:firstLine="424" w:firstLineChars="20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29.2签订合同时间：按成交通知书规定的时间与采购人签订政府采购合同（最长不能超过25日）。</w:t>
      </w:r>
    </w:p>
    <w:p w14:paraId="52048CD3">
      <w:pPr>
        <w:spacing w:line="360" w:lineRule="auto"/>
        <w:ind w:firstLine="424" w:firstLineChars="20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FFE3EEE">
      <w:pPr>
        <w:spacing w:line="360" w:lineRule="auto"/>
        <w:ind w:firstLine="424" w:firstLineChars="20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8BE2B6F">
      <w:pPr>
        <w:spacing w:line="360" w:lineRule="auto"/>
        <w:ind w:firstLine="424" w:firstLineChars="20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29.5采购人或成交供应商不得单方面向合同另一方提出任何磋商文件没有约定的条件或不合理的要求，作为签订合同的条件：也不得协商另行订立背离磋商文件和合同实质性内容的协议。</w:t>
      </w:r>
    </w:p>
    <w:p w14:paraId="0E0C0F9C">
      <w:pPr>
        <w:spacing w:line="360" w:lineRule="auto"/>
        <w:ind w:firstLine="424" w:firstLineChars="20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29.6如签订合同并生效后，供应商无故拒绝或延期，除按照合同条款处理外，将承担相应的法律责任。</w:t>
      </w:r>
    </w:p>
    <w:p w14:paraId="6D550011">
      <w:pPr>
        <w:spacing w:line="360" w:lineRule="auto"/>
        <w:ind w:firstLine="424" w:firstLineChars="202"/>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2C188C1">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6FE882E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BC66120">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74C2A967">
      <w:pPr>
        <w:pStyle w:val="7"/>
        <w:spacing w:line="360" w:lineRule="auto"/>
        <w:rPr>
          <w:rFonts w:hint="eastAsia"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14:paraId="25CE74C4">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42452723">
      <w:pPr>
        <w:spacing w:line="360" w:lineRule="auto"/>
        <w:ind w:firstLine="420" w:firstLineChars="200"/>
        <w:rPr>
          <w:rFonts w:hint="eastAsia"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678FEB45">
      <w:pPr>
        <w:spacing w:line="360" w:lineRule="auto"/>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005B89CE">
      <w:pPr>
        <w:spacing w:line="360" w:lineRule="auto"/>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61A6AFB5">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5848D3D">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4AA5EFA4">
      <w:pPr>
        <w:spacing w:line="360" w:lineRule="auto"/>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62028ED3">
      <w:pPr>
        <w:spacing w:line="360" w:lineRule="auto"/>
        <w:ind w:firstLine="420" w:firstLineChars="200"/>
        <w:rPr>
          <w:rFonts w:hint="eastAsia" w:ascii="宋体" w:hAnsi="宋体" w:cs="宋体"/>
          <w:color w:val="auto"/>
        </w:rPr>
      </w:pPr>
      <w:r>
        <w:rPr>
          <w:rFonts w:hint="eastAsia" w:ascii="宋体" w:hAnsi="宋体" w:cs="宋体"/>
          <w:color w:val="auto"/>
        </w:rPr>
        <w:t>（2）质疑项目的名称、编号；</w:t>
      </w:r>
    </w:p>
    <w:p w14:paraId="04ECA44C">
      <w:pPr>
        <w:spacing w:line="360" w:lineRule="auto"/>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4BB97419">
      <w:pPr>
        <w:spacing w:line="360" w:lineRule="auto"/>
        <w:ind w:firstLine="420" w:firstLineChars="200"/>
        <w:rPr>
          <w:rFonts w:hint="eastAsia" w:ascii="宋体" w:hAnsi="宋体" w:cs="宋体"/>
          <w:color w:val="auto"/>
        </w:rPr>
      </w:pPr>
      <w:r>
        <w:rPr>
          <w:rFonts w:hint="eastAsia" w:ascii="宋体" w:hAnsi="宋体" w:cs="宋体"/>
          <w:color w:val="auto"/>
        </w:rPr>
        <w:t>（4）事实依据；</w:t>
      </w:r>
    </w:p>
    <w:p w14:paraId="1AC4C9B1">
      <w:pPr>
        <w:spacing w:line="360" w:lineRule="auto"/>
        <w:ind w:firstLine="420" w:firstLineChars="200"/>
        <w:rPr>
          <w:rFonts w:hint="eastAsia" w:ascii="宋体" w:hAnsi="宋体" w:cs="宋体"/>
          <w:color w:val="auto"/>
        </w:rPr>
      </w:pPr>
      <w:r>
        <w:rPr>
          <w:rFonts w:hint="eastAsia" w:ascii="宋体" w:hAnsi="宋体" w:cs="宋体"/>
          <w:color w:val="auto"/>
        </w:rPr>
        <w:t>（5）必要的法律依据；</w:t>
      </w:r>
    </w:p>
    <w:p w14:paraId="14D695C1">
      <w:pPr>
        <w:spacing w:line="360" w:lineRule="auto"/>
        <w:ind w:firstLine="420" w:firstLineChars="200"/>
        <w:rPr>
          <w:rFonts w:hint="eastAsia" w:ascii="宋体" w:hAnsi="宋体" w:cs="宋体"/>
          <w:color w:val="auto"/>
        </w:rPr>
      </w:pPr>
      <w:r>
        <w:rPr>
          <w:rFonts w:hint="eastAsia" w:ascii="宋体" w:hAnsi="宋体" w:cs="宋体"/>
          <w:color w:val="auto"/>
        </w:rPr>
        <w:t>（6）提出质疑的日期。</w:t>
      </w:r>
    </w:p>
    <w:p w14:paraId="6CEE106B">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3453A0DC">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561BF621">
      <w:pPr>
        <w:spacing w:line="360" w:lineRule="auto"/>
        <w:ind w:firstLine="420" w:firstLineChars="200"/>
        <w:rPr>
          <w:rFonts w:ascii="宋体" w:hAnsi="宋体" w:cs="宋体"/>
          <w:color w:val="auto"/>
        </w:rPr>
      </w:pPr>
      <w:r>
        <w:rPr>
          <w:rFonts w:hint="eastAsia" w:ascii="宋体" w:hAnsi="宋体" w:cs="宋体"/>
          <w:color w:val="auto"/>
        </w:rPr>
        <w:t>（1）对采购文件提出的质疑，依法通过澄清或者修改可以继续开展采购活动的，澄清或者修改采购文件后继续开展采购活动；否则应当修改采购文件后重新开展采购活动。</w:t>
      </w:r>
    </w:p>
    <w:p w14:paraId="09814554">
      <w:pPr>
        <w:spacing w:line="360" w:lineRule="auto"/>
        <w:ind w:firstLine="420" w:firstLineChars="200"/>
        <w:rPr>
          <w:rFonts w:ascii="宋体" w:hAnsi="宋体" w:cs="宋体"/>
          <w:color w:val="auto"/>
        </w:rPr>
      </w:pPr>
      <w:r>
        <w:rPr>
          <w:rFonts w:hint="eastAsia" w:ascii="宋体" w:hAnsi="宋体" w:cs="宋体"/>
          <w:color w:val="auto"/>
        </w:rPr>
        <w:t>（2）对采购过程或者成交结果提出的质疑，合格供应商符合法定数量时，可以从合格的成交候选人中另行确定成交供应商的，应当依法另行确定成交供应商；否则应当重新开展采购活动。</w:t>
      </w:r>
    </w:p>
    <w:p w14:paraId="1732F075">
      <w:pPr>
        <w:spacing w:line="360" w:lineRule="auto"/>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56035776">
      <w:pPr>
        <w:spacing w:line="360" w:lineRule="auto"/>
        <w:ind w:firstLine="420" w:firstLineChars="200"/>
        <w:rPr>
          <w:rFonts w:hint="eastAsia"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956DB46">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14:paraId="46B0B700">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.1代理服务费：代理服务收取标准及缴费账户详见“供应商须知前附表”，供应商为联合体的，可以由联合体中的一方或者多方共同交纳代理服务费。</w:t>
      </w:r>
    </w:p>
    <w:p w14:paraId="54276E6C">
      <w:pPr>
        <w:pStyle w:val="20"/>
        <w:snapToGrid w:val="0"/>
        <w:spacing w:line="360" w:lineRule="auto"/>
        <w:ind w:firstLine="400" w:firstLineChars="200"/>
        <w:rPr>
          <w:rFonts w:hint="eastAsia" w:hAnsi="宋体" w:eastAsia="宋体"/>
          <w:color w:val="auto"/>
          <w:sz w:val="21"/>
          <w:highlight w:val="none"/>
          <w:lang w:eastAsia="zh-CN"/>
        </w:rPr>
      </w:pPr>
      <w:r>
        <w:rPr>
          <w:rFonts w:ascii="宋体" w:hAnsi="宋体" w:cs="宋体"/>
          <w:color w:val="auto"/>
          <w:szCs w:val="21"/>
        </w:rPr>
        <w:t>32.2</w:t>
      </w:r>
      <w:r>
        <w:rPr>
          <w:rFonts w:hint="eastAsia" w:hAnsi="宋体"/>
          <w:color w:val="auto"/>
          <w:sz w:val="21"/>
          <w:highlight w:val="none"/>
        </w:rPr>
        <w:t>代理服务收费标准：详见“供应商须知前附表”</w:t>
      </w:r>
      <w:r>
        <w:rPr>
          <w:rFonts w:hint="eastAsia" w:hAnsi="宋体"/>
          <w:color w:val="auto"/>
          <w:sz w:val="21"/>
          <w:highlight w:val="none"/>
          <w:lang w:eastAsia="zh-CN"/>
        </w:rPr>
        <w:t>。</w:t>
      </w:r>
    </w:p>
    <w:p w14:paraId="616F6E86">
      <w:pPr>
        <w:spacing w:line="360" w:lineRule="auto"/>
        <w:ind w:firstLine="420" w:firstLineChars="200"/>
        <w:rPr>
          <w:rFonts w:ascii="宋体" w:hAnsi="宋体" w:cs="宋体"/>
          <w:color w:val="auto"/>
          <w:kern w:val="0"/>
          <w:szCs w:val="21"/>
        </w:rPr>
      </w:pPr>
      <w:r>
        <w:rPr>
          <w:rFonts w:ascii="宋体" w:hAnsi="宋体" w:cs="宋体"/>
          <w:color w:val="auto"/>
          <w:kern w:val="0"/>
          <w:szCs w:val="21"/>
        </w:rPr>
        <w:t xml:space="preserve">32.3 </w:t>
      </w:r>
      <w:r>
        <w:rPr>
          <w:rFonts w:hint="eastAsia" w:ascii="宋体" w:hAnsi="宋体" w:cs="宋体"/>
          <w:color w:val="auto"/>
          <w:kern w:val="0"/>
          <w:szCs w:val="21"/>
        </w:rPr>
        <w:t>代理服务费交纳</w:t>
      </w:r>
      <w:r>
        <w:rPr>
          <w:rFonts w:ascii="宋体" w:hAnsi="宋体" w:cs="宋体"/>
          <w:color w:val="auto"/>
          <w:kern w:val="0"/>
          <w:szCs w:val="21"/>
        </w:rPr>
        <w:t>银行帐号信息</w:t>
      </w:r>
    </w:p>
    <w:p w14:paraId="3DD0BB84">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户名：</w:t>
      </w:r>
      <w:r>
        <w:rPr>
          <w:rFonts w:hint="eastAsia" w:ascii="宋体" w:hAnsi="宋体" w:eastAsia="宋体" w:cs="宋体"/>
          <w:color w:val="auto"/>
          <w:kern w:val="0"/>
          <w:szCs w:val="21"/>
          <w:lang w:eastAsia="zh-CN"/>
        </w:rPr>
        <w:t>广西国泰招标咨询有限公司</w:t>
      </w:r>
      <w:r>
        <w:rPr>
          <w:rFonts w:hint="eastAsia" w:ascii="宋体" w:hAnsi="宋体" w:eastAsia="宋体" w:cs="宋体"/>
          <w:color w:val="auto"/>
          <w:kern w:val="0"/>
          <w:szCs w:val="21"/>
        </w:rPr>
        <w:t>玉</w:t>
      </w:r>
      <w:r>
        <w:rPr>
          <w:rFonts w:hint="eastAsia" w:ascii="宋体" w:hAnsi="宋体" w:eastAsia="宋体" w:cs="宋体"/>
          <w:color w:val="auto"/>
          <w:kern w:val="0"/>
          <w:szCs w:val="21"/>
          <w:lang w:eastAsia="zh-CN"/>
        </w:rPr>
        <w:t>林</w:t>
      </w:r>
      <w:r>
        <w:rPr>
          <w:rFonts w:hint="eastAsia" w:ascii="宋体" w:hAnsi="宋体" w:eastAsia="宋体" w:cs="宋体"/>
          <w:color w:val="auto"/>
          <w:kern w:val="0"/>
          <w:szCs w:val="21"/>
        </w:rPr>
        <w:t>分公司</w:t>
      </w:r>
    </w:p>
    <w:p w14:paraId="553B5137">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开户银行：</w:t>
      </w:r>
      <w:r>
        <w:rPr>
          <w:rFonts w:hint="eastAsia" w:ascii="宋体" w:hAnsi="宋体" w:eastAsia="宋体" w:cs="宋体"/>
          <w:color w:val="auto"/>
          <w:kern w:val="0"/>
          <w:szCs w:val="21"/>
          <w:lang w:val="en-US" w:eastAsia="zh-CN"/>
        </w:rPr>
        <w:t>农业银行玉林金玉路支行</w:t>
      </w:r>
    </w:p>
    <w:p w14:paraId="3407AF5E">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账号：</w:t>
      </w:r>
      <w:r>
        <w:rPr>
          <w:rFonts w:hint="eastAsia" w:ascii="宋体" w:hAnsi="宋体" w:eastAsia="宋体" w:cs="宋体"/>
          <w:color w:val="auto"/>
          <w:sz w:val="21"/>
          <w:szCs w:val="21"/>
          <w:lang w:val="en-US" w:eastAsia="zh-CN"/>
        </w:rPr>
        <w:t>20410801040003746</w:t>
      </w:r>
    </w:p>
    <w:p w14:paraId="3BCEAB6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14:paraId="15D63ED8">
      <w:pPr>
        <w:pStyle w:val="20"/>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3</w:t>
      </w:r>
      <w:r>
        <w:rPr>
          <w:rFonts w:hAnsi="宋体" w:cs="宋体"/>
          <w:color w:val="auto"/>
          <w:kern w:val="2"/>
          <w:sz w:val="21"/>
        </w:rPr>
        <w:t>3.1</w:t>
      </w:r>
      <w:r>
        <w:rPr>
          <w:rFonts w:hint="eastAsia" w:hAnsi="宋体" w:cs="宋体"/>
          <w:color w:val="auto"/>
          <w:kern w:val="2"/>
          <w:sz w:val="21"/>
        </w:rPr>
        <w:t>本磋商文件解释规则详见“供应商须知前附表”。</w:t>
      </w:r>
    </w:p>
    <w:p w14:paraId="51F75AE8">
      <w:pPr>
        <w:pStyle w:val="20"/>
        <w:spacing w:line="360" w:lineRule="auto"/>
        <w:ind w:firstLine="420" w:firstLineChars="200"/>
        <w:textAlignment w:val="center"/>
        <w:rPr>
          <w:rFonts w:hAnsi="宋体" w:cs="宋体"/>
          <w:color w:val="auto"/>
          <w:kern w:val="2"/>
          <w:sz w:val="21"/>
        </w:rPr>
      </w:pPr>
      <w:r>
        <w:rPr>
          <w:rFonts w:hAnsi="宋体" w:cs="宋体"/>
          <w:color w:val="auto"/>
          <w:kern w:val="2"/>
          <w:sz w:val="21"/>
        </w:rPr>
        <w:t>33.2</w:t>
      </w:r>
      <w:r>
        <w:rPr>
          <w:rFonts w:hint="eastAsia" w:hAnsi="宋体" w:cs="宋体"/>
          <w:color w:val="auto"/>
          <w:kern w:val="2"/>
          <w:sz w:val="21"/>
        </w:rPr>
        <w:t xml:space="preserve"> 其他事项详见“供应商须知前附表”。</w:t>
      </w:r>
    </w:p>
    <w:p w14:paraId="174EC8DA">
      <w:pPr>
        <w:pStyle w:val="20"/>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3</w:t>
      </w:r>
      <w:r>
        <w:rPr>
          <w:rFonts w:hAnsi="宋体" w:cs="宋体"/>
          <w:color w:val="auto"/>
          <w:kern w:val="2"/>
          <w:sz w:val="21"/>
        </w:rPr>
        <w:t>3.3</w:t>
      </w:r>
      <w:r>
        <w:rPr>
          <w:rFonts w:hint="eastAsia" w:hAnsi="宋体" w:cs="宋体"/>
          <w:color w:val="auto"/>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E13A655">
      <w:pPr>
        <w:pStyle w:val="20"/>
        <w:spacing w:line="360" w:lineRule="auto"/>
        <w:ind w:firstLine="420" w:firstLineChars="200"/>
        <w:contextualSpacing/>
        <w:rPr>
          <w:rFonts w:hint="eastAsia"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29BB33A4">
      <w:pPr>
        <w:pStyle w:val="20"/>
        <w:spacing w:line="360" w:lineRule="auto"/>
        <w:ind w:firstLine="420" w:firstLineChars="200"/>
        <w:contextualSpacing/>
        <w:rPr>
          <w:rFonts w:hint="eastAsia"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25261616">
      <w:pPr>
        <w:pStyle w:val="20"/>
        <w:spacing w:line="360" w:lineRule="auto"/>
        <w:ind w:firstLine="420" w:firstLineChars="200"/>
        <w:contextualSpacing/>
        <w:rPr>
          <w:rFonts w:hint="eastAsia"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420F0567">
      <w:pPr>
        <w:pStyle w:val="20"/>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159C25E">
      <w:pPr>
        <w:pStyle w:val="20"/>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依据本磋商文件规定享受扶持政策获得政府采购合同的，小微企业不得将合同分包给大中型企业，中型企业不得将合同分包给大型企业。</w:t>
      </w:r>
    </w:p>
    <w:p w14:paraId="5322071F">
      <w:pPr>
        <w:pStyle w:val="20"/>
        <w:spacing w:line="360" w:lineRule="auto"/>
        <w:ind w:firstLine="420" w:firstLineChars="200"/>
        <w:textAlignment w:val="center"/>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33.4本项目涉及中小企业采购，符合《政府采购促进中小企业发展管理办法》中第十二条：</w:t>
      </w:r>
    </w:p>
    <w:p w14:paraId="3221247B">
      <w:pPr>
        <w:pStyle w:val="20"/>
        <w:spacing w:line="360" w:lineRule="auto"/>
        <w:ind w:firstLine="420" w:firstLineChars="200"/>
        <w:textAlignment w:val="center"/>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1、标的的名称：博白县人民医院1号楼旧楼门诊业务用房优化布局改造提升工程（儿科部分）；</w:t>
      </w:r>
    </w:p>
    <w:p w14:paraId="5E3CAB00">
      <w:pPr>
        <w:pStyle w:val="20"/>
        <w:spacing w:line="360" w:lineRule="auto"/>
        <w:ind w:firstLine="420" w:firstLineChars="200"/>
        <w:textAlignment w:val="center"/>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专门面向中小企业预留金额为：人民币1300481.84元，即项目预算金额；</w:t>
      </w:r>
    </w:p>
    <w:p w14:paraId="5BA111C5">
      <w:pPr>
        <w:pStyle w:val="20"/>
        <w:spacing w:line="360" w:lineRule="auto"/>
        <w:ind w:firstLine="420" w:firstLineChars="200"/>
        <w:textAlignment w:val="center"/>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专门面向中小企业预留份额为：100%。</w:t>
      </w:r>
    </w:p>
    <w:p w14:paraId="76EA047C">
      <w:pPr>
        <w:pStyle w:val="20"/>
        <w:spacing w:line="360" w:lineRule="auto"/>
        <w:ind w:firstLine="420" w:firstLineChars="200"/>
        <w:textAlignment w:val="center"/>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2、本项目不接受联合体投标，本项目不允许分包。</w:t>
      </w:r>
    </w:p>
    <w:p w14:paraId="58ED0D43">
      <w:pPr>
        <w:pStyle w:val="20"/>
        <w:spacing w:line="360" w:lineRule="auto"/>
        <w:ind w:firstLine="420" w:firstLineChars="200"/>
        <w:textAlignment w:val="center"/>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3、本项目属于专门面向中小企业采购的项目或者采购包，不再设置价格扣除比例或者价格分加分比例。</w:t>
      </w:r>
    </w:p>
    <w:p w14:paraId="4BCD3C43">
      <w:pPr>
        <w:pStyle w:val="20"/>
        <w:spacing w:line="360" w:lineRule="auto"/>
        <w:ind w:firstLine="420" w:firstLineChars="200"/>
        <w:textAlignment w:val="center"/>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4、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25AC4D11">
      <w:pPr>
        <w:pStyle w:val="20"/>
        <w:spacing w:line="360" w:lineRule="auto"/>
        <w:ind w:firstLine="420" w:firstLineChars="200"/>
        <w:textAlignment w:val="center"/>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5、项目预付款方式：</w:t>
      </w:r>
    </w:p>
    <w:p w14:paraId="0615835C">
      <w:pPr>
        <w:pStyle w:val="20"/>
        <w:spacing w:line="360" w:lineRule="auto"/>
        <w:ind w:firstLine="420" w:firstLineChars="200"/>
        <w:textAlignment w:val="center"/>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 xml:space="preserve">①预付款支付比例：合同总价款30%； </w:t>
      </w:r>
    </w:p>
    <w:p w14:paraId="5CA4C352">
      <w:pPr>
        <w:pStyle w:val="20"/>
        <w:spacing w:line="360" w:lineRule="auto"/>
        <w:ind w:firstLine="420" w:firstLineChars="200"/>
        <w:textAlignment w:val="center"/>
        <w:rPr>
          <w:rFonts w:hint="eastAsia"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②预付款支付期限：签订合同之日起10个工作日内。</w:t>
      </w:r>
    </w:p>
    <w:p w14:paraId="6FBF9308">
      <w:pPr>
        <w:pStyle w:val="20"/>
        <w:spacing w:line="360" w:lineRule="auto"/>
        <w:ind w:firstLine="420" w:firstLineChars="200"/>
        <w:textAlignment w:val="center"/>
        <w:rPr>
          <w:rFonts w:hint="default" w:ascii="宋体" w:hAnsi="宋体" w:eastAsia="宋体" w:cs="宋体"/>
          <w:color w:val="auto"/>
          <w:kern w:val="2"/>
          <w:sz w:val="21"/>
          <w:lang w:val="en-US" w:eastAsia="zh-CN"/>
        </w:rPr>
      </w:pPr>
      <w:r>
        <w:rPr>
          <w:rFonts w:hint="eastAsia" w:ascii="宋体" w:hAnsi="宋体" w:eastAsia="宋体" w:cs="宋体"/>
          <w:color w:val="auto"/>
          <w:kern w:val="2"/>
          <w:sz w:val="21"/>
          <w:lang w:val="en-US" w:eastAsia="zh-CN"/>
        </w:rPr>
        <w:t>6、本项目采购标的对应的中小企业划分标准所属行业为：建筑行业。</w:t>
      </w:r>
    </w:p>
    <w:p w14:paraId="3D6A9043">
      <w:pPr>
        <w:pStyle w:val="53"/>
        <w:rPr>
          <w:rFonts w:hint="eastAsia"/>
          <w:color w:val="auto"/>
        </w:rPr>
      </w:pPr>
    </w:p>
    <w:p w14:paraId="528FA4FE">
      <w:pPr>
        <w:pStyle w:val="51"/>
        <w:rPr>
          <w:rFonts w:hint="eastAsia"/>
          <w:color w:val="auto"/>
        </w:rPr>
      </w:pPr>
      <w:bookmarkStart w:id="32" w:name="_Toc74323458"/>
    </w:p>
    <w:p w14:paraId="43A5BEC6">
      <w:pPr>
        <w:pStyle w:val="51"/>
        <w:rPr>
          <w:rFonts w:hint="eastAsia"/>
          <w:color w:val="auto"/>
        </w:rPr>
      </w:pPr>
    </w:p>
    <w:p w14:paraId="55D654D4">
      <w:pPr>
        <w:pStyle w:val="51"/>
        <w:rPr>
          <w:rFonts w:hint="eastAsia"/>
          <w:color w:val="auto"/>
        </w:rPr>
      </w:pPr>
    </w:p>
    <w:p w14:paraId="07D47413">
      <w:pPr>
        <w:pStyle w:val="2"/>
        <w:spacing w:line="360" w:lineRule="auto"/>
        <w:ind w:firstLine="3092" w:firstLineChars="700"/>
        <w:jc w:val="both"/>
        <w:rPr>
          <w:rFonts w:ascii="宋体" w:hAnsi="宋体" w:cs="Arial"/>
          <w:bCs w:val="0"/>
          <w:color w:val="auto"/>
          <w:szCs w:val="21"/>
          <w:u w:val="single"/>
        </w:rPr>
      </w:pPr>
      <w:r>
        <w:rPr>
          <w:rFonts w:hint="eastAsia"/>
          <w:color w:val="auto"/>
        </w:rPr>
        <w:t>第三章 采购需求</w:t>
      </w:r>
      <w:bookmarkEnd w:id="32"/>
      <w:r>
        <w:rPr>
          <w:rFonts w:hint="eastAsia" w:ascii="宋体" w:hAnsi="宋体"/>
          <w:b w:val="0"/>
          <w:color w:val="auto"/>
          <w:szCs w:val="21"/>
        </w:rPr>
        <w:t xml:space="preserve">   </w:t>
      </w:r>
    </w:p>
    <w:p w14:paraId="2007A9E2">
      <w:pPr>
        <w:tabs>
          <w:tab w:val="left" w:pos="180"/>
          <w:tab w:val="left" w:pos="1620"/>
        </w:tabs>
        <w:spacing w:line="360" w:lineRule="auto"/>
        <w:jc w:val="center"/>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一、项目概况</w:t>
      </w:r>
    </w:p>
    <w:p w14:paraId="4D4D5EF6">
      <w:pPr>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工程概况</w:t>
      </w:r>
    </w:p>
    <w:p w14:paraId="362F76DD">
      <w:pPr>
        <w:numPr>
          <w:ilvl w:val="0"/>
          <w:numId w:val="0"/>
        </w:num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1、采购范围：本项目改造面积约为915.02㎡，包含拆除、建筑、装饰装修、安装工程等</w:t>
      </w:r>
      <w:r>
        <w:rPr>
          <w:rFonts w:hint="eastAsia" w:ascii="宋体" w:hAnsi="宋体" w:eastAsia="宋体"/>
          <w:color w:val="auto"/>
          <w:szCs w:val="21"/>
          <w:lang w:eastAsia="zh-CN"/>
        </w:rPr>
        <w:t>，详见工程预算书、图纸（如有）。</w:t>
      </w:r>
    </w:p>
    <w:p w14:paraId="404AA5EE">
      <w:pPr>
        <w:numPr>
          <w:ilvl w:val="0"/>
          <w:numId w:val="0"/>
        </w:numPr>
        <w:spacing w:line="360" w:lineRule="auto"/>
        <w:ind w:firstLine="420" w:firstLineChars="200"/>
        <w:rPr>
          <w:rFonts w:hint="eastAsia" w:ascii="宋体" w:hAnsi="宋体"/>
          <w:color w:val="auto"/>
          <w:szCs w:val="21"/>
          <w:lang w:val="en-US" w:eastAsia="zh-CN"/>
        </w:rPr>
      </w:pPr>
      <w:r>
        <w:rPr>
          <w:rFonts w:hint="eastAsia" w:ascii="宋体" w:hAnsi="宋体" w:eastAsia="宋体"/>
          <w:color w:val="auto"/>
          <w:szCs w:val="21"/>
          <w:lang w:val="en-US" w:eastAsia="zh-CN"/>
        </w:rPr>
        <w:t>2、项目地理位置：</w:t>
      </w:r>
      <w:r>
        <w:rPr>
          <w:rFonts w:hint="eastAsia" w:ascii="宋体" w:hAnsi="宋体" w:eastAsia="宋体" w:cs="Times New Roman"/>
          <w:color w:val="auto"/>
          <w:szCs w:val="21"/>
          <w:lang w:val="en-US" w:eastAsia="zh-CN"/>
        </w:rPr>
        <w:t>位于广西玉林市博白县兴隆东路9号博白县人民医院。</w:t>
      </w:r>
    </w:p>
    <w:p w14:paraId="7EEE5D8B">
      <w:pPr>
        <w:spacing w:line="360" w:lineRule="auto"/>
        <w:ind w:firstLine="420" w:firstLineChars="200"/>
        <w:rPr>
          <w:rFonts w:hint="eastAsia" w:ascii="宋体" w:hAnsi="宋体" w:eastAsia="宋体" w:cs="Times New Roman"/>
          <w:color w:val="auto"/>
          <w:szCs w:val="21"/>
          <w:lang w:val="en-US" w:eastAsia="zh-CN"/>
        </w:rPr>
      </w:pPr>
      <w:r>
        <w:rPr>
          <w:rFonts w:hint="eastAsia" w:ascii="宋体" w:hAnsi="宋体"/>
          <w:color w:val="auto"/>
          <w:szCs w:val="21"/>
          <w:lang w:val="en-US" w:eastAsia="zh-CN"/>
        </w:rPr>
        <w:t>3、合同履约期</w:t>
      </w:r>
      <w:r>
        <w:rPr>
          <w:rFonts w:hint="eastAsia" w:ascii="宋体" w:hAnsi="宋体" w:eastAsia="宋体" w:cs="Times New Roman"/>
          <w:color w:val="auto"/>
          <w:szCs w:val="21"/>
          <w:lang w:val="en-US" w:eastAsia="zh-CN"/>
        </w:rPr>
        <w:t>限：</w:t>
      </w:r>
      <w:r>
        <w:rPr>
          <w:rFonts w:hint="eastAsia" w:ascii="宋体" w:hAnsi="宋体" w:cs="Times New Roman"/>
          <w:color w:val="auto"/>
          <w:szCs w:val="21"/>
          <w:lang w:val="en-US" w:eastAsia="zh-CN"/>
        </w:rPr>
        <w:t>签订合同后60天（日历天）内。</w:t>
      </w:r>
    </w:p>
    <w:p w14:paraId="4358855A">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w:t>
      </w:r>
      <w:r>
        <w:rPr>
          <w:rFonts w:hint="eastAsia" w:cs="Arial"/>
          <w:color w:val="auto"/>
          <w:szCs w:val="21"/>
        </w:rPr>
        <w:t>质量要求：达到国家施工验收规范合格标准</w:t>
      </w:r>
      <w:r>
        <w:rPr>
          <w:rFonts w:hint="eastAsia" w:cs="Arial"/>
          <w:color w:val="auto"/>
          <w:szCs w:val="21"/>
          <w:lang w:eastAsia="zh-CN"/>
        </w:rPr>
        <w:t>。</w:t>
      </w:r>
    </w:p>
    <w:p w14:paraId="36DD6A0F">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5、</w:t>
      </w:r>
      <w:r>
        <w:rPr>
          <w:rFonts w:hint="eastAsia" w:ascii="宋体" w:hAnsi="宋体"/>
          <w:color w:val="auto"/>
          <w:szCs w:val="21"/>
        </w:rPr>
        <w:t>本项目</w:t>
      </w:r>
      <w:r>
        <w:rPr>
          <w:rFonts w:hint="eastAsia" w:ascii="宋体" w:hAnsi="宋体"/>
          <w:color w:val="auto"/>
          <w:szCs w:val="21"/>
          <w:lang w:eastAsia="zh-CN"/>
        </w:rPr>
        <w:t>不</w:t>
      </w:r>
      <w:r>
        <w:rPr>
          <w:rFonts w:hint="eastAsia" w:ascii="宋体" w:hAnsi="宋体"/>
          <w:color w:val="auto"/>
          <w:szCs w:val="21"/>
        </w:rPr>
        <w:t>接受联合体</w:t>
      </w:r>
      <w:r>
        <w:rPr>
          <w:rFonts w:hint="eastAsia" w:ascii="宋体" w:hAnsi="宋体"/>
          <w:color w:val="auto"/>
          <w:szCs w:val="21"/>
          <w:lang w:eastAsia="zh-CN"/>
        </w:rPr>
        <w:t>。</w:t>
      </w:r>
    </w:p>
    <w:p w14:paraId="544518EC">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其余具体内容详见竞争性磋商文件。</w:t>
      </w:r>
    </w:p>
    <w:p w14:paraId="69941AAA">
      <w:pPr>
        <w:spacing w:line="360" w:lineRule="auto"/>
        <w:rPr>
          <w:rFonts w:hint="eastAsia" w:cs="Arial"/>
          <w:color w:val="auto"/>
          <w:szCs w:val="21"/>
          <w:lang w:eastAsia="zh-CN"/>
        </w:rPr>
      </w:pPr>
    </w:p>
    <w:p w14:paraId="601EAE49">
      <w:pPr>
        <w:spacing w:line="360" w:lineRule="auto"/>
        <w:rPr>
          <w:rFonts w:hint="eastAsia" w:cs="Arial"/>
          <w:color w:val="auto"/>
          <w:szCs w:val="21"/>
          <w:lang w:eastAsia="zh-CN"/>
        </w:rPr>
      </w:pPr>
    </w:p>
    <w:p w14:paraId="7A18B4BD">
      <w:pPr>
        <w:pStyle w:val="51"/>
        <w:rPr>
          <w:rFonts w:hint="eastAsia" w:cs="Arial"/>
          <w:color w:val="auto"/>
          <w:szCs w:val="21"/>
          <w:lang w:eastAsia="zh-CN"/>
        </w:rPr>
      </w:pPr>
    </w:p>
    <w:p w14:paraId="328C67ED">
      <w:pPr>
        <w:pStyle w:val="51"/>
        <w:rPr>
          <w:rFonts w:hint="eastAsia" w:cs="Arial"/>
          <w:color w:val="auto"/>
          <w:szCs w:val="21"/>
          <w:lang w:eastAsia="zh-CN"/>
        </w:rPr>
      </w:pPr>
    </w:p>
    <w:p w14:paraId="2BB1AE4D">
      <w:pPr>
        <w:pStyle w:val="51"/>
        <w:rPr>
          <w:rFonts w:hint="eastAsia" w:cs="Arial"/>
          <w:color w:val="auto"/>
          <w:szCs w:val="21"/>
          <w:lang w:eastAsia="zh-CN"/>
        </w:rPr>
      </w:pPr>
    </w:p>
    <w:p w14:paraId="49A95780">
      <w:pPr>
        <w:pStyle w:val="51"/>
        <w:rPr>
          <w:rFonts w:hint="eastAsia" w:cs="Arial"/>
          <w:color w:val="auto"/>
          <w:szCs w:val="21"/>
          <w:lang w:eastAsia="zh-CN"/>
        </w:rPr>
      </w:pPr>
    </w:p>
    <w:p w14:paraId="62EC5E5E">
      <w:pPr>
        <w:pStyle w:val="51"/>
        <w:rPr>
          <w:rFonts w:hint="eastAsia" w:cs="Arial"/>
          <w:color w:val="auto"/>
          <w:szCs w:val="21"/>
          <w:lang w:eastAsia="zh-CN"/>
        </w:rPr>
      </w:pPr>
    </w:p>
    <w:p w14:paraId="11D3C7F9">
      <w:pPr>
        <w:pStyle w:val="51"/>
        <w:rPr>
          <w:rFonts w:hint="eastAsia" w:cs="Arial"/>
          <w:color w:val="auto"/>
          <w:szCs w:val="21"/>
          <w:lang w:eastAsia="zh-CN"/>
        </w:rPr>
      </w:pPr>
    </w:p>
    <w:p w14:paraId="689B61E6">
      <w:pPr>
        <w:pStyle w:val="51"/>
        <w:rPr>
          <w:rFonts w:hint="eastAsia" w:cs="Arial"/>
          <w:color w:val="auto"/>
          <w:szCs w:val="21"/>
          <w:lang w:eastAsia="zh-CN"/>
        </w:rPr>
      </w:pPr>
    </w:p>
    <w:p w14:paraId="09FCAC70">
      <w:pPr>
        <w:pStyle w:val="51"/>
        <w:rPr>
          <w:rFonts w:hint="eastAsia" w:cs="Arial"/>
          <w:color w:val="auto"/>
          <w:szCs w:val="21"/>
          <w:lang w:eastAsia="zh-CN"/>
        </w:rPr>
      </w:pPr>
    </w:p>
    <w:p w14:paraId="0FD5D525">
      <w:pPr>
        <w:pStyle w:val="51"/>
        <w:rPr>
          <w:rFonts w:hint="eastAsia" w:cs="Arial"/>
          <w:color w:val="auto"/>
          <w:szCs w:val="21"/>
          <w:lang w:eastAsia="zh-CN"/>
        </w:rPr>
      </w:pPr>
    </w:p>
    <w:p w14:paraId="6E5A4F1E">
      <w:pPr>
        <w:pStyle w:val="51"/>
        <w:rPr>
          <w:rFonts w:hint="eastAsia" w:cs="Arial"/>
          <w:color w:val="auto"/>
          <w:szCs w:val="21"/>
          <w:lang w:eastAsia="zh-CN"/>
        </w:rPr>
      </w:pPr>
    </w:p>
    <w:p w14:paraId="0077A20B">
      <w:pPr>
        <w:pStyle w:val="51"/>
        <w:rPr>
          <w:rFonts w:hint="eastAsia" w:cs="Arial"/>
          <w:color w:val="auto"/>
          <w:szCs w:val="21"/>
          <w:lang w:eastAsia="zh-CN"/>
        </w:rPr>
      </w:pPr>
    </w:p>
    <w:p w14:paraId="12E50102">
      <w:pPr>
        <w:pStyle w:val="51"/>
        <w:rPr>
          <w:rFonts w:hint="eastAsia" w:cs="Arial"/>
          <w:color w:val="auto"/>
          <w:szCs w:val="21"/>
          <w:lang w:eastAsia="zh-CN"/>
        </w:rPr>
      </w:pPr>
    </w:p>
    <w:p w14:paraId="36352CFF">
      <w:pPr>
        <w:pStyle w:val="51"/>
        <w:rPr>
          <w:rFonts w:hint="eastAsia" w:cs="Arial"/>
          <w:color w:val="auto"/>
          <w:szCs w:val="21"/>
          <w:lang w:eastAsia="zh-CN"/>
        </w:rPr>
      </w:pPr>
    </w:p>
    <w:p w14:paraId="55E2C361">
      <w:pPr>
        <w:pStyle w:val="51"/>
        <w:rPr>
          <w:rFonts w:hint="eastAsia" w:cs="Arial"/>
          <w:color w:val="auto"/>
          <w:szCs w:val="21"/>
          <w:lang w:eastAsia="zh-CN"/>
        </w:rPr>
      </w:pPr>
    </w:p>
    <w:p w14:paraId="2712DF90">
      <w:pPr>
        <w:pStyle w:val="51"/>
        <w:rPr>
          <w:rFonts w:hint="eastAsia" w:cs="Arial"/>
          <w:color w:val="auto"/>
          <w:szCs w:val="21"/>
          <w:lang w:eastAsia="zh-CN"/>
        </w:rPr>
      </w:pPr>
    </w:p>
    <w:p w14:paraId="4AF4A1DC">
      <w:pPr>
        <w:pStyle w:val="51"/>
        <w:rPr>
          <w:rFonts w:hint="eastAsia" w:cs="Arial"/>
          <w:color w:val="auto"/>
          <w:szCs w:val="21"/>
          <w:lang w:eastAsia="zh-CN"/>
        </w:rPr>
      </w:pPr>
    </w:p>
    <w:p w14:paraId="374F4111">
      <w:pPr>
        <w:pStyle w:val="51"/>
        <w:rPr>
          <w:rFonts w:hint="eastAsia" w:cs="Arial"/>
          <w:color w:val="auto"/>
          <w:szCs w:val="21"/>
          <w:lang w:eastAsia="zh-CN"/>
        </w:rPr>
      </w:pPr>
    </w:p>
    <w:p w14:paraId="273CE65F">
      <w:pPr>
        <w:pStyle w:val="51"/>
        <w:rPr>
          <w:rFonts w:hint="eastAsia" w:cs="Arial"/>
          <w:color w:val="auto"/>
          <w:szCs w:val="21"/>
          <w:lang w:eastAsia="zh-CN"/>
        </w:rPr>
      </w:pPr>
    </w:p>
    <w:p w14:paraId="4283C708">
      <w:pPr>
        <w:pStyle w:val="51"/>
        <w:rPr>
          <w:rFonts w:hint="eastAsia" w:cs="Arial"/>
          <w:color w:val="auto"/>
          <w:szCs w:val="21"/>
          <w:lang w:eastAsia="zh-CN"/>
        </w:rPr>
      </w:pPr>
    </w:p>
    <w:p w14:paraId="24C35C4E">
      <w:pPr>
        <w:pStyle w:val="51"/>
        <w:rPr>
          <w:rFonts w:hint="eastAsia" w:cs="Arial"/>
          <w:color w:val="auto"/>
          <w:szCs w:val="21"/>
          <w:lang w:eastAsia="zh-CN"/>
        </w:rPr>
      </w:pPr>
    </w:p>
    <w:p w14:paraId="679FE8AB">
      <w:pPr>
        <w:pStyle w:val="51"/>
        <w:rPr>
          <w:rFonts w:hint="eastAsia" w:cs="Arial"/>
          <w:color w:val="auto"/>
          <w:szCs w:val="21"/>
          <w:lang w:eastAsia="zh-CN"/>
        </w:rPr>
      </w:pPr>
    </w:p>
    <w:p w14:paraId="6F788FD1">
      <w:pPr>
        <w:pStyle w:val="51"/>
        <w:rPr>
          <w:rFonts w:hint="eastAsia" w:cs="Arial"/>
          <w:color w:val="auto"/>
          <w:szCs w:val="21"/>
          <w:lang w:eastAsia="zh-CN"/>
        </w:rPr>
      </w:pPr>
    </w:p>
    <w:p w14:paraId="09D2B681">
      <w:pPr>
        <w:pStyle w:val="51"/>
        <w:rPr>
          <w:rFonts w:hint="eastAsia" w:cs="Arial"/>
          <w:color w:val="auto"/>
          <w:szCs w:val="21"/>
          <w:lang w:eastAsia="zh-CN"/>
        </w:rPr>
      </w:pPr>
    </w:p>
    <w:p w14:paraId="4A53C2B0">
      <w:pPr>
        <w:pStyle w:val="51"/>
        <w:rPr>
          <w:rFonts w:hint="eastAsia" w:cs="Arial"/>
          <w:color w:val="auto"/>
          <w:szCs w:val="21"/>
          <w:lang w:eastAsia="zh-CN"/>
        </w:rPr>
      </w:pPr>
    </w:p>
    <w:p w14:paraId="556CF2E7">
      <w:pPr>
        <w:spacing w:line="360" w:lineRule="auto"/>
        <w:jc w:val="center"/>
        <w:rPr>
          <w:rFonts w:hint="eastAsia" w:cs="Arial"/>
          <w:color w:val="auto"/>
          <w:sz w:val="28"/>
          <w:szCs w:val="28"/>
          <w:lang w:val="en-US" w:eastAsia="zh-CN"/>
        </w:rPr>
      </w:pPr>
      <w:r>
        <w:rPr>
          <w:rFonts w:hint="eastAsia" w:cs="Arial"/>
          <w:color w:val="auto"/>
          <w:sz w:val="28"/>
          <w:szCs w:val="28"/>
          <w:lang w:eastAsia="zh-CN"/>
        </w:rPr>
        <w:t>二、工程量清单</w:t>
      </w:r>
    </w:p>
    <w:p w14:paraId="75A52035">
      <w:pPr>
        <w:spacing w:line="440" w:lineRule="exact"/>
        <w:ind w:left="420"/>
        <w:rPr>
          <w:rFonts w:hint="eastAsia" w:ascii="宋体"/>
          <w:bCs/>
          <w:color w:val="auto"/>
        </w:rPr>
      </w:pPr>
      <w:r>
        <w:rPr>
          <w:rFonts w:hint="eastAsia" w:ascii="宋体"/>
          <w:bCs/>
          <w:color w:val="auto"/>
        </w:rPr>
        <w:t>1.工程量清单应与须知、合同条件、合同协议条款、技术规范和图纸一起使用。</w:t>
      </w:r>
    </w:p>
    <w:p w14:paraId="31CD32C4">
      <w:pPr>
        <w:spacing w:line="440" w:lineRule="exact"/>
        <w:ind w:left="420"/>
        <w:rPr>
          <w:rFonts w:hint="eastAsia" w:ascii="宋体"/>
          <w:bCs/>
          <w:color w:val="auto"/>
        </w:rPr>
      </w:pPr>
      <w:r>
        <w:rPr>
          <w:rFonts w:hint="eastAsia" w:ascii="宋体"/>
          <w:bCs/>
          <w:color w:val="auto"/>
        </w:rPr>
        <w:t>2.工程量清单所列的工程量为暂定量，作为</w:t>
      </w:r>
      <w:r>
        <w:rPr>
          <w:rFonts w:hint="eastAsia" w:ascii="宋体"/>
          <w:bCs/>
          <w:color w:val="auto"/>
          <w:lang w:eastAsia="zh-CN"/>
        </w:rPr>
        <w:t>竞标</w:t>
      </w:r>
      <w:r>
        <w:rPr>
          <w:rFonts w:hint="eastAsia" w:ascii="宋体"/>
          <w:bCs/>
          <w:color w:val="auto"/>
        </w:rPr>
        <w:t xml:space="preserve">报价的共同基础。承包人必须完成图纸规定的工程量，付款时以设计图纸规定的工程量和因设计变更引起增减的工程量为依据。 </w:t>
      </w:r>
    </w:p>
    <w:p w14:paraId="6352BF7C">
      <w:pPr>
        <w:spacing w:line="440" w:lineRule="exact"/>
        <w:ind w:left="420"/>
        <w:rPr>
          <w:rFonts w:hint="eastAsia" w:ascii="宋体"/>
          <w:bCs/>
          <w:color w:val="auto"/>
        </w:rPr>
      </w:pPr>
      <w:r>
        <w:rPr>
          <w:rFonts w:hint="eastAsia" w:ascii="宋体"/>
          <w:bCs/>
          <w:color w:val="auto"/>
        </w:rPr>
        <w:t>3.工程量清单所填入的单价和合价，应包括人工费、材料费、机械费、其他直接费、间接费、有关文件规定的调价、利润、税金以及现行取费中的有关费用、材料的差价以及采用固定价格的工程所测算的风险金等全部费用。</w:t>
      </w:r>
    </w:p>
    <w:p w14:paraId="516DBBD2">
      <w:pPr>
        <w:spacing w:line="440" w:lineRule="exact"/>
        <w:ind w:left="420"/>
        <w:rPr>
          <w:rFonts w:hint="eastAsia" w:ascii="宋体"/>
          <w:bCs/>
          <w:color w:val="auto"/>
        </w:rPr>
      </w:pPr>
      <w:r>
        <w:rPr>
          <w:rFonts w:hint="eastAsia" w:ascii="宋体"/>
          <w:bCs/>
          <w:color w:val="auto"/>
        </w:rPr>
        <w:t>4.工程量清单中的每一单项均需做出单价分析，并填写单价和合价。对没有填写单价或合价的项目的费用，应视为已包括在工程量清单的其他单价或合价之中。</w:t>
      </w:r>
    </w:p>
    <w:p w14:paraId="198D6563">
      <w:pPr>
        <w:spacing w:line="440" w:lineRule="exact"/>
        <w:ind w:left="420"/>
        <w:rPr>
          <w:rFonts w:hint="eastAsia" w:ascii="宋体"/>
          <w:bCs/>
          <w:color w:val="auto"/>
        </w:rPr>
      </w:pPr>
      <w:r>
        <w:rPr>
          <w:rFonts w:hint="eastAsia" w:ascii="宋体"/>
          <w:bCs/>
          <w:color w:val="auto"/>
        </w:rPr>
        <w:t>5.工程量清单不再重复或概括工程及材料的一般说明，在分析和填写工程量清单的每一项的单价和合价时应参考须知和合同文件的有关条款。</w:t>
      </w:r>
    </w:p>
    <w:p w14:paraId="03125588">
      <w:pPr>
        <w:spacing w:line="440" w:lineRule="exact"/>
        <w:ind w:left="420"/>
        <w:rPr>
          <w:rFonts w:hint="eastAsia" w:ascii="宋体"/>
          <w:bCs/>
          <w:color w:val="auto"/>
        </w:rPr>
      </w:pPr>
      <w:r>
        <w:rPr>
          <w:rFonts w:hint="eastAsia" w:ascii="宋体"/>
          <w:bCs/>
          <w:color w:val="auto"/>
        </w:rPr>
        <w:t>6.所有报价应以人民币表示。</w:t>
      </w:r>
    </w:p>
    <w:p w14:paraId="04BF6800">
      <w:pPr>
        <w:spacing w:line="440" w:lineRule="exact"/>
        <w:ind w:left="420"/>
        <w:rPr>
          <w:rFonts w:hint="eastAsia" w:ascii="宋体"/>
          <w:bCs/>
          <w:color w:val="auto"/>
        </w:rPr>
      </w:pPr>
      <w:r>
        <w:rPr>
          <w:rFonts w:hint="eastAsia" w:ascii="宋体"/>
          <w:bCs/>
          <w:color w:val="auto"/>
        </w:rPr>
        <w:t>7.工程量清单中的各分项工程的综合单价为本工程包干单价，不管磋商供应商今后施工方案如何，均按包干单价执行。</w:t>
      </w:r>
    </w:p>
    <w:p w14:paraId="7860D8F0">
      <w:pPr>
        <w:tabs>
          <w:tab w:val="left" w:pos="180"/>
          <w:tab w:val="left" w:pos="1620"/>
        </w:tabs>
        <w:spacing w:line="360" w:lineRule="auto"/>
        <w:jc w:val="both"/>
        <w:rPr>
          <w:rFonts w:hint="default" w:ascii="宋体" w:hAnsi="宋体" w:cs="宋体"/>
          <w:b w:val="0"/>
          <w:bCs w:val="0"/>
          <w:color w:val="auto"/>
          <w:sz w:val="28"/>
          <w:szCs w:val="28"/>
          <w:lang w:val="en-US" w:eastAsia="zh-CN"/>
        </w:rPr>
      </w:pPr>
    </w:p>
    <w:p w14:paraId="0CAB9538">
      <w:pPr>
        <w:tabs>
          <w:tab w:val="left" w:pos="180"/>
          <w:tab w:val="left" w:pos="1620"/>
        </w:tabs>
        <w:spacing w:line="360" w:lineRule="auto"/>
        <w:ind w:firstLine="422" w:firstLineChars="200"/>
        <w:rPr>
          <w:rFonts w:hint="eastAsia" w:ascii="宋体" w:hAnsi="宋体" w:eastAsia="宋体" w:cs="宋体"/>
          <w:b/>
          <w:bCs/>
          <w:color w:val="auto"/>
          <w:szCs w:val="21"/>
          <w:lang w:eastAsia="zh-CN"/>
        </w:rPr>
      </w:pPr>
    </w:p>
    <w:p w14:paraId="598B65C7">
      <w:pPr>
        <w:tabs>
          <w:tab w:val="left" w:pos="180"/>
          <w:tab w:val="left" w:pos="1620"/>
        </w:tabs>
        <w:spacing w:line="360" w:lineRule="auto"/>
        <w:ind w:firstLine="422" w:firstLineChars="200"/>
        <w:rPr>
          <w:rFonts w:hint="eastAsia" w:ascii="宋体" w:hAnsi="宋体" w:cs="宋体"/>
          <w:b/>
          <w:bCs/>
          <w:color w:val="auto"/>
          <w:szCs w:val="21"/>
        </w:rPr>
      </w:pPr>
    </w:p>
    <w:p w14:paraId="0568FB18">
      <w:pPr>
        <w:tabs>
          <w:tab w:val="left" w:pos="180"/>
          <w:tab w:val="left" w:pos="1620"/>
        </w:tabs>
        <w:spacing w:line="360" w:lineRule="auto"/>
        <w:ind w:firstLine="422" w:firstLineChars="200"/>
        <w:rPr>
          <w:rFonts w:hint="eastAsia" w:ascii="宋体" w:hAnsi="宋体" w:cs="宋体"/>
          <w:b/>
          <w:bCs/>
          <w:color w:val="auto"/>
          <w:szCs w:val="21"/>
        </w:rPr>
      </w:pPr>
    </w:p>
    <w:p w14:paraId="1B601DE5">
      <w:pPr>
        <w:tabs>
          <w:tab w:val="left" w:pos="180"/>
          <w:tab w:val="left" w:pos="1620"/>
        </w:tabs>
        <w:spacing w:line="360" w:lineRule="auto"/>
        <w:ind w:firstLine="422" w:firstLineChars="200"/>
        <w:rPr>
          <w:rFonts w:hint="eastAsia" w:ascii="宋体" w:hAnsi="宋体" w:cs="宋体"/>
          <w:b/>
          <w:bCs/>
          <w:color w:val="auto"/>
          <w:szCs w:val="21"/>
        </w:rPr>
      </w:pPr>
    </w:p>
    <w:p w14:paraId="09EB5EAB">
      <w:pPr>
        <w:tabs>
          <w:tab w:val="left" w:pos="180"/>
          <w:tab w:val="left" w:pos="1620"/>
        </w:tabs>
        <w:spacing w:line="360" w:lineRule="auto"/>
        <w:ind w:firstLine="422" w:firstLineChars="200"/>
        <w:rPr>
          <w:rFonts w:hint="eastAsia" w:ascii="宋体" w:hAnsi="宋体" w:cs="宋体"/>
          <w:b/>
          <w:bCs/>
          <w:color w:val="auto"/>
          <w:szCs w:val="21"/>
        </w:rPr>
      </w:pPr>
    </w:p>
    <w:p w14:paraId="57E67856">
      <w:pPr>
        <w:tabs>
          <w:tab w:val="left" w:pos="180"/>
          <w:tab w:val="left" w:pos="1620"/>
        </w:tabs>
        <w:spacing w:line="360" w:lineRule="auto"/>
        <w:ind w:firstLine="422" w:firstLineChars="200"/>
        <w:rPr>
          <w:rFonts w:hint="eastAsia" w:ascii="宋体" w:hAnsi="宋体" w:cs="宋体"/>
          <w:b/>
          <w:bCs/>
          <w:color w:val="auto"/>
          <w:szCs w:val="21"/>
        </w:rPr>
      </w:pPr>
    </w:p>
    <w:p w14:paraId="43AB4401">
      <w:pPr>
        <w:tabs>
          <w:tab w:val="left" w:pos="180"/>
          <w:tab w:val="left" w:pos="1620"/>
        </w:tabs>
        <w:spacing w:line="360" w:lineRule="auto"/>
        <w:ind w:firstLine="422" w:firstLineChars="200"/>
        <w:rPr>
          <w:rFonts w:hint="eastAsia" w:ascii="宋体" w:hAnsi="宋体" w:cs="宋体"/>
          <w:b/>
          <w:bCs/>
          <w:color w:val="auto"/>
          <w:szCs w:val="21"/>
        </w:rPr>
      </w:pPr>
    </w:p>
    <w:p w14:paraId="447CD6E1">
      <w:pPr>
        <w:tabs>
          <w:tab w:val="left" w:pos="180"/>
          <w:tab w:val="left" w:pos="1620"/>
        </w:tabs>
        <w:spacing w:line="360" w:lineRule="auto"/>
        <w:ind w:firstLine="422" w:firstLineChars="200"/>
        <w:rPr>
          <w:rFonts w:hint="eastAsia" w:ascii="宋体" w:hAnsi="宋体" w:cs="宋体"/>
          <w:b/>
          <w:bCs/>
          <w:color w:val="auto"/>
          <w:szCs w:val="21"/>
        </w:rPr>
      </w:pPr>
    </w:p>
    <w:p w14:paraId="6C991711">
      <w:pPr>
        <w:tabs>
          <w:tab w:val="left" w:pos="180"/>
          <w:tab w:val="left" w:pos="1620"/>
        </w:tabs>
        <w:spacing w:line="360" w:lineRule="auto"/>
        <w:ind w:firstLine="422" w:firstLineChars="200"/>
        <w:rPr>
          <w:rFonts w:hint="eastAsia" w:ascii="宋体" w:hAnsi="宋体" w:cs="宋体"/>
          <w:b/>
          <w:bCs/>
          <w:color w:val="auto"/>
          <w:szCs w:val="21"/>
        </w:rPr>
      </w:pPr>
    </w:p>
    <w:p w14:paraId="2221C61E">
      <w:pPr>
        <w:tabs>
          <w:tab w:val="left" w:pos="180"/>
          <w:tab w:val="left" w:pos="1620"/>
        </w:tabs>
        <w:spacing w:line="360" w:lineRule="auto"/>
        <w:ind w:firstLine="422" w:firstLineChars="200"/>
        <w:rPr>
          <w:rFonts w:hint="eastAsia" w:ascii="宋体" w:hAnsi="宋体" w:cs="宋体"/>
          <w:b/>
          <w:bCs/>
          <w:color w:val="auto"/>
          <w:szCs w:val="21"/>
        </w:rPr>
      </w:pPr>
    </w:p>
    <w:p w14:paraId="1D98596D">
      <w:pPr>
        <w:tabs>
          <w:tab w:val="left" w:pos="180"/>
          <w:tab w:val="left" w:pos="1620"/>
        </w:tabs>
        <w:spacing w:line="360" w:lineRule="auto"/>
        <w:ind w:firstLine="422" w:firstLineChars="200"/>
        <w:rPr>
          <w:rFonts w:hint="eastAsia" w:ascii="宋体" w:hAnsi="宋体" w:cs="宋体"/>
          <w:b/>
          <w:bCs/>
          <w:color w:val="auto"/>
          <w:szCs w:val="21"/>
        </w:rPr>
      </w:pPr>
    </w:p>
    <w:p w14:paraId="6D8CC47A">
      <w:pPr>
        <w:tabs>
          <w:tab w:val="left" w:pos="180"/>
          <w:tab w:val="left" w:pos="1620"/>
        </w:tabs>
        <w:spacing w:line="360" w:lineRule="auto"/>
        <w:ind w:firstLine="422" w:firstLineChars="200"/>
        <w:rPr>
          <w:rFonts w:hint="eastAsia" w:ascii="宋体" w:hAnsi="宋体" w:cs="宋体"/>
          <w:b/>
          <w:bCs/>
          <w:color w:val="auto"/>
          <w:szCs w:val="21"/>
        </w:rPr>
      </w:pPr>
    </w:p>
    <w:p w14:paraId="3EC2FABC">
      <w:pPr>
        <w:tabs>
          <w:tab w:val="left" w:pos="180"/>
          <w:tab w:val="left" w:pos="1620"/>
        </w:tabs>
        <w:spacing w:line="360" w:lineRule="auto"/>
        <w:ind w:firstLine="422" w:firstLineChars="200"/>
        <w:rPr>
          <w:rFonts w:hint="eastAsia" w:ascii="宋体" w:hAnsi="宋体" w:cs="宋体"/>
          <w:b/>
          <w:bCs/>
          <w:color w:val="auto"/>
          <w:szCs w:val="21"/>
        </w:rPr>
      </w:pPr>
    </w:p>
    <w:p w14:paraId="1208089E">
      <w:pPr>
        <w:tabs>
          <w:tab w:val="left" w:pos="180"/>
          <w:tab w:val="left" w:pos="1620"/>
        </w:tabs>
        <w:spacing w:line="360" w:lineRule="auto"/>
        <w:ind w:firstLine="422" w:firstLineChars="200"/>
        <w:rPr>
          <w:rFonts w:hint="eastAsia" w:ascii="宋体" w:hAnsi="宋体" w:cs="宋体"/>
          <w:b/>
          <w:bCs/>
          <w:color w:val="auto"/>
          <w:szCs w:val="21"/>
        </w:rPr>
      </w:pPr>
    </w:p>
    <w:p w14:paraId="1AABC17B">
      <w:pPr>
        <w:tabs>
          <w:tab w:val="left" w:pos="180"/>
          <w:tab w:val="left" w:pos="1620"/>
        </w:tabs>
        <w:spacing w:line="360" w:lineRule="auto"/>
        <w:ind w:firstLine="422" w:firstLineChars="200"/>
        <w:rPr>
          <w:rFonts w:hint="eastAsia" w:ascii="宋体" w:hAnsi="宋体" w:cs="宋体"/>
          <w:b/>
          <w:bCs/>
          <w:color w:val="auto"/>
          <w:szCs w:val="21"/>
        </w:rPr>
      </w:pPr>
    </w:p>
    <w:p w14:paraId="6E49FF0E">
      <w:pPr>
        <w:pStyle w:val="2"/>
        <w:keepNext/>
        <w:keepLines/>
        <w:pageBreakBefore w:val="0"/>
        <w:widowControl w:val="0"/>
        <w:numPr>
          <w:ilvl w:val="0"/>
          <w:numId w:val="3"/>
        </w:numPr>
        <w:kinsoku/>
        <w:wordWrap/>
        <w:overflowPunct/>
        <w:topLinePunct w:val="0"/>
        <w:autoSpaceDE/>
        <w:autoSpaceDN/>
        <w:bidi w:val="0"/>
        <w:adjustRightInd/>
        <w:snapToGrid/>
        <w:spacing w:line="360" w:lineRule="exact"/>
        <w:jc w:val="center"/>
        <w:textAlignment w:val="auto"/>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eastAsia="zh-CN"/>
        </w:rPr>
        <w:t>技术文件</w:t>
      </w:r>
    </w:p>
    <w:p w14:paraId="715C559B">
      <w:pPr>
        <w:pStyle w:val="2"/>
        <w:keepNext/>
        <w:keepLines/>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1、工程预算书：</w:t>
      </w:r>
      <w:r>
        <w:rPr>
          <w:rFonts w:hint="eastAsia" w:ascii="宋体" w:hAnsi="宋体" w:eastAsia="宋体" w:cs="宋体"/>
          <w:b w:val="0"/>
          <w:bCs w:val="0"/>
          <w:color w:val="auto"/>
          <w:sz w:val="21"/>
          <w:szCs w:val="21"/>
          <w:lang w:eastAsia="zh-CN"/>
        </w:rPr>
        <w:t>另册发放；</w:t>
      </w:r>
    </w:p>
    <w:p w14:paraId="269861D8">
      <w:pPr>
        <w:pStyle w:val="2"/>
        <w:keepNext/>
        <w:keepLines/>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2、图纸：另册发放（如有）。</w:t>
      </w:r>
    </w:p>
    <w:p w14:paraId="2268FDB2">
      <w:pPr>
        <w:rPr>
          <w:rFonts w:hint="eastAsia" w:ascii="宋体" w:hAnsi="宋体" w:eastAsia="宋体" w:cs="宋体"/>
          <w:b w:val="0"/>
          <w:bCs w:val="0"/>
          <w:color w:val="auto"/>
          <w:sz w:val="28"/>
          <w:szCs w:val="28"/>
          <w:lang w:eastAsia="zh-CN"/>
        </w:rPr>
      </w:pPr>
    </w:p>
    <w:p w14:paraId="120D49DC">
      <w:pPr>
        <w:pStyle w:val="51"/>
        <w:rPr>
          <w:rFonts w:hint="eastAsia" w:ascii="宋体" w:hAnsi="宋体" w:eastAsia="宋体" w:cs="宋体"/>
          <w:b w:val="0"/>
          <w:bCs w:val="0"/>
          <w:color w:val="auto"/>
          <w:sz w:val="28"/>
          <w:szCs w:val="28"/>
          <w:lang w:eastAsia="zh-CN"/>
        </w:rPr>
      </w:pPr>
    </w:p>
    <w:p w14:paraId="4457565E">
      <w:pPr>
        <w:pStyle w:val="51"/>
        <w:rPr>
          <w:rFonts w:hint="eastAsia" w:ascii="宋体" w:hAnsi="宋体" w:eastAsia="宋体" w:cs="宋体"/>
          <w:b w:val="0"/>
          <w:bCs w:val="0"/>
          <w:color w:val="auto"/>
          <w:sz w:val="28"/>
          <w:szCs w:val="28"/>
          <w:lang w:eastAsia="zh-CN"/>
        </w:rPr>
      </w:pPr>
    </w:p>
    <w:p w14:paraId="74F27C0A">
      <w:pPr>
        <w:pStyle w:val="51"/>
        <w:rPr>
          <w:rFonts w:hint="eastAsia" w:ascii="宋体" w:hAnsi="宋体" w:eastAsia="宋体" w:cs="宋体"/>
          <w:b w:val="0"/>
          <w:bCs w:val="0"/>
          <w:color w:val="auto"/>
          <w:sz w:val="28"/>
          <w:szCs w:val="28"/>
          <w:lang w:eastAsia="zh-CN"/>
        </w:rPr>
      </w:pPr>
    </w:p>
    <w:p w14:paraId="381B0FB0">
      <w:pPr>
        <w:pStyle w:val="51"/>
        <w:rPr>
          <w:rFonts w:hint="eastAsia" w:ascii="宋体" w:hAnsi="宋体" w:eastAsia="宋体" w:cs="宋体"/>
          <w:b w:val="0"/>
          <w:bCs w:val="0"/>
          <w:color w:val="auto"/>
          <w:sz w:val="28"/>
          <w:szCs w:val="28"/>
          <w:lang w:eastAsia="zh-CN"/>
        </w:rPr>
      </w:pPr>
    </w:p>
    <w:p w14:paraId="141AF609">
      <w:pPr>
        <w:pStyle w:val="51"/>
        <w:rPr>
          <w:rFonts w:hint="eastAsia" w:ascii="宋体" w:hAnsi="宋体" w:eastAsia="宋体" w:cs="宋体"/>
          <w:b w:val="0"/>
          <w:bCs w:val="0"/>
          <w:color w:val="auto"/>
          <w:sz w:val="28"/>
          <w:szCs w:val="28"/>
          <w:lang w:eastAsia="zh-CN"/>
        </w:rPr>
      </w:pPr>
    </w:p>
    <w:p w14:paraId="5333FE84">
      <w:pPr>
        <w:pStyle w:val="51"/>
        <w:rPr>
          <w:rFonts w:hint="eastAsia" w:ascii="宋体" w:hAnsi="宋体" w:eastAsia="宋体" w:cs="宋体"/>
          <w:b w:val="0"/>
          <w:bCs w:val="0"/>
          <w:color w:val="auto"/>
          <w:sz w:val="28"/>
          <w:szCs w:val="28"/>
          <w:lang w:eastAsia="zh-CN"/>
        </w:rPr>
      </w:pPr>
    </w:p>
    <w:p w14:paraId="78DD64E6">
      <w:pPr>
        <w:pStyle w:val="51"/>
        <w:rPr>
          <w:rFonts w:hint="eastAsia" w:ascii="宋体" w:hAnsi="宋体" w:eastAsia="宋体" w:cs="宋体"/>
          <w:b w:val="0"/>
          <w:bCs w:val="0"/>
          <w:color w:val="auto"/>
          <w:sz w:val="28"/>
          <w:szCs w:val="28"/>
          <w:lang w:eastAsia="zh-CN"/>
        </w:rPr>
      </w:pPr>
    </w:p>
    <w:p w14:paraId="6DA1D3D6">
      <w:pPr>
        <w:pStyle w:val="51"/>
        <w:rPr>
          <w:rFonts w:hint="eastAsia" w:ascii="宋体" w:hAnsi="宋体" w:eastAsia="宋体" w:cs="宋体"/>
          <w:b w:val="0"/>
          <w:bCs w:val="0"/>
          <w:color w:val="auto"/>
          <w:sz w:val="28"/>
          <w:szCs w:val="28"/>
          <w:lang w:eastAsia="zh-CN"/>
        </w:rPr>
      </w:pPr>
    </w:p>
    <w:p w14:paraId="791B1C03">
      <w:pPr>
        <w:pStyle w:val="51"/>
        <w:rPr>
          <w:rFonts w:hint="eastAsia" w:ascii="宋体" w:hAnsi="宋体" w:eastAsia="宋体" w:cs="宋体"/>
          <w:b w:val="0"/>
          <w:bCs w:val="0"/>
          <w:color w:val="auto"/>
          <w:sz w:val="28"/>
          <w:szCs w:val="28"/>
          <w:lang w:eastAsia="zh-CN"/>
        </w:rPr>
      </w:pPr>
    </w:p>
    <w:p w14:paraId="4B5799C0">
      <w:pPr>
        <w:pStyle w:val="51"/>
        <w:rPr>
          <w:rFonts w:hint="eastAsia" w:ascii="宋体" w:hAnsi="宋体" w:eastAsia="宋体" w:cs="宋体"/>
          <w:b w:val="0"/>
          <w:bCs w:val="0"/>
          <w:color w:val="auto"/>
          <w:sz w:val="28"/>
          <w:szCs w:val="28"/>
          <w:lang w:eastAsia="zh-CN"/>
        </w:rPr>
      </w:pPr>
    </w:p>
    <w:p w14:paraId="20EA2BB1">
      <w:pPr>
        <w:pStyle w:val="51"/>
        <w:rPr>
          <w:rFonts w:hint="eastAsia" w:ascii="宋体" w:hAnsi="宋体" w:eastAsia="宋体" w:cs="宋体"/>
          <w:b w:val="0"/>
          <w:bCs w:val="0"/>
          <w:color w:val="auto"/>
          <w:sz w:val="28"/>
          <w:szCs w:val="28"/>
          <w:lang w:eastAsia="zh-CN"/>
        </w:rPr>
      </w:pPr>
    </w:p>
    <w:p w14:paraId="3B19D04F">
      <w:pPr>
        <w:pStyle w:val="51"/>
        <w:rPr>
          <w:rFonts w:hint="eastAsia" w:ascii="宋体" w:hAnsi="宋体" w:eastAsia="宋体" w:cs="宋体"/>
          <w:b w:val="0"/>
          <w:bCs w:val="0"/>
          <w:color w:val="auto"/>
          <w:sz w:val="28"/>
          <w:szCs w:val="28"/>
          <w:lang w:eastAsia="zh-CN"/>
        </w:rPr>
      </w:pPr>
    </w:p>
    <w:p w14:paraId="2B6A4137">
      <w:pPr>
        <w:pStyle w:val="51"/>
        <w:rPr>
          <w:rFonts w:hint="eastAsia" w:ascii="宋体" w:hAnsi="宋体" w:eastAsia="宋体" w:cs="宋体"/>
          <w:b w:val="0"/>
          <w:bCs w:val="0"/>
          <w:color w:val="auto"/>
          <w:sz w:val="28"/>
          <w:szCs w:val="28"/>
          <w:lang w:eastAsia="zh-CN"/>
        </w:rPr>
      </w:pPr>
    </w:p>
    <w:p w14:paraId="7B6DC7FB">
      <w:pPr>
        <w:pStyle w:val="51"/>
        <w:rPr>
          <w:rFonts w:hint="eastAsia" w:ascii="宋体" w:hAnsi="宋体" w:eastAsia="宋体" w:cs="宋体"/>
          <w:b w:val="0"/>
          <w:bCs w:val="0"/>
          <w:color w:val="auto"/>
          <w:sz w:val="28"/>
          <w:szCs w:val="28"/>
          <w:lang w:eastAsia="zh-CN"/>
        </w:rPr>
      </w:pPr>
    </w:p>
    <w:p w14:paraId="15B6E562">
      <w:pPr>
        <w:pStyle w:val="51"/>
        <w:rPr>
          <w:rFonts w:hint="eastAsia" w:ascii="宋体" w:hAnsi="宋体" w:eastAsia="宋体" w:cs="宋体"/>
          <w:b w:val="0"/>
          <w:bCs w:val="0"/>
          <w:color w:val="auto"/>
          <w:sz w:val="28"/>
          <w:szCs w:val="28"/>
          <w:lang w:eastAsia="zh-CN"/>
        </w:rPr>
      </w:pPr>
    </w:p>
    <w:p w14:paraId="6F730177">
      <w:pPr>
        <w:pStyle w:val="51"/>
        <w:rPr>
          <w:rFonts w:hint="eastAsia" w:ascii="宋体" w:hAnsi="宋体" w:eastAsia="宋体" w:cs="宋体"/>
          <w:b w:val="0"/>
          <w:bCs w:val="0"/>
          <w:color w:val="auto"/>
          <w:sz w:val="28"/>
          <w:szCs w:val="28"/>
          <w:lang w:eastAsia="zh-CN"/>
        </w:rPr>
      </w:pPr>
    </w:p>
    <w:p w14:paraId="34917B75">
      <w:pPr>
        <w:pStyle w:val="51"/>
        <w:rPr>
          <w:rFonts w:hint="eastAsia" w:ascii="宋体" w:hAnsi="宋体" w:eastAsia="宋体" w:cs="宋体"/>
          <w:b w:val="0"/>
          <w:bCs w:val="0"/>
          <w:color w:val="auto"/>
          <w:sz w:val="28"/>
          <w:szCs w:val="28"/>
          <w:lang w:eastAsia="zh-CN"/>
        </w:rPr>
      </w:pPr>
    </w:p>
    <w:p w14:paraId="7CD49EDF">
      <w:pPr>
        <w:pStyle w:val="51"/>
        <w:rPr>
          <w:rFonts w:hint="eastAsia" w:ascii="宋体" w:hAnsi="宋体" w:eastAsia="宋体" w:cs="宋体"/>
          <w:b w:val="0"/>
          <w:bCs w:val="0"/>
          <w:color w:val="auto"/>
          <w:sz w:val="28"/>
          <w:szCs w:val="28"/>
          <w:lang w:eastAsia="zh-CN"/>
        </w:rPr>
      </w:pPr>
    </w:p>
    <w:p w14:paraId="70DDD07B">
      <w:pPr>
        <w:pStyle w:val="2"/>
        <w:keepNext/>
        <w:keepLines/>
        <w:pageBreakBefore w:val="0"/>
        <w:widowControl w:val="0"/>
        <w:numPr>
          <w:ilvl w:val="0"/>
          <w:numId w:val="3"/>
        </w:numPr>
        <w:kinsoku/>
        <w:wordWrap/>
        <w:overflowPunct/>
        <w:topLinePunct w:val="0"/>
        <w:autoSpaceDE/>
        <w:autoSpaceDN/>
        <w:bidi w:val="0"/>
        <w:adjustRightInd/>
        <w:snapToGrid/>
        <w:spacing w:line="360" w:lineRule="exact"/>
        <w:jc w:val="center"/>
        <w:textAlignment w:val="auto"/>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eastAsia="zh-CN"/>
        </w:rPr>
        <w:t>技术标准和要求</w:t>
      </w:r>
    </w:p>
    <w:p w14:paraId="739A768B">
      <w:pPr>
        <w:numPr>
          <w:ilvl w:val="0"/>
          <w:numId w:val="0"/>
        </w:numPr>
        <w:rPr>
          <w:rFonts w:hint="eastAsia"/>
          <w:color w:val="auto"/>
          <w:lang w:eastAsia="zh-CN"/>
        </w:rPr>
      </w:pPr>
    </w:p>
    <w:p w14:paraId="0CB6D75A">
      <w:pPr>
        <w:spacing w:line="420" w:lineRule="exact"/>
        <w:rPr>
          <w:rFonts w:hint="eastAsia" w:ascii="宋体" w:hAnsi="Courier New"/>
          <w:b/>
          <w:color w:val="auto"/>
          <w:sz w:val="28"/>
        </w:rPr>
      </w:pPr>
      <w:r>
        <w:rPr>
          <w:rFonts w:hint="eastAsia" w:ascii="宋体" w:hAnsi="Courier New"/>
          <w:b/>
          <w:color w:val="auto"/>
          <w:sz w:val="28"/>
        </w:rPr>
        <w:t>一、工程建设地点的现场条件：</w:t>
      </w:r>
    </w:p>
    <w:p w14:paraId="2A3EB28A">
      <w:pPr>
        <w:spacing w:line="420" w:lineRule="exact"/>
        <w:rPr>
          <w:rFonts w:hint="eastAsia"/>
          <w:b/>
          <w:color w:val="auto"/>
        </w:rPr>
      </w:pPr>
      <w:r>
        <w:rPr>
          <w:rFonts w:hint="eastAsia" w:ascii="宋体" w:hAnsi="Courier New"/>
          <w:b/>
          <w:color w:val="auto"/>
        </w:rPr>
        <w:t>（一）现场自然条件</w:t>
      </w:r>
    </w:p>
    <w:p w14:paraId="0775E2DE">
      <w:pPr>
        <w:spacing w:line="420" w:lineRule="exact"/>
        <w:ind w:firstLine="630"/>
        <w:rPr>
          <w:rFonts w:hint="eastAsia" w:ascii="宋体" w:hAnsi="宋体"/>
          <w:color w:val="auto"/>
        </w:rPr>
      </w:pPr>
      <w:r>
        <w:rPr>
          <w:rFonts w:hint="eastAsia" w:ascii="宋体" w:hAnsi="宋体"/>
          <w:color w:val="auto"/>
        </w:rPr>
        <w:t>满足施工要求。</w:t>
      </w:r>
    </w:p>
    <w:p w14:paraId="3D9E932F">
      <w:pPr>
        <w:spacing w:line="420" w:lineRule="exact"/>
        <w:rPr>
          <w:rFonts w:hint="eastAsia"/>
          <w:b/>
          <w:color w:val="auto"/>
        </w:rPr>
      </w:pPr>
      <w:r>
        <w:rPr>
          <w:rFonts w:hint="eastAsia" w:ascii="宋体" w:hAnsi="Courier New"/>
          <w:b/>
          <w:color w:val="auto"/>
        </w:rPr>
        <w:t>（二）现场施工条件</w:t>
      </w:r>
    </w:p>
    <w:p w14:paraId="271613D3">
      <w:pPr>
        <w:spacing w:line="420" w:lineRule="exact"/>
        <w:ind w:firstLine="630"/>
        <w:rPr>
          <w:rFonts w:hint="eastAsia" w:ascii="宋体" w:hAnsi="宋体"/>
          <w:color w:val="auto"/>
        </w:rPr>
      </w:pPr>
      <w:r>
        <w:rPr>
          <w:rFonts w:hint="eastAsia" w:ascii="宋体" w:hAnsi="宋体"/>
          <w:color w:val="auto"/>
        </w:rPr>
        <w:t>符合施工要求。</w:t>
      </w:r>
    </w:p>
    <w:p w14:paraId="7326A799">
      <w:pPr>
        <w:numPr>
          <w:ilvl w:val="0"/>
          <w:numId w:val="4"/>
        </w:numPr>
        <w:spacing w:line="420" w:lineRule="exact"/>
        <w:rPr>
          <w:rFonts w:hint="eastAsia"/>
          <w:color w:val="auto"/>
        </w:rPr>
      </w:pPr>
      <w:r>
        <w:rPr>
          <w:rFonts w:hint="eastAsia" w:ascii="宋体" w:hAnsi="Courier New"/>
          <w:b/>
          <w:color w:val="auto"/>
          <w:sz w:val="28"/>
        </w:rPr>
        <w:t>技术规范</w:t>
      </w:r>
    </w:p>
    <w:p w14:paraId="2846E553">
      <w:pPr>
        <w:spacing w:line="440" w:lineRule="exact"/>
        <w:ind w:left="298" w:firstLine="315"/>
        <w:rPr>
          <w:rFonts w:hint="eastAsia" w:ascii="宋体" w:hAnsi="宋体"/>
          <w:color w:val="auto"/>
        </w:rPr>
      </w:pPr>
      <w:r>
        <w:rPr>
          <w:rFonts w:hint="eastAsia"/>
          <w:color w:val="auto"/>
        </w:rPr>
        <w:t>本工程应该认真按照设计施工图纸的要求进行施工，同时也要严格执行</w:t>
      </w:r>
      <w:r>
        <w:rPr>
          <w:rFonts w:hint="eastAsia" w:ascii="宋体" w:hAnsi="宋体"/>
          <w:color w:val="auto"/>
        </w:rPr>
        <w:t>现行标准和技术规范。</w:t>
      </w:r>
    </w:p>
    <w:p w14:paraId="5212558D">
      <w:pPr>
        <w:pStyle w:val="2"/>
        <w:jc w:val="center"/>
        <w:rPr>
          <w:rFonts w:ascii="宋体" w:hAnsi="宋体" w:cs="宋体"/>
          <w:color w:val="auto"/>
          <w:sz w:val="20"/>
          <w:szCs w:val="20"/>
        </w:rPr>
      </w:pPr>
    </w:p>
    <w:p w14:paraId="21DC3EF4">
      <w:pPr>
        <w:pStyle w:val="2"/>
        <w:jc w:val="center"/>
        <w:rPr>
          <w:rFonts w:ascii="宋体" w:hAnsi="宋体" w:cs="宋体"/>
          <w:color w:val="auto"/>
          <w:sz w:val="20"/>
          <w:szCs w:val="20"/>
        </w:rPr>
      </w:pPr>
    </w:p>
    <w:p w14:paraId="11491A88">
      <w:pPr>
        <w:rPr>
          <w:rFonts w:ascii="宋体" w:hAnsi="宋体" w:cs="宋体"/>
          <w:color w:val="auto"/>
          <w:sz w:val="20"/>
          <w:szCs w:val="20"/>
        </w:rPr>
      </w:pPr>
    </w:p>
    <w:p w14:paraId="1C32F3BF">
      <w:pPr>
        <w:pStyle w:val="51"/>
        <w:rPr>
          <w:rFonts w:ascii="宋体" w:hAnsi="宋体" w:cs="宋体"/>
          <w:color w:val="auto"/>
          <w:sz w:val="20"/>
          <w:szCs w:val="20"/>
        </w:rPr>
      </w:pPr>
    </w:p>
    <w:p w14:paraId="0968C116">
      <w:pPr>
        <w:pStyle w:val="51"/>
        <w:rPr>
          <w:rFonts w:ascii="宋体" w:hAnsi="宋体" w:cs="宋体"/>
          <w:color w:val="auto"/>
          <w:sz w:val="20"/>
          <w:szCs w:val="20"/>
        </w:rPr>
      </w:pPr>
    </w:p>
    <w:p w14:paraId="3461E9E3">
      <w:pPr>
        <w:pStyle w:val="51"/>
        <w:rPr>
          <w:rFonts w:ascii="宋体" w:hAnsi="宋体" w:cs="宋体"/>
          <w:color w:val="auto"/>
          <w:sz w:val="20"/>
          <w:szCs w:val="20"/>
        </w:rPr>
      </w:pPr>
    </w:p>
    <w:p w14:paraId="26844A80">
      <w:pPr>
        <w:pStyle w:val="51"/>
        <w:rPr>
          <w:rFonts w:ascii="宋体" w:hAnsi="宋体" w:cs="宋体"/>
          <w:color w:val="auto"/>
          <w:sz w:val="20"/>
          <w:szCs w:val="20"/>
        </w:rPr>
      </w:pPr>
    </w:p>
    <w:p w14:paraId="5C826C72">
      <w:pPr>
        <w:pStyle w:val="51"/>
        <w:rPr>
          <w:rFonts w:ascii="宋体" w:hAnsi="宋体" w:cs="宋体"/>
          <w:color w:val="auto"/>
          <w:sz w:val="20"/>
          <w:szCs w:val="20"/>
        </w:rPr>
      </w:pPr>
    </w:p>
    <w:p w14:paraId="13691450">
      <w:pPr>
        <w:pStyle w:val="51"/>
        <w:rPr>
          <w:rFonts w:ascii="宋体" w:hAnsi="宋体" w:cs="宋体"/>
          <w:color w:val="auto"/>
          <w:sz w:val="20"/>
          <w:szCs w:val="20"/>
        </w:rPr>
      </w:pPr>
    </w:p>
    <w:p w14:paraId="058CAC53">
      <w:pPr>
        <w:pStyle w:val="51"/>
        <w:rPr>
          <w:rFonts w:ascii="宋体" w:hAnsi="宋体" w:cs="宋体"/>
          <w:color w:val="auto"/>
          <w:sz w:val="20"/>
          <w:szCs w:val="20"/>
        </w:rPr>
      </w:pPr>
    </w:p>
    <w:p w14:paraId="4EDC391B">
      <w:pPr>
        <w:pStyle w:val="51"/>
        <w:rPr>
          <w:rFonts w:ascii="宋体" w:hAnsi="宋体" w:cs="宋体"/>
          <w:color w:val="auto"/>
          <w:sz w:val="20"/>
          <w:szCs w:val="20"/>
        </w:rPr>
      </w:pPr>
    </w:p>
    <w:p w14:paraId="08960A73">
      <w:pPr>
        <w:pStyle w:val="51"/>
        <w:rPr>
          <w:rFonts w:ascii="宋体" w:hAnsi="宋体" w:cs="宋体"/>
          <w:color w:val="auto"/>
          <w:sz w:val="20"/>
          <w:szCs w:val="20"/>
        </w:rPr>
      </w:pPr>
    </w:p>
    <w:p w14:paraId="106ED91D">
      <w:pPr>
        <w:pStyle w:val="51"/>
        <w:rPr>
          <w:rFonts w:ascii="宋体" w:hAnsi="宋体" w:cs="宋体"/>
          <w:color w:val="auto"/>
          <w:sz w:val="20"/>
          <w:szCs w:val="20"/>
        </w:rPr>
      </w:pPr>
    </w:p>
    <w:p w14:paraId="10878736">
      <w:pPr>
        <w:pStyle w:val="51"/>
        <w:rPr>
          <w:rFonts w:ascii="宋体" w:hAnsi="宋体" w:cs="宋体"/>
          <w:color w:val="auto"/>
          <w:sz w:val="20"/>
          <w:szCs w:val="20"/>
        </w:rPr>
      </w:pPr>
    </w:p>
    <w:p w14:paraId="7E6936ED">
      <w:pPr>
        <w:pStyle w:val="51"/>
        <w:rPr>
          <w:rFonts w:ascii="宋体" w:hAnsi="宋体" w:cs="宋体"/>
          <w:color w:val="auto"/>
          <w:sz w:val="20"/>
          <w:szCs w:val="20"/>
        </w:rPr>
      </w:pPr>
    </w:p>
    <w:p w14:paraId="42FB391D">
      <w:pPr>
        <w:pStyle w:val="51"/>
        <w:rPr>
          <w:rFonts w:ascii="宋体" w:hAnsi="宋体" w:cs="宋体"/>
          <w:color w:val="auto"/>
          <w:sz w:val="20"/>
          <w:szCs w:val="20"/>
        </w:rPr>
      </w:pPr>
    </w:p>
    <w:p w14:paraId="36A8A070">
      <w:pPr>
        <w:pStyle w:val="51"/>
        <w:rPr>
          <w:rFonts w:ascii="宋体" w:hAnsi="宋体" w:cs="宋体"/>
          <w:color w:val="auto"/>
          <w:sz w:val="20"/>
          <w:szCs w:val="20"/>
        </w:rPr>
      </w:pPr>
    </w:p>
    <w:p w14:paraId="7C5E3E44">
      <w:pPr>
        <w:pStyle w:val="51"/>
        <w:rPr>
          <w:rFonts w:ascii="宋体" w:hAnsi="宋体" w:cs="宋体"/>
          <w:color w:val="auto"/>
          <w:sz w:val="20"/>
          <w:szCs w:val="20"/>
        </w:rPr>
      </w:pPr>
    </w:p>
    <w:p w14:paraId="1E62F0FB">
      <w:pPr>
        <w:pStyle w:val="51"/>
        <w:rPr>
          <w:rFonts w:ascii="宋体" w:hAnsi="宋体" w:cs="宋体"/>
          <w:color w:val="auto"/>
          <w:sz w:val="20"/>
          <w:szCs w:val="20"/>
        </w:rPr>
      </w:pPr>
    </w:p>
    <w:p w14:paraId="4A4D0218">
      <w:pPr>
        <w:pStyle w:val="51"/>
        <w:rPr>
          <w:rFonts w:ascii="宋体" w:hAnsi="宋体" w:cs="宋体"/>
          <w:color w:val="auto"/>
          <w:sz w:val="20"/>
          <w:szCs w:val="20"/>
        </w:rPr>
      </w:pPr>
    </w:p>
    <w:p w14:paraId="58D3A16C">
      <w:pPr>
        <w:pStyle w:val="51"/>
        <w:rPr>
          <w:rFonts w:ascii="宋体" w:hAnsi="宋体" w:cs="宋体"/>
          <w:color w:val="auto"/>
          <w:sz w:val="20"/>
          <w:szCs w:val="20"/>
        </w:rPr>
      </w:pPr>
    </w:p>
    <w:p w14:paraId="2175F6AF">
      <w:pPr>
        <w:pStyle w:val="51"/>
        <w:rPr>
          <w:rFonts w:ascii="宋体" w:hAnsi="宋体" w:cs="宋体"/>
          <w:color w:val="auto"/>
          <w:sz w:val="20"/>
          <w:szCs w:val="20"/>
        </w:rPr>
      </w:pPr>
    </w:p>
    <w:p w14:paraId="6B0F42F9">
      <w:pPr>
        <w:pStyle w:val="51"/>
        <w:rPr>
          <w:rFonts w:ascii="宋体" w:hAnsi="宋体" w:cs="宋体"/>
          <w:color w:val="auto"/>
          <w:sz w:val="20"/>
          <w:szCs w:val="20"/>
        </w:rPr>
      </w:pPr>
    </w:p>
    <w:p w14:paraId="5172D844">
      <w:pPr>
        <w:pStyle w:val="51"/>
        <w:rPr>
          <w:rFonts w:ascii="宋体" w:hAnsi="宋体" w:cs="宋体"/>
          <w:color w:val="auto"/>
          <w:sz w:val="20"/>
          <w:szCs w:val="20"/>
        </w:rPr>
      </w:pPr>
    </w:p>
    <w:p w14:paraId="62A2C71D">
      <w:pPr>
        <w:pStyle w:val="51"/>
        <w:rPr>
          <w:rFonts w:ascii="宋体" w:hAnsi="宋体" w:cs="宋体"/>
          <w:color w:val="auto"/>
          <w:sz w:val="20"/>
          <w:szCs w:val="20"/>
        </w:rPr>
      </w:pPr>
    </w:p>
    <w:p w14:paraId="4E64FEEF">
      <w:pPr>
        <w:pStyle w:val="51"/>
        <w:rPr>
          <w:rFonts w:ascii="宋体" w:hAnsi="宋体" w:cs="宋体"/>
          <w:color w:val="auto"/>
          <w:sz w:val="20"/>
          <w:szCs w:val="20"/>
        </w:rPr>
      </w:pPr>
    </w:p>
    <w:p w14:paraId="2C0DFEAB">
      <w:pPr>
        <w:pStyle w:val="2"/>
        <w:keepNext/>
        <w:keepLines/>
        <w:pageBreakBefore w:val="0"/>
        <w:widowControl w:val="0"/>
        <w:kinsoku/>
        <w:wordWrap/>
        <w:overflowPunct/>
        <w:topLinePunct w:val="0"/>
        <w:autoSpaceDE/>
        <w:autoSpaceDN/>
        <w:bidi w:val="0"/>
        <w:adjustRightInd/>
        <w:snapToGrid/>
        <w:spacing w:line="440" w:lineRule="exact"/>
        <w:ind w:firstLine="883" w:firstLineChars="200"/>
        <w:jc w:val="both"/>
        <w:textAlignment w:val="auto"/>
        <w:rPr>
          <w:rFonts w:hint="eastAsia"/>
          <w:color w:val="auto"/>
        </w:rPr>
      </w:pPr>
      <w:r>
        <w:rPr>
          <w:rFonts w:hint="eastAsia"/>
          <w:color w:val="auto"/>
        </w:rPr>
        <w:t>第四章  评审程序、评审方法和评审标准</w:t>
      </w:r>
    </w:p>
    <w:p w14:paraId="2E980779">
      <w:pPr>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b/>
          <w:bCs/>
          <w:color w:val="auto"/>
          <w:sz w:val="24"/>
        </w:rPr>
      </w:pPr>
      <w:r>
        <w:rPr>
          <w:rFonts w:hint="eastAsia" w:ascii="宋体" w:hAnsi="宋体"/>
          <w:b/>
          <w:color w:val="auto"/>
          <w:sz w:val="32"/>
          <w:szCs w:val="32"/>
        </w:rPr>
        <w:t>一、评审程序和评审方法</w:t>
      </w:r>
    </w:p>
    <w:p w14:paraId="21C05824">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37F47434">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17104AEC">
      <w:pPr>
        <w:snapToGrid w:val="0"/>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（1）查询渠道：</w:t>
      </w:r>
      <w:r>
        <w:rPr>
          <w:rFonts w:ascii="宋体" w:hAnsi="宋体" w:cs="宋体"/>
          <w:color w:val="auto"/>
          <w:szCs w:val="21"/>
        </w:rPr>
        <w:t>“信用中国”网站（www.creditchina.gov.cn）、中国政府采购网（</w:t>
      </w:r>
      <w:r>
        <w:rPr>
          <w:rFonts w:ascii="宋体" w:hAnsi="宋体" w:cs="宋体"/>
          <w:color w:val="auto"/>
          <w:szCs w:val="21"/>
        </w:rPr>
        <w:fldChar w:fldCharType="begin"/>
      </w:r>
      <w:r>
        <w:rPr>
          <w:rFonts w:ascii="宋体" w:hAnsi="宋体" w:cs="宋体"/>
          <w:color w:val="auto"/>
          <w:szCs w:val="21"/>
        </w:rPr>
        <w:instrText xml:space="preserve"> HYPERLINK "http://www.ccgp.gov.cn" </w:instrText>
      </w:r>
      <w:r>
        <w:rPr>
          <w:rFonts w:ascii="宋体" w:hAnsi="宋体" w:cs="宋体"/>
          <w:color w:val="auto"/>
          <w:szCs w:val="21"/>
        </w:rPr>
        <w:fldChar w:fldCharType="separate"/>
      </w:r>
      <w:r>
        <w:rPr>
          <w:rFonts w:cs="宋体"/>
          <w:color w:val="auto"/>
        </w:rPr>
        <w:t>www.ccgp.gov.cn</w:t>
      </w:r>
      <w:r>
        <w:rPr>
          <w:rFonts w:ascii="宋体" w:hAnsi="宋体" w:cs="宋体"/>
          <w:color w:val="auto"/>
          <w:szCs w:val="21"/>
        </w:rPr>
        <w:fldChar w:fldCharType="end"/>
      </w:r>
      <w:r>
        <w:rPr>
          <w:rFonts w:ascii="宋体" w:hAnsi="宋体" w:cs="宋体"/>
          <w:color w:val="auto"/>
          <w:szCs w:val="21"/>
        </w:rPr>
        <w:t>）</w:t>
      </w:r>
      <w:r>
        <w:rPr>
          <w:rFonts w:hint="eastAsia" w:ascii="宋体" w:hAnsi="宋体" w:cs="宋体"/>
          <w:color w:val="auto"/>
          <w:szCs w:val="21"/>
          <w:lang w:eastAsia="zh-CN"/>
        </w:rPr>
        <w:t>。</w:t>
      </w:r>
    </w:p>
    <w:p w14:paraId="67827A67">
      <w:pPr>
        <w:snapToGrid w:val="0"/>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（2）信用查询截止时点：</w:t>
      </w:r>
      <w:r>
        <w:rPr>
          <w:rFonts w:ascii="宋体" w:hAnsi="宋体" w:cs="宋体"/>
          <w:color w:val="auto"/>
          <w:szCs w:val="21"/>
        </w:rPr>
        <w:t>资格审查结束前</w:t>
      </w:r>
      <w:r>
        <w:rPr>
          <w:rFonts w:hint="eastAsia" w:ascii="宋体" w:hAnsi="宋体" w:cs="宋体"/>
          <w:color w:val="auto"/>
          <w:szCs w:val="21"/>
          <w:lang w:eastAsia="zh-CN"/>
        </w:rPr>
        <w:t>。</w:t>
      </w:r>
    </w:p>
    <w:p w14:paraId="41AB71B2">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（3）查询记录和证据留存方式：将查询网站中的查询记录截图并作为评审资料保存。</w:t>
      </w:r>
    </w:p>
    <w:p w14:paraId="33D6D245">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（4）信用信息使用规则：根据财政部《关于在政府采购活动中查询及使用信用记录有关问题的通知》（财库〔2016〕125号）的规定，对在“信用中国”网站(www.creditchina.gov.cn) 、中国政府采购网(www.ccgp.gov.cn)被列入失信被执行人、</w:t>
      </w:r>
      <w:r>
        <w:rPr>
          <w:rFonts w:hint="eastAsia" w:ascii="宋体" w:hAnsi="宋体" w:cs="宋体"/>
          <w:color w:val="auto"/>
          <w:szCs w:val="21"/>
          <w:lang w:eastAsia="zh-CN" w:bidi="ar"/>
        </w:rPr>
        <w:t>重大税收违法失信主体</w:t>
      </w:r>
      <w:r>
        <w:rPr>
          <w:rFonts w:hint="eastAsia" w:ascii="宋体" w:hAnsi="宋体" w:cs="宋体"/>
          <w:color w:val="auto"/>
          <w:szCs w:val="21"/>
        </w:rPr>
        <w:t>、政府采购严重违法失信行为记录名单及其他不符合《中华人民共和国政府采购法》第二十二条规定条件的供应商，不得参与政府采购活动。</w:t>
      </w:r>
    </w:p>
    <w:p w14:paraId="5B0FDFC8">
      <w:pPr>
        <w:snapToGrid w:val="0"/>
        <w:spacing w:line="360" w:lineRule="auto"/>
        <w:ind w:firstLine="420" w:firstLineChars="200"/>
        <w:jc w:val="left"/>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105DA6A6">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3ADFE82D">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2C9F219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（2）响应文件的资格证明文件缺少任一项“供应商须知前附表”资格证明文件规定的“必须提供”的文件资料的；</w:t>
      </w:r>
    </w:p>
    <w:p w14:paraId="4A01D0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（3）响应文件中的资格证明文件出现任一项不符合“供应商须知前附表”资格证明文件规定的“必须提供”的文件资料要求或者无效的；</w:t>
      </w:r>
    </w:p>
    <w:p w14:paraId="37DAD15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062302B9">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3E081859">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3AA1814D">
      <w:pPr>
        <w:spacing w:line="360" w:lineRule="auto"/>
        <w:ind w:firstLine="420" w:firstLineChars="200"/>
        <w:rPr>
          <w:rFonts w:hint="eastAsia" w:ascii="宋体" w:hAnsi="宋体" w:cs="宋体"/>
          <w:color w:val="auto"/>
          <w:szCs w:val="21"/>
        </w:rPr>
      </w:pPr>
      <w:bookmarkStart w:id="33"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33"/>
    <w:p w14:paraId="0D045DB5">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BB28477">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Cs w:val="21"/>
        </w:rPr>
        <w:t>。供应商为自然人的，必须由本人签字并附身份证明。</w:t>
      </w:r>
    </w:p>
    <w:p w14:paraId="61E34DAE">
      <w:pPr>
        <w:spacing w:line="360" w:lineRule="auto"/>
        <w:ind w:firstLine="396" w:firstLineChars="200"/>
        <w:rPr>
          <w:rFonts w:hint="eastAsia"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47F467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76F2BA5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7981D3F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340B47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638F867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63760E67">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604FA50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在评审时，如发现下列情形之一的，将被视为响应文件无效响应处理：</w:t>
      </w:r>
    </w:p>
    <w:p w14:paraId="45394555">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17AA3A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1）响应文件未按磋商文件要求签署、盖章；</w:t>
      </w:r>
    </w:p>
    <w:p w14:paraId="77D42B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194DFA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3）提交的磋商保证金无效的或者未按照磋商文件的规定提交磋商保证金；</w:t>
      </w:r>
    </w:p>
    <w:p w14:paraId="323E59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4）响应文件中的报价商务技术文件出现任一项不符合“供应商须知前附表”中“必须提供”或者“委托时必须提供”文件资料要求的规定或者提供的报价商务技术文件无效。</w:t>
      </w:r>
    </w:p>
    <w:p w14:paraId="7FC4AC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5）商务条款成交“▲”的条款发生负偏离或者允许负偏离的条款数超过“供应商须知前附表”规定项数的；</w:t>
      </w:r>
    </w:p>
    <w:p w14:paraId="50A1CE9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6）未对竞标有效期作出响应或者响应文件承诺的竞标有效期不满足磋商文件要求；</w:t>
      </w:r>
    </w:p>
    <w:p w14:paraId="450D4A1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7）响应文件的实质性内容未使用中文表述、使用计量单位不符合磋商文件要求；</w:t>
      </w:r>
    </w:p>
    <w:p w14:paraId="063E12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8）响应文件中的文件资料因填写不齐全或者内容虚假或者出现其他情形而导致被磋商小组认定无效；</w:t>
      </w:r>
    </w:p>
    <w:p w14:paraId="226F4A4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9）响应文件含有采购人不能接受的附加条件；</w:t>
      </w:r>
    </w:p>
    <w:p w14:paraId="7698179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条情形；</w:t>
      </w:r>
    </w:p>
    <w:p w14:paraId="4668AB33">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1）技术要求成交“▲”的条款发生负偏离或允许负偏离的条款数超过“供应商须知前附表”规定项数的；</w:t>
      </w:r>
    </w:p>
    <w:p w14:paraId="066C20C0">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2）虚假竞标，或者出现其他情形而导致被磋商小组认定无效；</w:t>
      </w:r>
    </w:p>
    <w:p w14:paraId="02D722D6">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w:t>
      </w:r>
      <w:bookmarkStart w:id="34" w:name="_Hlk71704147"/>
      <w:r>
        <w:rPr>
          <w:rFonts w:hint="eastAsia" w:ascii="宋体" w:hAnsi="宋体" w:cs="宋体"/>
          <w:color w:val="auto"/>
          <w:szCs w:val="21"/>
        </w:rPr>
        <w:t>磋商文件未载明允许提供备选（替代）竞标方案或明确不允许提供备选（替代）竞标方案时，供应商提供了备选（替代）竞标方案的；</w:t>
      </w:r>
      <w:bookmarkEnd w:id="34"/>
    </w:p>
    <w:p w14:paraId="5E5A0B1C">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4）响应文件标注的项目名称或者项目编号与磋商文件标注的项目名称或者项目编号不一致的；</w:t>
      </w:r>
    </w:p>
    <w:p w14:paraId="1146BB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w:t>
      </w:r>
      <w:r>
        <w:rPr>
          <w:rFonts w:hint="eastAsia" w:ascii="宋体" w:hAnsi="宋体"/>
          <w:color w:val="auto"/>
          <w:szCs w:val="21"/>
        </w:rPr>
        <w:t>竞争性磋商文件明确不允许分包，响应文件拟分包的；</w:t>
      </w:r>
    </w:p>
    <w:p w14:paraId="4DD05B40">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6）未响应磋商文件实质性要求；</w:t>
      </w:r>
    </w:p>
    <w:p w14:paraId="0FBB39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17）法律、法规和磋商文件规定的其他无效情形。</w:t>
      </w:r>
    </w:p>
    <w:p w14:paraId="2302F99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2DD7D10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报价商务技术文件中规定的“竞标报价表”；</w:t>
      </w:r>
    </w:p>
    <w:p w14:paraId="0A7343E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2）未采用人民币报价或者未按照磋商文件标明的币种报价；</w:t>
      </w:r>
    </w:p>
    <w:p w14:paraId="004C88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7FD6987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4）最后报价超过所竞标分标规定的采购预算金额或者最高限价的（如本项目公布了最高限价）；</w:t>
      </w:r>
      <w:bookmarkStart w:id="35" w:name="_Hlk42596405"/>
      <w:r>
        <w:rPr>
          <w:rFonts w:hint="eastAsia" w:ascii="宋体" w:hAnsi="宋体" w:cs="宋体"/>
          <w:color w:val="auto"/>
          <w:szCs w:val="21"/>
        </w:rPr>
        <w:t xml:space="preserve"> </w:t>
      </w:r>
      <w:bookmarkEnd w:id="35"/>
    </w:p>
    <w:p w14:paraId="4BC1D03D">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5）修正后的报价，供应商不确认的；或者经供应商确认修正后的最后报价超过所竞标分标规定的采购预算金额或者最高限价（如本项目公布了最高限价）；</w:t>
      </w:r>
    </w:p>
    <w:p w14:paraId="434D56F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响应文件响应的标的数量及单位与竞争性磋商采购文件要求实质性不一致的。</w:t>
      </w:r>
    </w:p>
    <w:p w14:paraId="29DFD21B">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59CCD10C">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r>
        <w:rPr>
          <w:rFonts w:hint="eastAsia" w:ascii="宋体" w:hAnsi="宋体"/>
          <w:color w:val="auto"/>
          <w:szCs w:val="21"/>
        </w:rPr>
        <w:t>。</w:t>
      </w:r>
    </w:p>
    <w:p w14:paraId="1E0D955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1B5F58FD">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59A983">
      <w:pPr>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1556D5C">
      <w:pPr>
        <w:spacing w:line="360" w:lineRule="auto"/>
        <w:ind w:firstLine="420" w:firstLineChars="200"/>
        <w:rPr>
          <w:rFonts w:hint="eastAsia"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对磋商文件作出的实质性变动是磋商文件的有效组成部分，由磋商小组及时以电子磋商记录形式同时通知所有参加磋商的供应商。</w:t>
      </w:r>
    </w:p>
    <w:p w14:paraId="0FBB6719">
      <w:pPr>
        <w:spacing w:line="360" w:lineRule="auto"/>
        <w:ind w:firstLine="420" w:firstLineChars="200"/>
        <w:rPr>
          <w:rFonts w:hint="eastAsia"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B628178">
      <w:pPr>
        <w:spacing w:line="360" w:lineRule="auto"/>
        <w:ind w:firstLine="420" w:firstLineChars="200"/>
        <w:rPr>
          <w:rFonts w:hint="eastAsia"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6D9E8DA8">
      <w:pPr>
        <w:tabs>
          <w:tab w:val="left" w:pos="2835"/>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6</w:t>
      </w:r>
      <w:r>
        <w:rPr>
          <w:rFonts w:hint="eastAsia" w:ascii="宋体" w:hAnsi="宋体"/>
          <w:color w:val="auto"/>
          <w:szCs w:val="21"/>
        </w:rPr>
        <w:t>对磋商过程提交的响应文件进行有效性、完整性和响应程度审查，通过审查的合格供应商不足3家的，采购人或者采购代理机构应当重新开展采购活动。</w:t>
      </w:r>
    </w:p>
    <w:p w14:paraId="0D72FCB3">
      <w:pPr>
        <w:widowControl/>
        <w:tabs>
          <w:tab w:val="left" w:pos="540"/>
        </w:tabs>
        <w:spacing w:line="360" w:lineRule="auto"/>
        <w:ind w:firstLine="420" w:firstLineChars="200"/>
        <w:jc w:val="left"/>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7</w:t>
      </w:r>
      <w:r>
        <w:rPr>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1BE622C">
      <w:pPr>
        <w:spacing w:line="360" w:lineRule="auto"/>
        <w:ind w:firstLine="482" w:firstLineChars="200"/>
        <w:rPr>
          <w:rFonts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14:paraId="20666BF2">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磋商文件能够详细列明采购标的的技术、服务要求的，磋商结束后，由磋商小组要求所有继续参加磋商的供应商在规定时间内以电子文件形式提交最后报价</w:t>
      </w:r>
      <w:r>
        <w:rPr>
          <w:rFonts w:hint="eastAsia" w:ascii="宋体" w:hAnsi="宋体" w:cs="宋体"/>
          <w:b/>
          <w:bCs/>
          <w:color w:val="auto"/>
          <w:szCs w:val="21"/>
          <w:lang w:eastAsia="zh-CN"/>
        </w:rPr>
        <w:t>（若最后报价有变动，必须将最后报价的固化清单加盖电子签章以附件形式上传，否则最后报价无效，以供应商的首次报价为最后报价）</w:t>
      </w:r>
      <w:r>
        <w:rPr>
          <w:rFonts w:hint="eastAsia" w:ascii="宋体" w:hAnsi="宋体" w:cs="宋体"/>
          <w:color w:val="auto"/>
          <w:szCs w:val="21"/>
        </w:rPr>
        <w:t>，除本章第2.7、3.</w:t>
      </w:r>
      <w:r>
        <w:rPr>
          <w:rFonts w:hint="eastAsia" w:ascii="宋体" w:hAnsi="宋体" w:cs="宋体"/>
          <w:color w:val="auto"/>
          <w:szCs w:val="21"/>
          <w:lang w:val="en-US" w:eastAsia="zh-CN"/>
        </w:rPr>
        <w:t>7</w:t>
      </w:r>
      <w:r>
        <w:rPr>
          <w:rFonts w:hint="eastAsia" w:ascii="宋体" w:hAnsi="宋体" w:cs="宋体"/>
          <w:color w:val="auto"/>
          <w:szCs w:val="21"/>
        </w:rPr>
        <w:t>、</w:t>
      </w:r>
      <w:r>
        <w:rPr>
          <w:rFonts w:ascii="宋体" w:hAnsi="宋体" w:cs="宋体"/>
          <w:color w:val="auto"/>
          <w:szCs w:val="21"/>
        </w:rPr>
        <w:t>4.3</w:t>
      </w:r>
      <w:r>
        <w:rPr>
          <w:rFonts w:hint="eastAsia" w:ascii="宋体" w:hAnsi="宋体" w:cs="宋体"/>
          <w:color w:val="auto"/>
          <w:szCs w:val="21"/>
        </w:rPr>
        <w:t>条外，提交最后报价的供应商不得少于3家，否则必须重新采购。</w:t>
      </w:r>
    </w:p>
    <w:p w14:paraId="2DD4B0CD">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353AFE80">
      <w:pPr>
        <w:spacing w:line="360" w:lineRule="auto"/>
        <w:ind w:firstLine="420" w:firstLineChars="200"/>
        <w:rPr>
          <w:rFonts w:hint="eastAsia"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rPr>
        <w:t>本章第3.</w:t>
      </w:r>
      <w:r>
        <w:rPr>
          <w:rFonts w:hint="eastAsia"/>
          <w:color w:val="auto"/>
          <w:lang w:val="en-US" w:eastAsia="zh-CN"/>
        </w:rPr>
        <w:t>7</w:t>
      </w:r>
      <w:r>
        <w:rPr>
          <w:color w:val="auto"/>
        </w:rPr>
        <w:t>条情形的，</w:t>
      </w:r>
      <w:r>
        <w:rPr>
          <w:rFonts w:hint="eastAsia" w:ascii="宋体" w:hAnsi="宋体" w:cs="宋体"/>
          <w:color w:val="auto"/>
          <w:szCs w:val="21"/>
        </w:rPr>
        <w:t>提交最后报价的供应商可以为2家。</w:t>
      </w:r>
    </w:p>
    <w:p w14:paraId="1F1BEA21">
      <w:pPr>
        <w:spacing w:line="360" w:lineRule="auto"/>
        <w:ind w:firstLine="420" w:firstLineChars="200"/>
        <w:rPr>
          <w:rFonts w:hint="eastAsia"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59050245">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w:t>
      </w:r>
    </w:p>
    <w:p w14:paraId="7330468F">
      <w:pPr>
        <w:spacing w:line="360" w:lineRule="auto"/>
        <w:ind w:firstLine="420" w:firstLineChars="200"/>
        <w:rPr>
          <w:rFonts w:hint="eastAsia"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磋商小组收齐某一分标最后报价后或达到规定时间后统一开启，磋商小组对最后报价进行有效性、完整性和响应程度的审查。</w:t>
      </w:r>
    </w:p>
    <w:p w14:paraId="34521DF8">
      <w:pPr>
        <w:spacing w:line="360" w:lineRule="auto"/>
        <w:ind w:firstLine="420" w:firstLineChars="200"/>
        <w:rPr>
          <w:rFonts w:hint="eastAsia"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74FDF36E">
      <w:pPr>
        <w:spacing w:line="360" w:lineRule="auto"/>
        <w:ind w:firstLine="420" w:firstLineChars="200"/>
        <w:rPr>
          <w:rFonts w:hint="eastAsia" w:ascii="宋体" w:hAnsi="宋体" w:cs="宋体"/>
          <w:color w:val="auto"/>
          <w:szCs w:val="21"/>
        </w:rPr>
      </w:pPr>
      <w:r>
        <w:rPr>
          <w:rFonts w:ascii="宋体" w:hAnsi="宋体" w:cs="宋体"/>
          <w:color w:val="auto"/>
          <w:szCs w:val="21"/>
        </w:rPr>
        <w:t>4.8</w:t>
      </w:r>
      <w:r>
        <w:rPr>
          <w:rFonts w:hint="eastAsia" w:ascii="宋体" w:hAnsi="宋体" w:cs="宋体"/>
          <w:color w:val="auto"/>
          <w:szCs w:val="21"/>
        </w:rPr>
        <w:t>经供应商确认修正后的最后报价作为评审及签订合同的依据。</w:t>
      </w:r>
    </w:p>
    <w:p w14:paraId="3C261DFA">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9</w:t>
      </w:r>
      <w:r>
        <w:rPr>
          <w:rFonts w:hint="eastAsia" w:ascii="宋体" w:hAnsi="宋体" w:cs="宋体"/>
          <w:color w:val="auto"/>
          <w:szCs w:val="21"/>
        </w:rPr>
        <w:t>供应商出现最后报价按无效响应处理或者响应文件按无效响应处理时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35C71A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.10</w:t>
      </w:r>
      <w:r>
        <w:rPr>
          <w:rFonts w:hint="eastAsia" w:ascii="宋体" w:hAnsi="宋体" w:cs="宋体"/>
          <w:color w:val="auto"/>
          <w:szCs w:val="21"/>
        </w:rPr>
        <w:t>最后报价结束后，磋商小组不得再与供应商进行任何形式的商谈。</w:t>
      </w:r>
    </w:p>
    <w:p w14:paraId="3DF0455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27179905">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12640774">
      <w:pPr>
        <w:spacing w:line="360" w:lineRule="auto"/>
        <w:ind w:firstLine="420" w:firstLineChars="200"/>
        <w:rPr>
          <w:rFonts w:hint="eastAsia"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0AA66ECE">
      <w:pPr>
        <w:spacing w:line="360" w:lineRule="auto"/>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38039C9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385E7307">
      <w:pPr>
        <w:numPr>
          <w:ilvl w:val="0"/>
          <w:numId w:val="0"/>
        </w:num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根据《关于推动解决政府采购异常低价问题的通知》（财库〔2026〕2号）的规定，评审中出现下列情形之一的，磋商小组应当启动异常低价投标（响应）审查程序：</w:t>
      </w:r>
    </w:p>
    <w:p w14:paraId="0D4621CA">
      <w:pPr>
        <w:numPr>
          <w:ilvl w:val="0"/>
          <w:numId w:val="0"/>
        </w:numPr>
        <w:spacing w:line="360" w:lineRule="auto"/>
        <w:ind w:firstLine="420" w:firstLineChars="200"/>
        <w:rPr>
          <w:rFonts w:hint="eastAsia" w:ascii="宋体" w:hAnsi="宋体" w:eastAsia="宋体" w:cs="宋体"/>
          <w:b/>
          <w:bCs/>
          <w:color w:val="000000"/>
          <w:szCs w:val="21"/>
        </w:rPr>
      </w:pPr>
      <w:r>
        <w:rPr>
          <w:rFonts w:hint="eastAsia" w:ascii="宋体" w:hAnsi="宋体" w:eastAsia="宋体" w:cs="宋体"/>
          <w:color w:val="000000"/>
          <w:szCs w:val="21"/>
        </w:rPr>
        <w:t>① 投标（响应）报价低于全部通过符合性审查供应商投标（响应）报价平均值50%的，</w:t>
      </w:r>
      <w:r>
        <w:rPr>
          <w:rFonts w:hint="eastAsia" w:ascii="宋体" w:hAnsi="宋体" w:eastAsia="宋体" w:cs="宋体"/>
          <w:b/>
          <w:bCs/>
          <w:color w:val="000000"/>
          <w:szCs w:val="21"/>
        </w:rPr>
        <w:t>即投标（响应）报价＜全部通过符合性审查供应商投标（响应）报价平均值×50%；</w:t>
      </w:r>
    </w:p>
    <w:p w14:paraId="1F965F09">
      <w:pPr>
        <w:numPr>
          <w:ilvl w:val="0"/>
          <w:numId w:val="0"/>
        </w:numPr>
        <w:spacing w:line="360" w:lineRule="auto"/>
        <w:ind w:firstLine="420" w:firstLineChars="200"/>
        <w:rPr>
          <w:rFonts w:hint="eastAsia" w:ascii="宋体" w:hAnsi="宋体" w:eastAsia="宋体" w:cs="宋体"/>
          <w:b/>
          <w:bCs/>
          <w:color w:val="000000"/>
          <w:szCs w:val="21"/>
        </w:rPr>
      </w:pPr>
      <w:r>
        <w:rPr>
          <w:rFonts w:hint="eastAsia" w:ascii="宋体" w:hAnsi="宋体" w:eastAsia="宋体" w:cs="宋体"/>
          <w:color w:val="000000"/>
          <w:szCs w:val="21"/>
        </w:rPr>
        <w:t>②投标（响应）报价低于通过符合性审查的次低报价供应商投标（响应）报价50%的，</w:t>
      </w:r>
      <w:r>
        <w:rPr>
          <w:rFonts w:hint="eastAsia" w:ascii="宋体" w:hAnsi="宋体" w:eastAsia="宋体" w:cs="宋体"/>
          <w:b/>
          <w:bCs/>
          <w:color w:val="000000"/>
          <w:szCs w:val="21"/>
        </w:rPr>
        <w:t>即投标（响应）报价＜通过符合性审查的次低报价供应商投标（响应）报价×50%；</w:t>
      </w:r>
    </w:p>
    <w:p w14:paraId="7A6AEBB0">
      <w:pPr>
        <w:numPr>
          <w:ilvl w:val="0"/>
          <w:numId w:val="0"/>
        </w:numPr>
        <w:spacing w:line="360" w:lineRule="auto"/>
        <w:ind w:firstLine="420" w:firstLineChars="200"/>
        <w:rPr>
          <w:rFonts w:hint="eastAsia" w:ascii="宋体" w:hAnsi="宋体" w:eastAsia="宋体" w:cs="宋体"/>
          <w:b/>
          <w:bCs/>
          <w:color w:val="000000"/>
          <w:szCs w:val="21"/>
        </w:rPr>
      </w:pPr>
      <w:r>
        <w:rPr>
          <w:rFonts w:hint="eastAsia" w:ascii="宋体" w:hAnsi="宋体" w:eastAsia="宋体" w:cs="宋体"/>
          <w:color w:val="000000"/>
          <w:szCs w:val="21"/>
        </w:rPr>
        <w:t>③投标（响应）报价低于采购项目最高限价</w:t>
      </w:r>
      <w:r>
        <w:rPr>
          <w:rFonts w:hint="eastAsia" w:ascii="宋体" w:hAnsi="宋体" w:eastAsia="宋体" w:cs="宋体"/>
          <w:color w:val="000000"/>
          <w:szCs w:val="21"/>
          <w:lang w:val="en-US" w:eastAsia="zh-CN"/>
        </w:rPr>
        <w:t>45</w:t>
      </w:r>
      <w:r>
        <w:rPr>
          <w:rFonts w:hint="eastAsia" w:ascii="宋体" w:hAnsi="宋体" w:eastAsia="宋体" w:cs="宋体"/>
          <w:color w:val="000000"/>
          <w:szCs w:val="21"/>
        </w:rPr>
        <w:t>%的，</w:t>
      </w:r>
      <w:r>
        <w:rPr>
          <w:rFonts w:hint="eastAsia" w:ascii="宋体" w:hAnsi="宋体" w:eastAsia="宋体" w:cs="宋体"/>
          <w:b/>
          <w:bCs/>
          <w:color w:val="000000"/>
          <w:szCs w:val="21"/>
        </w:rPr>
        <w:t>即投标（响应）报价＜采购项目最高限价×45%；</w:t>
      </w:r>
    </w:p>
    <w:p w14:paraId="311F2EE8">
      <w:pPr>
        <w:numPr>
          <w:ilvl w:val="0"/>
          <w:numId w:val="0"/>
        </w:num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④磋商小组基于专业判断，认为供应商报价过低，有可能影响产品质量或者不能诚信履约的其他情形。</w:t>
      </w:r>
    </w:p>
    <w:p w14:paraId="544E51BC">
      <w:pPr>
        <w:numPr>
          <w:ilvl w:val="0"/>
          <w:numId w:val="0"/>
        </w:num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磋商小组启动异常低价投标（响应）审查后，属于前述第1项至第4项情形的，应当要求相关供应商在评审现场</w:t>
      </w:r>
      <w:r>
        <w:rPr>
          <w:rFonts w:hint="eastAsia" w:ascii="宋体" w:hAnsi="宋体" w:eastAsia="宋体" w:cs="宋体"/>
          <w:b/>
          <w:bCs/>
          <w:color w:val="000000"/>
          <w:szCs w:val="21"/>
        </w:rPr>
        <w:t>30分钟</w:t>
      </w:r>
      <w:r>
        <w:rPr>
          <w:rFonts w:hint="eastAsia" w:ascii="宋体" w:hAnsi="宋体" w:eastAsia="宋体" w:cs="宋体"/>
          <w:color w:val="000000"/>
          <w:szCs w:val="21"/>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151FA1D">
      <w:pPr>
        <w:numPr>
          <w:ilvl w:val="0"/>
          <w:numId w:val="0"/>
        </w:numPr>
        <w:spacing w:line="360" w:lineRule="auto"/>
        <w:ind w:firstLine="420" w:firstLineChars="200"/>
        <w:rPr>
          <w:rFonts w:hint="eastAsia" w:ascii="宋体" w:hAnsi="宋体" w:cs="宋体"/>
          <w:color w:val="000000"/>
          <w:szCs w:val="21"/>
          <w:highlight w:val="none"/>
        </w:rPr>
      </w:pPr>
      <w:r>
        <w:rPr>
          <w:rFonts w:hint="eastAsia" w:ascii="宋体" w:hAnsi="宋体" w:eastAsia="宋体" w:cs="宋体"/>
          <w:color w:val="000000"/>
          <w:szCs w:val="21"/>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color w:val="000000"/>
          <w:szCs w:val="21"/>
        </w:rPr>
        <w:t>供应商在规定时间内不能提供书面说明、证明材料，或者提供的书面说明、证明材料不能证明其报价合理性的，磋商小组应当将其作为无效响应处理。</w:t>
      </w:r>
    </w:p>
    <w:p w14:paraId="57C4382A">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6BF5D13D">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评标价为供应商的最后报价进行政策性扣除后的价格，评标价只是作为评审时使用。最终成交供应商的成交金额等于最后报价（如有修正，以确认修正后的最后报价为准）。</w:t>
      </w:r>
    </w:p>
    <w:p w14:paraId="6A3B44C6">
      <w:pPr>
        <w:spacing w:line="360" w:lineRule="auto"/>
        <w:ind w:firstLine="420" w:firstLineChars="200"/>
        <w:rPr>
          <w:rFonts w:hint="eastAsia"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hint="eastAsia" w:ascii="宋体" w:hAnsi="宋体" w:cs="宋体"/>
          <w:color w:val="auto"/>
          <w:szCs w:val="21"/>
        </w:rPr>
        <w:t>2.7、3.</w:t>
      </w:r>
      <w:r>
        <w:rPr>
          <w:rFonts w:hint="eastAsia" w:ascii="宋体" w:hAnsi="宋体" w:cs="宋体"/>
          <w:color w:val="auto"/>
          <w:szCs w:val="21"/>
          <w:lang w:val="en-US" w:eastAsia="zh-CN"/>
        </w:rPr>
        <w:t>7</w:t>
      </w:r>
      <w:r>
        <w:rPr>
          <w:rFonts w:hint="eastAsia" w:ascii="宋体" w:hAnsi="宋体" w:cs="宋体"/>
          <w:color w:val="auto"/>
          <w:szCs w:val="21"/>
        </w:rPr>
        <w:t>、</w:t>
      </w:r>
      <w:r>
        <w:rPr>
          <w:rFonts w:ascii="宋体" w:hAnsi="宋体" w:cs="宋体"/>
          <w:color w:val="auto"/>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4798B56D">
      <w:pPr>
        <w:spacing w:line="360" w:lineRule="auto"/>
        <w:ind w:firstLine="420" w:firstLineChars="200"/>
        <w:rPr>
          <w:rFonts w:hint="eastAsia"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D580705">
      <w:pPr>
        <w:spacing w:line="360" w:lineRule="auto"/>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二、评审标准</w:t>
      </w:r>
    </w:p>
    <w:p w14:paraId="190CA2A0">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w:t>
      </w:r>
      <w:r>
        <w:rPr>
          <w:rFonts w:hint="eastAsia" w:ascii="宋体" w:hAnsi="宋体"/>
          <w:bCs/>
          <w:color w:val="auto"/>
          <w:szCs w:val="21"/>
          <w:lang w:eastAsia="zh-CN"/>
        </w:rPr>
        <w:t>针对本项目</w:t>
      </w:r>
      <w:r>
        <w:rPr>
          <w:rFonts w:hint="eastAsia" w:ascii="宋体" w:hAnsi="宋体" w:eastAsia="宋体" w:cs="Times New Roman"/>
          <w:bCs/>
          <w:color w:val="auto"/>
          <w:szCs w:val="21"/>
          <w:lang w:eastAsia="zh-CN"/>
        </w:rPr>
        <w:t>的项目实施方案</w:t>
      </w:r>
      <w:r>
        <w:rPr>
          <w:rFonts w:hint="eastAsia" w:ascii="宋体" w:hAnsi="宋体" w:eastAsia="宋体" w:cs="Times New Roman"/>
          <w:bCs/>
          <w:color w:val="auto"/>
          <w:szCs w:val="21"/>
        </w:rPr>
        <w:t>、</w:t>
      </w:r>
      <w:r>
        <w:rPr>
          <w:rFonts w:hint="eastAsia" w:ascii="宋体" w:hAnsi="宋体" w:eastAsia="宋体" w:cs="Times New Roman"/>
          <w:bCs/>
          <w:color w:val="auto"/>
          <w:szCs w:val="21"/>
          <w:lang w:val="en-US" w:eastAsia="zh-CN"/>
        </w:rPr>
        <w:t>针对本项目的售后服务承诺、</w:t>
      </w:r>
      <w:r>
        <w:rPr>
          <w:rFonts w:hint="eastAsia" w:ascii="宋体" w:hAnsi="宋体" w:eastAsia="宋体" w:cs="Times New Roman"/>
          <w:bCs/>
          <w:color w:val="auto"/>
          <w:szCs w:val="21"/>
          <w:lang w:eastAsia="zh-CN"/>
        </w:rPr>
        <w:t>人员配置、业绩</w:t>
      </w:r>
      <w:r>
        <w:rPr>
          <w:rFonts w:hint="eastAsia" w:ascii="宋体" w:hAnsi="宋体" w:eastAsia="宋体" w:cs="Times New Roman"/>
          <w:bCs/>
          <w:color w:val="auto"/>
          <w:szCs w:val="21"/>
        </w:rPr>
        <w:t>等方面内容按百分制打分。（计分方法按</w:t>
      </w:r>
      <w:r>
        <w:rPr>
          <w:rFonts w:hint="eastAsia" w:ascii="宋体" w:hAnsi="宋体"/>
          <w:bCs/>
          <w:color w:val="auto"/>
          <w:szCs w:val="21"/>
        </w:rPr>
        <w:t>四舍五入取至百分位）</w:t>
      </w:r>
    </w:p>
    <w:tbl>
      <w:tblPr>
        <w:tblStyle w:val="3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07"/>
        <w:gridCol w:w="882"/>
        <w:gridCol w:w="1268"/>
        <w:gridCol w:w="5641"/>
      </w:tblGrid>
      <w:tr w14:paraId="6FF6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6256CBBE">
            <w:pPr>
              <w:adjustRightInd w:val="0"/>
              <w:spacing w:line="410" w:lineRule="exact"/>
              <w:jc w:val="center"/>
              <w:textAlignment w:val="baseline"/>
              <w:rPr>
                <w:rFonts w:hint="eastAsia" w:ascii="宋体" w:hAnsi="宋体"/>
                <w:b/>
                <w:color w:val="auto"/>
                <w:sz w:val="21"/>
                <w:szCs w:val="21"/>
              </w:rPr>
            </w:pPr>
            <w:r>
              <w:rPr>
                <w:rFonts w:hint="eastAsia" w:ascii="宋体" w:hAnsi="宋体"/>
                <w:b/>
                <w:color w:val="auto"/>
                <w:sz w:val="21"/>
                <w:szCs w:val="21"/>
              </w:rPr>
              <w:t>序号</w:t>
            </w:r>
          </w:p>
        </w:tc>
        <w:tc>
          <w:tcPr>
            <w:tcW w:w="1107" w:type="dxa"/>
            <w:noWrap w:val="0"/>
            <w:vAlign w:val="center"/>
          </w:tcPr>
          <w:p w14:paraId="13C5D432">
            <w:pPr>
              <w:adjustRightInd w:val="0"/>
              <w:spacing w:line="410" w:lineRule="exact"/>
              <w:jc w:val="center"/>
              <w:textAlignment w:val="baseline"/>
              <w:rPr>
                <w:rFonts w:hint="eastAsia" w:ascii="宋体" w:hAnsi="宋体"/>
                <w:color w:val="auto"/>
                <w:sz w:val="21"/>
                <w:szCs w:val="21"/>
              </w:rPr>
            </w:pPr>
            <w:r>
              <w:rPr>
                <w:rFonts w:hint="eastAsia" w:ascii="宋体" w:hAnsi="宋体"/>
                <w:b/>
                <w:color w:val="auto"/>
                <w:sz w:val="21"/>
                <w:szCs w:val="21"/>
              </w:rPr>
              <w:t>评审因素</w:t>
            </w:r>
          </w:p>
        </w:tc>
        <w:tc>
          <w:tcPr>
            <w:tcW w:w="882" w:type="dxa"/>
            <w:noWrap w:val="0"/>
            <w:vAlign w:val="center"/>
          </w:tcPr>
          <w:p w14:paraId="5AEF16B4">
            <w:pPr>
              <w:adjustRightInd w:val="0"/>
              <w:spacing w:line="410" w:lineRule="exact"/>
              <w:jc w:val="center"/>
              <w:textAlignment w:val="baseline"/>
              <w:rPr>
                <w:rFonts w:hint="eastAsia" w:ascii="宋体" w:hAnsi="宋体"/>
                <w:b/>
                <w:color w:val="auto"/>
                <w:sz w:val="21"/>
                <w:szCs w:val="21"/>
              </w:rPr>
            </w:pPr>
            <w:r>
              <w:rPr>
                <w:rFonts w:hint="eastAsia" w:ascii="宋体" w:hAnsi="宋体"/>
                <w:b/>
                <w:color w:val="auto"/>
                <w:sz w:val="21"/>
                <w:szCs w:val="21"/>
              </w:rPr>
              <w:t>分值</w:t>
            </w:r>
          </w:p>
        </w:tc>
        <w:tc>
          <w:tcPr>
            <w:tcW w:w="6909" w:type="dxa"/>
            <w:gridSpan w:val="2"/>
            <w:noWrap w:val="0"/>
            <w:vAlign w:val="center"/>
          </w:tcPr>
          <w:p w14:paraId="7E8BC4C6">
            <w:pPr>
              <w:adjustRightInd w:val="0"/>
              <w:spacing w:line="410" w:lineRule="exact"/>
              <w:jc w:val="center"/>
              <w:textAlignment w:val="baseline"/>
              <w:rPr>
                <w:rFonts w:hint="eastAsia" w:ascii="宋体" w:hAnsi="宋体"/>
                <w:b/>
                <w:color w:val="auto"/>
                <w:sz w:val="21"/>
                <w:szCs w:val="21"/>
              </w:rPr>
            </w:pPr>
            <w:r>
              <w:rPr>
                <w:rFonts w:hint="eastAsia" w:ascii="宋体" w:hAnsi="宋体"/>
                <w:b/>
                <w:color w:val="auto"/>
                <w:sz w:val="21"/>
                <w:szCs w:val="21"/>
              </w:rPr>
              <w:t>评标标准</w:t>
            </w:r>
          </w:p>
        </w:tc>
      </w:tr>
      <w:tr w14:paraId="7335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3F47768B">
            <w:pPr>
              <w:adjustRightInd w:val="0"/>
              <w:spacing w:line="360" w:lineRule="auto"/>
              <w:jc w:val="center"/>
              <w:textAlignment w:val="baseline"/>
              <w:rPr>
                <w:rFonts w:hint="eastAsia" w:ascii="宋体" w:hAnsi="宋体"/>
                <w:b/>
                <w:color w:val="auto"/>
                <w:sz w:val="21"/>
                <w:szCs w:val="21"/>
              </w:rPr>
            </w:pPr>
            <w:r>
              <w:rPr>
                <w:rFonts w:hint="eastAsia" w:ascii="宋体" w:hAnsi="宋体"/>
                <w:b/>
                <w:color w:val="auto"/>
                <w:sz w:val="21"/>
                <w:szCs w:val="21"/>
              </w:rPr>
              <w:t>1</w:t>
            </w:r>
          </w:p>
        </w:tc>
        <w:tc>
          <w:tcPr>
            <w:tcW w:w="1107" w:type="dxa"/>
            <w:noWrap w:val="0"/>
            <w:vAlign w:val="center"/>
          </w:tcPr>
          <w:p w14:paraId="2EFB4B6E">
            <w:pPr>
              <w:adjustRightInd w:val="0"/>
              <w:spacing w:line="360" w:lineRule="auto"/>
              <w:jc w:val="center"/>
              <w:textAlignment w:val="baseline"/>
              <w:rPr>
                <w:rFonts w:hint="eastAsia" w:ascii="宋体" w:hAnsi="宋体"/>
                <w:b/>
                <w:color w:val="auto"/>
                <w:sz w:val="21"/>
                <w:szCs w:val="21"/>
              </w:rPr>
            </w:pPr>
            <w:r>
              <w:rPr>
                <w:rFonts w:hint="eastAsia" w:ascii="宋体" w:hAnsi="宋体"/>
                <w:b/>
                <w:color w:val="auto"/>
                <w:sz w:val="21"/>
                <w:szCs w:val="21"/>
              </w:rPr>
              <w:t>报价</w:t>
            </w:r>
          </w:p>
        </w:tc>
        <w:tc>
          <w:tcPr>
            <w:tcW w:w="882" w:type="dxa"/>
            <w:noWrap w:val="0"/>
            <w:vAlign w:val="center"/>
          </w:tcPr>
          <w:p w14:paraId="709E7D0C">
            <w:pPr>
              <w:adjustRightInd w:val="0"/>
              <w:spacing w:line="360" w:lineRule="auto"/>
              <w:jc w:val="center"/>
              <w:textAlignment w:val="baseline"/>
              <w:rPr>
                <w:rFonts w:hint="eastAsia" w:ascii="宋体" w:hAnsi="宋体"/>
                <w:b/>
                <w:color w:val="auto"/>
                <w:sz w:val="21"/>
                <w:szCs w:val="21"/>
              </w:rPr>
            </w:pPr>
            <w:r>
              <w:rPr>
                <w:rFonts w:hint="eastAsia" w:ascii="宋体" w:hAnsi="宋体"/>
                <w:b/>
                <w:color w:val="auto"/>
                <w:sz w:val="21"/>
                <w:szCs w:val="21"/>
                <w:lang w:val="en-US" w:eastAsia="zh-CN"/>
              </w:rPr>
              <w:t>25</w:t>
            </w:r>
            <w:r>
              <w:rPr>
                <w:rFonts w:hint="eastAsia" w:ascii="宋体" w:hAnsi="宋体"/>
                <w:b/>
                <w:color w:val="auto"/>
                <w:sz w:val="21"/>
                <w:szCs w:val="21"/>
              </w:rPr>
              <w:t>分</w:t>
            </w:r>
          </w:p>
        </w:tc>
        <w:tc>
          <w:tcPr>
            <w:tcW w:w="6909" w:type="dxa"/>
            <w:gridSpan w:val="2"/>
            <w:noWrap w:val="0"/>
            <w:vAlign w:val="center"/>
          </w:tcPr>
          <w:p w14:paraId="5D22FE90">
            <w:pPr>
              <w:pStyle w:val="20"/>
              <w:numPr>
                <w:ilvl w:val="0"/>
                <w:numId w:val="5"/>
              </w:numPr>
              <w:spacing w:line="360" w:lineRule="auto"/>
              <w:ind w:firstLine="422" w:firstLineChars="200"/>
              <w:rPr>
                <w:rFonts w:hint="eastAsia" w:hAnsi="宋体" w:cs="Courier New"/>
                <w:b/>
                <w:bCs/>
                <w:color w:val="auto"/>
                <w:kern w:val="2"/>
                <w:sz w:val="21"/>
                <w:szCs w:val="21"/>
                <w:lang w:val="en-US" w:eastAsia="zh-CN"/>
              </w:rPr>
            </w:pPr>
            <w:r>
              <w:rPr>
                <w:rFonts w:hint="eastAsia" w:hAnsi="宋体" w:cs="Courier New"/>
                <w:b/>
                <w:bCs/>
                <w:color w:val="auto"/>
                <w:kern w:val="2"/>
                <w:sz w:val="21"/>
                <w:szCs w:val="21"/>
                <w:lang w:val="en-US" w:eastAsia="zh-CN"/>
              </w:rPr>
              <w:t>政府采购政策性扣除计算方法</w:t>
            </w:r>
          </w:p>
          <w:p w14:paraId="4B560D62">
            <w:pPr>
              <w:pStyle w:val="20"/>
              <w:spacing w:line="420" w:lineRule="exact"/>
              <w:ind w:firstLine="420" w:firstLineChars="200"/>
              <w:rPr>
                <w:rFonts w:hint="eastAsia" w:ascii="宋体" w:hAnsi="宋体" w:eastAsia="宋体" w:cs="Times New Roman"/>
                <w:bCs/>
                <w:color w:val="auto"/>
                <w:sz w:val="21"/>
                <w:lang w:val="en-US" w:eastAsia="zh-CN"/>
              </w:rPr>
            </w:pPr>
            <w:r>
              <w:rPr>
                <w:rFonts w:hint="eastAsia" w:hAnsi="宋体"/>
                <w:bCs/>
                <w:color w:val="auto"/>
                <w:sz w:val="21"/>
                <w:lang w:val="en-US" w:eastAsia="zh-CN"/>
              </w:rPr>
              <w:t>本项目为专门面中小企业采购的项目，按照《政府采购促进中小企业发展管理办法》</w:t>
            </w:r>
            <w:r>
              <w:rPr>
                <w:rFonts w:hint="eastAsia" w:hAnsi="宋体" w:cs="宋体"/>
                <w:color w:val="auto"/>
                <w:sz w:val="21"/>
              </w:rPr>
              <w:t>（财库〔20</w:t>
            </w:r>
            <w:r>
              <w:rPr>
                <w:rFonts w:hint="eastAsia" w:hAnsi="宋体" w:cs="宋体"/>
                <w:color w:val="auto"/>
                <w:sz w:val="21"/>
                <w:lang w:val="en-US" w:eastAsia="zh-CN"/>
              </w:rPr>
              <w:t>20</w:t>
            </w:r>
            <w:r>
              <w:rPr>
                <w:rFonts w:hint="eastAsia" w:hAnsi="宋体" w:cs="宋体"/>
                <w:color w:val="auto"/>
                <w:sz w:val="21"/>
              </w:rPr>
              <w:t>〕</w:t>
            </w:r>
            <w:r>
              <w:rPr>
                <w:rFonts w:hint="eastAsia" w:hAnsi="宋体" w:cs="宋体"/>
                <w:color w:val="auto"/>
                <w:sz w:val="21"/>
                <w:lang w:val="en-US" w:eastAsia="zh-CN"/>
              </w:rPr>
              <w:t>46</w:t>
            </w:r>
            <w:r>
              <w:rPr>
                <w:rFonts w:hint="eastAsia" w:hAnsi="宋体" w:cs="宋体"/>
                <w:color w:val="auto"/>
                <w:sz w:val="21"/>
              </w:rPr>
              <w:t>号）的规定</w:t>
            </w:r>
            <w:r>
              <w:rPr>
                <w:rFonts w:hint="eastAsia" w:hAnsi="宋体" w:cs="宋体"/>
                <w:color w:val="auto"/>
                <w:sz w:val="21"/>
                <w:lang w:val="en-US" w:eastAsia="zh-CN"/>
              </w:rPr>
              <w:t>,不再对供应商的最后报价进行政策性扣除。</w:t>
            </w:r>
          </w:p>
          <w:p w14:paraId="629C981F">
            <w:pPr>
              <w:pStyle w:val="20"/>
              <w:spacing w:line="420" w:lineRule="exact"/>
              <w:ind w:firstLine="420" w:firstLineChars="200"/>
              <w:rPr>
                <w:rFonts w:hint="default" w:hAnsi="宋体" w:cs="Courier New"/>
                <w:b/>
                <w:bCs/>
                <w:color w:val="auto"/>
                <w:kern w:val="2"/>
                <w:sz w:val="21"/>
                <w:szCs w:val="21"/>
                <w:lang w:val="en-US" w:eastAsia="zh-CN"/>
              </w:rPr>
            </w:pPr>
            <w:r>
              <w:rPr>
                <w:rFonts w:hint="eastAsia" w:ascii="宋体" w:hAnsi="宋体" w:eastAsia="宋体" w:cs="Times New Roman"/>
                <w:bCs/>
                <w:color w:val="auto"/>
                <w:sz w:val="21"/>
                <w:lang w:val="en-US" w:eastAsia="zh-CN"/>
              </w:rPr>
              <w:t>评审价为供应商的最后报价，评审价只是作为评审时使用。最终成交供应商的成交金额等于最后报价（如有修正，以确认修正的最后报价为准）</w:t>
            </w:r>
          </w:p>
          <w:p w14:paraId="3776A433">
            <w:pPr>
              <w:pStyle w:val="20"/>
              <w:spacing w:line="420" w:lineRule="exact"/>
              <w:ind w:firstLine="422" w:firstLineChars="200"/>
              <w:outlineLvl w:val="0"/>
              <w:rPr>
                <w:rFonts w:hint="eastAsia" w:hAnsi="宋体"/>
                <w:b/>
                <w:color w:val="auto"/>
                <w:sz w:val="21"/>
                <w:szCs w:val="21"/>
                <w:lang w:val="en-US" w:eastAsia="zh-CN"/>
              </w:rPr>
            </w:pPr>
            <w:r>
              <w:rPr>
                <w:rFonts w:hint="eastAsia" w:hAnsi="宋体"/>
                <w:b/>
                <w:color w:val="auto"/>
                <w:sz w:val="21"/>
                <w:szCs w:val="21"/>
                <w:lang w:val="en-US" w:eastAsia="zh-CN"/>
              </w:rPr>
              <w:t>二、</w:t>
            </w:r>
            <w:r>
              <w:rPr>
                <w:rFonts w:hint="eastAsia" w:hAnsi="宋体"/>
                <w:b/>
                <w:color w:val="auto"/>
                <w:sz w:val="21"/>
                <w:szCs w:val="21"/>
              </w:rPr>
              <w:t>报价</w:t>
            </w:r>
            <w:r>
              <w:rPr>
                <w:rFonts w:hint="eastAsia" w:hAnsi="宋体"/>
                <w:b/>
                <w:color w:val="auto"/>
                <w:sz w:val="21"/>
                <w:szCs w:val="21"/>
                <w:lang w:val="en-US" w:eastAsia="zh-CN"/>
              </w:rPr>
              <w:t>分（满分25分）</w:t>
            </w:r>
          </w:p>
          <w:p w14:paraId="5A95A99F">
            <w:pPr>
              <w:pStyle w:val="20"/>
              <w:spacing w:line="420" w:lineRule="exact"/>
              <w:ind w:firstLine="420" w:firstLineChars="200"/>
              <w:rPr>
                <w:rFonts w:hint="eastAsia" w:hAnsi="宋体"/>
                <w:bCs/>
                <w:color w:val="auto"/>
                <w:sz w:val="21"/>
                <w:szCs w:val="21"/>
                <w:lang w:val="en-US" w:eastAsia="zh-CN"/>
              </w:rPr>
            </w:pPr>
            <w:r>
              <w:rPr>
                <w:rFonts w:hint="eastAsia"/>
                <w:color w:val="auto"/>
                <w:sz w:val="21"/>
                <w:szCs w:val="21"/>
                <w:lang w:val="en-US" w:eastAsia="zh-CN"/>
              </w:rPr>
              <w:t>1、</w:t>
            </w:r>
            <w:r>
              <w:rPr>
                <w:rFonts w:hint="eastAsia" w:hAnsi="宋体"/>
                <w:bCs/>
                <w:color w:val="auto"/>
                <w:sz w:val="21"/>
                <w:szCs w:val="21"/>
                <w:lang w:val="en-US" w:eastAsia="zh-CN"/>
              </w:rPr>
              <w:t>报价</w:t>
            </w:r>
            <w:r>
              <w:rPr>
                <w:rFonts w:hAnsi="宋体"/>
                <w:bCs/>
                <w:color w:val="auto"/>
                <w:sz w:val="21"/>
                <w:szCs w:val="21"/>
                <w:lang w:val="en-US" w:eastAsia="zh-CN"/>
              </w:rPr>
              <w:t>分采用低价优先法计算，满足</w:t>
            </w:r>
            <w:r>
              <w:rPr>
                <w:rFonts w:hint="eastAsia" w:hAnsi="宋体"/>
                <w:bCs/>
                <w:color w:val="auto"/>
                <w:sz w:val="21"/>
                <w:szCs w:val="21"/>
                <w:lang w:val="en-US" w:eastAsia="zh-CN"/>
              </w:rPr>
              <w:t>磋商</w:t>
            </w:r>
            <w:r>
              <w:rPr>
                <w:rFonts w:hAnsi="宋体"/>
                <w:bCs/>
                <w:color w:val="auto"/>
                <w:sz w:val="21"/>
                <w:szCs w:val="21"/>
                <w:lang w:val="en-US" w:eastAsia="zh-CN"/>
              </w:rPr>
              <w:t>文件要求且</w:t>
            </w:r>
            <w:r>
              <w:rPr>
                <w:rFonts w:hint="eastAsia" w:hAnsi="宋体"/>
                <w:bCs/>
                <w:color w:val="auto"/>
                <w:sz w:val="21"/>
                <w:szCs w:val="21"/>
                <w:lang w:val="en-US" w:eastAsia="zh-CN"/>
              </w:rPr>
              <w:t>评标价</w:t>
            </w:r>
            <w:r>
              <w:rPr>
                <w:rFonts w:hAnsi="宋体"/>
                <w:bCs/>
                <w:color w:val="auto"/>
                <w:sz w:val="21"/>
                <w:szCs w:val="21"/>
                <w:lang w:val="en-US" w:eastAsia="zh-CN"/>
              </w:rPr>
              <w:t>最低的</w:t>
            </w:r>
            <w:r>
              <w:rPr>
                <w:rFonts w:hint="eastAsia" w:hAnsi="宋体"/>
                <w:bCs/>
                <w:color w:val="auto"/>
                <w:sz w:val="21"/>
                <w:szCs w:val="21"/>
                <w:lang w:val="en-US" w:eastAsia="zh-CN"/>
              </w:rPr>
              <w:t>有效供应商的评标价</w:t>
            </w:r>
            <w:r>
              <w:rPr>
                <w:rFonts w:hAnsi="宋体"/>
                <w:bCs/>
                <w:color w:val="auto"/>
                <w:sz w:val="21"/>
                <w:szCs w:val="21"/>
                <w:lang w:val="en-US" w:eastAsia="zh-CN"/>
              </w:rPr>
              <w:t>为评标基准价，其</w:t>
            </w:r>
            <w:r>
              <w:rPr>
                <w:rFonts w:hint="eastAsia" w:hAnsi="宋体"/>
                <w:bCs/>
                <w:color w:val="auto"/>
                <w:sz w:val="21"/>
                <w:szCs w:val="21"/>
                <w:lang w:val="en-US" w:eastAsia="zh-CN"/>
              </w:rPr>
              <w:t>报价</w:t>
            </w:r>
            <w:r>
              <w:rPr>
                <w:rFonts w:hAnsi="宋体"/>
                <w:bCs/>
                <w:color w:val="auto"/>
                <w:sz w:val="21"/>
                <w:szCs w:val="21"/>
                <w:lang w:val="en-US" w:eastAsia="zh-CN"/>
              </w:rPr>
              <w:t>分为满分。</w:t>
            </w:r>
          </w:p>
          <w:p w14:paraId="7AF4142A">
            <w:pPr>
              <w:pStyle w:val="20"/>
              <w:spacing w:line="420" w:lineRule="exact"/>
              <w:ind w:firstLine="420" w:firstLineChars="200"/>
              <w:rPr>
                <w:rFonts w:hAnsi="宋体"/>
                <w:bCs/>
                <w:color w:val="auto"/>
                <w:sz w:val="21"/>
                <w:szCs w:val="21"/>
                <w:lang w:val="en-US" w:eastAsia="zh-CN"/>
              </w:rPr>
            </w:pPr>
            <w:r>
              <w:rPr>
                <w:rFonts w:hint="eastAsia" w:hAnsi="宋体"/>
                <w:bCs/>
                <w:color w:val="auto"/>
                <w:sz w:val="21"/>
                <w:szCs w:val="21"/>
                <w:lang w:val="en-US" w:eastAsia="zh-CN"/>
              </w:rPr>
              <w:t>2、</w:t>
            </w:r>
            <w:r>
              <w:rPr>
                <w:rFonts w:hAnsi="宋体"/>
                <w:bCs/>
                <w:color w:val="auto"/>
                <w:sz w:val="21"/>
                <w:szCs w:val="21"/>
                <w:lang w:val="en-US" w:eastAsia="zh-CN"/>
              </w:rPr>
              <w:t>其他供应商的价格分统一按照下列公式计算：</w:t>
            </w:r>
          </w:p>
          <w:p w14:paraId="58C328BC">
            <w:pPr>
              <w:pStyle w:val="20"/>
              <w:spacing w:line="420" w:lineRule="exact"/>
              <w:rPr>
                <w:rFonts w:hint="eastAsia" w:hAnsi="宋体" w:cs="Courier New"/>
                <w:bCs/>
                <w:color w:val="auto"/>
                <w:kern w:val="2"/>
                <w:sz w:val="21"/>
                <w:szCs w:val="21"/>
                <w:lang w:val="en-US" w:eastAsia="zh-CN"/>
              </w:rPr>
            </w:pPr>
            <w:r>
              <w:rPr>
                <w:rFonts w:hint="eastAsia" w:hAnsi="宋体"/>
                <w:bCs/>
                <w:color w:val="auto"/>
                <w:sz w:val="21"/>
                <w:szCs w:val="21"/>
                <w:lang w:val="en-US" w:eastAsia="zh-CN"/>
              </w:rPr>
              <w:t>某有效供应商的报价</w:t>
            </w:r>
            <w:r>
              <w:rPr>
                <w:rFonts w:hAnsi="宋体"/>
                <w:bCs/>
                <w:color w:val="auto"/>
                <w:sz w:val="21"/>
                <w:szCs w:val="21"/>
                <w:lang w:val="en-US" w:eastAsia="zh-CN"/>
              </w:rPr>
              <w:t>分=</w:t>
            </w:r>
            <w:r>
              <w:rPr>
                <w:rFonts w:hint="eastAsia" w:hAnsi="宋体"/>
                <w:bCs/>
                <w:color w:val="auto"/>
                <w:sz w:val="21"/>
                <w:szCs w:val="21"/>
                <w:lang w:val="en-US" w:eastAsia="zh-CN"/>
              </w:rPr>
              <w:t>（</w:t>
            </w:r>
            <w:r>
              <w:rPr>
                <w:rFonts w:hAnsi="宋体"/>
                <w:bCs/>
                <w:color w:val="auto"/>
                <w:sz w:val="21"/>
                <w:szCs w:val="21"/>
                <w:lang w:val="en-US" w:eastAsia="zh-CN"/>
              </w:rPr>
              <w:t>评标基准价／</w:t>
            </w:r>
            <w:r>
              <w:rPr>
                <w:rFonts w:hint="eastAsia" w:hAnsi="宋体"/>
                <w:bCs/>
                <w:color w:val="auto"/>
                <w:sz w:val="21"/>
                <w:szCs w:val="21"/>
                <w:lang w:val="en-US" w:eastAsia="zh-CN"/>
              </w:rPr>
              <w:t>某有效供应商评标价）</w:t>
            </w:r>
            <w:r>
              <w:rPr>
                <w:rFonts w:hAnsi="宋体"/>
                <w:bCs/>
                <w:color w:val="auto"/>
                <w:sz w:val="21"/>
                <w:szCs w:val="21"/>
                <w:lang w:val="en-US" w:eastAsia="zh-CN"/>
              </w:rPr>
              <w:t>×</w:t>
            </w:r>
            <w:r>
              <w:rPr>
                <w:rFonts w:hint="eastAsia" w:hAnsi="宋体"/>
                <w:bCs/>
                <w:color w:val="auto"/>
                <w:sz w:val="21"/>
                <w:szCs w:val="21"/>
                <w:lang w:val="en-US" w:eastAsia="zh-CN"/>
              </w:rPr>
              <w:t xml:space="preserve"> 25分</w:t>
            </w:r>
          </w:p>
        </w:tc>
      </w:tr>
      <w:tr w14:paraId="54A4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5849CE56">
            <w:pPr>
              <w:adjustRightInd w:val="0"/>
              <w:spacing w:line="360" w:lineRule="auto"/>
              <w:jc w:val="center"/>
              <w:textAlignment w:val="baseline"/>
              <w:rPr>
                <w:rFonts w:hint="eastAsia" w:ascii="宋体" w:hAnsi="宋体" w:eastAsia="宋体"/>
                <w:b/>
                <w:color w:val="auto"/>
                <w:sz w:val="21"/>
                <w:szCs w:val="21"/>
                <w:lang w:val="en-US" w:eastAsia="zh-CN"/>
              </w:rPr>
            </w:pPr>
            <w:r>
              <w:rPr>
                <w:rFonts w:hint="eastAsia" w:ascii="宋体" w:hAnsi="宋体"/>
                <w:b/>
                <w:color w:val="auto"/>
                <w:sz w:val="21"/>
                <w:szCs w:val="21"/>
                <w:lang w:val="en-US" w:eastAsia="zh-CN"/>
              </w:rPr>
              <w:t>2</w:t>
            </w:r>
          </w:p>
        </w:tc>
        <w:tc>
          <w:tcPr>
            <w:tcW w:w="1107" w:type="dxa"/>
            <w:noWrap w:val="0"/>
            <w:vAlign w:val="center"/>
          </w:tcPr>
          <w:p w14:paraId="41A06056">
            <w:pPr>
              <w:adjustRightInd w:val="0"/>
              <w:spacing w:line="360" w:lineRule="auto"/>
              <w:jc w:val="center"/>
              <w:textAlignment w:val="baseline"/>
              <w:rPr>
                <w:rFonts w:hint="default" w:ascii="宋体" w:hAnsi="宋体" w:eastAsia="宋体"/>
                <w:b/>
                <w:color w:val="auto"/>
                <w:sz w:val="21"/>
                <w:szCs w:val="21"/>
                <w:lang w:val="en-US" w:eastAsia="zh-CN"/>
              </w:rPr>
            </w:pPr>
            <w:r>
              <w:rPr>
                <w:rFonts w:hint="eastAsia" w:ascii="宋体" w:hAnsi="宋体"/>
                <w:b/>
                <w:color w:val="auto"/>
                <w:sz w:val="21"/>
                <w:szCs w:val="21"/>
                <w:lang w:val="en-US" w:eastAsia="zh-CN"/>
              </w:rPr>
              <w:t>技术分</w:t>
            </w:r>
          </w:p>
        </w:tc>
        <w:tc>
          <w:tcPr>
            <w:tcW w:w="882" w:type="dxa"/>
            <w:noWrap w:val="0"/>
            <w:vAlign w:val="center"/>
          </w:tcPr>
          <w:p w14:paraId="4FB052DD">
            <w:pPr>
              <w:adjustRightInd w:val="0"/>
              <w:spacing w:line="360" w:lineRule="auto"/>
              <w:jc w:val="center"/>
              <w:textAlignment w:val="baseline"/>
              <w:rPr>
                <w:rFonts w:hint="default" w:ascii="宋体" w:hAnsi="宋体"/>
                <w:b/>
                <w:color w:val="auto"/>
                <w:sz w:val="21"/>
                <w:szCs w:val="21"/>
                <w:lang w:val="en-US" w:eastAsia="zh-CN"/>
              </w:rPr>
            </w:pPr>
            <w:r>
              <w:rPr>
                <w:rFonts w:hint="eastAsia" w:ascii="宋体" w:hAnsi="宋体"/>
                <w:b/>
                <w:color w:val="auto"/>
                <w:sz w:val="21"/>
                <w:szCs w:val="21"/>
                <w:lang w:val="en-US" w:eastAsia="zh-CN"/>
              </w:rPr>
              <w:t>70分</w:t>
            </w:r>
          </w:p>
        </w:tc>
        <w:tc>
          <w:tcPr>
            <w:tcW w:w="6909" w:type="dxa"/>
            <w:gridSpan w:val="2"/>
            <w:noWrap w:val="0"/>
            <w:vAlign w:val="center"/>
          </w:tcPr>
          <w:p w14:paraId="343E5048">
            <w:pPr>
              <w:pStyle w:val="20"/>
              <w:spacing w:line="420" w:lineRule="exact"/>
              <w:jc w:val="center"/>
              <w:rPr>
                <w:rFonts w:hint="eastAsia" w:hAnsi="宋体"/>
                <w:bCs/>
                <w:color w:val="auto"/>
                <w:sz w:val="21"/>
                <w:szCs w:val="21"/>
                <w:lang w:val="en-US" w:eastAsia="zh-CN"/>
              </w:rPr>
            </w:pPr>
            <w:r>
              <w:rPr>
                <w:rFonts w:hint="eastAsia" w:ascii="宋体" w:hAnsi="宋体"/>
                <w:b/>
                <w:color w:val="auto"/>
                <w:sz w:val="21"/>
                <w:szCs w:val="21"/>
              </w:rPr>
              <w:t>评标标准</w:t>
            </w:r>
          </w:p>
        </w:tc>
      </w:tr>
      <w:tr w14:paraId="6E50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restart"/>
            <w:noWrap w:val="0"/>
            <w:vAlign w:val="center"/>
          </w:tcPr>
          <w:p w14:paraId="578E606E">
            <w:pPr>
              <w:adjustRightInd w:val="0"/>
              <w:spacing w:line="360" w:lineRule="auto"/>
              <w:jc w:val="center"/>
              <w:textAlignment w:val="baseline"/>
              <w:rPr>
                <w:rFonts w:hint="default" w:ascii="宋体" w:hAnsi="宋体" w:eastAsia="宋体"/>
                <w:b/>
                <w:color w:val="auto"/>
                <w:sz w:val="21"/>
                <w:szCs w:val="21"/>
                <w:lang w:val="en-US" w:eastAsia="zh-CN"/>
              </w:rPr>
            </w:pPr>
            <w:r>
              <w:rPr>
                <w:rFonts w:hint="eastAsia" w:ascii="宋体" w:hAnsi="宋体"/>
                <w:b/>
                <w:color w:val="auto"/>
                <w:sz w:val="21"/>
                <w:szCs w:val="21"/>
                <w:lang w:val="en-US" w:eastAsia="zh-CN"/>
              </w:rPr>
              <w:t>2.1</w:t>
            </w:r>
          </w:p>
        </w:tc>
        <w:tc>
          <w:tcPr>
            <w:tcW w:w="1107" w:type="dxa"/>
            <w:vMerge w:val="restart"/>
            <w:noWrap w:val="0"/>
            <w:vAlign w:val="center"/>
          </w:tcPr>
          <w:p w14:paraId="09DC4280">
            <w:pPr>
              <w:adjustRightInd w:val="0"/>
              <w:spacing w:line="360" w:lineRule="auto"/>
              <w:jc w:val="center"/>
              <w:textAlignment w:val="baseline"/>
              <w:rPr>
                <w:rFonts w:hint="eastAsia" w:ascii="宋体" w:hAnsi="宋体" w:eastAsia="宋体" w:cs="宋体"/>
                <w:b/>
                <w:color w:val="auto"/>
                <w:sz w:val="21"/>
                <w:szCs w:val="21"/>
                <w:lang w:eastAsia="zh-CN"/>
              </w:rPr>
            </w:pPr>
            <w:r>
              <w:rPr>
                <w:rFonts w:hint="eastAsia" w:ascii="宋体" w:hAnsi="宋体"/>
                <w:b/>
                <w:color w:val="000000"/>
                <w:szCs w:val="21"/>
              </w:rPr>
              <w:t>施工组织设计</w:t>
            </w:r>
          </w:p>
        </w:tc>
        <w:tc>
          <w:tcPr>
            <w:tcW w:w="882" w:type="dxa"/>
            <w:vMerge w:val="restart"/>
            <w:noWrap w:val="0"/>
            <w:vAlign w:val="center"/>
          </w:tcPr>
          <w:p w14:paraId="09EAE75C">
            <w:pPr>
              <w:adjustRightInd w:val="0"/>
              <w:spacing w:line="360" w:lineRule="auto"/>
              <w:jc w:val="center"/>
              <w:textAlignment w:val="baseline"/>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70</w:t>
            </w:r>
            <w:r>
              <w:rPr>
                <w:rFonts w:hint="eastAsia" w:ascii="宋体" w:hAnsi="宋体" w:eastAsia="宋体" w:cs="宋体"/>
                <w:b/>
                <w:color w:val="auto"/>
                <w:sz w:val="21"/>
                <w:szCs w:val="21"/>
              </w:rPr>
              <w:t>分</w:t>
            </w:r>
          </w:p>
        </w:tc>
        <w:tc>
          <w:tcPr>
            <w:tcW w:w="1268" w:type="dxa"/>
            <w:noWrap w:val="0"/>
            <w:vAlign w:val="center"/>
          </w:tcPr>
          <w:p w14:paraId="5D448088">
            <w:pPr>
              <w:spacing w:line="440" w:lineRule="exact"/>
              <w:jc w:val="center"/>
              <w:rPr>
                <w:rFonts w:hint="eastAsia" w:ascii="宋体" w:hAnsi="宋体" w:eastAsia="宋体" w:cs="宋体"/>
                <w:bCs/>
                <w:color w:val="auto"/>
                <w:sz w:val="21"/>
                <w:szCs w:val="21"/>
              </w:rPr>
            </w:pPr>
            <w:r>
              <w:rPr>
                <w:rFonts w:hint="eastAsia" w:ascii="宋体" w:hAnsi="宋体"/>
                <w:b w:val="0"/>
                <w:bCs w:val="0"/>
                <w:color w:val="000000"/>
                <w:szCs w:val="21"/>
              </w:rPr>
              <w:t>施工进度计划和各阶段进度的保证措施（满分</w:t>
            </w:r>
            <w:r>
              <w:rPr>
                <w:rFonts w:hint="eastAsia" w:ascii="宋体" w:hAnsi="宋体"/>
                <w:b w:val="0"/>
                <w:bCs w:val="0"/>
                <w:color w:val="000000"/>
                <w:szCs w:val="21"/>
                <w:lang w:val="en-US" w:eastAsia="zh-CN"/>
              </w:rPr>
              <w:t>12</w:t>
            </w:r>
            <w:r>
              <w:rPr>
                <w:rFonts w:hint="eastAsia" w:ascii="宋体" w:hAnsi="宋体"/>
                <w:b w:val="0"/>
                <w:bCs w:val="0"/>
                <w:color w:val="000000"/>
                <w:szCs w:val="21"/>
              </w:rPr>
              <w:t>分）</w:t>
            </w:r>
          </w:p>
        </w:tc>
        <w:tc>
          <w:tcPr>
            <w:tcW w:w="5641" w:type="dxa"/>
            <w:noWrap w:val="0"/>
            <w:vAlign w:val="center"/>
          </w:tcPr>
          <w:p w14:paraId="5B71F022">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一</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2</w:t>
            </w:r>
            <w:r>
              <w:rPr>
                <w:rFonts w:hint="eastAsia" w:ascii="宋体" w:hAnsi="宋体" w:eastAsia="宋体" w:cs="Times New Roman"/>
                <w:bCs/>
                <w:color w:val="000000"/>
                <w:szCs w:val="21"/>
              </w:rPr>
              <w:t>.0 分）：计划编制不够完善，关键线路不够清晰，工期安排存在不合理之处，动态调整能力较弱，对施工工艺和资源需求的考虑不足。保障措施不够全面，资源调配方案可行性较差，劳动力、材料、设备等供应计划存在缺口，应急预案不够完善，技术措施和管理机制存在明显不足，进度控制手段较为单一，应对风险的能力较弱。</w:t>
            </w:r>
          </w:p>
          <w:p w14:paraId="26BBDEF1">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二档（</w:t>
            </w:r>
            <w:r>
              <w:rPr>
                <w:rFonts w:hint="eastAsia" w:ascii="宋体" w:hAnsi="宋体" w:eastAsia="宋体" w:cs="Times New Roman"/>
                <w:bCs/>
                <w:color w:val="000000"/>
                <w:szCs w:val="21"/>
                <w:lang w:val="en-US" w:eastAsia="zh-CN"/>
              </w:rPr>
              <w:t>7</w:t>
            </w:r>
            <w:r>
              <w:rPr>
                <w:rFonts w:hint="eastAsia" w:ascii="宋体" w:hAnsi="宋体" w:eastAsia="宋体" w:cs="Times New Roman"/>
                <w:bCs/>
                <w:color w:val="000000"/>
                <w:szCs w:val="21"/>
              </w:rPr>
              <w:t>.0 分）：计划编制合理，关键线路明确，工期安排符合要求，考虑了主要施工工艺和资源需求，具备一定的动态调整能力，但部分细节需进一步完善。保障措施较为全面，资源调配方案可行，劳动力、材料、设备等供应计划基本满足需求，应急预案较为完善，技术措施合理，管理机制较为健全，进度控制手段有效，但应对复杂风险的能力稍显不足。</w:t>
            </w:r>
          </w:p>
          <w:p w14:paraId="483CBC2E">
            <w:pPr>
              <w:spacing w:line="440" w:lineRule="exact"/>
              <w:jc w:val="left"/>
              <w:rPr>
                <w:rFonts w:hint="eastAsia" w:ascii="宋体" w:hAnsi="宋体" w:eastAsia="宋体" w:cs="Times New Roman"/>
                <w:bCs/>
                <w:color w:val="000000"/>
                <w:szCs w:val="21"/>
              </w:rPr>
            </w:pPr>
            <w:r>
              <w:rPr>
                <w:rFonts w:hint="eastAsia" w:ascii="宋体" w:hAnsi="宋体"/>
                <w:bCs/>
                <w:color w:val="000000"/>
                <w:szCs w:val="21"/>
                <w:lang w:val="en-US" w:eastAsia="zh-CN"/>
              </w:rPr>
              <w:t>三</w:t>
            </w:r>
            <w:r>
              <w:rPr>
                <w:rFonts w:hint="eastAsia" w:ascii="宋体" w:hAnsi="宋体"/>
                <w:bCs/>
                <w:color w:val="000000"/>
                <w:szCs w:val="21"/>
              </w:rPr>
              <w:t>档（</w:t>
            </w:r>
            <w:r>
              <w:rPr>
                <w:rFonts w:hint="eastAsia" w:ascii="宋体" w:hAnsi="宋体"/>
                <w:bCs/>
                <w:color w:val="000000"/>
                <w:szCs w:val="21"/>
                <w:lang w:val="en-US" w:eastAsia="zh-CN"/>
              </w:rPr>
              <w:t>12</w:t>
            </w:r>
            <w:r>
              <w:rPr>
                <w:rFonts w:hint="eastAsia" w:ascii="宋体" w:hAnsi="宋体"/>
                <w:bCs/>
                <w:color w:val="000000"/>
                <w:szCs w:val="21"/>
              </w:rPr>
              <w:t>.0 分）：计划编制科学合理，关键线路清晰，工期安排紧凑且符合实际，充分考虑施工工艺、资源调配及外部影响因素，具备完善的动态调整机制。保障措施全面、系统，资源调配方案详细且可操作性强，劳动力、材料、设备等供应计划周密，应急预案完善，技术措施先进，管理机制健全，进度控制手段科学，能够有效应对各种风险。</w:t>
            </w:r>
          </w:p>
        </w:tc>
      </w:tr>
      <w:tr w14:paraId="24FD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3F9FCD45">
            <w:pPr>
              <w:spacing w:line="360" w:lineRule="auto"/>
              <w:jc w:val="left"/>
              <w:rPr>
                <w:color w:val="auto"/>
                <w:sz w:val="21"/>
                <w:szCs w:val="21"/>
              </w:rPr>
            </w:pPr>
          </w:p>
        </w:tc>
        <w:tc>
          <w:tcPr>
            <w:tcW w:w="1107" w:type="dxa"/>
            <w:vMerge w:val="continue"/>
            <w:noWrap w:val="0"/>
            <w:vAlign w:val="center"/>
          </w:tcPr>
          <w:p w14:paraId="0D54CB2B">
            <w:pPr>
              <w:spacing w:line="360" w:lineRule="auto"/>
              <w:jc w:val="left"/>
              <w:rPr>
                <w:rFonts w:hint="eastAsia" w:ascii="宋体" w:hAnsi="宋体" w:eastAsia="宋体" w:cs="宋体"/>
                <w:color w:val="auto"/>
                <w:sz w:val="21"/>
                <w:szCs w:val="21"/>
              </w:rPr>
            </w:pPr>
          </w:p>
        </w:tc>
        <w:tc>
          <w:tcPr>
            <w:tcW w:w="882" w:type="dxa"/>
            <w:vMerge w:val="continue"/>
            <w:noWrap w:val="0"/>
            <w:vAlign w:val="center"/>
          </w:tcPr>
          <w:p w14:paraId="23379120">
            <w:pPr>
              <w:spacing w:line="360" w:lineRule="auto"/>
              <w:jc w:val="left"/>
              <w:rPr>
                <w:rFonts w:hint="eastAsia" w:ascii="宋体" w:hAnsi="宋体" w:eastAsia="宋体" w:cs="宋体"/>
                <w:color w:val="auto"/>
                <w:sz w:val="21"/>
                <w:szCs w:val="21"/>
              </w:rPr>
            </w:pPr>
          </w:p>
        </w:tc>
        <w:tc>
          <w:tcPr>
            <w:tcW w:w="1268" w:type="dxa"/>
            <w:noWrap w:val="0"/>
            <w:vAlign w:val="center"/>
          </w:tcPr>
          <w:p w14:paraId="16210B37">
            <w:pPr>
              <w:spacing w:line="440" w:lineRule="exact"/>
              <w:jc w:val="center"/>
              <w:rPr>
                <w:rFonts w:hint="eastAsia" w:ascii="宋体" w:hAnsi="宋体" w:eastAsia="宋体" w:cs="宋体"/>
                <w:bCs/>
                <w:color w:val="auto"/>
                <w:sz w:val="21"/>
                <w:szCs w:val="21"/>
              </w:rPr>
            </w:pPr>
            <w:r>
              <w:rPr>
                <w:rFonts w:hint="eastAsia" w:ascii="宋体" w:hAnsi="宋体" w:cs="Courier New"/>
                <w:b w:val="0"/>
                <w:bCs w:val="0"/>
                <w:color w:val="000000"/>
                <w:szCs w:val="21"/>
              </w:rPr>
              <w:t>主要工程项目的施工方案、方法与技术措施（满分</w:t>
            </w:r>
            <w:r>
              <w:rPr>
                <w:rFonts w:hint="eastAsia" w:ascii="宋体" w:hAnsi="宋体" w:cs="Courier New"/>
                <w:b w:val="0"/>
                <w:bCs w:val="0"/>
                <w:color w:val="000000"/>
                <w:szCs w:val="21"/>
                <w:lang w:val="en-US" w:eastAsia="zh-CN"/>
              </w:rPr>
              <w:t>12</w:t>
            </w:r>
            <w:r>
              <w:rPr>
                <w:rFonts w:hint="eastAsia" w:ascii="宋体" w:hAnsi="宋体" w:cs="Courier New"/>
                <w:b w:val="0"/>
                <w:bCs w:val="0"/>
                <w:color w:val="000000"/>
                <w:szCs w:val="21"/>
              </w:rPr>
              <w:t>分）</w:t>
            </w:r>
          </w:p>
        </w:tc>
        <w:tc>
          <w:tcPr>
            <w:tcW w:w="5641" w:type="dxa"/>
            <w:noWrap w:val="0"/>
            <w:vAlign w:val="center"/>
          </w:tcPr>
          <w:p w14:paraId="01963246">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一</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4</w:t>
            </w:r>
            <w:r>
              <w:rPr>
                <w:rFonts w:hint="eastAsia" w:ascii="宋体" w:hAnsi="宋体" w:eastAsia="宋体" w:cs="Times New Roman"/>
                <w:bCs/>
                <w:color w:val="000000"/>
                <w:szCs w:val="21"/>
              </w:rPr>
              <w:t>.0 分）：施工方案较为简单，方法和技术措施较为基础，仅能应对常规施工条件，质量和安全存在一定风险。资源调配和进度安排不够周密，风险控制措施不够完善，部分内容需进一步优化。</w:t>
            </w:r>
          </w:p>
          <w:p w14:paraId="5F5A5910">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二档（</w:t>
            </w:r>
            <w:r>
              <w:rPr>
                <w:rFonts w:hint="eastAsia" w:ascii="宋体" w:hAnsi="宋体" w:eastAsia="宋体" w:cs="Times New Roman"/>
                <w:bCs/>
                <w:color w:val="000000"/>
                <w:szCs w:val="21"/>
                <w:lang w:val="en-US" w:eastAsia="zh-CN"/>
              </w:rPr>
              <w:t>8</w:t>
            </w:r>
            <w:r>
              <w:rPr>
                <w:rFonts w:hint="eastAsia" w:ascii="宋体" w:hAnsi="宋体" w:eastAsia="宋体" w:cs="Times New Roman"/>
                <w:bCs/>
                <w:color w:val="000000"/>
                <w:szCs w:val="21"/>
              </w:rPr>
              <w:t>.0 分）：施工方案较为详尽，方法合理且可行，技术措施较为全面，能应对大部分施工条件，质量和安全有保障。资源调配和进度安排合理，风险控制措施较为完善，基本满足项目需求。</w:t>
            </w:r>
          </w:p>
          <w:p w14:paraId="079A002C">
            <w:pPr>
              <w:spacing w:line="440" w:lineRule="exact"/>
              <w:jc w:val="left"/>
              <w:rPr>
                <w:rFonts w:hint="eastAsia" w:ascii="宋体" w:hAnsi="宋体" w:eastAsia="宋体" w:cs="Times New Roman"/>
                <w:bCs/>
                <w:color w:val="000000"/>
                <w:szCs w:val="21"/>
                <w:lang w:eastAsia="zh-CN"/>
              </w:rPr>
            </w:pPr>
            <w:r>
              <w:rPr>
                <w:rFonts w:hint="eastAsia" w:ascii="宋体" w:hAnsi="宋体" w:eastAsia="宋体" w:cs="Times New Roman"/>
                <w:bCs/>
                <w:color w:val="000000"/>
                <w:szCs w:val="21"/>
                <w:lang w:val="en-US" w:eastAsia="zh-CN"/>
              </w:rPr>
              <w:t>三</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12</w:t>
            </w:r>
            <w:r>
              <w:rPr>
                <w:rFonts w:hint="eastAsia" w:ascii="宋体" w:hAnsi="宋体" w:eastAsia="宋体" w:cs="Times New Roman"/>
                <w:bCs/>
                <w:color w:val="000000"/>
                <w:szCs w:val="21"/>
              </w:rPr>
              <w:t>.0 分）：施工方案详尽、科学，方法先进且可行，技术措施全面且具有创新性，能有效应对复杂施工条件，确保高质量、高效率、高安全性。资源调配合理，进度安排周密，风险控制措施完善，完全满足项目需求。</w:t>
            </w:r>
          </w:p>
        </w:tc>
      </w:tr>
      <w:tr w14:paraId="7294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24954EB2">
            <w:pPr>
              <w:spacing w:line="360" w:lineRule="auto"/>
              <w:jc w:val="left"/>
              <w:rPr>
                <w:color w:val="auto"/>
                <w:sz w:val="21"/>
                <w:szCs w:val="21"/>
              </w:rPr>
            </w:pPr>
          </w:p>
        </w:tc>
        <w:tc>
          <w:tcPr>
            <w:tcW w:w="1107" w:type="dxa"/>
            <w:vMerge w:val="continue"/>
            <w:noWrap w:val="0"/>
            <w:vAlign w:val="center"/>
          </w:tcPr>
          <w:p w14:paraId="5B0C751C">
            <w:pPr>
              <w:spacing w:line="360" w:lineRule="auto"/>
              <w:jc w:val="left"/>
              <w:rPr>
                <w:rFonts w:hint="eastAsia" w:ascii="宋体" w:hAnsi="宋体" w:eastAsia="宋体" w:cs="宋体"/>
                <w:color w:val="auto"/>
                <w:sz w:val="21"/>
                <w:szCs w:val="21"/>
              </w:rPr>
            </w:pPr>
          </w:p>
        </w:tc>
        <w:tc>
          <w:tcPr>
            <w:tcW w:w="882" w:type="dxa"/>
            <w:vMerge w:val="continue"/>
            <w:noWrap w:val="0"/>
            <w:vAlign w:val="center"/>
          </w:tcPr>
          <w:p w14:paraId="777C1C7F">
            <w:pPr>
              <w:spacing w:line="360" w:lineRule="auto"/>
              <w:jc w:val="left"/>
              <w:rPr>
                <w:rFonts w:hint="eastAsia" w:ascii="宋体" w:hAnsi="宋体" w:eastAsia="宋体" w:cs="宋体"/>
                <w:color w:val="auto"/>
                <w:sz w:val="21"/>
                <w:szCs w:val="21"/>
              </w:rPr>
            </w:pPr>
          </w:p>
        </w:tc>
        <w:tc>
          <w:tcPr>
            <w:tcW w:w="1268" w:type="dxa"/>
            <w:noWrap w:val="0"/>
            <w:vAlign w:val="center"/>
          </w:tcPr>
          <w:p w14:paraId="01330445">
            <w:pPr>
              <w:spacing w:line="440" w:lineRule="exact"/>
              <w:jc w:val="center"/>
              <w:rPr>
                <w:rFonts w:hint="eastAsia" w:ascii="宋体" w:hAnsi="宋体" w:eastAsia="宋体" w:cs="宋体"/>
                <w:bCs/>
                <w:color w:val="auto"/>
                <w:sz w:val="21"/>
                <w:szCs w:val="21"/>
              </w:rPr>
            </w:pPr>
            <w:r>
              <w:rPr>
                <w:rFonts w:hint="eastAsia" w:ascii="宋体" w:hAnsi="宋体" w:cs="Courier New"/>
                <w:b w:val="0"/>
                <w:bCs w:val="0"/>
                <w:color w:val="000000"/>
                <w:szCs w:val="21"/>
              </w:rPr>
              <w:t>工程质量管理体系及保证措施（满分</w:t>
            </w:r>
            <w:r>
              <w:rPr>
                <w:rFonts w:hint="eastAsia" w:ascii="宋体" w:hAnsi="宋体" w:cs="Courier New"/>
                <w:b w:val="0"/>
                <w:bCs w:val="0"/>
                <w:color w:val="000000"/>
                <w:szCs w:val="21"/>
                <w:lang w:val="en-US" w:eastAsia="zh-CN"/>
              </w:rPr>
              <w:t>12</w:t>
            </w:r>
            <w:r>
              <w:rPr>
                <w:rFonts w:hint="eastAsia" w:ascii="宋体" w:hAnsi="宋体" w:cs="Courier New"/>
                <w:b w:val="0"/>
                <w:bCs w:val="0"/>
                <w:color w:val="000000"/>
                <w:szCs w:val="21"/>
              </w:rPr>
              <w:t>分）</w:t>
            </w:r>
          </w:p>
        </w:tc>
        <w:tc>
          <w:tcPr>
            <w:tcW w:w="5641" w:type="dxa"/>
            <w:noWrap w:val="0"/>
            <w:vAlign w:val="center"/>
          </w:tcPr>
          <w:p w14:paraId="7E2C5DF6">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一</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4</w:t>
            </w:r>
            <w:r>
              <w:rPr>
                <w:rFonts w:hint="eastAsia" w:ascii="宋体" w:hAnsi="宋体" w:eastAsia="宋体" w:cs="Times New Roman"/>
                <w:bCs/>
                <w:color w:val="000000"/>
                <w:szCs w:val="21"/>
              </w:rPr>
              <w:t>.0分）：工程质量管理较为简单，仅覆盖部分环节， 目标不够明确。保证措施较为基础，可操作性较差，质量控制能力有限，存在一定质量风险。质量管理团队配置不足，职责不够清晰，监督机制不够完善，应急预案和改进措施较为欠缺。</w:t>
            </w:r>
          </w:p>
          <w:p w14:paraId="0B318ED8">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二档（</w:t>
            </w:r>
            <w:r>
              <w:rPr>
                <w:rFonts w:hint="eastAsia" w:ascii="宋体" w:hAnsi="宋体" w:eastAsia="宋体" w:cs="Times New Roman"/>
                <w:bCs/>
                <w:color w:val="000000"/>
                <w:szCs w:val="21"/>
                <w:lang w:val="en-US" w:eastAsia="zh-CN"/>
              </w:rPr>
              <w:t>8</w:t>
            </w:r>
            <w:r>
              <w:rPr>
                <w:rFonts w:hint="eastAsia" w:ascii="宋体" w:hAnsi="宋体" w:eastAsia="宋体" w:cs="Times New Roman"/>
                <w:bCs/>
                <w:color w:val="000000"/>
                <w:szCs w:val="21"/>
              </w:rPr>
              <w:t>.0分）：工程质量管理较为完善，覆盖项目主要环节，目标明确。保证措施较为具体，具有较强的可操作性，能够有效控制质量风险。配备专业质量管理团队，职责明确，监督机制较为健全，具备一定的应急预案和改进措施。</w:t>
            </w:r>
          </w:p>
          <w:p w14:paraId="6C372F8F">
            <w:pPr>
              <w:spacing w:line="440" w:lineRule="exact"/>
              <w:jc w:val="left"/>
              <w:rPr>
                <w:rFonts w:hint="eastAsia"/>
                <w:lang w:eastAsia="zh-CN"/>
              </w:rPr>
            </w:pPr>
            <w:r>
              <w:rPr>
                <w:rFonts w:hint="eastAsia" w:ascii="宋体" w:hAnsi="宋体" w:eastAsia="宋体" w:cs="Times New Roman"/>
                <w:bCs/>
                <w:color w:val="000000"/>
                <w:szCs w:val="21"/>
                <w:lang w:val="en-US" w:eastAsia="zh-CN"/>
              </w:rPr>
              <w:t>三</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12</w:t>
            </w:r>
            <w:r>
              <w:rPr>
                <w:rFonts w:hint="eastAsia" w:ascii="宋体" w:hAnsi="宋体" w:eastAsia="宋体" w:cs="Times New Roman"/>
                <w:bCs/>
                <w:color w:val="000000"/>
                <w:szCs w:val="21"/>
              </w:rPr>
              <w:t>.0分）：工程质量管理覆盖项目全过程，目标明确且可量化。保证措施具体、可操作，针对性强，能有效预防和控制质量风险。配备高素质质量管理团队，职责清晰，监督机制健全，且有完善的应急预案和持续改进机制。</w:t>
            </w:r>
          </w:p>
        </w:tc>
      </w:tr>
      <w:tr w14:paraId="2C8C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2AB62190">
            <w:pPr>
              <w:spacing w:line="360" w:lineRule="auto"/>
              <w:jc w:val="left"/>
              <w:rPr>
                <w:color w:val="auto"/>
                <w:sz w:val="21"/>
                <w:szCs w:val="21"/>
              </w:rPr>
            </w:pPr>
          </w:p>
        </w:tc>
        <w:tc>
          <w:tcPr>
            <w:tcW w:w="1107" w:type="dxa"/>
            <w:vMerge w:val="continue"/>
            <w:noWrap w:val="0"/>
            <w:vAlign w:val="center"/>
          </w:tcPr>
          <w:p w14:paraId="6BA20EBC">
            <w:pPr>
              <w:spacing w:line="360" w:lineRule="auto"/>
              <w:jc w:val="left"/>
              <w:rPr>
                <w:rFonts w:hint="eastAsia" w:ascii="宋体" w:hAnsi="宋体" w:eastAsia="宋体" w:cs="宋体"/>
                <w:color w:val="auto"/>
                <w:sz w:val="21"/>
                <w:szCs w:val="21"/>
              </w:rPr>
            </w:pPr>
          </w:p>
        </w:tc>
        <w:tc>
          <w:tcPr>
            <w:tcW w:w="882" w:type="dxa"/>
            <w:vMerge w:val="continue"/>
            <w:noWrap w:val="0"/>
            <w:vAlign w:val="center"/>
          </w:tcPr>
          <w:p w14:paraId="07CCCF8C">
            <w:pPr>
              <w:spacing w:line="360" w:lineRule="auto"/>
              <w:jc w:val="left"/>
              <w:rPr>
                <w:rFonts w:hint="eastAsia" w:ascii="宋体" w:hAnsi="宋体" w:eastAsia="宋体" w:cs="宋体"/>
                <w:color w:val="auto"/>
                <w:sz w:val="21"/>
                <w:szCs w:val="21"/>
              </w:rPr>
            </w:pPr>
          </w:p>
        </w:tc>
        <w:tc>
          <w:tcPr>
            <w:tcW w:w="1268" w:type="dxa"/>
            <w:noWrap w:val="0"/>
            <w:vAlign w:val="center"/>
          </w:tcPr>
          <w:p w14:paraId="4C95B277">
            <w:pPr>
              <w:spacing w:line="440" w:lineRule="exact"/>
              <w:jc w:val="center"/>
              <w:rPr>
                <w:rFonts w:hint="eastAsia" w:ascii="宋体" w:hAnsi="宋体" w:eastAsia="宋体" w:cs="宋体"/>
                <w:bCs/>
                <w:color w:val="auto"/>
                <w:sz w:val="21"/>
                <w:szCs w:val="21"/>
              </w:rPr>
            </w:pPr>
            <w:r>
              <w:rPr>
                <w:b w:val="0"/>
                <w:bCs w:val="0"/>
                <w:color w:val="000000"/>
                <w:spacing w:val="-4"/>
              </w:rPr>
              <w:t>劳动力和材料投入计划</w:t>
            </w:r>
            <w:r>
              <w:rPr>
                <w:rFonts w:hint="eastAsia" w:ascii="宋体" w:hAnsi="宋体" w:cs="Courier New"/>
                <w:b w:val="0"/>
                <w:bCs w:val="0"/>
                <w:color w:val="000000"/>
                <w:szCs w:val="21"/>
              </w:rPr>
              <w:t>（满分</w:t>
            </w:r>
            <w:r>
              <w:rPr>
                <w:rFonts w:hint="eastAsia" w:ascii="宋体" w:hAnsi="宋体" w:cs="Courier New"/>
                <w:b w:val="0"/>
                <w:bCs w:val="0"/>
                <w:color w:val="000000"/>
                <w:szCs w:val="21"/>
                <w:lang w:val="en-US" w:eastAsia="zh-CN"/>
              </w:rPr>
              <w:t>12</w:t>
            </w:r>
            <w:r>
              <w:rPr>
                <w:rFonts w:hint="eastAsia" w:ascii="宋体" w:hAnsi="宋体" w:cs="Courier New"/>
                <w:b w:val="0"/>
                <w:bCs w:val="0"/>
                <w:color w:val="000000"/>
                <w:szCs w:val="21"/>
              </w:rPr>
              <w:t>分）</w:t>
            </w:r>
          </w:p>
        </w:tc>
        <w:tc>
          <w:tcPr>
            <w:tcW w:w="5641" w:type="dxa"/>
            <w:noWrap w:val="0"/>
            <w:vAlign w:val="center"/>
          </w:tcPr>
          <w:p w14:paraId="7D673CC2">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一</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3</w:t>
            </w:r>
            <w:r>
              <w:rPr>
                <w:rFonts w:hint="eastAsia" w:ascii="宋体" w:hAnsi="宋体" w:eastAsia="宋体" w:cs="Times New Roman"/>
                <w:bCs/>
                <w:color w:val="000000"/>
                <w:szCs w:val="21"/>
              </w:rPr>
              <w:t>.0分）：劳动力和材料投入计划较为简单，与项目进度部分匹配，资源配置不够优化。劳动力配置和材料供应计划较为粗略，可操作性较差，存在一定的资源浪费或短缺风险。计划中缺乏详细的应急措施，应对突发情况的能力不足。</w:t>
            </w:r>
          </w:p>
          <w:p w14:paraId="18D77A07">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二</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6</w:t>
            </w:r>
            <w:r>
              <w:rPr>
                <w:rFonts w:hint="eastAsia" w:ascii="宋体" w:hAnsi="宋体" w:eastAsia="宋体" w:cs="Times New Roman"/>
                <w:bCs/>
                <w:color w:val="000000"/>
                <w:szCs w:val="21"/>
              </w:rPr>
              <w:t>.0分）：劳动力和材料投入计划基本完整，与项目进度大致匹配，资源配置基本合理。劳动力配置和材料供应计划基本可行，但细节不够完善，可能存在少量资源浪费或短缺风险。计划中考虑了简单的应急措施，但应对突发情况的能力有限。</w:t>
            </w:r>
          </w:p>
          <w:p w14:paraId="3E5F59AB">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三</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9</w:t>
            </w:r>
            <w:r>
              <w:rPr>
                <w:rFonts w:hint="eastAsia" w:ascii="宋体" w:hAnsi="宋体" w:eastAsia="宋体" w:cs="Times New Roman"/>
                <w:bCs/>
                <w:color w:val="000000"/>
                <w:szCs w:val="21"/>
              </w:rPr>
              <w:t>.0分）：劳动力和材料投入计划较为详尽，与项目进度基本匹配，资源配置合理。劳动力配置和材料供应计划较为具体，具有一定的可操作性，能够满足项目需求。计划中考虑了部分备用方案和应急措施，能够应对大部分突发情况。</w:t>
            </w:r>
          </w:p>
          <w:p w14:paraId="4DD28EE9">
            <w:pPr>
              <w:spacing w:line="440" w:lineRule="exact"/>
              <w:jc w:val="left"/>
              <w:rPr>
                <w:rFonts w:hint="eastAsia" w:ascii="宋体" w:hAnsi="宋体" w:eastAsia="宋体" w:cs="宋体"/>
                <w:color w:val="auto"/>
                <w:sz w:val="21"/>
                <w:szCs w:val="21"/>
                <w:lang w:eastAsia="zh-CN"/>
              </w:rPr>
            </w:pPr>
            <w:r>
              <w:rPr>
                <w:rFonts w:hint="eastAsia" w:ascii="宋体" w:hAnsi="宋体" w:eastAsia="宋体" w:cs="Times New Roman"/>
                <w:bCs/>
                <w:color w:val="000000"/>
                <w:szCs w:val="21"/>
                <w:lang w:val="en-US" w:eastAsia="zh-CN"/>
              </w:rPr>
              <w:t>四</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12</w:t>
            </w:r>
            <w:r>
              <w:rPr>
                <w:rFonts w:hint="eastAsia" w:ascii="宋体" w:hAnsi="宋体" w:eastAsia="宋体" w:cs="Times New Roman"/>
                <w:bCs/>
                <w:color w:val="000000"/>
                <w:szCs w:val="21"/>
              </w:rPr>
              <w:t>.0分）：劳动力和材料投入计划详尽、科学，与项目进度高度匹配，资源配置合理且优化。劳动力配置包括各工种数量、技能水平、进场时间等，材料供应计划包括种类、数量、进场时间、存储和运输安排等，均具有可操作性。计划中考虑了备用方案和应急措施，能够有效应对突发情况，确保项目顺利实施。</w:t>
            </w:r>
          </w:p>
        </w:tc>
      </w:tr>
      <w:tr w14:paraId="471F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1A9642F7">
            <w:pPr>
              <w:spacing w:line="360" w:lineRule="auto"/>
              <w:jc w:val="left"/>
              <w:rPr>
                <w:color w:val="auto"/>
                <w:sz w:val="21"/>
                <w:szCs w:val="21"/>
              </w:rPr>
            </w:pPr>
          </w:p>
        </w:tc>
        <w:tc>
          <w:tcPr>
            <w:tcW w:w="1107" w:type="dxa"/>
            <w:vMerge w:val="continue"/>
            <w:noWrap w:val="0"/>
            <w:vAlign w:val="center"/>
          </w:tcPr>
          <w:p w14:paraId="124BB1A8">
            <w:pPr>
              <w:spacing w:line="360" w:lineRule="auto"/>
              <w:jc w:val="left"/>
              <w:rPr>
                <w:rFonts w:hint="eastAsia" w:ascii="宋体" w:hAnsi="宋体" w:eastAsia="宋体" w:cs="宋体"/>
                <w:color w:val="auto"/>
                <w:sz w:val="21"/>
                <w:szCs w:val="21"/>
              </w:rPr>
            </w:pPr>
          </w:p>
        </w:tc>
        <w:tc>
          <w:tcPr>
            <w:tcW w:w="882" w:type="dxa"/>
            <w:vMerge w:val="continue"/>
            <w:noWrap w:val="0"/>
            <w:vAlign w:val="center"/>
          </w:tcPr>
          <w:p w14:paraId="4211A3BC">
            <w:pPr>
              <w:spacing w:line="360" w:lineRule="auto"/>
              <w:jc w:val="left"/>
              <w:rPr>
                <w:rFonts w:hint="eastAsia" w:ascii="宋体" w:hAnsi="宋体" w:eastAsia="宋体" w:cs="宋体"/>
                <w:color w:val="auto"/>
                <w:sz w:val="21"/>
                <w:szCs w:val="21"/>
              </w:rPr>
            </w:pPr>
          </w:p>
        </w:tc>
        <w:tc>
          <w:tcPr>
            <w:tcW w:w="1268" w:type="dxa"/>
            <w:noWrap w:val="0"/>
            <w:vAlign w:val="center"/>
          </w:tcPr>
          <w:p w14:paraId="1E70F96B">
            <w:pPr>
              <w:spacing w:line="440" w:lineRule="exact"/>
              <w:jc w:val="center"/>
              <w:rPr>
                <w:rFonts w:hint="eastAsia" w:ascii="宋体" w:hAnsi="宋体" w:eastAsia="宋体" w:cs="宋体"/>
                <w:color w:val="auto"/>
                <w:sz w:val="21"/>
                <w:szCs w:val="21"/>
              </w:rPr>
            </w:pPr>
            <w:r>
              <w:rPr>
                <w:b w:val="0"/>
                <w:bCs w:val="0"/>
                <w:color w:val="000000"/>
              </w:rPr>
              <w:t>拟投入本工程的主要施工机械设备情况及</w:t>
            </w:r>
            <w:r>
              <w:rPr>
                <w:b w:val="0"/>
                <w:bCs w:val="0"/>
                <w:color w:val="000000"/>
                <w:spacing w:val="-1"/>
              </w:rPr>
              <w:t>主要施工机械进场</w:t>
            </w:r>
            <w:r>
              <w:rPr>
                <w:b w:val="0"/>
                <w:bCs w:val="0"/>
                <w:color w:val="000000"/>
                <w:spacing w:val="-7"/>
              </w:rPr>
              <w:t>计划</w:t>
            </w:r>
            <w:r>
              <w:rPr>
                <w:rFonts w:hint="eastAsia" w:ascii="宋体" w:hAnsi="宋体" w:cs="Courier New"/>
                <w:b w:val="0"/>
                <w:bCs w:val="0"/>
                <w:color w:val="000000"/>
                <w:szCs w:val="21"/>
              </w:rPr>
              <w:t>（满分</w:t>
            </w:r>
            <w:r>
              <w:rPr>
                <w:rFonts w:hint="eastAsia" w:ascii="宋体" w:hAnsi="宋体" w:cs="Courier New"/>
                <w:b w:val="0"/>
                <w:bCs w:val="0"/>
                <w:color w:val="000000"/>
                <w:szCs w:val="21"/>
                <w:lang w:val="en-US" w:eastAsia="zh-CN"/>
              </w:rPr>
              <w:t>12</w:t>
            </w:r>
            <w:r>
              <w:rPr>
                <w:rFonts w:hint="eastAsia" w:ascii="宋体" w:hAnsi="宋体" w:cs="Courier New"/>
                <w:b w:val="0"/>
                <w:bCs w:val="0"/>
                <w:color w:val="000000"/>
                <w:szCs w:val="21"/>
              </w:rPr>
              <w:t>分）</w:t>
            </w:r>
          </w:p>
        </w:tc>
        <w:tc>
          <w:tcPr>
            <w:tcW w:w="5641" w:type="dxa"/>
            <w:noWrap w:val="0"/>
            <w:vAlign w:val="center"/>
          </w:tcPr>
          <w:p w14:paraId="6B87200A">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一</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3</w:t>
            </w:r>
            <w:r>
              <w:rPr>
                <w:rFonts w:hint="eastAsia" w:ascii="宋体" w:hAnsi="宋体" w:eastAsia="宋体" w:cs="Times New Roman"/>
                <w:bCs/>
                <w:color w:val="000000"/>
                <w:szCs w:val="21"/>
              </w:rPr>
              <w:t>.0分）：拟投入的施工机械设备种类和数量较为有限，部分设备性能或数量存在明显不足，可能影响施工效率。机械设备的技术参数、性能指标不够明确，与工程特点的匹配度较差。进场计划较为简单，时间节点不够清晰，与施工进度的衔接存在较大问题。计划中缺乏详细的应急调配方案，应对突发情况的能力不足。</w:t>
            </w:r>
          </w:p>
          <w:p w14:paraId="066CEDAA">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二</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6</w:t>
            </w:r>
            <w:r>
              <w:rPr>
                <w:rFonts w:hint="eastAsia" w:ascii="宋体" w:hAnsi="宋体" w:eastAsia="宋体" w:cs="Times New Roman"/>
                <w:bCs/>
                <w:color w:val="000000"/>
                <w:szCs w:val="21"/>
              </w:rPr>
              <w:t>.0分）：拟投入的施工机械设备种类和数量基本满足项目需求，但部分设备性能或数量可能存在不足。机械设备的技术参数、性能指标基本明确，与工程特点大致匹配。进场计划基本完整，时间节点较为清晰，但与施工进度的衔接存在一定不足。计划中考虑了简单的应急调配方案，但应对突发情况的能力有限。</w:t>
            </w:r>
          </w:p>
          <w:p w14:paraId="5B54C1BF">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三</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9</w:t>
            </w:r>
            <w:r>
              <w:rPr>
                <w:rFonts w:hint="eastAsia" w:ascii="宋体" w:hAnsi="宋体" w:eastAsia="宋体" w:cs="Times New Roman"/>
                <w:bCs/>
                <w:color w:val="000000"/>
                <w:szCs w:val="21"/>
              </w:rPr>
              <w:t>.0分）：拟投入的施工机械设备种类较为齐全、数量充足，能够满足项目需求。机械设备的技术参数、性能指标较为明确，与工程特点基本匹配。进场计划较为详尽，时间节点清晰，与施工进度基本衔接。计划中考虑了部分备用设备和应急调配方案，能够应对大部分突发情况。</w:t>
            </w:r>
          </w:p>
          <w:p w14:paraId="33CA2FFD">
            <w:pPr>
              <w:spacing w:line="440" w:lineRule="exact"/>
              <w:jc w:val="left"/>
              <w:rPr>
                <w:rFonts w:hint="eastAsia" w:ascii="宋体" w:hAnsi="宋体" w:eastAsia="宋体" w:cs="Times New Roman"/>
                <w:bCs/>
                <w:color w:val="000000"/>
                <w:szCs w:val="21"/>
                <w:lang w:eastAsia="zh-CN"/>
              </w:rPr>
            </w:pPr>
            <w:r>
              <w:rPr>
                <w:rFonts w:hint="eastAsia" w:ascii="宋体" w:hAnsi="宋体" w:eastAsia="宋体" w:cs="Times New Roman"/>
                <w:bCs/>
                <w:color w:val="000000"/>
                <w:szCs w:val="21"/>
                <w:lang w:val="en-US" w:eastAsia="zh-CN"/>
              </w:rPr>
              <w:t>四</w:t>
            </w:r>
            <w:r>
              <w:rPr>
                <w:rFonts w:hint="eastAsia" w:ascii="宋体" w:hAnsi="宋体" w:eastAsia="宋体" w:cs="Times New Roman"/>
                <w:bCs/>
                <w:color w:val="000000"/>
                <w:szCs w:val="21"/>
              </w:rPr>
              <w:t>档（</w:t>
            </w:r>
            <w:r>
              <w:rPr>
                <w:rFonts w:hint="eastAsia" w:ascii="宋体" w:hAnsi="宋体" w:eastAsia="宋体" w:cs="Times New Roman"/>
                <w:bCs/>
                <w:color w:val="000000"/>
                <w:szCs w:val="21"/>
                <w:lang w:val="en-US" w:eastAsia="zh-CN"/>
              </w:rPr>
              <w:t>12</w:t>
            </w:r>
            <w:r>
              <w:rPr>
                <w:rFonts w:hint="eastAsia" w:ascii="宋体" w:hAnsi="宋体" w:eastAsia="宋体" w:cs="Times New Roman"/>
                <w:bCs/>
                <w:color w:val="000000"/>
                <w:szCs w:val="21"/>
              </w:rPr>
              <w:t>.0分）：拟投入的施工机械设备种类齐全、数量充足，且均为先进设备，完全满足项目需求。机械设备的技术参数、性能指标明确，且与工程特点高度匹配。进场计划详尽、科学， 时间节点清晰，与施工进度无缝衔接。计划中考虑了备用设备和应急调配方案，能够有效应对突发情况，确保施工顺利进行。</w:t>
            </w:r>
          </w:p>
        </w:tc>
      </w:tr>
      <w:tr w14:paraId="231E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vMerge w:val="continue"/>
            <w:noWrap w:val="0"/>
            <w:vAlign w:val="center"/>
          </w:tcPr>
          <w:p w14:paraId="25D21AF7">
            <w:pPr>
              <w:spacing w:line="360" w:lineRule="auto"/>
              <w:jc w:val="left"/>
              <w:rPr>
                <w:color w:val="auto"/>
                <w:sz w:val="21"/>
                <w:szCs w:val="21"/>
              </w:rPr>
            </w:pPr>
          </w:p>
        </w:tc>
        <w:tc>
          <w:tcPr>
            <w:tcW w:w="1107" w:type="dxa"/>
            <w:vMerge w:val="continue"/>
            <w:noWrap w:val="0"/>
            <w:vAlign w:val="center"/>
          </w:tcPr>
          <w:p w14:paraId="1495DE5B">
            <w:pPr>
              <w:spacing w:line="360" w:lineRule="auto"/>
              <w:jc w:val="left"/>
              <w:rPr>
                <w:rFonts w:hint="eastAsia" w:ascii="宋体" w:hAnsi="宋体" w:eastAsia="宋体" w:cs="宋体"/>
                <w:color w:val="auto"/>
                <w:sz w:val="21"/>
                <w:szCs w:val="21"/>
              </w:rPr>
            </w:pPr>
          </w:p>
        </w:tc>
        <w:tc>
          <w:tcPr>
            <w:tcW w:w="882" w:type="dxa"/>
            <w:vMerge w:val="continue"/>
            <w:noWrap w:val="0"/>
            <w:vAlign w:val="center"/>
          </w:tcPr>
          <w:p w14:paraId="12D6C926">
            <w:pPr>
              <w:spacing w:line="360" w:lineRule="auto"/>
              <w:jc w:val="left"/>
              <w:rPr>
                <w:rFonts w:hint="eastAsia" w:ascii="宋体" w:hAnsi="宋体" w:eastAsia="宋体" w:cs="宋体"/>
                <w:color w:val="auto"/>
                <w:sz w:val="21"/>
                <w:szCs w:val="21"/>
              </w:rPr>
            </w:pPr>
          </w:p>
        </w:tc>
        <w:tc>
          <w:tcPr>
            <w:tcW w:w="1268" w:type="dxa"/>
            <w:noWrap w:val="0"/>
            <w:vAlign w:val="center"/>
          </w:tcPr>
          <w:p w14:paraId="508ADF40">
            <w:pPr>
              <w:spacing w:line="440" w:lineRule="exact"/>
              <w:jc w:val="center"/>
              <w:rPr>
                <w:rFonts w:hint="eastAsia" w:ascii="宋体" w:hAnsi="宋体" w:eastAsia="宋体" w:cs="宋体"/>
                <w:color w:val="auto"/>
                <w:sz w:val="21"/>
                <w:szCs w:val="21"/>
              </w:rPr>
            </w:pPr>
            <w:r>
              <w:rPr>
                <w:b w:val="0"/>
                <w:bCs w:val="0"/>
                <w:color w:val="000000"/>
                <w:spacing w:val="-4"/>
              </w:rPr>
              <w:t>文明施工的技术组织措施</w:t>
            </w:r>
            <w:r>
              <w:rPr>
                <w:rFonts w:hint="eastAsia" w:ascii="宋体" w:hAnsi="宋体" w:cs="Courier New"/>
                <w:b w:val="0"/>
                <w:bCs w:val="0"/>
                <w:color w:val="000000"/>
                <w:szCs w:val="21"/>
              </w:rPr>
              <w:t>（满分</w:t>
            </w:r>
            <w:r>
              <w:rPr>
                <w:rFonts w:hint="eastAsia" w:ascii="宋体" w:hAnsi="宋体" w:cs="Courier New"/>
                <w:b w:val="0"/>
                <w:bCs w:val="0"/>
                <w:color w:val="000000"/>
                <w:szCs w:val="21"/>
                <w:lang w:val="en-US" w:eastAsia="zh-CN"/>
              </w:rPr>
              <w:t>10</w:t>
            </w:r>
            <w:r>
              <w:rPr>
                <w:rFonts w:hint="eastAsia" w:ascii="宋体" w:hAnsi="宋体" w:cs="Courier New"/>
                <w:b w:val="0"/>
                <w:bCs w:val="0"/>
                <w:color w:val="000000"/>
                <w:szCs w:val="21"/>
              </w:rPr>
              <w:t>分）</w:t>
            </w:r>
          </w:p>
        </w:tc>
        <w:tc>
          <w:tcPr>
            <w:tcW w:w="5641" w:type="dxa"/>
            <w:noWrap w:val="0"/>
            <w:vAlign w:val="center"/>
          </w:tcPr>
          <w:p w14:paraId="235F5D76">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四档（</w:t>
            </w:r>
            <w:r>
              <w:rPr>
                <w:rFonts w:hint="eastAsia" w:ascii="宋体" w:hAnsi="宋体" w:eastAsia="宋体" w:cs="Times New Roman"/>
                <w:bCs/>
                <w:color w:val="000000"/>
                <w:szCs w:val="21"/>
                <w:lang w:val="en-US" w:eastAsia="zh-CN"/>
              </w:rPr>
              <w:t>3</w:t>
            </w:r>
            <w:r>
              <w:rPr>
                <w:rFonts w:hint="eastAsia" w:ascii="宋体" w:hAnsi="宋体" w:eastAsia="宋体" w:cs="Times New Roman"/>
                <w:bCs/>
                <w:color w:val="000000"/>
                <w:szCs w:val="21"/>
              </w:rPr>
              <w:t>.0分）：文明施工技术组织措施较为简单，仅覆盖施工现场管理的部分环节，措施较为基础，可操作性较差。扬尘控制、噪音控制、废弃物处理等措施不够完善，环境卫生管理存在不足。文明施工管理人员配置不足，职责不够清晰，监督机制不够健全，定期检查和整改落实不到位。对周边环境和居民的影响控制较差。</w:t>
            </w:r>
          </w:p>
          <w:p w14:paraId="6F3CDF4E">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三档（</w:t>
            </w:r>
            <w:r>
              <w:rPr>
                <w:rFonts w:hint="eastAsia" w:ascii="宋体" w:hAnsi="宋体" w:eastAsia="宋体" w:cs="Times New Roman"/>
                <w:bCs/>
                <w:color w:val="000000"/>
                <w:szCs w:val="21"/>
                <w:lang w:val="en-US" w:eastAsia="zh-CN"/>
              </w:rPr>
              <w:t>5</w:t>
            </w:r>
            <w:r>
              <w:rPr>
                <w:rFonts w:hint="eastAsia" w:ascii="宋体" w:hAnsi="宋体" w:eastAsia="宋体" w:cs="Times New Roman"/>
                <w:bCs/>
                <w:color w:val="000000"/>
                <w:szCs w:val="21"/>
              </w:rPr>
              <w:t>.0分）：文明施工技术组织措施基本完整，符合基本规范，覆盖施工现场管理的关键环节。措施基本可行，但细节不够完善，包括扬尘控制、噪音控制、废弃物处理等。配备兼职文明施工管理人员，职责基本明确，监督机制基本健全，定期检查和整改部分落实。能够满足基本文明施工要求，但对周边环境和居民的影响控制较差。</w:t>
            </w:r>
          </w:p>
          <w:p w14:paraId="61443A93">
            <w:pPr>
              <w:spacing w:line="440" w:lineRule="exact"/>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二档（</w:t>
            </w:r>
            <w:r>
              <w:rPr>
                <w:rFonts w:hint="eastAsia" w:ascii="宋体" w:hAnsi="宋体" w:eastAsia="宋体" w:cs="Times New Roman"/>
                <w:bCs/>
                <w:color w:val="000000"/>
                <w:szCs w:val="21"/>
                <w:lang w:val="en-US" w:eastAsia="zh-CN"/>
              </w:rPr>
              <w:t>7</w:t>
            </w:r>
            <w:r>
              <w:rPr>
                <w:rFonts w:hint="eastAsia" w:ascii="宋体" w:hAnsi="宋体" w:eastAsia="宋体" w:cs="Times New Roman"/>
                <w:bCs/>
                <w:color w:val="000000"/>
                <w:szCs w:val="21"/>
              </w:rPr>
              <w:t>.0分）：文明施工技术组织措施较为全面，符合相关规范及标准，覆盖施工现场管理的主要方面。措施较为具体，可操作性较强，包括扬尘控制、噪音控制、废弃物处理、环境卫生等。配备专职或兼职文明施工管理人员，职责较为明确，监督机制较为健全，定期检查和整改基本落实。能够较好地提升施工现场形象，减少对周边环境和居民的影响。</w:t>
            </w:r>
          </w:p>
          <w:p w14:paraId="7AE2472F">
            <w:pPr>
              <w:spacing w:line="440" w:lineRule="exact"/>
              <w:jc w:val="left"/>
              <w:rPr>
                <w:rFonts w:hint="eastAsia" w:ascii="宋体" w:hAnsi="宋体" w:eastAsia="宋体" w:cs="Times New Roman"/>
                <w:bCs/>
                <w:color w:val="000000"/>
                <w:szCs w:val="21"/>
                <w:lang w:eastAsia="zh-CN"/>
              </w:rPr>
            </w:pPr>
            <w:r>
              <w:rPr>
                <w:rFonts w:hint="eastAsia" w:ascii="宋体" w:hAnsi="宋体" w:eastAsia="宋体" w:cs="Times New Roman"/>
                <w:bCs/>
                <w:color w:val="000000"/>
                <w:szCs w:val="21"/>
              </w:rPr>
              <w:t>一档（</w:t>
            </w:r>
            <w:r>
              <w:rPr>
                <w:rFonts w:hint="eastAsia" w:ascii="宋体" w:hAnsi="宋体" w:eastAsia="宋体" w:cs="Times New Roman"/>
                <w:bCs/>
                <w:color w:val="000000"/>
                <w:szCs w:val="21"/>
                <w:lang w:val="en-US" w:eastAsia="zh-CN"/>
              </w:rPr>
              <w:t>10</w:t>
            </w:r>
            <w:r>
              <w:rPr>
                <w:rFonts w:hint="eastAsia" w:ascii="宋体" w:hAnsi="宋体" w:eastAsia="宋体" w:cs="Times New Roman"/>
                <w:bCs/>
                <w:color w:val="000000"/>
                <w:szCs w:val="21"/>
              </w:rPr>
              <w:t>.0分）：文明施工技术组织措施全面、科学，符合国家和地方相关规范及标准，覆盖施工现场管理的各个方面。措施具体、可操作性强，包括扬尘控制、噪音控制、废弃物处理、环境卫生、安全警示标识等。配备专职文明施工管理团队，职责明确，监督机制健全，定期检查和整改落实到位。能够有效提升施工现场形象，减少对周边环境和居民的影响。</w:t>
            </w:r>
          </w:p>
        </w:tc>
      </w:tr>
      <w:tr w14:paraId="2C63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0" w:type="dxa"/>
            <w:noWrap w:val="0"/>
            <w:vAlign w:val="center"/>
          </w:tcPr>
          <w:p w14:paraId="5A3C45A9">
            <w:pPr>
              <w:adjustRightInd w:val="0"/>
              <w:spacing w:line="360" w:lineRule="auto"/>
              <w:jc w:val="center"/>
              <w:textAlignment w:val="baseline"/>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3</w:t>
            </w:r>
          </w:p>
        </w:tc>
        <w:tc>
          <w:tcPr>
            <w:tcW w:w="1107" w:type="dxa"/>
            <w:noWrap w:val="0"/>
            <w:vAlign w:val="center"/>
          </w:tcPr>
          <w:p w14:paraId="5D53300C">
            <w:pPr>
              <w:adjustRightInd w:val="0"/>
              <w:spacing w:line="360" w:lineRule="auto"/>
              <w:jc w:val="center"/>
              <w:textAlignment w:val="baseline"/>
              <w:rPr>
                <w:rFonts w:hint="default"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商务分</w:t>
            </w:r>
          </w:p>
        </w:tc>
        <w:tc>
          <w:tcPr>
            <w:tcW w:w="882" w:type="dxa"/>
            <w:noWrap w:val="0"/>
            <w:vAlign w:val="center"/>
          </w:tcPr>
          <w:p w14:paraId="727CA70B">
            <w:pPr>
              <w:adjustRightInd w:val="0"/>
              <w:spacing w:line="360" w:lineRule="auto"/>
              <w:jc w:val="center"/>
              <w:textAlignment w:val="baseline"/>
              <w:rPr>
                <w:rFonts w:hint="default"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5分</w:t>
            </w:r>
          </w:p>
        </w:tc>
        <w:tc>
          <w:tcPr>
            <w:tcW w:w="6909" w:type="dxa"/>
            <w:gridSpan w:val="2"/>
            <w:noWrap w:val="0"/>
            <w:vAlign w:val="center"/>
          </w:tcPr>
          <w:p w14:paraId="2E530D02">
            <w:pPr>
              <w:adjustRightInd w:val="0"/>
              <w:spacing w:line="360" w:lineRule="auto"/>
              <w:jc w:val="center"/>
              <w:textAlignment w:val="baseline"/>
              <w:rPr>
                <w:rFonts w:hint="default"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评标标准</w:t>
            </w:r>
          </w:p>
        </w:tc>
      </w:tr>
      <w:tr w14:paraId="54F1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7B51727E">
            <w:pPr>
              <w:adjustRightInd w:val="0"/>
              <w:spacing w:line="360" w:lineRule="auto"/>
              <w:jc w:val="center"/>
              <w:textAlignment w:val="baseline"/>
              <w:rPr>
                <w:rFonts w:hint="default" w:ascii="宋体" w:hAnsi="宋体" w:eastAsia="宋体"/>
                <w:b/>
                <w:color w:val="auto"/>
                <w:kern w:val="2"/>
                <w:sz w:val="21"/>
                <w:szCs w:val="21"/>
                <w:lang w:val="en-US" w:eastAsia="zh-CN" w:bidi="ar-SA"/>
              </w:rPr>
            </w:pPr>
            <w:r>
              <w:rPr>
                <w:rFonts w:hint="eastAsia" w:ascii="宋体" w:hAnsi="宋体" w:eastAsia="宋体"/>
                <w:b/>
                <w:color w:val="auto"/>
                <w:sz w:val="21"/>
                <w:szCs w:val="21"/>
                <w:lang w:val="en-US" w:eastAsia="zh-CN"/>
              </w:rPr>
              <w:t>3.1</w:t>
            </w:r>
          </w:p>
        </w:tc>
        <w:tc>
          <w:tcPr>
            <w:tcW w:w="1107" w:type="dxa"/>
            <w:noWrap w:val="0"/>
            <w:vAlign w:val="center"/>
          </w:tcPr>
          <w:p w14:paraId="0A18BEFE">
            <w:pPr>
              <w:adjustRightInd w:val="0"/>
              <w:spacing w:line="360" w:lineRule="auto"/>
              <w:jc w:val="center"/>
              <w:textAlignment w:val="baseline"/>
              <w:rPr>
                <w:rFonts w:hint="eastAsia" w:ascii="宋体" w:hAnsi="宋体" w:eastAsia="宋体"/>
                <w:b/>
                <w:color w:val="auto"/>
                <w:kern w:val="2"/>
                <w:sz w:val="21"/>
                <w:szCs w:val="21"/>
                <w:lang w:val="en-US" w:eastAsia="zh-CN" w:bidi="ar-SA"/>
              </w:rPr>
            </w:pPr>
            <w:r>
              <w:rPr>
                <w:rFonts w:hint="eastAsia" w:ascii="宋体" w:hAnsi="宋体" w:eastAsia="宋体"/>
                <w:b/>
                <w:color w:val="auto"/>
                <w:sz w:val="21"/>
                <w:szCs w:val="21"/>
                <w:lang w:eastAsia="zh-CN"/>
              </w:rPr>
              <w:t>人员配置</w:t>
            </w:r>
          </w:p>
        </w:tc>
        <w:tc>
          <w:tcPr>
            <w:tcW w:w="882" w:type="dxa"/>
            <w:noWrap w:val="0"/>
            <w:vAlign w:val="center"/>
          </w:tcPr>
          <w:p w14:paraId="15A44E68">
            <w:pPr>
              <w:adjustRightInd w:val="0"/>
              <w:spacing w:line="360" w:lineRule="auto"/>
              <w:jc w:val="center"/>
              <w:textAlignment w:val="baseline"/>
              <w:rPr>
                <w:rFonts w:hint="eastAsia" w:ascii="宋体" w:hAnsi="宋体" w:eastAsia="宋体"/>
                <w:b/>
                <w:color w:val="auto"/>
                <w:kern w:val="2"/>
                <w:sz w:val="21"/>
                <w:szCs w:val="21"/>
                <w:lang w:val="en-US" w:eastAsia="zh-CN" w:bidi="ar-SA"/>
              </w:rPr>
            </w:pPr>
            <w:r>
              <w:rPr>
                <w:rFonts w:hint="eastAsia" w:ascii="宋体" w:hAnsi="宋体"/>
                <w:b/>
                <w:color w:val="auto"/>
                <w:sz w:val="21"/>
                <w:szCs w:val="21"/>
                <w:lang w:val="en-US" w:eastAsia="zh-CN"/>
              </w:rPr>
              <w:t>4分</w:t>
            </w:r>
          </w:p>
        </w:tc>
        <w:tc>
          <w:tcPr>
            <w:tcW w:w="6909" w:type="dxa"/>
            <w:gridSpan w:val="2"/>
            <w:noWrap w:val="0"/>
            <w:vAlign w:val="center"/>
          </w:tcPr>
          <w:p w14:paraId="3B9D554C">
            <w:pPr>
              <w:wordWrap w:val="0"/>
              <w:spacing w:line="440" w:lineRule="exact"/>
              <w:jc w:val="left"/>
              <w:rPr>
                <w:rFonts w:hint="eastAsia" w:ascii="宋体" w:hAnsi="宋体" w:cs="Courier New"/>
                <w:bCs/>
                <w:color w:val="000000"/>
                <w:szCs w:val="21"/>
              </w:rPr>
            </w:pPr>
            <w:r>
              <w:rPr>
                <w:rFonts w:hint="eastAsia" w:ascii="宋体" w:hAnsi="宋体" w:cs="Courier New"/>
                <w:bCs/>
                <w:color w:val="000000"/>
                <w:szCs w:val="21"/>
              </w:rPr>
              <w:t>其他主要管理人员（满分</w:t>
            </w:r>
            <w:r>
              <w:rPr>
                <w:rFonts w:hint="eastAsia" w:ascii="宋体" w:hAnsi="宋体" w:cs="Courier New"/>
                <w:bCs/>
                <w:color w:val="000000"/>
                <w:szCs w:val="21"/>
                <w:lang w:val="en-US" w:eastAsia="zh-CN"/>
              </w:rPr>
              <w:t>4</w:t>
            </w:r>
            <w:r>
              <w:rPr>
                <w:rFonts w:hint="eastAsia" w:ascii="宋体" w:hAnsi="宋体" w:cs="Courier New"/>
                <w:bCs/>
                <w:color w:val="000000"/>
                <w:szCs w:val="21"/>
              </w:rPr>
              <w:t>分）</w:t>
            </w:r>
          </w:p>
          <w:p w14:paraId="07723C91">
            <w:pPr>
              <w:wordWrap w:val="0"/>
              <w:spacing w:line="440" w:lineRule="exact"/>
              <w:jc w:val="left"/>
              <w:rPr>
                <w:rFonts w:hint="eastAsia" w:ascii="宋体" w:hAnsi="宋体" w:cs="Courier New"/>
                <w:bCs/>
                <w:color w:val="000000"/>
                <w:szCs w:val="21"/>
              </w:rPr>
            </w:pPr>
            <w:r>
              <w:rPr>
                <w:rFonts w:hint="eastAsia" w:ascii="宋体" w:hAnsi="宋体" w:cs="Courier New"/>
                <w:bCs/>
                <w:color w:val="000000"/>
                <w:szCs w:val="21"/>
              </w:rPr>
              <w:t>①技术负责人：具有</w:t>
            </w:r>
            <w:r>
              <w:rPr>
                <w:rFonts w:hint="eastAsia" w:ascii="宋体" w:hAnsi="宋体" w:cs="Courier New"/>
                <w:bCs/>
                <w:color w:val="000000"/>
                <w:szCs w:val="21"/>
                <w:lang w:val="en-US" w:eastAsia="zh-CN"/>
              </w:rPr>
              <w:t>中级</w:t>
            </w:r>
            <w:r>
              <w:rPr>
                <w:rFonts w:hint="eastAsia" w:ascii="宋体" w:hAnsi="宋体" w:cs="Courier New"/>
                <w:bCs/>
                <w:color w:val="000000"/>
                <w:szCs w:val="21"/>
              </w:rPr>
              <w:t>以上（含</w:t>
            </w:r>
            <w:r>
              <w:rPr>
                <w:rFonts w:hint="eastAsia" w:ascii="宋体" w:hAnsi="宋体" w:cs="Courier New"/>
                <w:bCs/>
                <w:color w:val="000000"/>
                <w:szCs w:val="21"/>
                <w:lang w:val="en-US" w:eastAsia="zh-CN"/>
              </w:rPr>
              <w:t>中级</w:t>
            </w:r>
            <w:r>
              <w:rPr>
                <w:rFonts w:hint="eastAsia" w:ascii="宋体" w:hAnsi="宋体" w:cs="Courier New"/>
                <w:bCs/>
                <w:color w:val="000000"/>
                <w:szCs w:val="21"/>
              </w:rPr>
              <w:t>）职称的得</w:t>
            </w:r>
            <w:r>
              <w:rPr>
                <w:rFonts w:hint="eastAsia" w:ascii="宋体" w:hAnsi="宋体" w:cs="Courier New"/>
                <w:bCs/>
                <w:color w:val="000000"/>
                <w:szCs w:val="21"/>
                <w:lang w:val="en-US" w:eastAsia="zh-CN"/>
              </w:rPr>
              <w:t>2</w:t>
            </w:r>
            <w:r>
              <w:rPr>
                <w:rFonts w:hint="eastAsia" w:ascii="宋体" w:hAnsi="宋体" w:cs="Courier New"/>
                <w:bCs/>
                <w:color w:val="000000"/>
                <w:szCs w:val="21"/>
              </w:rPr>
              <w:t>分。</w:t>
            </w:r>
          </w:p>
          <w:p w14:paraId="49E830C9">
            <w:pPr>
              <w:wordWrap w:val="0"/>
              <w:spacing w:line="440" w:lineRule="exact"/>
              <w:jc w:val="left"/>
              <w:rPr>
                <w:rFonts w:hint="eastAsia" w:ascii="宋体" w:hAnsi="宋体" w:eastAsia="宋体" w:cs="Courier New"/>
                <w:bCs/>
                <w:color w:val="000000"/>
                <w:szCs w:val="21"/>
              </w:rPr>
            </w:pPr>
            <w:r>
              <w:rPr>
                <w:rFonts w:hint="eastAsia" w:ascii="宋体" w:hAnsi="宋体" w:eastAsia="宋体" w:cs="Courier New"/>
                <w:bCs/>
                <w:color w:val="000000"/>
                <w:szCs w:val="21"/>
              </w:rPr>
              <w:t>②拟投入本</w:t>
            </w:r>
            <w:r>
              <w:rPr>
                <w:rFonts w:hint="eastAsia" w:ascii="宋体" w:hAnsi="宋体" w:eastAsia="宋体" w:cs="Courier New"/>
                <w:bCs/>
                <w:color w:val="000000"/>
                <w:szCs w:val="21"/>
                <w:lang w:eastAsia="zh-CN"/>
              </w:rPr>
              <w:t>项目</w:t>
            </w:r>
            <w:r>
              <w:rPr>
                <w:rFonts w:hint="eastAsia" w:ascii="宋体" w:hAnsi="宋体" w:eastAsia="宋体" w:cs="Courier New"/>
                <w:bCs/>
                <w:color w:val="000000"/>
                <w:szCs w:val="21"/>
              </w:rPr>
              <w:t>的安全员、施工员、质量员、材料员具有相应岗位资格证书的，每人得</w:t>
            </w:r>
            <w:r>
              <w:rPr>
                <w:rFonts w:hint="eastAsia" w:ascii="宋体" w:hAnsi="宋体" w:eastAsia="宋体" w:cs="Courier New"/>
                <w:bCs/>
                <w:color w:val="000000"/>
                <w:szCs w:val="21"/>
                <w:lang w:val="en-US" w:eastAsia="zh-CN"/>
              </w:rPr>
              <w:t>0.5</w:t>
            </w:r>
            <w:r>
              <w:rPr>
                <w:rFonts w:hint="eastAsia" w:ascii="宋体" w:hAnsi="宋体" w:eastAsia="宋体" w:cs="Courier New"/>
                <w:bCs/>
                <w:color w:val="000000"/>
                <w:szCs w:val="21"/>
              </w:rPr>
              <w:t>分，满分</w:t>
            </w:r>
            <w:r>
              <w:rPr>
                <w:rFonts w:hint="eastAsia" w:ascii="宋体" w:hAnsi="宋体" w:eastAsia="宋体" w:cs="Courier New"/>
                <w:bCs/>
                <w:color w:val="000000"/>
                <w:szCs w:val="21"/>
                <w:lang w:val="en-US" w:eastAsia="zh-CN"/>
              </w:rPr>
              <w:t>2</w:t>
            </w:r>
            <w:r>
              <w:rPr>
                <w:rFonts w:hint="eastAsia" w:ascii="宋体" w:hAnsi="宋体" w:eastAsia="宋体" w:cs="Courier New"/>
                <w:bCs/>
                <w:color w:val="000000"/>
                <w:szCs w:val="21"/>
              </w:rPr>
              <w:t>分。</w:t>
            </w:r>
          </w:p>
          <w:p w14:paraId="075697D4">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Courier New"/>
                <w:bCs/>
                <w:color w:val="000000"/>
                <w:sz w:val="21"/>
                <w:szCs w:val="21"/>
              </w:rPr>
              <w:t>注：供应商须在响应文件中提供以上人员的相关证书复印件并加盖供应商电子签章。</w:t>
            </w:r>
          </w:p>
        </w:tc>
      </w:tr>
      <w:tr w14:paraId="1C67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10096F95">
            <w:pPr>
              <w:adjustRightInd w:val="0"/>
              <w:spacing w:line="360" w:lineRule="auto"/>
              <w:jc w:val="center"/>
              <w:textAlignment w:val="baseline"/>
              <w:rPr>
                <w:rFonts w:hint="default" w:ascii="宋体" w:hAnsi="宋体" w:eastAsia="宋体"/>
                <w:b/>
                <w:color w:val="auto"/>
                <w:kern w:val="2"/>
                <w:sz w:val="21"/>
                <w:szCs w:val="21"/>
                <w:lang w:val="en-US" w:eastAsia="zh-CN" w:bidi="ar-SA"/>
              </w:rPr>
            </w:pPr>
            <w:r>
              <w:rPr>
                <w:rFonts w:hint="eastAsia" w:ascii="宋体" w:hAnsi="宋体"/>
                <w:b/>
                <w:color w:val="auto"/>
                <w:sz w:val="21"/>
                <w:szCs w:val="21"/>
                <w:lang w:val="en-US" w:eastAsia="zh-CN"/>
              </w:rPr>
              <w:t>3.2</w:t>
            </w:r>
          </w:p>
        </w:tc>
        <w:tc>
          <w:tcPr>
            <w:tcW w:w="1107" w:type="dxa"/>
            <w:noWrap w:val="0"/>
            <w:vAlign w:val="center"/>
          </w:tcPr>
          <w:p w14:paraId="37E34B9E">
            <w:pPr>
              <w:adjustRightInd w:val="0"/>
              <w:spacing w:line="360" w:lineRule="auto"/>
              <w:jc w:val="center"/>
              <w:textAlignment w:val="baseline"/>
              <w:rPr>
                <w:rFonts w:hint="eastAsia" w:ascii="宋体" w:hAnsi="宋体" w:eastAsia="宋体"/>
                <w:b/>
                <w:color w:val="auto"/>
                <w:kern w:val="2"/>
                <w:sz w:val="21"/>
                <w:szCs w:val="21"/>
                <w:lang w:val="en-US" w:eastAsia="zh-CN" w:bidi="ar-SA"/>
              </w:rPr>
            </w:pPr>
            <w:r>
              <w:rPr>
                <w:rFonts w:hint="eastAsia" w:ascii="宋体" w:hAnsi="宋体"/>
                <w:b/>
                <w:color w:val="auto"/>
                <w:sz w:val="21"/>
                <w:szCs w:val="21"/>
                <w:lang w:eastAsia="zh-CN"/>
              </w:rPr>
              <w:t>业绩</w:t>
            </w:r>
          </w:p>
        </w:tc>
        <w:tc>
          <w:tcPr>
            <w:tcW w:w="882" w:type="dxa"/>
            <w:noWrap w:val="0"/>
            <w:vAlign w:val="center"/>
          </w:tcPr>
          <w:p w14:paraId="52AA13BF">
            <w:pPr>
              <w:adjustRightInd w:val="0"/>
              <w:spacing w:line="360" w:lineRule="auto"/>
              <w:jc w:val="center"/>
              <w:textAlignment w:val="baseline"/>
              <w:rPr>
                <w:rFonts w:hint="eastAsia" w:ascii="宋体" w:hAnsi="宋体"/>
                <w:b/>
                <w:color w:val="auto"/>
                <w:kern w:val="2"/>
                <w:sz w:val="21"/>
                <w:szCs w:val="21"/>
                <w:lang w:val="en-US" w:eastAsia="zh-CN" w:bidi="ar-SA"/>
              </w:rPr>
            </w:pPr>
            <w:r>
              <w:rPr>
                <w:rFonts w:hint="eastAsia" w:ascii="宋体" w:hAnsi="宋体"/>
                <w:b/>
                <w:color w:val="auto"/>
                <w:sz w:val="21"/>
                <w:szCs w:val="21"/>
                <w:lang w:val="en-US" w:eastAsia="zh-CN"/>
              </w:rPr>
              <w:t>1</w:t>
            </w:r>
            <w:r>
              <w:rPr>
                <w:rFonts w:hint="eastAsia" w:ascii="宋体" w:hAnsi="宋体"/>
                <w:b/>
                <w:color w:val="auto"/>
                <w:sz w:val="21"/>
                <w:szCs w:val="21"/>
              </w:rPr>
              <w:t>分</w:t>
            </w:r>
          </w:p>
        </w:tc>
        <w:tc>
          <w:tcPr>
            <w:tcW w:w="6909" w:type="dxa"/>
            <w:gridSpan w:val="2"/>
            <w:noWrap w:val="0"/>
            <w:vAlign w:val="center"/>
          </w:tcPr>
          <w:p w14:paraId="6BA70C52">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自</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23</w:t>
            </w:r>
            <w:r>
              <w:rPr>
                <w:rFonts w:hint="eastAsia" w:ascii="宋体" w:hAnsi="宋体" w:eastAsia="宋体" w:cs="宋体"/>
                <w:color w:val="auto"/>
                <w:sz w:val="21"/>
                <w:szCs w:val="21"/>
              </w:rPr>
              <w:t>年1月1日供应商完成</w:t>
            </w:r>
            <w:r>
              <w:rPr>
                <w:rFonts w:hint="eastAsia" w:ascii="宋体" w:hAnsi="宋体" w:eastAsia="宋体" w:cs="宋体"/>
                <w:color w:val="auto"/>
                <w:sz w:val="21"/>
                <w:szCs w:val="21"/>
                <w:lang w:eastAsia="zh-CN"/>
              </w:rPr>
              <w:t>并验收合格的</w:t>
            </w:r>
            <w:r>
              <w:rPr>
                <w:rFonts w:hint="eastAsia" w:ascii="宋体" w:hAnsi="宋体" w:eastAsia="宋体" w:cs="宋体"/>
                <w:color w:val="auto"/>
                <w:sz w:val="21"/>
                <w:szCs w:val="21"/>
              </w:rPr>
              <w:t>类似项目的业绩，每具有一项得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分，满分得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（以合同扫描件为准并加盖供应商电子签章）。</w:t>
            </w:r>
          </w:p>
        </w:tc>
      </w:tr>
      <w:tr w14:paraId="3B2C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noWrap w:val="0"/>
            <w:vAlign w:val="center"/>
          </w:tcPr>
          <w:p w14:paraId="3441D3F3">
            <w:pPr>
              <w:pStyle w:val="20"/>
              <w:spacing w:line="360" w:lineRule="auto"/>
              <w:rPr>
                <w:rFonts w:hint="eastAsia" w:hAnsi="宋体" w:cs="Courier New"/>
                <w:bCs/>
                <w:color w:val="auto"/>
                <w:kern w:val="2"/>
                <w:sz w:val="21"/>
                <w:szCs w:val="21"/>
                <w:lang w:val="en-US" w:eastAsia="zh-CN"/>
              </w:rPr>
            </w:pPr>
            <w:r>
              <w:rPr>
                <w:rFonts w:hint="eastAsia" w:hAnsi="宋体" w:cs="Courier New"/>
                <w:b/>
                <w:bCs/>
                <w:color w:val="auto"/>
                <w:kern w:val="2"/>
                <w:sz w:val="21"/>
                <w:szCs w:val="21"/>
                <w:lang w:val="en-US" w:eastAsia="zh-CN"/>
              </w:rPr>
              <w:t>总得分=1+2+3+4</w:t>
            </w:r>
          </w:p>
        </w:tc>
      </w:tr>
    </w:tbl>
    <w:p w14:paraId="1F910B4B">
      <w:pPr>
        <w:numPr>
          <w:ilvl w:val="0"/>
          <w:numId w:val="0"/>
        </w:numPr>
        <w:spacing w:line="360" w:lineRule="auto"/>
        <w:ind w:leftChars="0" w:firstLine="420" w:firstLineChars="200"/>
        <w:rPr>
          <w:rFonts w:ascii="宋体" w:hAnsi="宋体"/>
          <w:color w:val="000000"/>
          <w:szCs w:val="21"/>
        </w:rPr>
      </w:pPr>
      <w:r>
        <w:rPr>
          <w:rFonts w:hint="eastAsia" w:ascii="宋体" w:hAnsi="宋体"/>
          <w:bCs/>
          <w:color w:val="auto"/>
          <w:szCs w:val="21"/>
          <w:lang w:val="en-US" w:eastAsia="zh-CN"/>
        </w:rPr>
        <w:t>7.</w:t>
      </w:r>
      <w:r>
        <w:rPr>
          <w:rFonts w:hint="eastAsia" w:ascii="宋体" w:hAnsi="宋体"/>
          <w:bCs/>
          <w:color w:val="auto"/>
          <w:szCs w:val="21"/>
        </w:rPr>
        <w:t>由磋商小组根据综合评分情况，按照评审得分由高到低顺序推荐3名以上成交候选供应商，并编写评审报告。符合本章第</w:t>
      </w:r>
      <w:r>
        <w:rPr>
          <w:rFonts w:hint="eastAsia" w:ascii="宋体" w:hAnsi="宋体" w:cs="宋体"/>
          <w:color w:val="auto"/>
          <w:szCs w:val="21"/>
        </w:rPr>
        <w:t>2.7、3.</w:t>
      </w:r>
      <w:r>
        <w:rPr>
          <w:rFonts w:hint="eastAsia" w:ascii="宋体" w:hAnsi="宋体" w:cs="宋体"/>
          <w:color w:val="auto"/>
          <w:szCs w:val="21"/>
          <w:lang w:val="en-US" w:eastAsia="zh-CN"/>
        </w:rPr>
        <w:t>7</w:t>
      </w:r>
      <w:r>
        <w:rPr>
          <w:rFonts w:hint="eastAsia" w:ascii="宋体" w:hAnsi="宋体" w:cs="宋体"/>
          <w:color w:val="auto"/>
          <w:szCs w:val="21"/>
        </w:rPr>
        <w:t>、</w:t>
      </w:r>
      <w:r>
        <w:rPr>
          <w:rFonts w:ascii="宋体" w:hAnsi="宋体" w:cs="宋体"/>
          <w:color w:val="auto"/>
          <w:szCs w:val="21"/>
        </w:rPr>
        <w:t>4.3</w:t>
      </w:r>
      <w:r>
        <w:rPr>
          <w:rFonts w:hint="eastAsia" w:ascii="宋体" w:hAnsi="宋体"/>
          <w:bCs/>
          <w:color w:val="auto"/>
          <w:szCs w:val="21"/>
        </w:rPr>
        <w:t>条情形的，可以推荐2家成交候选供应商。评审得分相同的，按照最后报价（不计算价格折扣）由低到高的顺序推荐。</w:t>
      </w:r>
      <w:r>
        <w:rPr>
          <w:rFonts w:hint="eastAsia" w:ascii="宋体" w:hAnsi="宋体"/>
          <w:bCs/>
          <w:color w:val="000000"/>
          <w:szCs w:val="21"/>
        </w:rPr>
        <w:t>评审得分且最后报价（不计算价格折扣）相同的，按照技术指标优劣顺序推荐（</w:t>
      </w:r>
      <w:r>
        <w:rPr>
          <w:rFonts w:hint="eastAsia" w:ascii="宋体" w:hAnsi="宋体"/>
          <w:color w:val="000000"/>
          <w:szCs w:val="21"/>
        </w:rPr>
        <w:t>按综合评分中技术水平、履约能力得分高低依次确定</w:t>
      </w:r>
      <w:r>
        <w:rPr>
          <w:rFonts w:hint="eastAsia" w:ascii="宋体" w:hAnsi="宋体"/>
          <w:bCs/>
          <w:color w:val="000000"/>
          <w:szCs w:val="21"/>
        </w:rPr>
        <w:t>）。</w:t>
      </w:r>
    </w:p>
    <w:p w14:paraId="39EA6509">
      <w:pPr>
        <w:pStyle w:val="51"/>
        <w:numPr>
          <w:ilvl w:val="0"/>
          <w:numId w:val="0"/>
        </w:numPr>
        <w:ind w:leftChars="0"/>
      </w:pPr>
    </w:p>
    <w:p w14:paraId="40845B06">
      <w:pPr>
        <w:spacing w:line="400" w:lineRule="exact"/>
        <w:ind w:firstLine="420" w:firstLineChars="200"/>
        <w:rPr>
          <w:rFonts w:hint="eastAsia" w:ascii="宋体" w:hAnsi="宋体" w:cs="宋体"/>
          <w:color w:val="auto"/>
        </w:rPr>
      </w:pPr>
    </w:p>
    <w:p w14:paraId="697B1315">
      <w:pPr>
        <w:spacing w:line="400" w:lineRule="exact"/>
        <w:ind w:firstLine="420" w:firstLineChars="200"/>
        <w:rPr>
          <w:rFonts w:hint="eastAsia" w:ascii="宋体" w:hAnsi="宋体" w:cs="宋体"/>
          <w:color w:val="auto"/>
        </w:rPr>
      </w:pPr>
    </w:p>
    <w:p w14:paraId="53BE0C6E">
      <w:pPr>
        <w:pStyle w:val="3"/>
        <w:rPr>
          <w:color w:val="auto"/>
        </w:rPr>
      </w:pPr>
    </w:p>
    <w:p w14:paraId="4D310FA6">
      <w:pPr>
        <w:pStyle w:val="51"/>
        <w:rPr>
          <w:rFonts w:hint="eastAsia"/>
          <w:color w:val="auto"/>
        </w:rPr>
      </w:pPr>
      <w:bookmarkStart w:id="36" w:name="_Toc74323460"/>
    </w:p>
    <w:p w14:paraId="0E4E399F">
      <w:pPr>
        <w:pStyle w:val="51"/>
        <w:rPr>
          <w:rFonts w:hint="eastAsia"/>
          <w:color w:val="auto"/>
        </w:rPr>
      </w:pPr>
    </w:p>
    <w:p w14:paraId="0817BE20">
      <w:pPr>
        <w:pStyle w:val="51"/>
        <w:rPr>
          <w:rFonts w:hint="eastAsia"/>
          <w:color w:val="auto"/>
        </w:rPr>
      </w:pPr>
    </w:p>
    <w:p w14:paraId="65B65A45">
      <w:pPr>
        <w:pStyle w:val="51"/>
        <w:rPr>
          <w:rFonts w:hint="eastAsia"/>
          <w:color w:val="auto"/>
        </w:rPr>
      </w:pPr>
    </w:p>
    <w:p w14:paraId="784D115D">
      <w:pPr>
        <w:pStyle w:val="51"/>
        <w:rPr>
          <w:rFonts w:hint="eastAsia"/>
          <w:color w:val="auto"/>
        </w:rPr>
      </w:pPr>
    </w:p>
    <w:p w14:paraId="088BCAA5">
      <w:pPr>
        <w:pStyle w:val="51"/>
        <w:rPr>
          <w:rFonts w:hint="eastAsia"/>
          <w:color w:val="auto"/>
        </w:rPr>
      </w:pPr>
    </w:p>
    <w:p w14:paraId="094FE5C5">
      <w:pPr>
        <w:pStyle w:val="51"/>
        <w:rPr>
          <w:rFonts w:hint="eastAsia"/>
          <w:color w:val="auto"/>
        </w:rPr>
      </w:pPr>
    </w:p>
    <w:p w14:paraId="2EAC23F2">
      <w:pPr>
        <w:pStyle w:val="51"/>
        <w:rPr>
          <w:rFonts w:hint="eastAsia"/>
          <w:color w:val="auto"/>
        </w:rPr>
      </w:pPr>
    </w:p>
    <w:p w14:paraId="5AE3EEB9">
      <w:pPr>
        <w:pStyle w:val="51"/>
        <w:rPr>
          <w:rFonts w:hint="eastAsia"/>
          <w:color w:val="auto"/>
        </w:rPr>
      </w:pPr>
    </w:p>
    <w:p w14:paraId="57994746">
      <w:pPr>
        <w:pStyle w:val="51"/>
        <w:rPr>
          <w:rFonts w:hint="eastAsia"/>
          <w:color w:val="auto"/>
        </w:rPr>
      </w:pPr>
    </w:p>
    <w:p w14:paraId="6F2F6C00">
      <w:pPr>
        <w:pStyle w:val="51"/>
        <w:rPr>
          <w:rFonts w:hint="eastAsia"/>
          <w:color w:val="auto"/>
        </w:rPr>
      </w:pPr>
    </w:p>
    <w:p w14:paraId="25F10464">
      <w:pPr>
        <w:pStyle w:val="51"/>
        <w:rPr>
          <w:rFonts w:hint="eastAsia"/>
          <w:color w:val="auto"/>
        </w:rPr>
      </w:pPr>
    </w:p>
    <w:p w14:paraId="03317370">
      <w:pPr>
        <w:rPr>
          <w:rFonts w:hint="eastAsia"/>
          <w:color w:val="auto"/>
        </w:rPr>
      </w:pPr>
    </w:p>
    <w:p w14:paraId="03C3751B">
      <w:pPr>
        <w:pStyle w:val="2"/>
        <w:jc w:val="center"/>
        <w:rPr>
          <w:rFonts w:hint="eastAsia"/>
          <w:color w:val="auto"/>
        </w:rPr>
      </w:pPr>
    </w:p>
    <w:p w14:paraId="609E339A">
      <w:pPr>
        <w:rPr>
          <w:rFonts w:hint="eastAsia"/>
        </w:rPr>
      </w:pPr>
    </w:p>
    <w:p w14:paraId="7D406409">
      <w:pPr>
        <w:pStyle w:val="2"/>
        <w:jc w:val="center"/>
        <w:rPr>
          <w:rFonts w:hint="eastAsia"/>
          <w:color w:val="auto"/>
        </w:rPr>
      </w:pPr>
    </w:p>
    <w:p w14:paraId="18F7D7FC">
      <w:pPr>
        <w:pStyle w:val="2"/>
        <w:jc w:val="center"/>
        <w:rPr>
          <w:rFonts w:hint="eastAsia"/>
          <w:color w:val="auto"/>
        </w:rPr>
      </w:pPr>
      <w:r>
        <w:rPr>
          <w:rFonts w:hint="eastAsia"/>
          <w:color w:val="auto"/>
        </w:rPr>
        <w:t>第五章 响应文件格式</w:t>
      </w:r>
      <w:bookmarkEnd w:id="36"/>
    </w:p>
    <w:p w14:paraId="011B7DDB">
      <w:pPr>
        <w:spacing w:line="240" w:lineRule="atLeast"/>
        <w:rPr>
          <w:rFonts w:hint="eastAsia" w:ascii="宋体" w:hAnsi="宋体"/>
          <w:b/>
          <w:color w:val="auto"/>
          <w:sz w:val="32"/>
          <w:szCs w:val="32"/>
        </w:rPr>
      </w:pPr>
    </w:p>
    <w:p w14:paraId="3735F5CA">
      <w:pPr>
        <w:spacing w:line="240" w:lineRule="atLeast"/>
        <w:rPr>
          <w:rFonts w:hint="eastAsia" w:ascii="宋体" w:hAnsi="宋体"/>
          <w:b/>
          <w:color w:val="auto"/>
          <w:sz w:val="32"/>
          <w:szCs w:val="32"/>
        </w:rPr>
      </w:pPr>
    </w:p>
    <w:p w14:paraId="47D16404">
      <w:pPr>
        <w:spacing w:line="240" w:lineRule="atLeast"/>
        <w:rPr>
          <w:rFonts w:hint="eastAsia" w:ascii="宋体" w:hAnsi="宋体"/>
          <w:b/>
          <w:color w:val="auto"/>
          <w:sz w:val="32"/>
          <w:szCs w:val="32"/>
        </w:rPr>
      </w:pPr>
    </w:p>
    <w:p w14:paraId="0C9F553E">
      <w:pPr>
        <w:spacing w:line="240" w:lineRule="atLeast"/>
        <w:rPr>
          <w:rFonts w:hint="eastAsia" w:ascii="宋体" w:hAnsi="宋体"/>
          <w:b/>
          <w:color w:val="auto"/>
          <w:sz w:val="32"/>
          <w:szCs w:val="32"/>
        </w:rPr>
      </w:pPr>
    </w:p>
    <w:p w14:paraId="59237F0E">
      <w:pPr>
        <w:spacing w:line="240" w:lineRule="atLeast"/>
        <w:rPr>
          <w:rFonts w:hint="eastAsia" w:ascii="宋体" w:hAnsi="宋体"/>
          <w:b/>
          <w:color w:val="auto"/>
          <w:sz w:val="32"/>
          <w:szCs w:val="32"/>
        </w:rPr>
      </w:pPr>
    </w:p>
    <w:p w14:paraId="2C02EB38">
      <w:pPr>
        <w:spacing w:line="240" w:lineRule="atLeast"/>
        <w:rPr>
          <w:rFonts w:hint="eastAsia" w:ascii="宋体" w:hAnsi="宋体"/>
          <w:b/>
          <w:color w:val="auto"/>
          <w:sz w:val="32"/>
          <w:szCs w:val="32"/>
        </w:rPr>
      </w:pPr>
    </w:p>
    <w:p w14:paraId="3C9C98C9">
      <w:pPr>
        <w:spacing w:line="240" w:lineRule="atLeast"/>
        <w:rPr>
          <w:rFonts w:hint="eastAsia" w:ascii="宋体" w:hAnsi="宋体"/>
          <w:b/>
          <w:color w:val="auto"/>
          <w:sz w:val="32"/>
          <w:szCs w:val="32"/>
        </w:rPr>
      </w:pPr>
    </w:p>
    <w:p w14:paraId="2103F1CE">
      <w:pPr>
        <w:spacing w:line="240" w:lineRule="atLeast"/>
        <w:rPr>
          <w:rFonts w:hint="eastAsia" w:ascii="宋体" w:hAnsi="宋体"/>
          <w:b/>
          <w:color w:val="auto"/>
          <w:sz w:val="32"/>
          <w:szCs w:val="32"/>
        </w:rPr>
      </w:pPr>
    </w:p>
    <w:p w14:paraId="1A5328BA">
      <w:pPr>
        <w:spacing w:line="240" w:lineRule="atLeast"/>
        <w:rPr>
          <w:rFonts w:hint="eastAsia" w:ascii="宋体" w:hAnsi="宋体"/>
          <w:b/>
          <w:color w:val="auto"/>
          <w:sz w:val="32"/>
          <w:szCs w:val="32"/>
        </w:rPr>
      </w:pPr>
    </w:p>
    <w:p w14:paraId="7D9ABC37">
      <w:pPr>
        <w:spacing w:line="240" w:lineRule="atLeast"/>
        <w:rPr>
          <w:rFonts w:hint="eastAsia" w:ascii="仿宋_GB2312" w:hAnsi="仿宋_GB2312" w:eastAsia="仿宋_GB2312" w:cs="仿宋_GB2312"/>
          <w:bCs/>
          <w:color w:val="auto"/>
          <w:sz w:val="32"/>
          <w:szCs w:val="32"/>
        </w:rPr>
      </w:pPr>
    </w:p>
    <w:p w14:paraId="457CD23A">
      <w:pPr>
        <w:rPr>
          <w:rFonts w:hint="eastAsia"/>
          <w:b/>
          <w:color w:val="auto"/>
          <w:sz w:val="32"/>
          <w:szCs w:val="32"/>
        </w:rPr>
      </w:pPr>
      <w:bookmarkStart w:id="37" w:name="_Toc35611516"/>
      <w:bookmarkStart w:id="38" w:name="_Toc71365925"/>
      <w:bookmarkStart w:id="39" w:name="_Toc35611438"/>
      <w:bookmarkStart w:id="40" w:name="_Toc44229899"/>
      <w:bookmarkStart w:id="41" w:name="_Toc31728084"/>
      <w:bookmarkStart w:id="42" w:name="_Toc31723070"/>
      <w:r>
        <w:rPr>
          <w:b/>
          <w:color w:val="auto"/>
          <w:sz w:val="32"/>
          <w:szCs w:val="32"/>
        </w:rPr>
        <w:br w:type="page"/>
      </w:r>
      <w:r>
        <w:rPr>
          <w:rFonts w:hint="eastAsia"/>
          <w:b/>
          <w:color w:val="auto"/>
          <w:sz w:val="32"/>
          <w:szCs w:val="32"/>
        </w:rPr>
        <w:t>一、资格证明文件格式</w:t>
      </w:r>
      <w:bookmarkEnd w:id="37"/>
      <w:bookmarkEnd w:id="38"/>
      <w:bookmarkEnd w:id="39"/>
      <w:bookmarkEnd w:id="40"/>
      <w:bookmarkEnd w:id="41"/>
      <w:bookmarkEnd w:id="42"/>
    </w:p>
    <w:p w14:paraId="4B75EDA9">
      <w:pPr>
        <w:snapToGrid w:val="0"/>
        <w:spacing w:before="156" w:beforeLines="50" w:after="50" w:line="360" w:lineRule="auto"/>
        <w:jc w:val="left"/>
        <w:rPr>
          <w:rFonts w:hint="eastAsia"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7873291D">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p>
    <w:p w14:paraId="2FF8FCEE">
      <w:pPr>
        <w:snapToGrid w:val="0"/>
        <w:spacing w:before="156" w:beforeLines="50" w:after="50"/>
        <w:rPr>
          <w:rFonts w:hint="eastAsia" w:ascii="宋体" w:hAnsi="宋体"/>
          <w:color w:val="auto"/>
          <w:sz w:val="24"/>
          <w:szCs w:val="20"/>
        </w:rPr>
      </w:pPr>
    </w:p>
    <w:p w14:paraId="6BDC26EA">
      <w:pPr>
        <w:snapToGrid w:val="0"/>
        <w:spacing w:before="156" w:beforeLines="50" w:after="50"/>
        <w:jc w:val="center"/>
        <w:rPr>
          <w:rFonts w:hint="eastAsia" w:ascii="宋体" w:hAnsi="宋体" w:eastAsia="宋体" w:cs="宋体"/>
          <w:bCs/>
          <w:color w:val="auto"/>
          <w:sz w:val="84"/>
          <w:szCs w:val="84"/>
        </w:rPr>
      </w:pPr>
      <w:r>
        <w:rPr>
          <w:rFonts w:hint="eastAsia" w:ascii="宋体" w:hAnsi="宋体" w:eastAsia="宋体" w:cs="宋体"/>
          <w:bCs/>
          <w:color w:val="auto"/>
          <w:sz w:val="84"/>
          <w:szCs w:val="84"/>
        </w:rPr>
        <w:t>响  应  文  件</w:t>
      </w:r>
    </w:p>
    <w:p w14:paraId="7BA79995">
      <w:pPr>
        <w:snapToGrid w:val="0"/>
        <w:spacing w:before="156" w:beforeLines="50" w:after="50"/>
        <w:jc w:val="center"/>
        <w:rPr>
          <w:rFonts w:hint="eastAsia" w:ascii="宋体" w:hAnsi="宋体" w:eastAsia="宋体" w:cs="宋体"/>
          <w:bCs/>
          <w:color w:val="auto"/>
          <w:sz w:val="44"/>
          <w:szCs w:val="44"/>
        </w:rPr>
      </w:pPr>
    </w:p>
    <w:p w14:paraId="24434E5E">
      <w:pPr>
        <w:snapToGrid w:val="0"/>
        <w:spacing w:before="156" w:beforeLines="50" w:after="5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资  格  证  明  文  件</w:t>
      </w:r>
    </w:p>
    <w:p w14:paraId="02970D94">
      <w:pPr>
        <w:snapToGrid w:val="0"/>
        <w:spacing w:before="156" w:beforeLines="50" w:after="50"/>
        <w:rPr>
          <w:rFonts w:hint="eastAsia" w:ascii="宋体" w:hAnsi="宋体" w:eastAsia="宋体" w:cs="宋体"/>
          <w:b/>
          <w:bCs w:val="0"/>
          <w:color w:val="auto"/>
          <w:sz w:val="24"/>
          <w:szCs w:val="20"/>
        </w:rPr>
      </w:pPr>
    </w:p>
    <w:p w14:paraId="504648A4">
      <w:pPr>
        <w:snapToGrid w:val="0"/>
        <w:spacing w:before="156" w:beforeLines="50" w:after="50"/>
        <w:rPr>
          <w:rFonts w:hint="eastAsia" w:ascii="宋体" w:hAnsi="宋体" w:eastAsia="宋体" w:cs="宋体"/>
          <w:b/>
          <w:bCs w:val="0"/>
          <w:color w:val="auto"/>
          <w:sz w:val="24"/>
          <w:szCs w:val="20"/>
        </w:rPr>
      </w:pPr>
    </w:p>
    <w:p w14:paraId="4762F2A3">
      <w:pPr>
        <w:snapToGrid w:val="0"/>
        <w:spacing w:before="156" w:beforeLines="50" w:after="50"/>
        <w:rPr>
          <w:rFonts w:hint="eastAsia" w:ascii="宋体" w:hAnsi="宋体" w:eastAsia="宋体" w:cs="宋体"/>
          <w:b/>
          <w:bCs w:val="0"/>
          <w:color w:val="auto"/>
          <w:sz w:val="24"/>
          <w:szCs w:val="20"/>
        </w:rPr>
      </w:pPr>
    </w:p>
    <w:p w14:paraId="1942C79F">
      <w:pPr>
        <w:snapToGrid w:val="0"/>
        <w:spacing w:before="156" w:beforeLines="50" w:after="50"/>
        <w:ind w:firstLine="643" w:firstLineChars="20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项目名称：</w:t>
      </w:r>
    </w:p>
    <w:p w14:paraId="64983136">
      <w:pPr>
        <w:snapToGrid w:val="0"/>
        <w:spacing w:before="156" w:beforeLines="50" w:after="50"/>
        <w:ind w:firstLine="723" w:firstLineChars="225"/>
        <w:rPr>
          <w:rFonts w:hint="eastAsia" w:ascii="宋体" w:hAnsi="宋体" w:eastAsia="宋体" w:cs="宋体"/>
          <w:b/>
          <w:bCs w:val="0"/>
          <w:color w:val="auto"/>
          <w:sz w:val="32"/>
          <w:szCs w:val="32"/>
        </w:rPr>
      </w:pPr>
    </w:p>
    <w:p w14:paraId="152823E3">
      <w:pPr>
        <w:snapToGrid w:val="0"/>
        <w:spacing w:before="156" w:beforeLines="50" w:after="50"/>
        <w:ind w:firstLine="723" w:firstLineChars="225"/>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项目编号：</w:t>
      </w:r>
    </w:p>
    <w:p w14:paraId="0BDAFDB1">
      <w:pPr>
        <w:snapToGrid w:val="0"/>
        <w:spacing w:before="156" w:beforeLines="50" w:after="50"/>
        <w:ind w:firstLine="723" w:firstLineChars="225"/>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 </w:t>
      </w:r>
    </w:p>
    <w:p w14:paraId="7781D16F">
      <w:pPr>
        <w:snapToGrid w:val="0"/>
        <w:spacing w:before="156" w:beforeLines="50" w:after="50"/>
        <w:ind w:firstLine="723" w:firstLineChars="225"/>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所竞分标：(如有则填写，无分标时填写“无”或者留空）</w:t>
      </w:r>
    </w:p>
    <w:p w14:paraId="096273EA">
      <w:pPr>
        <w:snapToGrid w:val="0"/>
        <w:spacing w:before="156" w:beforeLines="50" w:after="50"/>
        <w:ind w:firstLine="723" w:firstLineChars="225"/>
        <w:rPr>
          <w:rFonts w:hint="eastAsia" w:ascii="宋体" w:hAnsi="宋体" w:eastAsia="宋体" w:cs="宋体"/>
          <w:b/>
          <w:bCs w:val="0"/>
          <w:color w:val="auto"/>
          <w:sz w:val="32"/>
          <w:szCs w:val="32"/>
        </w:rPr>
      </w:pPr>
    </w:p>
    <w:p w14:paraId="1986FB80">
      <w:pPr>
        <w:pStyle w:val="7"/>
        <w:snapToGrid w:val="0"/>
        <w:spacing w:before="50" w:after="50"/>
        <w:ind w:firstLine="723" w:firstLineChars="225"/>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供应商名称：</w:t>
      </w:r>
    </w:p>
    <w:p w14:paraId="0069313F">
      <w:pPr>
        <w:pStyle w:val="7"/>
        <w:snapToGrid w:val="0"/>
        <w:spacing w:before="50" w:after="50"/>
        <w:ind w:firstLine="723" w:firstLineChars="225"/>
        <w:rPr>
          <w:rFonts w:hint="eastAsia" w:ascii="宋体" w:hAnsi="宋体" w:eastAsia="宋体" w:cs="宋体"/>
          <w:b/>
          <w:bCs w:val="0"/>
          <w:color w:val="auto"/>
          <w:sz w:val="32"/>
          <w:szCs w:val="32"/>
        </w:rPr>
      </w:pPr>
    </w:p>
    <w:p w14:paraId="51DC86D9">
      <w:pPr>
        <w:pStyle w:val="7"/>
        <w:snapToGrid w:val="0"/>
        <w:spacing w:before="50" w:after="50"/>
        <w:ind w:firstLine="723" w:firstLineChars="225"/>
        <w:rPr>
          <w:rFonts w:hint="eastAsia" w:ascii="宋体" w:hAnsi="宋体" w:eastAsia="宋体" w:cs="宋体"/>
          <w:b/>
          <w:bCs w:val="0"/>
          <w:color w:val="auto"/>
          <w:sz w:val="32"/>
          <w:szCs w:val="32"/>
        </w:rPr>
      </w:pPr>
    </w:p>
    <w:p w14:paraId="5C894885">
      <w:pPr>
        <w:pStyle w:val="7"/>
        <w:snapToGrid w:val="0"/>
        <w:spacing w:before="50" w:after="50"/>
        <w:ind w:firstLine="1285" w:firstLineChars="400"/>
        <w:rPr>
          <w:rFonts w:hint="eastAsia" w:ascii="宋体" w:hAnsi="宋体" w:eastAsia="宋体" w:cs="宋体"/>
          <w:b/>
          <w:bCs w:val="0"/>
          <w:color w:val="auto"/>
          <w:sz w:val="32"/>
          <w:szCs w:val="32"/>
        </w:rPr>
      </w:pPr>
    </w:p>
    <w:p w14:paraId="37558647">
      <w:pPr>
        <w:snapToGrid w:val="0"/>
        <w:spacing w:before="156" w:beforeLines="50" w:after="5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年    月    日</w:t>
      </w:r>
    </w:p>
    <w:p w14:paraId="4603F98C">
      <w:pPr>
        <w:snapToGrid w:val="0"/>
        <w:spacing w:before="156" w:beforeLines="50" w:after="50" w:line="360" w:lineRule="auto"/>
        <w:ind w:left="142"/>
        <w:jc w:val="left"/>
        <w:rPr>
          <w:rFonts w:hint="eastAsia" w:ascii="宋体" w:hAnsi="宋体" w:eastAsia="宋体" w:cs="宋体"/>
          <w:b/>
          <w:bCs/>
          <w:color w:val="auto"/>
          <w:sz w:val="32"/>
          <w:szCs w:val="32"/>
        </w:rPr>
      </w:pPr>
      <w:r>
        <w:rPr>
          <w:rFonts w:hint="eastAsia" w:ascii="宋体" w:hAnsi="宋体" w:eastAsia="宋体" w:cs="宋体"/>
          <w:b/>
          <w:bCs w:val="0"/>
          <w:color w:val="auto"/>
          <w:sz w:val="24"/>
        </w:rPr>
        <w:br w:type="page"/>
      </w:r>
      <w:r>
        <w:rPr>
          <w:rFonts w:hint="eastAsia" w:ascii="宋体" w:hAnsi="宋体" w:eastAsia="宋体" w:cs="宋体"/>
          <w:b/>
          <w:bCs/>
          <w:color w:val="auto"/>
          <w:sz w:val="32"/>
          <w:szCs w:val="32"/>
        </w:rPr>
        <w:t>2.资格证明文件目录</w:t>
      </w:r>
    </w:p>
    <w:p w14:paraId="4D8AD412">
      <w:pPr>
        <w:snapToGrid w:val="0"/>
        <w:spacing w:before="156" w:beforeLines="50" w:after="50" w:line="360" w:lineRule="auto"/>
        <w:ind w:firstLine="645"/>
        <w:rPr>
          <w:rFonts w:hint="eastAsia" w:ascii="宋体" w:hAnsi="宋体" w:eastAsia="宋体" w:cs="宋体"/>
          <w:color w:val="auto"/>
          <w:sz w:val="32"/>
          <w:szCs w:val="32"/>
        </w:rPr>
      </w:pPr>
      <w:r>
        <w:rPr>
          <w:rFonts w:hint="eastAsia" w:ascii="宋体" w:hAnsi="宋体" w:eastAsia="宋体" w:cs="宋体"/>
          <w:color w:val="auto"/>
          <w:sz w:val="32"/>
          <w:szCs w:val="32"/>
        </w:rPr>
        <w:t>根据磋商文件规定及供应商提供的材料自行编写目录（部分格式后附）。</w:t>
      </w:r>
    </w:p>
    <w:p w14:paraId="5C364EFE">
      <w:pPr>
        <w:snapToGrid w:val="0"/>
        <w:spacing w:before="156" w:beforeLines="50" w:after="50"/>
        <w:rPr>
          <w:rFonts w:hint="eastAsia" w:ascii="宋体" w:hAnsi="宋体" w:eastAsia="宋体" w:cs="宋体"/>
          <w:color w:val="auto"/>
          <w:sz w:val="24"/>
          <w:szCs w:val="20"/>
        </w:rPr>
      </w:pPr>
      <w:r>
        <w:rPr>
          <w:rFonts w:hint="eastAsia" w:ascii="宋体" w:hAnsi="宋体" w:eastAsia="宋体" w:cs="宋体"/>
          <w:color w:val="auto"/>
          <w:sz w:val="24"/>
          <w:szCs w:val="20"/>
        </w:rPr>
        <w:t xml:space="preserve"> </w:t>
      </w:r>
    </w:p>
    <w:p w14:paraId="0A6A6DEA">
      <w:pPr>
        <w:spacing w:line="300" w:lineRule="auto"/>
        <w:rPr>
          <w:rFonts w:hint="eastAsia" w:ascii="宋体" w:hAnsi="宋体" w:eastAsia="宋体" w:cs="宋体"/>
          <w:color w:val="auto"/>
          <w:szCs w:val="21"/>
        </w:rPr>
      </w:pPr>
    </w:p>
    <w:p w14:paraId="33132594">
      <w:pPr>
        <w:spacing w:line="300" w:lineRule="auto"/>
        <w:rPr>
          <w:rFonts w:hint="eastAsia" w:ascii="宋体" w:hAnsi="宋体" w:eastAsia="宋体" w:cs="宋体"/>
          <w:color w:val="auto"/>
          <w:szCs w:val="21"/>
        </w:rPr>
      </w:pPr>
    </w:p>
    <w:p w14:paraId="105BF116">
      <w:pPr>
        <w:spacing w:line="300" w:lineRule="auto"/>
        <w:rPr>
          <w:rFonts w:hint="eastAsia" w:ascii="宋体" w:hAnsi="宋体" w:eastAsia="宋体" w:cs="宋体"/>
          <w:color w:val="auto"/>
          <w:szCs w:val="21"/>
        </w:rPr>
      </w:pPr>
    </w:p>
    <w:p w14:paraId="452014D8">
      <w:pPr>
        <w:spacing w:line="300" w:lineRule="auto"/>
        <w:rPr>
          <w:rFonts w:hint="eastAsia" w:ascii="宋体" w:hAnsi="宋体" w:eastAsia="宋体" w:cs="宋体"/>
          <w:color w:val="auto"/>
          <w:szCs w:val="21"/>
        </w:rPr>
      </w:pPr>
    </w:p>
    <w:p w14:paraId="7A8D18A0">
      <w:pPr>
        <w:spacing w:line="300" w:lineRule="auto"/>
        <w:rPr>
          <w:rFonts w:hint="eastAsia" w:ascii="宋体" w:hAnsi="宋体" w:eastAsia="宋体" w:cs="宋体"/>
          <w:color w:val="auto"/>
          <w:szCs w:val="21"/>
        </w:rPr>
      </w:pPr>
    </w:p>
    <w:p w14:paraId="253A6E37">
      <w:pPr>
        <w:spacing w:line="300" w:lineRule="auto"/>
        <w:rPr>
          <w:rFonts w:hint="eastAsia" w:ascii="宋体" w:hAnsi="宋体" w:eastAsia="宋体" w:cs="宋体"/>
          <w:color w:val="auto"/>
          <w:szCs w:val="21"/>
        </w:rPr>
      </w:pPr>
    </w:p>
    <w:p w14:paraId="1E5856D6">
      <w:pPr>
        <w:spacing w:line="300" w:lineRule="auto"/>
        <w:rPr>
          <w:rFonts w:hint="eastAsia" w:ascii="宋体" w:hAnsi="宋体" w:eastAsia="宋体" w:cs="宋体"/>
          <w:color w:val="auto"/>
          <w:szCs w:val="21"/>
        </w:rPr>
      </w:pPr>
    </w:p>
    <w:p w14:paraId="7963231A">
      <w:pPr>
        <w:spacing w:line="300" w:lineRule="auto"/>
        <w:rPr>
          <w:rFonts w:hint="eastAsia" w:ascii="宋体" w:hAnsi="宋体" w:eastAsia="宋体" w:cs="宋体"/>
          <w:color w:val="auto"/>
          <w:szCs w:val="21"/>
        </w:rPr>
      </w:pPr>
    </w:p>
    <w:p w14:paraId="7B45D981">
      <w:pPr>
        <w:spacing w:line="300" w:lineRule="auto"/>
        <w:rPr>
          <w:rFonts w:hint="eastAsia" w:ascii="宋体" w:hAnsi="宋体" w:eastAsia="宋体" w:cs="宋体"/>
          <w:color w:val="auto"/>
          <w:szCs w:val="21"/>
        </w:rPr>
      </w:pPr>
    </w:p>
    <w:p w14:paraId="4847D8B5">
      <w:pPr>
        <w:spacing w:line="300" w:lineRule="auto"/>
        <w:rPr>
          <w:rFonts w:hint="eastAsia" w:ascii="宋体" w:hAnsi="宋体" w:eastAsia="宋体" w:cs="宋体"/>
          <w:color w:val="auto"/>
          <w:szCs w:val="21"/>
        </w:rPr>
      </w:pPr>
    </w:p>
    <w:p w14:paraId="78AFBE48">
      <w:pPr>
        <w:spacing w:line="300" w:lineRule="auto"/>
        <w:rPr>
          <w:rFonts w:hint="eastAsia" w:ascii="宋体" w:hAnsi="宋体" w:eastAsia="宋体" w:cs="宋体"/>
          <w:color w:val="auto"/>
          <w:szCs w:val="21"/>
        </w:rPr>
      </w:pPr>
    </w:p>
    <w:p w14:paraId="3FD472B2">
      <w:pPr>
        <w:spacing w:line="300" w:lineRule="auto"/>
        <w:rPr>
          <w:rFonts w:hint="eastAsia" w:ascii="宋体" w:hAnsi="宋体" w:eastAsia="宋体" w:cs="宋体"/>
          <w:color w:val="auto"/>
          <w:szCs w:val="21"/>
        </w:rPr>
      </w:pPr>
    </w:p>
    <w:p w14:paraId="1ED82B5F">
      <w:pPr>
        <w:spacing w:line="300" w:lineRule="auto"/>
        <w:rPr>
          <w:rFonts w:hint="eastAsia" w:ascii="宋体" w:hAnsi="宋体" w:eastAsia="宋体" w:cs="宋体"/>
          <w:color w:val="auto"/>
          <w:szCs w:val="21"/>
        </w:rPr>
      </w:pPr>
    </w:p>
    <w:p w14:paraId="25735F92">
      <w:pPr>
        <w:spacing w:line="300" w:lineRule="auto"/>
        <w:rPr>
          <w:rFonts w:hint="eastAsia" w:ascii="宋体" w:hAnsi="宋体" w:eastAsia="宋体" w:cs="宋体"/>
          <w:color w:val="auto"/>
          <w:szCs w:val="21"/>
        </w:rPr>
      </w:pPr>
    </w:p>
    <w:p w14:paraId="5DB534F7">
      <w:pPr>
        <w:spacing w:line="300" w:lineRule="auto"/>
        <w:rPr>
          <w:rFonts w:hint="eastAsia" w:ascii="宋体" w:hAnsi="宋体" w:eastAsia="宋体" w:cs="宋体"/>
          <w:color w:val="auto"/>
          <w:szCs w:val="21"/>
        </w:rPr>
      </w:pPr>
    </w:p>
    <w:p w14:paraId="6D9AA564">
      <w:pPr>
        <w:spacing w:line="320" w:lineRule="exact"/>
        <w:jc w:val="left"/>
        <w:rPr>
          <w:rFonts w:hint="eastAsia" w:ascii="宋体" w:hAnsi="宋体" w:eastAsia="宋体" w:cs="宋体"/>
          <w:color w:val="auto"/>
          <w:szCs w:val="21"/>
        </w:rPr>
      </w:pPr>
    </w:p>
    <w:p w14:paraId="1A379047">
      <w:pPr>
        <w:wordWrap w:val="0"/>
        <w:spacing w:before="156" w:beforeLines="50" w:after="50" w:line="320" w:lineRule="exact"/>
        <w:ind w:right="482" w:firstLine="210" w:firstLineChars="100"/>
        <w:contextualSpacing/>
        <w:jc w:val="center"/>
        <w:rPr>
          <w:rFonts w:hint="eastAsia" w:ascii="宋体" w:hAnsi="宋体" w:eastAsia="宋体" w:cs="宋体"/>
          <w:color w:val="auto"/>
          <w:szCs w:val="21"/>
        </w:rPr>
      </w:pPr>
    </w:p>
    <w:p w14:paraId="11C09D00">
      <w:pPr>
        <w:spacing w:line="320" w:lineRule="exact"/>
        <w:jc w:val="center"/>
        <w:rPr>
          <w:rFonts w:hint="eastAsia" w:ascii="宋体" w:hAnsi="宋体" w:eastAsia="宋体" w:cs="宋体"/>
          <w:b/>
          <w:color w:val="auto"/>
          <w:sz w:val="32"/>
          <w:szCs w:val="32"/>
        </w:rPr>
      </w:pPr>
    </w:p>
    <w:p w14:paraId="53376052">
      <w:pPr>
        <w:spacing w:line="320" w:lineRule="exact"/>
        <w:jc w:val="center"/>
        <w:rPr>
          <w:rFonts w:hint="eastAsia" w:ascii="宋体" w:hAnsi="宋体" w:eastAsia="宋体" w:cs="宋体"/>
          <w:b/>
          <w:color w:val="auto"/>
          <w:sz w:val="32"/>
          <w:szCs w:val="32"/>
        </w:rPr>
      </w:pPr>
    </w:p>
    <w:p w14:paraId="5E736022">
      <w:pPr>
        <w:spacing w:line="320" w:lineRule="exact"/>
        <w:jc w:val="center"/>
        <w:rPr>
          <w:rFonts w:hint="eastAsia" w:ascii="宋体" w:hAnsi="宋体" w:eastAsia="宋体" w:cs="宋体"/>
          <w:b/>
          <w:color w:val="auto"/>
          <w:sz w:val="32"/>
          <w:szCs w:val="32"/>
        </w:rPr>
      </w:pPr>
    </w:p>
    <w:p w14:paraId="3D6AFB6E">
      <w:pPr>
        <w:spacing w:line="320" w:lineRule="exact"/>
        <w:jc w:val="center"/>
        <w:rPr>
          <w:rFonts w:hint="eastAsia" w:ascii="宋体" w:hAnsi="宋体" w:eastAsia="宋体" w:cs="宋体"/>
          <w:b/>
          <w:color w:val="auto"/>
          <w:sz w:val="32"/>
          <w:szCs w:val="32"/>
        </w:rPr>
      </w:pPr>
    </w:p>
    <w:p w14:paraId="43D2E00A">
      <w:pPr>
        <w:spacing w:line="320" w:lineRule="exact"/>
        <w:jc w:val="center"/>
        <w:rPr>
          <w:rFonts w:hint="eastAsia" w:ascii="宋体" w:hAnsi="宋体" w:eastAsia="宋体" w:cs="宋体"/>
          <w:b/>
          <w:color w:val="auto"/>
          <w:sz w:val="32"/>
          <w:szCs w:val="32"/>
        </w:rPr>
      </w:pPr>
    </w:p>
    <w:p w14:paraId="543BDA1E">
      <w:pPr>
        <w:spacing w:line="320" w:lineRule="exact"/>
        <w:jc w:val="center"/>
        <w:rPr>
          <w:rFonts w:hint="eastAsia" w:ascii="宋体" w:hAnsi="宋体" w:eastAsia="宋体" w:cs="宋体"/>
          <w:b/>
          <w:color w:val="auto"/>
          <w:sz w:val="32"/>
          <w:szCs w:val="32"/>
        </w:rPr>
      </w:pPr>
    </w:p>
    <w:p w14:paraId="1D803F98">
      <w:pPr>
        <w:spacing w:line="320" w:lineRule="exact"/>
        <w:jc w:val="center"/>
        <w:rPr>
          <w:rFonts w:hint="eastAsia" w:ascii="宋体" w:hAnsi="宋体" w:eastAsia="宋体" w:cs="宋体"/>
          <w:b/>
          <w:color w:val="auto"/>
          <w:sz w:val="32"/>
          <w:szCs w:val="32"/>
        </w:rPr>
      </w:pPr>
    </w:p>
    <w:p w14:paraId="48F31E39">
      <w:pPr>
        <w:spacing w:line="320" w:lineRule="exact"/>
        <w:jc w:val="center"/>
        <w:rPr>
          <w:rFonts w:hint="eastAsia" w:ascii="宋体" w:hAnsi="宋体" w:eastAsia="宋体" w:cs="宋体"/>
          <w:b/>
          <w:color w:val="auto"/>
          <w:sz w:val="32"/>
          <w:szCs w:val="32"/>
        </w:rPr>
      </w:pPr>
    </w:p>
    <w:p w14:paraId="6FF123C5">
      <w:pPr>
        <w:spacing w:line="320" w:lineRule="exact"/>
        <w:jc w:val="center"/>
        <w:rPr>
          <w:rFonts w:hint="eastAsia" w:ascii="宋体" w:hAnsi="宋体" w:eastAsia="宋体" w:cs="宋体"/>
          <w:b/>
          <w:color w:val="auto"/>
          <w:sz w:val="32"/>
          <w:szCs w:val="32"/>
        </w:rPr>
      </w:pPr>
    </w:p>
    <w:p w14:paraId="114A5F7D">
      <w:pPr>
        <w:spacing w:line="320" w:lineRule="exact"/>
        <w:jc w:val="center"/>
        <w:rPr>
          <w:rFonts w:hint="eastAsia" w:ascii="宋体" w:hAnsi="宋体" w:eastAsia="宋体" w:cs="宋体"/>
          <w:b/>
          <w:color w:val="auto"/>
          <w:sz w:val="32"/>
          <w:szCs w:val="32"/>
        </w:rPr>
      </w:pPr>
    </w:p>
    <w:p w14:paraId="1497B925">
      <w:pPr>
        <w:spacing w:line="320" w:lineRule="exact"/>
        <w:jc w:val="center"/>
        <w:rPr>
          <w:rFonts w:hint="eastAsia" w:ascii="宋体" w:hAnsi="宋体" w:eastAsia="宋体" w:cs="宋体"/>
          <w:b/>
          <w:color w:val="auto"/>
          <w:sz w:val="32"/>
          <w:szCs w:val="32"/>
        </w:rPr>
      </w:pPr>
    </w:p>
    <w:p w14:paraId="15632387">
      <w:pPr>
        <w:spacing w:line="320" w:lineRule="exact"/>
        <w:jc w:val="center"/>
        <w:rPr>
          <w:rFonts w:hint="eastAsia" w:ascii="宋体" w:hAnsi="宋体" w:eastAsia="宋体" w:cs="宋体"/>
          <w:b/>
          <w:color w:val="auto"/>
          <w:sz w:val="32"/>
          <w:szCs w:val="32"/>
        </w:rPr>
      </w:pPr>
    </w:p>
    <w:p w14:paraId="466E2048">
      <w:pPr>
        <w:spacing w:line="320" w:lineRule="exact"/>
        <w:jc w:val="center"/>
        <w:rPr>
          <w:rFonts w:hint="eastAsia" w:ascii="宋体" w:hAnsi="宋体" w:eastAsia="宋体" w:cs="宋体"/>
          <w:b/>
          <w:color w:val="auto"/>
          <w:sz w:val="32"/>
          <w:szCs w:val="32"/>
        </w:rPr>
      </w:pPr>
    </w:p>
    <w:p w14:paraId="1521FC83">
      <w:pPr>
        <w:spacing w:line="320" w:lineRule="exact"/>
        <w:jc w:val="center"/>
        <w:rPr>
          <w:rFonts w:hint="eastAsia" w:ascii="宋体" w:hAnsi="宋体" w:eastAsia="宋体" w:cs="宋体"/>
          <w:b/>
          <w:color w:val="auto"/>
          <w:sz w:val="32"/>
          <w:szCs w:val="32"/>
        </w:rPr>
      </w:pPr>
    </w:p>
    <w:p w14:paraId="3C5B46EE">
      <w:pPr>
        <w:spacing w:line="320" w:lineRule="exact"/>
        <w:jc w:val="center"/>
        <w:rPr>
          <w:rFonts w:hint="eastAsia" w:ascii="宋体" w:hAnsi="宋体" w:eastAsia="宋体" w:cs="宋体"/>
          <w:b/>
          <w:color w:val="auto"/>
          <w:sz w:val="32"/>
          <w:szCs w:val="32"/>
        </w:rPr>
      </w:pPr>
    </w:p>
    <w:p w14:paraId="6580F398">
      <w:pPr>
        <w:spacing w:line="320" w:lineRule="exact"/>
        <w:jc w:val="center"/>
        <w:rPr>
          <w:rFonts w:hint="eastAsia" w:ascii="宋体" w:hAnsi="宋体" w:eastAsia="宋体" w:cs="宋体"/>
          <w:b/>
          <w:color w:val="auto"/>
          <w:sz w:val="32"/>
          <w:szCs w:val="32"/>
        </w:rPr>
      </w:pPr>
    </w:p>
    <w:p w14:paraId="44677304">
      <w:pPr>
        <w:spacing w:line="320" w:lineRule="exact"/>
        <w:jc w:val="center"/>
        <w:rPr>
          <w:rFonts w:hint="eastAsia" w:ascii="宋体" w:hAnsi="宋体" w:eastAsia="宋体" w:cs="宋体"/>
          <w:b/>
          <w:color w:val="auto"/>
          <w:sz w:val="32"/>
          <w:szCs w:val="32"/>
        </w:rPr>
      </w:pPr>
    </w:p>
    <w:p w14:paraId="7638E833">
      <w:pPr>
        <w:spacing w:line="3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供应商直接控股、管理关系信息表</w:t>
      </w:r>
    </w:p>
    <w:p w14:paraId="494442E5">
      <w:pPr>
        <w:snapToGrid w:val="0"/>
        <w:spacing w:before="156" w:beforeLines="50" w:after="50" w:line="360" w:lineRule="auto"/>
        <w:jc w:val="center"/>
        <w:rPr>
          <w:rFonts w:hint="eastAsia" w:ascii="宋体" w:hAnsi="宋体" w:eastAsia="宋体" w:cs="宋体"/>
          <w:b/>
          <w:color w:val="auto"/>
          <w:sz w:val="24"/>
        </w:rPr>
      </w:pPr>
    </w:p>
    <w:p w14:paraId="14607A64">
      <w:pPr>
        <w:spacing w:line="360" w:lineRule="auto"/>
        <w:contextualSpacing/>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供应商直接控股股东信息表</w:t>
      </w:r>
    </w:p>
    <w:p w14:paraId="176F0382">
      <w:pPr>
        <w:spacing w:line="360" w:lineRule="auto"/>
        <w:contextualSpacing/>
        <w:jc w:val="center"/>
        <w:rPr>
          <w:rFonts w:hint="eastAsia" w:ascii="宋体" w:hAnsi="宋体" w:eastAsia="宋体" w:cs="宋体"/>
          <w:b/>
          <w:color w:val="auto"/>
          <w:sz w:val="24"/>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F81A0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32A983">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FF1201">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6A6EBB">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356B3">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3304AA">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5B972BF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2C367D">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335ABA">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196122">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B32E4E">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4E75D0">
            <w:pPr>
              <w:widowControl/>
              <w:spacing w:line="360" w:lineRule="auto"/>
              <w:contextualSpacing/>
              <w:jc w:val="center"/>
              <w:rPr>
                <w:rFonts w:hint="eastAsia" w:ascii="宋体" w:hAnsi="宋体" w:eastAsia="宋体" w:cs="宋体"/>
                <w:color w:val="auto"/>
                <w:kern w:val="0"/>
                <w:sz w:val="24"/>
              </w:rPr>
            </w:pPr>
          </w:p>
        </w:tc>
      </w:tr>
      <w:tr w14:paraId="5B93481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42BC8">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9EC796">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255E8D">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A0EAD1">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A2BF98">
            <w:pPr>
              <w:widowControl/>
              <w:spacing w:line="360" w:lineRule="auto"/>
              <w:contextualSpacing/>
              <w:jc w:val="center"/>
              <w:rPr>
                <w:rFonts w:hint="eastAsia" w:ascii="宋体" w:hAnsi="宋体" w:eastAsia="宋体" w:cs="宋体"/>
                <w:color w:val="auto"/>
                <w:kern w:val="0"/>
                <w:sz w:val="24"/>
              </w:rPr>
            </w:pPr>
          </w:p>
        </w:tc>
      </w:tr>
      <w:tr w14:paraId="18B0D61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CCB4CC">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4A273">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85DD6E">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335523">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DD1C72">
            <w:pPr>
              <w:widowControl/>
              <w:spacing w:line="360" w:lineRule="auto"/>
              <w:contextualSpacing/>
              <w:jc w:val="center"/>
              <w:rPr>
                <w:rFonts w:hint="eastAsia" w:ascii="宋体" w:hAnsi="宋体" w:eastAsia="宋体" w:cs="宋体"/>
                <w:color w:val="auto"/>
                <w:kern w:val="0"/>
                <w:sz w:val="24"/>
              </w:rPr>
            </w:pPr>
          </w:p>
        </w:tc>
      </w:tr>
      <w:tr w14:paraId="5C46EA6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F1AD7">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C86872">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7A1786">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5CC714">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5724F4">
            <w:pPr>
              <w:widowControl/>
              <w:spacing w:line="360" w:lineRule="auto"/>
              <w:contextualSpacing/>
              <w:jc w:val="center"/>
              <w:rPr>
                <w:rFonts w:hint="eastAsia" w:ascii="宋体" w:hAnsi="宋体" w:eastAsia="宋体" w:cs="宋体"/>
                <w:color w:val="auto"/>
                <w:kern w:val="0"/>
                <w:sz w:val="24"/>
              </w:rPr>
            </w:pPr>
          </w:p>
        </w:tc>
      </w:tr>
    </w:tbl>
    <w:p w14:paraId="5648A75E">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w:t>
      </w:r>
    </w:p>
    <w:p w14:paraId="7BFD02FE">
      <w:pPr>
        <w:spacing w:line="360" w:lineRule="auto"/>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A643703">
      <w:pPr>
        <w:spacing w:line="360" w:lineRule="auto"/>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2.本表所指的控股关系仅限于直接控股关系，不包括间接的控股关系。公司实际控制人与公司之间的关系不属于本表所指的直接控股关系。</w:t>
      </w:r>
    </w:p>
    <w:p w14:paraId="6C371991">
      <w:pPr>
        <w:spacing w:line="360" w:lineRule="auto"/>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3.供应商不存在直接控股股东的，则填“无”。</w:t>
      </w:r>
    </w:p>
    <w:p w14:paraId="6604B577">
      <w:pPr>
        <w:snapToGrid w:val="0"/>
        <w:spacing w:line="360" w:lineRule="auto"/>
        <w:jc w:val="left"/>
        <w:rPr>
          <w:rFonts w:hint="eastAsia" w:ascii="宋体" w:hAnsi="宋体" w:eastAsia="宋体" w:cs="宋体"/>
          <w:color w:val="auto"/>
          <w:sz w:val="24"/>
        </w:rPr>
      </w:pPr>
    </w:p>
    <w:p w14:paraId="2A62F723">
      <w:pPr>
        <w:snapToGrid w:val="0"/>
        <w:spacing w:line="360" w:lineRule="auto"/>
        <w:jc w:val="left"/>
        <w:rPr>
          <w:rFonts w:hint="eastAsia" w:ascii="宋体" w:hAnsi="宋体" w:eastAsia="宋体" w:cs="宋体"/>
          <w:color w:val="auto"/>
          <w:sz w:val="24"/>
        </w:rPr>
      </w:pPr>
    </w:p>
    <w:p w14:paraId="6A50BCD6">
      <w:pPr>
        <w:snapToGrid w:val="0"/>
        <w:spacing w:line="360" w:lineRule="auto"/>
        <w:jc w:val="left"/>
        <w:rPr>
          <w:rFonts w:hint="eastAsia" w:ascii="宋体" w:hAnsi="宋体" w:eastAsia="宋体" w:cs="宋体"/>
          <w:color w:val="auto"/>
          <w:sz w:val="24"/>
        </w:rPr>
      </w:pPr>
    </w:p>
    <w:p w14:paraId="4967CBA3">
      <w:pPr>
        <w:snapToGrid w:val="0"/>
        <w:spacing w:before="156" w:beforeLines="50" w:line="360" w:lineRule="auto"/>
        <w:ind w:right="480" w:firstLine="3480" w:firstLineChars="1450"/>
        <w:rPr>
          <w:rFonts w:hint="eastAsia" w:ascii="宋体" w:hAnsi="宋体" w:eastAsia="宋体" w:cs="宋体"/>
          <w:color w:val="auto"/>
          <w:sz w:val="24"/>
          <w:u w:val="single"/>
        </w:rPr>
      </w:pPr>
      <w:r>
        <w:rPr>
          <w:rFonts w:hint="eastAsia" w:ascii="宋体" w:hAnsi="宋体" w:eastAsia="宋体" w:cs="宋体"/>
          <w:color w:val="auto"/>
          <w:sz w:val="24"/>
          <w:lang w:eastAsia="zh-CN"/>
        </w:rPr>
        <w:t>法定代表人（或负责人）或者委托代理人</w:t>
      </w:r>
      <w:r>
        <w:rPr>
          <w:rFonts w:hint="eastAsia" w:ascii="宋体" w:hAnsi="宋体" w:eastAsia="宋体" w:cs="宋体"/>
          <w:color w:val="auto"/>
          <w:sz w:val="24"/>
        </w:rPr>
        <w:t>签字：</w:t>
      </w:r>
      <w:r>
        <w:rPr>
          <w:rFonts w:hint="eastAsia" w:ascii="宋体" w:hAnsi="宋体" w:eastAsia="宋体" w:cs="宋体"/>
          <w:color w:val="auto"/>
          <w:sz w:val="24"/>
          <w:u w:val="single"/>
        </w:rPr>
        <w:t xml:space="preserve">                </w:t>
      </w:r>
    </w:p>
    <w:p w14:paraId="6CB7171C">
      <w:pPr>
        <w:snapToGrid w:val="0"/>
        <w:spacing w:before="156" w:beforeLines="50" w:after="50" w:line="360" w:lineRule="auto"/>
        <w:ind w:right="480" w:firstLine="3480" w:firstLineChars="1450"/>
        <w:rPr>
          <w:rFonts w:hint="eastAsia" w:ascii="宋体" w:hAnsi="宋体" w:eastAsia="宋体" w:cs="宋体"/>
          <w:color w:val="auto"/>
          <w:sz w:val="24"/>
          <w:u w:val="single"/>
        </w:rPr>
      </w:pPr>
      <w:r>
        <w:rPr>
          <w:rFonts w:hint="eastAsia" w:ascii="宋体" w:hAnsi="宋体" w:eastAsia="宋体" w:cs="宋体"/>
          <w:color w:val="auto"/>
          <w:sz w:val="24"/>
        </w:rPr>
        <w:t>供应商（盖公章 ）：</w:t>
      </w:r>
      <w:r>
        <w:rPr>
          <w:rFonts w:hint="eastAsia" w:ascii="宋体" w:hAnsi="宋体" w:eastAsia="宋体" w:cs="宋体"/>
          <w:color w:val="auto"/>
          <w:sz w:val="24"/>
          <w:u w:val="single"/>
        </w:rPr>
        <w:t xml:space="preserve">                           </w:t>
      </w:r>
    </w:p>
    <w:p w14:paraId="062DB242">
      <w:pPr>
        <w:snapToGrid w:val="0"/>
        <w:spacing w:before="156" w:beforeLines="50" w:after="50" w:line="360" w:lineRule="auto"/>
        <w:ind w:right="480" w:firstLine="5280" w:firstLineChars="2200"/>
        <w:rPr>
          <w:rFonts w:hint="eastAsia" w:ascii="宋体" w:hAnsi="宋体" w:eastAsia="宋体" w:cs="宋体"/>
          <w:color w:val="auto"/>
          <w:sz w:val="28"/>
          <w:szCs w:val="28"/>
        </w:rPr>
      </w:pPr>
      <w:r>
        <w:rPr>
          <w:rFonts w:hint="eastAsia" w:ascii="宋体" w:hAnsi="宋体" w:eastAsia="宋体" w:cs="宋体"/>
          <w:color w:val="auto"/>
          <w:sz w:val="24"/>
        </w:rPr>
        <w:t>年    月    日</w:t>
      </w:r>
    </w:p>
    <w:p w14:paraId="40A66FDE">
      <w:pPr>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55457A85">
      <w:pPr>
        <w:spacing w:line="3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供应商直接管理关系信息表</w:t>
      </w:r>
    </w:p>
    <w:p w14:paraId="52ABDBCA">
      <w:pPr>
        <w:snapToGrid w:val="0"/>
        <w:spacing w:line="360" w:lineRule="auto"/>
        <w:jc w:val="center"/>
        <w:rPr>
          <w:rFonts w:hint="eastAsia" w:ascii="宋体" w:hAnsi="宋体" w:eastAsia="宋体" w:cs="宋体"/>
          <w:b/>
          <w:color w:val="auto"/>
          <w:sz w:val="24"/>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7A3949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52D1E3">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7142F8">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01CF51">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AA444C">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2DF3C58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F108BE">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B3E044">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A22D0E">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5FE309">
            <w:pPr>
              <w:widowControl/>
              <w:spacing w:line="360" w:lineRule="auto"/>
              <w:contextualSpacing/>
              <w:jc w:val="center"/>
              <w:rPr>
                <w:rFonts w:hint="eastAsia" w:ascii="宋体" w:hAnsi="宋体" w:eastAsia="宋体" w:cs="宋体"/>
                <w:color w:val="auto"/>
                <w:kern w:val="0"/>
                <w:sz w:val="24"/>
              </w:rPr>
            </w:pPr>
          </w:p>
        </w:tc>
      </w:tr>
      <w:tr w14:paraId="77C754A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158B65">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836F1D">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69A3F5">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CADCF3">
            <w:pPr>
              <w:widowControl/>
              <w:spacing w:line="360" w:lineRule="auto"/>
              <w:contextualSpacing/>
              <w:jc w:val="center"/>
              <w:rPr>
                <w:rFonts w:hint="eastAsia" w:ascii="宋体" w:hAnsi="宋体" w:eastAsia="宋体" w:cs="宋体"/>
                <w:color w:val="auto"/>
                <w:kern w:val="0"/>
                <w:sz w:val="24"/>
              </w:rPr>
            </w:pPr>
          </w:p>
        </w:tc>
      </w:tr>
      <w:tr w14:paraId="30015B8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DD5BBD">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F79798">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A15CDA">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CC7378">
            <w:pPr>
              <w:widowControl/>
              <w:spacing w:line="360" w:lineRule="auto"/>
              <w:contextualSpacing/>
              <w:jc w:val="center"/>
              <w:rPr>
                <w:rFonts w:hint="eastAsia" w:ascii="宋体" w:hAnsi="宋体" w:eastAsia="宋体" w:cs="宋体"/>
                <w:color w:val="auto"/>
                <w:kern w:val="0"/>
                <w:sz w:val="24"/>
              </w:rPr>
            </w:pPr>
          </w:p>
        </w:tc>
      </w:tr>
      <w:tr w14:paraId="4DA3065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CF5E71">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CDE354">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2DB43E">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B0B2E8">
            <w:pPr>
              <w:widowControl/>
              <w:spacing w:line="360" w:lineRule="auto"/>
              <w:contextualSpacing/>
              <w:jc w:val="center"/>
              <w:rPr>
                <w:rFonts w:hint="eastAsia" w:ascii="宋体" w:hAnsi="宋体" w:eastAsia="宋体" w:cs="宋体"/>
                <w:color w:val="auto"/>
                <w:kern w:val="0"/>
                <w:sz w:val="24"/>
              </w:rPr>
            </w:pPr>
          </w:p>
        </w:tc>
      </w:tr>
    </w:tbl>
    <w:p w14:paraId="70917744">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w:t>
      </w:r>
    </w:p>
    <w:p w14:paraId="7398517E">
      <w:pPr>
        <w:spacing w:line="360" w:lineRule="auto"/>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1.管理关系：是指不具有出资持股关系的其他单位之间存在的管理与被管理关系，如一些上下级关系的事业单位和团体组织。</w:t>
      </w:r>
    </w:p>
    <w:p w14:paraId="24817A4F">
      <w:pPr>
        <w:spacing w:line="360" w:lineRule="auto"/>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pacing w:val="-6"/>
          <w:sz w:val="24"/>
        </w:rPr>
        <w:t>本表所指的管理关系仅限于直接管理关系，不包括间接的管理关系。</w:t>
      </w:r>
    </w:p>
    <w:p w14:paraId="2AE5DE64">
      <w:pPr>
        <w:spacing w:line="360" w:lineRule="auto"/>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3.供应商不存在直接管理关系的，则填“无”。</w:t>
      </w:r>
    </w:p>
    <w:p w14:paraId="76D13287">
      <w:pPr>
        <w:spacing w:line="360" w:lineRule="auto"/>
        <w:contextualSpacing/>
        <w:jc w:val="left"/>
        <w:rPr>
          <w:rFonts w:hint="eastAsia" w:ascii="宋体" w:hAnsi="宋体" w:eastAsia="宋体" w:cs="宋体"/>
          <w:color w:val="auto"/>
          <w:sz w:val="24"/>
        </w:rPr>
      </w:pPr>
    </w:p>
    <w:p w14:paraId="679D1A4A">
      <w:pPr>
        <w:spacing w:line="360" w:lineRule="auto"/>
        <w:contextualSpacing/>
        <w:jc w:val="left"/>
        <w:rPr>
          <w:rFonts w:hint="eastAsia" w:ascii="宋体" w:hAnsi="宋体" w:eastAsia="宋体" w:cs="宋体"/>
          <w:color w:val="auto"/>
          <w:sz w:val="24"/>
        </w:rPr>
      </w:pPr>
    </w:p>
    <w:p w14:paraId="050E4AD4">
      <w:pPr>
        <w:spacing w:line="360" w:lineRule="auto"/>
        <w:contextualSpacing/>
        <w:jc w:val="left"/>
        <w:rPr>
          <w:rFonts w:hint="eastAsia" w:ascii="宋体" w:hAnsi="宋体" w:eastAsia="宋体" w:cs="宋体"/>
          <w:color w:val="auto"/>
          <w:sz w:val="24"/>
        </w:rPr>
      </w:pPr>
    </w:p>
    <w:p w14:paraId="06D87DBF">
      <w:pPr>
        <w:spacing w:line="360" w:lineRule="auto"/>
        <w:contextualSpacing/>
        <w:jc w:val="left"/>
        <w:rPr>
          <w:rFonts w:hint="eastAsia" w:ascii="宋体" w:hAnsi="宋体" w:eastAsia="宋体" w:cs="宋体"/>
          <w:color w:val="auto"/>
          <w:sz w:val="24"/>
        </w:rPr>
      </w:pPr>
    </w:p>
    <w:p w14:paraId="2F780D01">
      <w:pPr>
        <w:spacing w:line="360" w:lineRule="auto"/>
        <w:contextualSpacing/>
        <w:jc w:val="left"/>
        <w:rPr>
          <w:rFonts w:hint="eastAsia" w:ascii="宋体" w:hAnsi="宋体" w:eastAsia="宋体" w:cs="宋体"/>
          <w:color w:val="auto"/>
          <w:sz w:val="24"/>
        </w:rPr>
      </w:pPr>
    </w:p>
    <w:p w14:paraId="3B7FA6CA">
      <w:pPr>
        <w:spacing w:line="360" w:lineRule="auto"/>
        <w:contextualSpacing/>
        <w:jc w:val="left"/>
        <w:rPr>
          <w:rFonts w:hint="eastAsia" w:ascii="宋体" w:hAnsi="宋体" w:eastAsia="宋体" w:cs="宋体"/>
          <w:color w:val="auto"/>
          <w:sz w:val="24"/>
        </w:rPr>
      </w:pPr>
    </w:p>
    <w:p w14:paraId="5C81617A">
      <w:pPr>
        <w:spacing w:line="360" w:lineRule="auto"/>
        <w:ind w:right="480" w:firstLine="3360" w:firstLineChars="1400"/>
        <w:contextualSpacing/>
        <w:rPr>
          <w:rFonts w:hint="eastAsia" w:ascii="宋体" w:hAnsi="宋体" w:eastAsia="宋体" w:cs="宋体"/>
          <w:color w:val="auto"/>
          <w:sz w:val="24"/>
          <w:u w:val="single"/>
        </w:rPr>
      </w:pPr>
      <w:r>
        <w:rPr>
          <w:rFonts w:hint="eastAsia" w:ascii="宋体" w:hAnsi="宋体" w:eastAsia="宋体" w:cs="宋体"/>
          <w:color w:val="auto"/>
          <w:sz w:val="24"/>
          <w:lang w:eastAsia="zh-CN"/>
        </w:rPr>
        <w:t>法定代表人（或负责人）或者委托代理人</w:t>
      </w:r>
      <w:r>
        <w:rPr>
          <w:rFonts w:hint="eastAsia" w:ascii="宋体" w:hAnsi="宋体" w:eastAsia="宋体" w:cs="宋体"/>
          <w:color w:val="auto"/>
          <w:sz w:val="24"/>
        </w:rPr>
        <w:t>签字：</w:t>
      </w:r>
      <w:r>
        <w:rPr>
          <w:rFonts w:hint="eastAsia" w:ascii="宋体" w:hAnsi="宋体" w:eastAsia="宋体" w:cs="宋体"/>
          <w:color w:val="auto"/>
          <w:sz w:val="24"/>
          <w:u w:val="single"/>
        </w:rPr>
        <w:t xml:space="preserve">               </w:t>
      </w:r>
    </w:p>
    <w:p w14:paraId="5210268E">
      <w:pPr>
        <w:spacing w:line="360" w:lineRule="auto"/>
        <w:ind w:right="480" w:firstLine="3360" w:firstLineChars="1400"/>
        <w:contextualSpacing/>
        <w:rPr>
          <w:rFonts w:hint="eastAsia" w:ascii="宋体" w:hAnsi="宋体" w:eastAsia="宋体" w:cs="宋体"/>
          <w:color w:val="auto"/>
          <w:sz w:val="24"/>
        </w:rPr>
      </w:pPr>
      <w:r>
        <w:rPr>
          <w:rFonts w:hint="eastAsia" w:ascii="宋体" w:hAnsi="宋体" w:eastAsia="宋体" w:cs="宋体"/>
          <w:color w:val="auto"/>
          <w:sz w:val="24"/>
        </w:rPr>
        <w:t>供应商（盖公章）：</w:t>
      </w:r>
      <w:r>
        <w:rPr>
          <w:rFonts w:hint="eastAsia" w:ascii="宋体" w:hAnsi="宋体" w:eastAsia="宋体" w:cs="宋体"/>
          <w:color w:val="auto"/>
          <w:sz w:val="24"/>
          <w:u w:val="single"/>
        </w:rPr>
        <w:t xml:space="preserve">                </w:t>
      </w:r>
    </w:p>
    <w:p w14:paraId="566ADD22">
      <w:pPr>
        <w:spacing w:line="360" w:lineRule="auto"/>
        <w:ind w:right="480" w:firstLine="240" w:firstLineChars="100"/>
        <w:contextualSpacing/>
        <w:jc w:val="center"/>
        <w:rPr>
          <w:rFonts w:hint="eastAsia" w:ascii="宋体" w:hAnsi="宋体" w:eastAsia="宋体" w:cs="宋体"/>
          <w:color w:val="auto"/>
          <w:sz w:val="28"/>
          <w:szCs w:val="28"/>
        </w:rPr>
      </w:pPr>
      <w:r>
        <w:rPr>
          <w:rFonts w:hint="eastAsia" w:ascii="宋体" w:hAnsi="宋体" w:eastAsia="宋体" w:cs="宋体"/>
          <w:color w:val="auto"/>
          <w:sz w:val="24"/>
        </w:rPr>
        <w:t xml:space="preserve">                                        年    月    日</w:t>
      </w:r>
    </w:p>
    <w:p w14:paraId="2A017836">
      <w:pPr>
        <w:spacing w:line="320" w:lineRule="exact"/>
        <w:jc w:val="center"/>
        <w:rPr>
          <w:rFonts w:hint="eastAsia" w:ascii="宋体" w:hAnsi="宋体" w:eastAsia="宋体" w:cs="宋体"/>
          <w:b/>
          <w:color w:val="auto"/>
          <w:sz w:val="32"/>
          <w:szCs w:val="32"/>
        </w:rPr>
      </w:pPr>
      <w:r>
        <w:rPr>
          <w:rFonts w:hint="eastAsia" w:ascii="宋体" w:hAnsi="宋体" w:eastAsia="宋体" w:cs="宋体"/>
          <w:color w:val="auto"/>
          <w:sz w:val="28"/>
          <w:szCs w:val="28"/>
        </w:rPr>
        <w:br w:type="page"/>
      </w:r>
      <w:r>
        <w:rPr>
          <w:rFonts w:hint="eastAsia" w:ascii="宋体" w:hAnsi="宋体" w:eastAsia="宋体" w:cs="宋体"/>
          <w:b/>
          <w:color w:val="auto"/>
          <w:sz w:val="32"/>
          <w:szCs w:val="32"/>
        </w:rPr>
        <w:t>竞标声明</w:t>
      </w:r>
    </w:p>
    <w:p w14:paraId="5ACD5CAD">
      <w:pPr>
        <w:spacing w:line="320" w:lineRule="exact"/>
        <w:jc w:val="center"/>
        <w:rPr>
          <w:rFonts w:hint="eastAsia" w:ascii="宋体" w:hAnsi="宋体" w:eastAsia="宋体" w:cs="宋体"/>
          <w:color w:val="auto"/>
          <w:sz w:val="24"/>
          <w:szCs w:val="20"/>
        </w:rPr>
      </w:pPr>
    </w:p>
    <w:p w14:paraId="6D0A37C8">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采购人名称</w:t>
      </w:r>
      <w:r>
        <w:rPr>
          <w:rFonts w:hint="eastAsia" w:ascii="宋体" w:hAnsi="宋体" w:eastAsia="宋体" w:cs="宋体"/>
          <w:color w:val="auto"/>
          <w:sz w:val="24"/>
          <w:u w:val="single"/>
          <w:lang w:val="en-US" w:eastAsia="zh-CN"/>
        </w:rPr>
        <w:t xml:space="preserve"> </w:t>
      </w:r>
    </w:p>
    <w:p w14:paraId="10DD1AE1">
      <w:pPr>
        <w:spacing w:line="360" w:lineRule="auto"/>
        <w:ind w:firstLine="720" w:firstLineChars="300"/>
        <w:contextualSpacing/>
        <w:rPr>
          <w:rFonts w:hint="eastAsia" w:ascii="宋体" w:hAnsi="宋体" w:eastAsia="宋体" w:cs="宋体"/>
          <w:color w:val="auto"/>
          <w:sz w:val="24"/>
        </w:rPr>
      </w:pP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供应商名称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系中华人民共和国合法供应商，经营地址</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C1C5FB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我方愿意参加贵方组织的</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项目名称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项目的竞标，为便于贵方公正、择优地确定成交供应商及其竞标产品和服务，我方就本次竞标有关事项郑重声明如下：</w:t>
      </w:r>
    </w:p>
    <w:p w14:paraId="1FDBB2A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1.我方向贵方提交的所有响应文件、资料都是准确的和真实的。</w:t>
      </w:r>
    </w:p>
    <w:p w14:paraId="2566DA7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2.我方不是为本次采购项目提供整体设计、规范编制或者项目管理、监理、检测等服务的供应商。</w:t>
      </w:r>
    </w:p>
    <w:p w14:paraId="7DE34ED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3.在此，我方宣布同意如下：</w:t>
      </w:r>
    </w:p>
    <w:p w14:paraId="7552AC5E">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（1）将按磋商文件的约定履行合同责任和义务；</w:t>
      </w:r>
    </w:p>
    <w:p w14:paraId="3EE99788">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（2）已详细审查全部磋商文件，包括澄清或者更正公告（如有）；</w:t>
      </w:r>
    </w:p>
    <w:p w14:paraId="08CD054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（3）同意提供按照贵方可能要求的与磋商有关的一切数据或者资料；</w:t>
      </w:r>
    </w:p>
    <w:p w14:paraId="6CE2A73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（4）响应磋商文件规定的竞标有效期。</w:t>
      </w:r>
    </w:p>
    <w:p w14:paraId="13D1FC5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4.我方承诺符合《中华人民共和国政府采购法》第二十二条规定：</w:t>
      </w:r>
    </w:p>
    <w:p w14:paraId="19FF7DE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（1）具有独立承担民事责任的能力；</w:t>
      </w:r>
    </w:p>
    <w:p w14:paraId="722A514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19829BAC">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4C6A8AD9">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290704D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25B8A1C3">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（6）法律、行政法规规定的其他条件。</w:t>
      </w:r>
    </w:p>
    <w:p w14:paraId="479DCB48">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33DEDF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82A037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内容中</w:t>
      </w:r>
      <w:r>
        <w:rPr>
          <w:rFonts w:hint="eastAsia" w:ascii="宋体" w:hAnsi="宋体" w:eastAsia="宋体" w:cs="宋体"/>
          <w:color w:val="auto"/>
          <w:sz w:val="24"/>
        </w:rPr>
        <w:t>未</w:t>
      </w:r>
      <w:r>
        <w:rPr>
          <w:rFonts w:hint="eastAsia" w:ascii="宋体" w:hAnsi="宋体" w:eastAsia="宋体" w:cs="宋体"/>
          <w:color w:val="auto"/>
          <w:kern w:val="0"/>
          <w:sz w:val="24"/>
        </w:rPr>
        <w:t>涉及商业秘密；</w:t>
      </w:r>
    </w:p>
    <w:p w14:paraId="089728A8">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涉及商业秘密的内容有：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F6FB654">
      <w:pPr>
        <w:pStyle w:val="20"/>
        <w:spacing w:line="360" w:lineRule="auto"/>
        <w:ind w:firstLine="480" w:firstLineChars="200"/>
        <w:contextualSpacing/>
        <w:rPr>
          <w:rFonts w:hint="eastAsia" w:ascii="宋体" w:hAnsi="宋体" w:eastAsia="宋体" w:cs="宋体"/>
          <w:color w:val="auto"/>
          <w:sz w:val="24"/>
          <w:szCs w:val="24"/>
          <w:u w:val="single"/>
        </w:rPr>
      </w:pPr>
      <w:r>
        <w:rPr>
          <w:rFonts w:hint="eastAsia" w:ascii="宋体" w:hAnsi="宋体" w:eastAsia="宋体" w:cs="宋体"/>
          <w:color w:val="auto"/>
          <w:sz w:val="24"/>
          <w:szCs w:val="24"/>
        </w:rPr>
        <w:t>7.与本磋商有关的一切正式往来信函请寄：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邮政编号：</w:t>
      </w:r>
      <w:r>
        <w:rPr>
          <w:rFonts w:hint="eastAsia" w:ascii="宋体" w:hAnsi="宋体" w:eastAsia="宋体" w:cs="宋体"/>
          <w:color w:val="auto"/>
          <w:sz w:val="24"/>
          <w:szCs w:val="24"/>
          <w:u w:val="single"/>
        </w:rPr>
        <w:t xml:space="preserve">        </w:t>
      </w:r>
    </w:p>
    <w:p w14:paraId="4F6A4170">
      <w:pPr>
        <w:pStyle w:val="2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电话/传真：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电子函件：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C37032E">
      <w:pPr>
        <w:pStyle w:val="18"/>
        <w:tabs>
          <w:tab w:val="left" w:pos="939"/>
        </w:tabs>
        <w:spacing w:line="360" w:lineRule="auto"/>
        <w:ind w:left="141" w:leftChars="67" w:firstLine="360" w:firstLineChars="150"/>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帐号：</w:t>
      </w:r>
      <w:r>
        <w:rPr>
          <w:rFonts w:hint="eastAsia" w:ascii="宋体" w:hAnsi="宋体" w:eastAsia="宋体" w:cs="宋体"/>
          <w:color w:val="auto"/>
          <w:sz w:val="24"/>
          <w:u w:val="single"/>
        </w:rPr>
        <w:t xml:space="preserve">                               </w:t>
      </w:r>
    </w:p>
    <w:p w14:paraId="69C649A3">
      <w:pPr>
        <w:pStyle w:val="18"/>
        <w:tabs>
          <w:tab w:val="left" w:pos="939"/>
        </w:tabs>
        <w:spacing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8.以上事项如有虚假或者隐瞒，我方愿意承担一切后果，并不再寻求任何旨在减轻或者免除法律责任的辩解。</w:t>
      </w:r>
    </w:p>
    <w:p w14:paraId="10BF0746">
      <w:pPr>
        <w:pStyle w:val="18"/>
        <w:tabs>
          <w:tab w:val="left" w:pos="939"/>
        </w:tabs>
        <w:spacing w:line="360" w:lineRule="auto"/>
        <w:ind w:left="141" w:leftChars="67" w:firstLine="360" w:firstLineChars="150"/>
        <w:rPr>
          <w:rFonts w:hint="eastAsia" w:ascii="宋体" w:hAnsi="宋体" w:eastAsia="宋体" w:cs="宋体"/>
          <w:color w:val="auto"/>
          <w:sz w:val="24"/>
        </w:rPr>
      </w:pPr>
      <w:r>
        <w:rPr>
          <w:rFonts w:hint="eastAsia" w:ascii="宋体" w:hAnsi="宋体" w:eastAsia="宋体" w:cs="宋体"/>
          <w:color w:val="auto"/>
          <w:sz w:val="24"/>
        </w:rPr>
        <w:t>特此承诺。</w:t>
      </w:r>
    </w:p>
    <w:p w14:paraId="519BA442">
      <w:pPr>
        <w:pStyle w:val="18"/>
        <w:tabs>
          <w:tab w:val="left" w:pos="939"/>
        </w:tabs>
        <w:spacing w:line="360" w:lineRule="auto"/>
        <w:ind w:left="0" w:leftChars="0" w:firstLine="482" w:firstLineChars="200"/>
        <w:rPr>
          <w:rFonts w:hint="eastAsia" w:ascii="宋体" w:hAnsi="宋体" w:eastAsia="宋体" w:cs="宋体"/>
          <w:b/>
          <w:color w:val="auto"/>
          <w:sz w:val="24"/>
        </w:rPr>
      </w:pPr>
      <w:r>
        <w:rPr>
          <w:rFonts w:hint="eastAsia" w:ascii="宋体" w:hAnsi="宋体" w:eastAsia="宋体" w:cs="宋体"/>
          <w:b/>
          <w:color w:val="auto"/>
          <w:sz w:val="24"/>
        </w:rPr>
        <w:t>注：如为联合体竞标，盖章处须加盖联合体各方公章并由联合体各方法定代表人签署，否则其响应文件按无效响应处理。</w:t>
      </w:r>
    </w:p>
    <w:p w14:paraId="7017DCA6">
      <w:pPr>
        <w:pStyle w:val="18"/>
        <w:tabs>
          <w:tab w:val="left" w:pos="939"/>
        </w:tabs>
        <w:spacing w:line="360" w:lineRule="auto"/>
        <w:ind w:left="0" w:leftChars="0" w:firstLine="480" w:firstLineChars="200"/>
        <w:rPr>
          <w:rFonts w:hint="eastAsia" w:ascii="宋体" w:hAnsi="宋体" w:eastAsia="宋体" w:cs="宋体"/>
          <w:color w:val="auto"/>
          <w:sz w:val="24"/>
        </w:rPr>
      </w:pPr>
    </w:p>
    <w:p w14:paraId="1B9F9EC9">
      <w:pPr>
        <w:spacing w:line="360" w:lineRule="auto"/>
        <w:ind w:firstLine="1440" w:firstLineChars="600"/>
        <w:contextualSpacing/>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eastAsia="zh-CN"/>
        </w:rPr>
        <w:t>（或负责人）</w:t>
      </w:r>
      <w:r>
        <w:rPr>
          <w:rFonts w:hint="eastAsia" w:ascii="宋体" w:hAnsi="宋体" w:eastAsia="宋体" w:cs="宋体"/>
          <w:color w:val="auto"/>
          <w:sz w:val="24"/>
        </w:rPr>
        <w:t>（签字或者盖章）：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4484A87A">
      <w:pPr>
        <w:spacing w:line="360" w:lineRule="auto"/>
        <w:ind w:firstLine="4320" w:firstLineChars="1800"/>
        <w:contextualSpacing/>
        <w:rPr>
          <w:rFonts w:hint="eastAsia" w:ascii="宋体" w:hAnsi="宋体" w:eastAsia="宋体" w:cs="宋体"/>
          <w:color w:val="auto"/>
          <w:sz w:val="24"/>
          <w:u w:val="single"/>
        </w:rPr>
      </w:pPr>
      <w:r>
        <w:rPr>
          <w:rFonts w:hint="eastAsia" w:ascii="宋体" w:hAnsi="宋体" w:eastAsia="宋体" w:cs="宋体"/>
          <w:color w:val="auto"/>
          <w:sz w:val="24"/>
        </w:rPr>
        <w:t>供应商（盖公章）：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FB469ED">
      <w:pPr>
        <w:spacing w:line="360" w:lineRule="auto"/>
        <w:ind w:right="480" w:firstLine="240" w:firstLineChars="100"/>
        <w:contextualSpacing/>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026013DC">
      <w:pPr>
        <w:pStyle w:val="7"/>
        <w:overflowPunct w:val="0"/>
        <w:spacing w:line="520" w:lineRule="exact"/>
        <w:ind w:firstLine="0"/>
        <w:jc w:val="center"/>
        <w:rPr>
          <w:rFonts w:hint="eastAsia" w:ascii="宋体" w:hAnsi="宋体" w:eastAsia="宋体" w:cs="宋体"/>
          <w:color w:val="auto"/>
          <w:sz w:val="44"/>
          <w:szCs w:val="44"/>
        </w:rPr>
      </w:pPr>
      <w:r>
        <w:rPr>
          <w:rFonts w:hint="eastAsia" w:ascii="宋体" w:hAnsi="宋体" w:eastAsia="宋体" w:cs="宋体"/>
          <w:color w:val="auto"/>
          <w:sz w:val="24"/>
        </w:rPr>
        <w:br w:type="page"/>
      </w:r>
      <w:r>
        <w:rPr>
          <w:rFonts w:hint="eastAsia" w:ascii="宋体" w:hAnsi="宋体" w:eastAsia="宋体" w:cs="宋体"/>
          <w:b/>
          <w:bCs/>
          <w:color w:val="auto"/>
          <w:sz w:val="44"/>
          <w:szCs w:val="44"/>
        </w:rPr>
        <w:t>联合体竞标协议书</w:t>
      </w:r>
    </w:p>
    <w:p w14:paraId="1E765E9E">
      <w:pPr>
        <w:pStyle w:val="7"/>
        <w:overflowPunct w:val="0"/>
        <w:spacing w:line="360" w:lineRule="auto"/>
        <w:ind w:firstLine="0"/>
        <w:rPr>
          <w:rFonts w:hint="eastAsia" w:ascii="宋体" w:hAnsi="宋体" w:eastAsia="宋体" w:cs="宋体"/>
          <w:color w:val="auto"/>
          <w:sz w:val="24"/>
          <w:szCs w:val="24"/>
        </w:rPr>
      </w:pPr>
    </w:p>
    <w:p w14:paraId="4AB8D5F5">
      <w:pPr>
        <w:pStyle w:val="7"/>
        <w:overflowPunct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（所有成员单位名称）自愿组成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（联合体名称）联合体，共同参加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（项目名称）采购项目竞标。现就联合体竞标事宜订立如下协议。</w:t>
      </w:r>
    </w:p>
    <w:p w14:paraId="5A225138">
      <w:pPr>
        <w:pStyle w:val="7"/>
        <w:overflowPunct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（某成员单位名称）为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（联合体名称）牵头人。</w:t>
      </w:r>
    </w:p>
    <w:p w14:paraId="7683BCBD">
      <w:pPr>
        <w:pStyle w:val="7"/>
        <w:overflowPunct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14A4E7D4">
      <w:pPr>
        <w:pStyle w:val="7"/>
        <w:overflowPunct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76C75B5C">
      <w:pPr>
        <w:pStyle w:val="7"/>
        <w:overflowPunct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4.联合体各成员单位内部的职责分工如下：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76801BB">
      <w:pPr>
        <w:pStyle w:val="7"/>
        <w:overflowPunct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5.本</w:t>
      </w:r>
      <w:r>
        <w:rPr>
          <w:rFonts w:hint="eastAsia" w:ascii="宋体" w:hAnsi="宋体" w:eastAsia="宋体" w:cs="宋体"/>
          <w:color w:val="auto"/>
          <w:spacing w:val="-6"/>
          <w:sz w:val="24"/>
          <w:szCs w:val="24"/>
        </w:rPr>
        <w:t>协议书自所有成员单位法定代表人（单位负责人）或者其委托代理人签字或者盖单位章之日起生效，合同履行完毕后自动失效。</w:t>
      </w:r>
    </w:p>
    <w:p w14:paraId="2709092F">
      <w:pPr>
        <w:pStyle w:val="7"/>
        <w:overflowPunct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6.本协议书一式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份，联合体成员和采购人各执一份。</w:t>
      </w:r>
    </w:p>
    <w:p w14:paraId="3433F6A6">
      <w:pPr>
        <w:pStyle w:val="7"/>
        <w:overflowPunct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注：本协议书由法定代表人（单位负责人）签字的，应附法定代表人（单位负责人）身份证明书；由委托代理人签字的，应附联合体协议签订授权委托书（格式自拟）。</w:t>
      </w:r>
    </w:p>
    <w:p w14:paraId="38590A70">
      <w:pPr>
        <w:pStyle w:val="7"/>
        <w:overflowPunct w:val="0"/>
        <w:spacing w:line="360" w:lineRule="auto"/>
        <w:ind w:firstLineChars="175"/>
        <w:contextualSpacing/>
        <w:rPr>
          <w:rFonts w:hint="eastAsia" w:ascii="宋体" w:hAnsi="宋体" w:eastAsia="宋体" w:cs="宋体"/>
          <w:color w:val="auto"/>
          <w:sz w:val="24"/>
          <w:szCs w:val="24"/>
        </w:rPr>
      </w:pPr>
    </w:p>
    <w:p w14:paraId="6AAA205B">
      <w:pPr>
        <w:pStyle w:val="7"/>
        <w:overflowPunct w:val="0"/>
        <w:spacing w:line="360" w:lineRule="auto"/>
        <w:ind w:firstLine="0"/>
        <w:contextualSpacing/>
        <w:rPr>
          <w:rFonts w:hint="eastAsia" w:ascii="宋体" w:hAnsi="宋体" w:eastAsia="宋体" w:cs="宋体"/>
          <w:color w:val="auto"/>
          <w:sz w:val="24"/>
          <w:szCs w:val="24"/>
        </w:rPr>
      </w:pPr>
      <w:r>
        <w:rPr>
          <w:rFonts w:hint="eastAsia" w:ascii="宋体" w:hAnsi="宋体" w:eastAsia="宋体" w:cs="宋体"/>
          <w:color w:val="auto"/>
          <w:sz w:val="24"/>
          <w:szCs w:val="24"/>
        </w:rPr>
        <w:t>联合体牵头人名称（盖公章）：</w:t>
      </w:r>
    </w:p>
    <w:p w14:paraId="73AAE6D6">
      <w:pPr>
        <w:pStyle w:val="7"/>
        <w:overflowPunct w:val="0"/>
        <w:spacing w:line="360" w:lineRule="auto"/>
        <w:ind w:firstLine="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负责人）</w:t>
      </w:r>
      <w:r>
        <w:rPr>
          <w:rFonts w:hint="eastAsia" w:ascii="宋体" w:hAnsi="宋体" w:eastAsia="宋体" w:cs="宋体"/>
          <w:color w:val="auto"/>
          <w:sz w:val="24"/>
          <w:szCs w:val="24"/>
        </w:rPr>
        <w:t>或者其委托代理人（签字）：</w:t>
      </w:r>
    </w:p>
    <w:p w14:paraId="33175441">
      <w:pPr>
        <w:pStyle w:val="7"/>
        <w:overflowPunct w:val="0"/>
        <w:spacing w:line="360" w:lineRule="auto"/>
        <w:ind w:firstLine="0"/>
        <w:contextualSpacing/>
        <w:rPr>
          <w:rFonts w:hint="eastAsia" w:ascii="宋体" w:hAnsi="宋体" w:eastAsia="宋体" w:cs="宋体"/>
          <w:color w:val="auto"/>
          <w:sz w:val="24"/>
          <w:szCs w:val="24"/>
        </w:rPr>
      </w:pPr>
    </w:p>
    <w:p w14:paraId="46ADF906">
      <w:pPr>
        <w:pStyle w:val="7"/>
        <w:overflowPunct w:val="0"/>
        <w:spacing w:line="360" w:lineRule="auto"/>
        <w:ind w:firstLine="0"/>
        <w:contextualSpacing/>
        <w:rPr>
          <w:rFonts w:hint="eastAsia" w:ascii="宋体" w:hAnsi="宋体" w:eastAsia="宋体" w:cs="宋体"/>
          <w:color w:val="auto"/>
          <w:sz w:val="24"/>
          <w:szCs w:val="24"/>
        </w:rPr>
      </w:pPr>
      <w:r>
        <w:rPr>
          <w:rFonts w:hint="eastAsia" w:ascii="宋体" w:hAnsi="宋体" w:eastAsia="宋体" w:cs="宋体"/>
          <w:color w:val="auto"/>
          <w:sz w:val="24"/>
          <w:szCs w:val="24"/>
        </w:rPr>
        <w:t>联合体成员名称（盖公章）：</w:t>
      </w:r>
    </w:p>
    <w:p w14:paraId="41F4733E">
      <w:pPr>
        <w:pStyle w:val="7"/>
        <w:overflowPunct w:val="0"/>
        <w:spacing w:line="360" w:lineRule="auto"/>
        <w:ind w:firstLine="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负责人）</w:t>
      </w:r>
      <w:r>
        <w:rPr>
          <w:rFonts w:hint="eastAsia" w:ascii="宋体" w:hAnsi="宋体" w:eastAsia="宋体" w:cs="宋体"/>
          <w:color w:val="auto"/>
          <w:sz w:val="24"/>
          <w:szCs w:val="24"/>
        </w:rPr>
        <w:t>或者其委托代理人（签字）：</w:t>
      </w:r>
    </w:p>
    <w:p w14:paraId="0DD6808D">
      <w:pPr>
        <w:pStyle w:val="7"/>
        <w:overflowPunct w:val="0"/>
        <w:spacing w:line="360" w:lineRule="auto"/>
        <w:ind w:firstLine="0"/>
        <w:contextualSpacing/>
        <w:rPr>
          <w:rFonts w:hint="eastAsia" w:ascii="宋体" w:hAnsi="宋体" w:eastAsia="宋体" w:cs="宋体"/>
          <w:color w:val="auto"/>
          <w:sz w:val="24"/>
          <w:szCs w:val="24"/>
        </w:rPr>
      </w:pPr>
    </w:p>
    <w:p w14:paraId="5DFD98F0">
      <w:pPr>
        <w:pStyle w:val="7"/>
        <w:overflowPunct w:val="0"/>
        <w:spacing w:line="360" w:lineRule="auto"/>
        <w:ind w:firstLine="0"/>
        <w:contextualSpacing/>
        <w:rPr>
          <w:rFonts w:hint="eastAsia" w:ascii="宋体" w:hAnsi="宋体" w:eastAsia="宋体" w:cs="宋体"/>
          <w:color w:val="auto"/>
          <w:sz w:val="24"/>
          <w:szCs w:val="24"/>
        </w:rPr>
      </w:pPr>
      <w:r>
        <w:rPr>
          <w:rFonts w:hint="eastAsia" w:ascii="宋体" w:hAnsi="宋体" w:eastAsia="宋体" w:cs="宋体"/>
          <w:color w:val="auto"/>
          <w:sz w:val="24"/>
          <w:szCs w:val="24"/>
        </w:rPr>
        <w:t>联合体成员名称（盖公章）：</w:t>
      </w:r>
    </w:p>
    <w:p w14:paraId="492D8ADE">
      <w:pPr>
        <w:pStyle w:val="7"/>
        <w:overflowPunct w:val="0"/>
        <w:spacing w:line="360" w:lineRule="auto"/>
        <w:ind w:firstLine="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负责人）</w:t>
      </w:r>
      <w:r>
        <w:rPr>
          <w:rFonts w:hint="eastAsia" w:ascii="宋体" w:hAnsi="宋体" w:eastAsia="宋体" w:cs="宋体"/>
          <w:color w:val="auto"/>
          <w:sz w:val="24"/>
          <w:szCs w:val="24"/>
        </w:rPr>
        <w:t>或者其委托代理人（签字）：</w:t>
      </w:r>
    </w:p>
    <w:p w14:paraId="71F912D2">
      <w:pPr>
        <w:pStyle w:val="7"/>
        <w:overflowPunct w:val="0"/>
        <w:spacing w:line="360" w:lineRule="auto"/>
        <w:ind w:firstLine="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5B9C2B67">
      <w:pPr>
        <w:spacing w:line="360" w:lineRule="auto"/>
        <w:ind w:right="480" w:firstLine="240" w:firstLineChars="100"/>
        <w:contextualSpacing/>
        <w:jc w:val="center"/>
        <w:rPr>
          <w:rFonts w:hint="eastAsia" w:ascii="宋体" w:hAnsi="宋体" w:eastAsia="宋体" w:cs="宋体"/>
          <w:b/>
          <w:bCs/>
          <w:color w:val="auto"/>
          <w:sz w:val="32"/>
          <w:szCs w:val="32"/>
        </w:rPr>
      </w:pPr>
      <w:r>
        <w:rPr>
          <w:rFonts w:hint="eastAsia" w:ascii="宋体" w:hAnsi="宋体" w:eastAsia="宋体" w:cs="宋体"/>
          <w:color w:val="auto"/>
          <w:sz w:val="24"/>
        </w:rPr>
        <w:t xml:space="preserve">                                                年  </w:t>
      </w:r>
      <w:r>
        <w:rPr>
          <w:rFonts w:hint="eastAsia" w:ascii="宋体" w:hAnsi="宋体" w:eastAsia="宋体" w:cs="宋体"/>
          <w:color w:val="auto"/>
          <w:sz w:val="24"/>
        </w:rPr>
        <w:tab/>
      </w:r>
      <w:r>
        <w:rPr>
          <w:rFonts w:hint="eastAsia" w:ascii="宋体" w:hAnsi="宋体" w:eastAsia="宋体" w:cs="宋体"/>
          <w:color w:val="auto"/>
          <w:sz w:val="24"/>
        </w:rPr>
        <w:t xml:space="preserve">月  </w:t>
      </w:r>
      <w:r>
        <w:rPr>
          <w:rFonts w:hint="eastAsia" w:ascii="宋体" w:hAnsi="宋体" w:eastAsia="宋体" w:cs="宋体"/>
          <w:color w:val="auto"/>
          <w:sz w:val="24"/>
        </w:rPr>
        <w:tab/>
      </w:r>
      <w:r>
        <w:rPr>
          <w:rFonts w:hint="eastAsia" w:ascii="宋体" w:hAnsi="宋体" w:eastAsia="宋体" w:cs="宋体"/>
          <w:color w:val="auto"/>
          <w:sz w:val="24"/>
        </w:rPr>
        <w:t>日</w:t>
      </w:r>
    </w:p>
    <w:p w14:paraId="6198975E">
      <w:pPr>
        <w:snapToGrid w:val="0"/>
        <w:spacing w:before="156" w:beforeLines="50" w:after="50" w:line="360" w:lineRule="auto"/>
        <w:ind w:right="480"/>
        <w:rPr>
          <w:rFonts w:hint="eastAsia" w:ascii="宋体" w:hAnsi="宋体" w:eastAsia="宋体" w:cs="宋体"/>
          <w:b/>
          <w:color w:val="auto"/>
          <w:sz w:val="32"/>
          <w:szCs w:val="32"/>
        </w:rPr>
      </w:pPr>
      <w:r>
        <w:rPr>
          <w:rFonts w:hint="eastAsia" w:ascii="宋体" w:hAnsi="宋体" w:eastAsia="宋体" w:cs="宋体"/>
          <w:b/>
          <w:bCs/>
          <w:color w:val="auto"/>
          <w:sz w:val="32"/>
          <w:szCs w:val="32"/>
        </w:rPr>
        <w:br w:type="page"/>
      </w:r>
      <w:r>
        <w:rPr>
          <w:rFonts w:hint="eastAsia" w:ascii="宋体" w:hAnsi="宋体" w:eastAsia="宋体" w:cs="宋体"/>
          <w:b/>
          <w:bCs/>
          <w:color w:val="auto"/>
          <w:sz w:val="32"/>
          <w:szCs w:val="32"/>
        </w:rPr>
        <w:t>二、</w:t>
      </w:r>
      <w:r>
        <w:rPr>
          <w:rFonts w:hint="eastAsia" w:ascii="宋体" w:hAnsi="宋体" w:eastAsia="宋体" w:cs="宋体"/>
          <w:b/>
          <w:color w:val="auto"/>
          <w:sz w:val="32"/>
          <w:szCs w:val="32"/>
        </w:rPr>
        <w:t>报价文件格式</w:t>
      </w:r>
    </w:p>
    <w:p w14:paraId="2E31A29C">
      <w:pPr>
        <w:snapToGrid w:val="0"/>
        <w:spacing w:before="156" w:beforeLines="50" w:after="50" w:line="360" w:lineRule="auto"/>
        <w:jc w:val="left"/>
        <w:rPr>
          <w:rFonts w:hint="eastAsia" w:ascii="宋体" w:hAnsi="宋体" w:eastAsia="宋体" w:cs="宋体"/>
          <w:b/>
          <w:color w:val="auto"/>
          <w:sz w:val="32"/>
          <w:szCs w:val="32"/>
        </w:rPr>
      </w:pPr>
      <w:r>
        <w:rPr>
          <w:rFonts w:hint="eastAsia" w:ascii="宋体" w:hAnsi="宋体" w:eastAsia="宋体" w:cs="宋体"/>
          <w:b/>
          <w:color w:val="auto"/>
          <w:sz w:val="32"/>
          <w:szCs w:val="32"/>
        </w:rPr>
        <w:t>1.报价文件封面格式</w:t>
      </w:r>
    </w:p>
    <w:p w14:paraId="443BB5EA">
      <w:pPr>
        <w:snapToGrid w:val="0"/>
        <w:spacing w:before="156"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p>
    <w:p w14:paraId="4DCA7B3D">
      <w:pPr>
        <w:snapToGrid w:val="0"/>
        <w:spacing w:before="156" w:beforeLines="50" w:after="50"/>
        <w:rPr>
          <w:rFonts w:hint="eastAsia" w:ascii="宋体" w:hAnsi="宋体" w:eastAsia="宋体" w:cs="宋体"/>
          <w:color w:val="auto"/>
          <w:sz w:val="24"/>
          <w:szCs w:val="20"/>
        </w:rPr>
      </w:pPr>
    </w:p>
    <w:p w14:paraId="52D8317A">
      <w:pPr>
        <w:snapToGrid w:val="0"/>
        <w:spacing w:before="156" w:beforeLines="50" w:after="50"/>
        <w:jc w:val="center"/>
        <w:rPr>
          <w:rFonts w:hint="eastAsia" w:ascii="宋体" w:hAnsi="宋体" w:eastAsia="宋体" w:cs="宋体"/>
          <w:bCs/>
          <w:color w:val="auto"/>
          <w:sz w:val="84"/>
          <w:szCs w:val="84"/>
        </w:rPr>
      </w:pPr>
      <w:r>
        <w:rPr>
          <w:rFonts w:hint="eastAsia" w:ascii="宋体" w:hAnsi="宋体" w:eastAsia="宋体" w:cs="宋体"/>
          <w:bCs/>
          <w:color w:val="auto"/>
          <w:sz w:val="84"/>
          <w:szCs w:val="84"/>
        </w:rPr>
        <w:t>响  应  文  件</w:t>
      </w:r>
    </w:p>
    <w:p w14:paraId="5FD45ED4">
      <w:pPr>
        <w:snapToGrid w:val="0"/>
        <w:spacing w:before="156" w:beforeLines="50" w:after="50"/>
        <w:jc w:val="center"/>
        <w:rPr>
          <w:rFonts w:hint="eastAsia" w:ascii="宋体" w:hAnsi="宋体" w:eastAsia="宋体" w:cs="宋体"/>
          <w:b/>
          <w:bCs w:val="0"/>
          <w:color w:val="auto"/>
          <w:sz w:val="32"/>
          <w:szCs w:val="32"/>
        </w:rPr>
      </w:pPr>
    </w:p>
    <w:p w14:paraId="413DE88E">
      <w:pPr>
        <w:snapToGrid w:val="0"/>
        <w:spacing w:before="156" w:beforeLines="50" w:after="5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报  价  文  件</w:t>
      </w:r>
    </w:p>
    <w:p w14:paraId="7E12BDB1">
      <w:pPr>
        <w:snapToGrid w:val="0"/>
        <w:spacing w:before="156" w:beforeLines="50" w:after="50"/>
        <w:rPr>
          <w:rFonts w:hint="eastAsia" w:ascii="宋体" w:hAnsi="宋体" w:eastAsia="宋体" w:cs="宋体"/>
          <w:b/>
          <w:bCs w:val="0"/>
          <w:color w:val="auto"/>
          <w:sz w:val="24"/>
          <w:szCs w:val="20"/>
        </w:rPr>
      </w:pPr>
    </w:p>
    <w:p w14:paraId="11EC9B38">
      <w:pPr>
        <w:snapToGrid w:val="0"/>
        <w:spacing w:before="156" w:beforeLines="50" w:after="50"/>
        <w:rPr>
          <w:rFonts w:hint="eastAsia" w:ascii="宋体" w:hAnsi="宋体" w:eastAsia="宋体" w:cs="宋体"/>
          <w:b/>
          <w:bCs w:val="0"/>
          <w:color w:val="auto"/>
          <w:sz w:val="24"/>
          <w:szCs w:val="20"/>
        </w:rPr>
      </w:pPr>
    </w:p>
    <w:p w14:paraId="770ED22E">
      <w:pPr>
        <w:snapToGrid w:val="0"/>
        <w:spacing w:before="156" w:beforeLines="50" w:after="50"/>
        <w:rPr>
          <w:rFonts w:hint="eastAsia" w:ascii="宋体" w:hAnsi="宋体" w:eastAsia="宋体" w:cs="宋体"/>
          <w:b/>
          <w:bCs w:val="0"/>
          <w:color w:val="auto"/>
          <w:sz w:val="24"/>
          <w:szCs w:val="20"/>
        </w:rPr>
      </w:pPr>
    </w:p>
    <w:p w14:paraId="036A7DCE">
      <w:pPr>
        <w:snapToGrid w:val="0"/>
        <w:spacing w:before="156" w:beforeLines="50" w:after="50"/>
        <w:rPr>
          <w:rFonts w:hint="eastAsia" w:ascii="宋体" w:hAnsi="宋体" w:eastAsia="宋体" w:cs="宋体"/>
          <w:b/>
          <w:bCs w:val="0"/>
          <w:color w:val="auto"/>
          <w:sz w:val="24"/>
          <w:szCs w:val="20"/>
        </w:rPr>
      </w:pPr>
    </w:p>
    <w:p w14:paraId="6061D4B4">
      <w:pPr>
        <w:snapToGrid w:val="0"/>
        <w:spacing w:before="156" w:beforeLines="50" w:after="50"/>
        <w:rPr>
          <w:rFonts w:hint="eastAsia" w:ascii="宋体" w:hAnsi="宋体" w:eastAsia="宋体" w:cs="宋体"/>
          <w:b/>
          <w:bCs w:val="0"/>
          <w:color w:val="auto"/>
          <w:sz w:val="24"/>
          <w:szCs w:val="20"/>
        </w:rPr>
      </w:pPr>
    </w:p>
    <w:p w14:paraId="2283CDDB">
      <w:pPr>
        <w:snapToGrid w:val="0"/>
        <w:spacing w:before="156" w:beforeLines="50" w:after="50"/>
        <w:ind w:firstLine="643" w:firstLineChars="20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项目名称：</w:t>
      </w:r>
    </w:p>
    <w:p w14:paraId="64388E98">
      <w:pPr>
        <w:snapToGrid w:val="0"/>
        <w:spacing w:before="156" w:beforeLines="50" w:after="50"/>
        <w:ind w:firstLine="723" w:firstLineChars="225"/>
        <w:rPr>
          <w:rFonts w:hint="eastAsia" w:ascii="宋体" w:hAnsi="宋体" w:eastAsia="宋体" w:cs="宋体"/>
          <w:b/>
          <w:bCs w:val="0"/>
          <w:color w:val="auto"/>
          <w:sz w:val="32"/>
          <w:szCs w:val="32"/>
        </w:rPr>
      </w:pPr>
    </w:p>
    <w:p w14:paraId="48715B2C">
      <w:pPr>
        <w:snapToGrid w:val="0"/>
        <w:spacing w:before="156" w:beforeLines="50" w:after="50"/>
        <w:ind w:firstLine="643" w:firstLineChars="20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项目编号：</w:t>
      </w:r>
    </w:p>
    <w:p w14:paraId="1F7EF14E">
      <w:pPr>
        <w:snapToGrid w:val="0"/>
        <w:spacing w:before="156" w:beforeLines="50" w:after="50"/>
        <w:ind w:firstLine="723" w:firstLineChars="225"/>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 </w:t>
      </w:r>
    </w:p>
    <w:p w14:paraId="6C9A7FB5">
      <w:pPr>
        <w:snapToGrid w:val="0"/>
        <w:spacing w:before="156" w:beforeLines="50" w:after="50"/>
        <w:ind w:firstLine="643" w:firstLineChars="20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所竞分标：(如有则填写，无分标时填写“无”或者留空）</w:t>
      </w:r>
    </w:p>
    <w:p w14:paraId="2D834D45">
      <w:pPr>
        <w:snapToGrid w:val="0"/>
        <w:spacing w:before="156" w:beforeLines="50" w:after="50"/>
        <w:ind w:firstLine="723" w:firstLineChars="225"/>
        <w:rPr>
          <w:rFonts w:hint="eastAsia" w:ascii="宋体" w:hAnsi="宋体" w:eastAsia="宋体" w:cs="宋体"/>
          <w:b/>
          <w:bCs w:val="0"/>
          <w:color w:val="auto"/>
          <w:sz w:val="32"/>
          <w:szCs w:val="32"/>
        </w:rPr>
      </w:pPr>
    </w:p>
    <w:p w14:paraId="0A31B85B">
      <w:pPr>
        <w:pStyle w:val="7"/>
        <w:snapToGrid w:val="0"/>
        <w:spacing w:before="50" w:after="50"/>
        <w:ind w:firstLine="643" w:firstLineChars="20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供应商名称：</w:t>
      </w:r>
    </w:p>
    <w:p w14:paraId="4BF4D8F8">
      <w:pPr>
        <w:pStyle w:val="7"/>
        <w:snapToGrid w:val="0"/>
        <w:spacing w:before="50" w:after="50"/>
        <w:ind w:firstLine="723" w:firstLineChars="225"/>
        <w:rPr>
          <w:rFonts w:hint="eastAsia" w:ascii="宋体" w:hAnsi="宋体" w:eastAsia="宋体" w:cs="宋体"/>
          <w:b/>
          <w:bCs w:val="0"/>
          <w:color w:val="auto"/>
          <w:sz w:val="32"/>
          <w:szCs w:val="32"/>
        </w:rPr>
      </w:pPr>
    </w:p>
    <w:p w14:paraId="2C16BC1F">
      <w:pPr>
        <w:pStyle w:val="7"/>
        <w:snapToGrid w:val="0"/>
        <w:spacing w:before="50" w:after="50"/>
        <w:ind w:firstLine="723" w:firstLineChars="225"/>
        <w:rPr>
          <w:rFonts w:hint="eastAsia" w:ascii="宋体" w:hAnsi="宋体" w:eastAsia="宋体" w:cs="宋体"/>
          <w:b/>
          <w:bCs w:val="0"/>
          <w:color w:val="auto"/>
          <w:sz w:val="32"/>
          <w:szCs w:val="32"/>
        </w:rPr>
      </w:pPr>
    </w:p>
    <w:p w14:paraId="0428FD52">
      <w:pPr>
        <w:pStyle w:val="7"/>
        <w:snapToGrid w:val="0"/>
        <w:spacing w:before="50" w:after="50"/>
        <w:ind w:firstLine="1285" w:firstLineChars="400"/>
        <w:rPr>
          <w:rFonts w:hint="eastAsia" w:ascii="宋体" w:hAnsi="宋体" w:eastAsia="宋体" w:cs="宋体"/>
          <w:b/>
          <w:bCs w:val="0"/>
          <w:color w:val="auto"/>
          <w:sz w:val="32"/>
          <w:szCs w:val="32"/>
        </w:rPr>
      </w:pPr>
    </w:p>
    <w:p w14:paraId="471774EC">
      <w:pPr>
        <w:snapToGrid w:val="0"/>
        <w:spacing w:before="156" w:beforeLines="50" w:after="5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年    月    日</w:t>
      </w:r>
    </w:p>
    <w:p w14:paraId="1E4571BF">
      <w:pPr>
        <w:snapToGrid w:val="0"/>
        <w:spacing w:before="156" w:beforeLines="50" w:after="50" w:line="360" w:lineRule="auto"/>
        <w:ind w:left="142"/>
        <w:jc w:val="left"/>
        <w:rPr>
          <w:rFonts w:hint="eastAsia" w:ascii="宋体" w:hAnsi="宋体" w:eastAsia="宋体" w:cs="宋体"/>
          <w:b/>
          <w:bCs/>
          <w:color w:val="auto"/>
          <w:sz w:val="24"/>
        </w:rPr>
      </w:pPr>
      <w:r>
        <w:rPr>
          <w:rFonts w:hint="eastAsia" w:ascii="宋体" w:hAnsi="宋体" w:eastAsia="宋体" w:cs="宋体"/>
          <w:b/>
          <w:bCs w:val="0"/>
          <w:color w:val="auto"/>
          <w:sz w:val="24"/>
        </w:rPr>
        <w:br w:type="page"/>
      </w:r>
      <w:r>
        <w:rPr>
          <w:rFonts w:hint="eastAsia" w:ascii="宋体" w:hAnsi="宋体" w:eastAsia="宋体" w:cs="宋体"/>
          <w:b/>
          <w:bCs/>
          <w:color w:val="auto"/>
          <w:sz w:val="32"/>
          <w:szCs w:val="32"/>
        </w:rPr>
        <w:t>2.报价文件目录</w:t>
      </w:r>
    </w:p>
    <w:p w14:paraId="0FCA8A37">
      <w:pPr>
        <w:snapToGrid w:val="0"/>
        <w:spacing w:before="156" w:beforeLines="50" w:after="50"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根据磋商文件规定及供应商提供的材料自行编写目录（部分格式后附）。</w:t>
      </w:r>
    </w:p>
    <w:p w14:paraId="3AFEC687">
      <w:pPr>
        <w:spacing w:line="400" w:lineRule="exact"/>
        <w:rPr>
          <w:rFonts w:hint="eastAsia" w:ascii="宋体" w:hAnsi="宋体" w:eastAsia="宋体" w:cs="宋体"/>
          <w:color w:val="auto"/>
          <w:sz w:val="32"/>
          <w:szCs w:val="32"/>
        </w:rPr>
      </w:pPr>
    </w:p>
    <w:p w14:paraId="4B238577">
      <w:pPr>
        <w:spacing w:line="360" w:lineRule="auto"/>
        <w:contextualSpacing/>
        <w:jc w:val="center"/>
        <w:rPr>
          <w:rFonts w:hint="eastAsia" w:ascii="宋体" w:hAnsi="宋体" w:eastAsia="宋体" w:cs="宋体"/>
          <w:bCs/>
          <w:color w:val="auto"/>
          <w:sz w:val="44"/>
          <w:szCs w:val="44"/>
          <w:lang w:val="en-US" w:eastAsia="zh-CN"/>
        </w:rPr>
      </w:pPr>
      <w:r>
        <w:rPr>
          <w:rFonts w:hint="eastAsia" w:ascii="宋体" w:hAnsi="宋体" w:eastAsia="宋体" w:cs="宋体"/>
          <w:color w:val="auto"/>
          <w:sz w:val="44"/>
          <w:szCs w:val="44"/>
        </w:rPr>
        <w:br w:type="page"/>
      </w:r>
      <w:r>
        <w:rPr>
          <w:rFonts w:hint="eastAsia" w:ascii="宋体" w:hAnsi="宋体" w:eastAsia="宋体" w:cs="宋体"/>
          <w:b/>
          <w:bCs w:val="0"/>
          <w:color w:val="auto"/>
          <w:sz w:val="44"/>
          <w:szCs w:val="44"/>
          <w:lang w:val="en-US" w:eastAsia="zh-CN"/>
        </w:rPr>
        <w:t>磋商函</w:t>
      </w:r>
    </w:p>
    <w:p w14:paraId="53EEE44E">
      <w:pPr>
        <w:pStyle w:val="51"/>
        <w:rPr>
          <w:rFonts w:hint="eastAsia" w:ascii="宋体" w:hAnsi="宋体" w:eastAsia="宋体" w:cs="宋体"/>
          <w:color w:val="auto"/>
          <w:sz w:val="24"/>
        </w:rPr>
      </w:pPr>
    </w:p>
    <w:p w14:paraId="2A094392">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1、根据你方项目编号为</w:t>
      </w:r>
      <w:r>
        <w:rPr>
          <w:rStyle w:val="92"/>
          <w:rFonts w:hint="eastAsia" w:ascii="宋体" w:hAnsi="宋体" w:eastAsia="宋体" w:cs="宋体"/>
          <w:b w:val="0"/>
          <w:i w:val="0"/>
          <w:caps w:val="0"/>
          <w:color w:val="auto"/>
          <w:spacing w:val="0"/>
          <w:w w:val="100"/>
          <w:kern w:val="0"/>
          <w:sz w:val="24"/>
          <w:szCs w:val="24"/>
          <w:u w:val="single" w:color="auto"/>
          <w:lang w:val="en-US" w:eastAsia="zh-CN" w:bidi="ar-SA"/>
        </w:rPr>
        <w:t xml:space="preserve">  项目编号 </w:t>
      </w:r>
      <w:r>
        <w:rPr>
          <w:rStyle w:val="92"/>
          <w:rFonts w:hint="eastAsia" w:ascii="宋体" w:hAnsi="宋体" w:eastAsia="宋体" w:cs="宋体"/>
          <w:b w:val="0"/>
          <w:i w:val="0"/>
          <w:caps w:val="0"/>
          <w:color w:val="auto"/>
          <w:spacing w:val="0"/>
          <w:w w:val="100"/>
          <w:kern w:val="0"/>
          <w:sz w:val="24"/>
          <w:szCs w:val="24"/>
          <w:u w:val="single" w:color="000000"/>
          <w:lang w:val="en-US" w:eastAsia="zh-CN" w:bidi="ar-SA"/>
        </w:rPr>
        <w:t xml:space="preserve"> </w:t>
      </w:r>
      <w:r>
        <w:rPr>
          <w:rStyle w:val="92"/>
          <w:rFonts w:hint="eastAsia" w:ascii="宋体" w:hAnsi="宋体" w:eastAsia="宋体" w:cs="宋体"/>
          <w:b w:val="0"/>
          <w:i w:val="0"/>
          <w:caps w:val="0"/>
          <w:color w:val="auto"/>
          <w:spacing w:val="0"/>
          <w:w w:val="100"/>
          <w:kern w:val="0"/>
          <w:sz w:val="24"/>
          <w:szCs w:val="24"/>
          <w:lang w:val="en-US" w:eastAsia="zh-CN" w:bidi="ar-SA"/>
        </w:rPr>
        <w:t xml:space="preserve"> 的</w:t>
      </w:r>
      <w:r>
        <w:rPr>
          <w:rStyle w:val="92"/>
          <w:rFonts w:hint="eastAsia" w:ascii="宋体" w:hAnsi="宋体" w:eastAsia="宋体" w:cs="宋体"/>
          <w:b w:val="0"/>
          <w:i w:val="0"/>
          <w:caps w:val="0"/>
          <w:color w:val="auto"/>
          <w:spacing w:val="0"/>
          <w:w w:val="100"/>
          <w:kern w:val="0"/>
          <w:sz w:val="24"/>
          <w:szCs w:val="24"/>
          <w:u w:val="single" w:color="000000"/>
          <w:lang w:val="en-US" w:eastAsia="zh-CN" w:bidi="ar-SA"/>
        </w:rPr>
        <w:t xml:space="preserve">   项目名称  </w:t>
      </w:r>
      <w:r>
        <w:rPr>
          <w:rStyle w:val="92"/>
          <w:rFonts w:hint="eastAsia" w:ascii="宋体" w:hAnsi="宋体" w:eastAsia="宋体" w:cs="宋体"/>
          <w:b w:val="0"/>
          <w:i w:val="0"/>
          <w:caps w:val="0"/>
          <w:color w:val="auto"/>
          <w:spacing w:val="0"/>
          <w:w w:val="100"/>
          <w:kern w:val="0"/>
          <w:sz w:val="24"/>
          <w:szCs w:val="24"/>
          <w:lang w:val="en-US" w:eastAsia="zh-CN" w:bidi="ar-SA"/>
        </w:rPr>
        <w:t xml:space="preserve">工程竞争性磋商文件，参照《政府采购竞争性磋商采购方式管理暂行办法》 等相关法律法规规定，经踏勘项目现场和研究上述竞争性磋商文件的供应商须知、合同条款、图纸、工程建设标准和工程量清单及其他有关文件后，我方愿以人民币（大写 </w:t>
      </w:r>
      <w:r>
        <w:rPr>
          <w:rStyle w:val="92"/>
          <w:rFonts w:hint="eastAsia" w:ascii="宋体" w:hAnsi="宋体" w:eastAsia="宋体" w:cs="宋体"/>
          <w:b w:val="0"/>
          <w:i w:val="0"/>
          <w:caps w:val="0"/>
          <w:color w:val="auto"/>
          <w:spacing w:val="0"/>
          <w:w w:val="100"/>
          <w:kern w:val="0"/>
          <w:sz w:val="24"/>
          <w:szCs w:val="24"/>
          <w:u w:val="single" w:color="000000"/>
          <w:lang w:val="en-US" w:eastAsia="zh-CN" w:bidi="ar-SA"/>
        </w:rPr>
        <w:t xml:space="preserve">       </w:t>
      </w:r>
      <w:r>
        <w:rPr>
          <w:rStyle w:val="92"/>
          <w:rFonts w:hint="eastAsia" w:ascii="宋体" w:hAnsi="宋体" w:eastAsia="宋体" w:cs="宋体"/>
          <w:b w:val="0"/>
          <w:i w:val="0"/>
          <w:caps w:val="0"/>
          <w:color w:val="auto"/>
          <w:spacing w:val="0"/>
          <w:w w:val="100"/>
          <w:kern w:val="0"/>
          <w:sz w:val="24"/>
          <w:szCs w:val="24"/>
          <w:lang w:val="en-US" w:eastAsia="zh-CN" w:bidi="ar-SA"/>
        </w:rPr>
        <w:t>）元（RMB¥</w:t>
      </w:r>
      <w:r>
        <w:rPr>
          <w:rStyle w:val="92"/>
          <w:rFonts w:hint="eastAsia" w:ascii="宋体" w:hAnsi="宋体" w:eastAsia="宋体" w:cs="宋体"/>
          <w:b w:val="0"/>
          <w:i w:val="0"/>
          <w:caps w:val="0"/>
          <w:color w:val="auto"/>
          <w:spacing w:val="0"/>
          <w:w w:val="100"/>
          <w:kern w:val="0"/>
          <w:sz w:val="24"/>
          <w:szCs w:val="24"/>
          <w:u w:val="single" w:color="000000"/>
          <w:lang w:val="en-US" w:eastAsia="zh-CN" w:bidi="ar-SA"/>
        </w:rPr>
        <w:t xml:space="preserve">       </w:t>
      </w:r>
      <w:r>
        <w:rPr>
          <w:rStyle w:val="92"/>
          <w:rFonts w:hint="eastAsia" w:ascii="宋体" w:hAnsi="宋体" w:eastAsia="宋体" w:cs="宋体"/>
          <w:b w:val="0"/>
          <w:i w:val="0"/>
          <w:caps w:val="0"/>
          <w:color w:val="auto"/>
          <w:spacing w:val="0"/>
          <w:w w:val="100"/>
          <w:kern w:val="0"/>
          <w:sz w:val="24"/>
          <w:szCs w:val="24"/>
          <w:lang w:val="en-US" w:eastAsia="zh-CN" w:bidi="ar-SA"/>
        </w:rPr>
        <w:t xml:space="preserve">元） 的磋商报价并按上述图纸、合同条款、工程建设标准和工程量清单（如有时）的条件要求承包上述工程的施工、 竣工， 并承担任何质量缺陷保修责任。我方保证工程质量达到 </w:t>
      </w:r>
      <w:r>
        <w:rPr>
          <w:rStyle w:val="92"/>
          <w:rFonts w:hint="eastAsia" w:ascii="宋体" w:hAnsi="宋体" w:eastAsia="宋体" w:cs="宋体"/>
          <w:b w:val="0"/>
          <w:i w:val="0"/>
          <w:caps w:val="0"/>
          <w:color w:val="auto"/>
          <w:spacing w:val="0"/>
          <w:w w:val="100"/>
          <w:kern w:val="0"/>
          <w:sz w:val="24"/>
          <w:szCs w:val="24"/>
          <w:u w:val="single" w:color="000000"/>
          <w:lang w:val="en-US" w:eastAsia="zh-CN" w:bidi="ar-SA"/>
        </w:rPr>
        <w:t xml:space="preserve">         </w:t>
      </w:r>
      <w:r>
        <w:rPr>
          <w:rStyle w:val="92"/>
          <w:rFonts w:hint="eastAsia" w:ascii="宋体" w:hAnsi="宋体" w:eastAsia="宋体" w:cs="宋体"/>
          <w:b w:val="0"/>
          <w:i w:val="0"/>
          <w:caps w:val="0"/>
          <w:color w:val="auto"/>
          <w:spacing w:val="0"/>
          <w:w w:val="100"/>
          <w:kern w:val="0"/>
          <w:sz w:val="24"/>
          <w:szCs w:val="24"/>
          <w:lang w:val="en-US" w:eastAsia="zh-CN" w:bidi="ar-SA"/>
        </w:rPr>
        <w:t>等级。</w:t>
      </w:r>
    </w:p>
    <w:p w14:paraId="5803FC16">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2、我方已详细审核全部竞争性磋商文件，包括修改文件（如有时）及有关附件。</w:t>
      </w:r>
    </w:p>
    <w:p w14:paraId="3A114C97">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3、我方承认磋商函附录是我方磋商函的组成部分。</w:t>
      </w:r>
    </w:p>
    <w:p w14:paraId="78DD5CB1">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4、一旦我方成交，我方保证按合同书中</w:t>
      </w:r>
      <w:r>
        <w:rPr>
          <w:rFonts w:hint="eastAsia" w:ascii="宋体" w:hAnsi="宋体" w:eastAsia="宋体" w:cs="宋体"/>
          <w:color w:val="auto"/>
          <w:sz w:val="24"/>
          <w:szCs w:val="24"/>
          <w:highlight w:val="none"/>
          <w:lang w:eastAsia="zh-CN"/>
        </w:rPr>
        <w:t>承诺合同履约期限</w:t>
      </w:r>
      <w:r>
        <w:rPr>
          <w:rStyle w:val="92"/>
          <w:rFonts w:hint="eastAsia" w:ascii="宋体" w:hAnsi="宋体" w:eastAsia="宋体" w:cs="宋体"/>
          <w:b w:val="0"/>
          <w:i w:val="0"/>
          <w:caps w:val="0"/>
          <w:color w:val="auto"/>
          <w:spacing w:val="0"/>
          <w:w w:val="100"/>
          <w:kern w:val="0"/>
          <w:sz w:val="24"/>
          <w:szCs w:val="24"/>
          <w:lang w:val="en-US" w:eastAsia="zh-CN" w:bidi="ar-SA"/>
        </w:rPr>
        <w:t>（工期</w:t>
      </w:r>
      <w:r>
        <w:rPr>
          <w:rFonts w:hint="eastAsia" w:ascii="宋体" w:hAnsi="宋体" w:eastAsia="宋体" w:cs="宋体"/>
          <w:color w:val="auto"/>
          <w:sz w:val="24"/>
          <w:szCs w:val="24"/>
          <w:highlight w:val="none"/>
          <w:lang w:eastAsia="zh-CN"/>
        </w:rPr>
        <w:t>）</w:t>
      </w:r>
      <w:r>
        <w:rPr>
          <w:rStyle w:val="92"/>
          <w:rFonts w:hint="eastAsia" w:ascii="宋体" w:hAnsi="宋体" w:eastAsia="宋体" w:cs="宋体"/>
          <w:b w:val="0"/>
          <w:i w:val="0"/>
          <w:caps w:val="0"/>
          <w:color w:val="auto"/>
          <w:spacing w:val="0"/>
          <w:w w:val="100"/>
          <w:kern w:val="0"/>
          <w:sz w:val="24"/>
          <w:szCs w:val="24"/>
          <w:u w:val="single"/>
          <w:lang w:val="en-US" w:eastAsia="zh-CN" w:bidi="ar-SA"/>
        </w:rPr>
        <w:t xml:space="preserve">        </w:t>
      </w:r>
      <w:r>
        <w:rPr>
          <w:rStyle w:val="92"/>
          <w:rFonts w:hint="eastAsia" w:ascii="宋体" w:hAnsi="宋体" w:eastAsia="宋体" w:cs="宋体"/>
          <w:b w:val="0"/>
          <w:i w:val="0"/>
          <w:caps w:val="0"/>
          <w:color w:val="auto"/>
          <w:spacing w:val="0"/>
          <w:w w:val="100"/>
          <w:kern w:val="0"/>
          <w:sz w:val="24"/>
          <w:szCs w:val="24"/>
          <w:lang w:val="en-US" w:eastAsia="zh-CN" w:bidi="ar-SA"/>
        </w:rPr>
        <w:t>日历天内完成并移交全部工程。</w:t>
      </w:r>
    </w:p>
    <w:p w14:paraId="695C305E">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5、如果我方成交，我方将按照磋商文件规定提交履约保证金作为履约担保。</w:t>
      </w:r>
    </w:p>
    <w:p w14:paraId="6FB8BBC8">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6、我方同意所提交的响应文件在竞争性磋商文件的“供应商须知”中规定的竞标有效期内有效， 在此期间内如果成交，我方将受此约束。</w:t>
      </w:r>
    </w:p>
    <w:p w14:paraId="6958D807">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7、除非另外达成协议并生效，你方的成交通知书和本响应文件将成为约束双方的合同文件的组成部分。</w:t>
      </w:r>
    </w:p>
    <w:p w14:paraId="08DBB76F">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竞标人名称（公章）：</w:t>
      </w:r>
    </w:p>
    <w:p w14:paraId="20E783E6">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单位地址：</w:t>
      </w:r>
    </w:p>
    <w:p w14:paraId="4B9E05AA">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法人代表或委托代理人姓名：（签字/盖章）</w:t>
      </w:r>
    </w:p>
    <w:p w14:paraId="6D6EE877">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邮政编码：</w:t>
      </w:r>
    </w:p>
    <w:p w14:paraId="46235B40">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电话：                    传真：</w:t>
      </w:r>
    </w:p>
    <w:p w14:paraId="24BDA04A">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开户银行名称：</w:t>
      </w:r>
    </w:p>
    <w:p w14:paraId="76B29F89">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开户银行账号：</w:t>
      </w:r>
    </w:p>
    <w:p w14:paraId="4CE84D35">
      <w:pPr>
        <w:pStyle w:val="9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left="0" w:firstLine="480" w:firstLineChars="200"/>
        <w:jc w:val="both"/>
        <w:textAlignment w:val="baseline"/>
        <w:rPr>
          <w:rStyle w:val="92"/>
          <w:rFonts w:hint="eastAsia" w:ascii="宋体" w:hAnsi="宋体" w:eastAsia="宋体" w:cs="宋体"/>
          <w:b w:val="0"/>
          <w:i w:val="0"/>
          <w:caps w:val="0"/>
          <w:color w:val="auto"/>
          <w:spacing w:val="0"/>
          <w:w w:val="100"/>
          <w:kern w:val="0"/>
          <w:sz w:val="24"/>
          <w:szCs w:val="24"/>
          <w:lang w:val="en-US" w:eastAsia="zh-CN" w:bidi="ar-SA"/>
        </w:rPr>
      </w:pPr>
      <w:r>
        <w:rPr>
          <w:rStyle w:val="92"/>
          <w:rFonts w:hint="eastAsia" w:ascii="宋体" w:hAnsi="宋体" w:eastAsia="宋体" w:cs="宋体"/>
          <w:b w:val="0"/>
          <w:i w:val="0"/>
          <w:caps w:val="0"/>
          <w:color w:val="auto"/>
          <w:spacing w:val="0"/>
          <w:w w:val="100"/>
          <w:kern w:val="0"/>
          <w:sz w:val="24"/>
          <w:szCs w:val="24"/>
          <w:lang w:val="en-US" w:eastAsia="zh-CN" w:bidi="ar-SA"/>
        </w:rPr>
        <w:t>日期：</w:t>
      </w:r>
    </w:p>
    <w:p w14:paraId="019163D1">
      <w:pPr>
        <w:pStyle w:val="51"/>
        <w:jc w:val="both"/>
        <w:rPr>
          <w:rFonts w:hint="eastAsia" w:ascii="宋体" w:hAnsi="宋体" w:eastAsia="宋体" w:cs="宋体"/>
          <w:color w:val="auto"/>
          <w:sz w:val="24"/>
        </w:rPr>
      </w:pPr>
    </w:p>
    <w:p w14:paraId="021C992B">
      <w:pPr>
        <w:pStyle w:val="51"/>
        <w:jc w:val="both"/>
        <w:rPr>
          <w:rFonts w:hint="eastAsia" w:ascii="宋体" w:hAnsi="宋体" w:eastAsia="宋体" w:cs="宋体"/>
          <w:color w:val="auto"/>
          <w:sz w:val="24"/>
        </w:rPr>
      </w:pPr>
    </w:p>
    <w:p w14:paraId="46E60FAB">
      <w:pPr>
        <w:pStyle w:val="51"/>
        <w:jc w:val="both"/>
        <w:rPr>
          <w:rFonts w:hint="eastAsia" w:ascii="宋体" w:hAnsi="宋体" w:eastAsia="宋体" w:cs="宋体"/>
          <w:color w:val="auto"/>
          <w:sz w:val="24"/>
        </w:rPr>
      </w:pPr>
    </w:p>
    <w:p w14:paraId="0A73BA57">
      <w:pPr>
        <w:spacing w:line="360" w:lineRule="auto"/>
        <w:contextualSpacing/>
        <w:jc w:val="center"/>
        <w:rPr>
          <w:rFonts w:hint="eastAsia" w:ascii="宋体" w:hAnsi="宋体" w:eastAsia="宋体" w:cs="宋体"/>
          <w:b/>
          <w:bCs w:val="0"/>
          <w:color w:val="auto"/>
          <w:sz w:val="32"/>
          <w:szCs w:val="32"/>
        </w:rPr>
      </w:pPr>
      <w:r>
        <w:rPr>
          <w:rFonts w:hint="eastAsia" w:ascii="宋体" w:hAnsi="宋体" w:eastAsia="宋体" w:cs="宋体"/>
          <w:b/>
          <w:bCs w:val="0"/>
          <w:color w:val="auto"/>
          <w:sz w:val="44"/>
          <w:szCs w:val="44"/>
          <w:lang w:eastAsia="zh-CN"/>
        </w:rPr>
        <w:t>磋商</w:t>
      </w:r>
      <w:r>
        <w:rPr>
          <w:rFonts w:hint="eastAsia" w:ascii="宋体" w:hAnsi="宋体" w:eastAsia="宋体" w:cs="宋体"/>
          <w:b/>
          <w:bCs w:val="0"/>
          <w:color w:val="auto"/>
          <w:sz w:val="44"/>
          <w:szCs w:val="44"/>
        </w:rPr>
        <w:t>报价表</w:t>
      </w:r>
    </w:p>
    <w:p w14:paraId="63DAEB1D">
      <w:pPr>
        <w:spacing w:line="440" w:lineRule="exact"/>
        <w:jc w:val="center"/>
        <w:rPr>
          <w:rFonts w:hint="eastAsia" w:ascii="宋体" w:hAnsi="宋体" w:eastAsia="宋体" w:cs="宋体"/>
          <w:bCs/>
          <w:color w:val="auto"/>
          <w:sz w:val="24"/>
          <w:szCs w:val="24"/>
        </w:rPr>
      </w:pPr>
    </w:p>
    <w:p w14:paraId="3F1061F9">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21E63C9">
      <w:pPr>
        <w:spacing w:line="360" w:lineRule="auto"/>
        <w:contextualSpacing/>
        <w:rPr>
          <w:rFonts w:hint="eastAsia" w:ascii="宋体" w:hAnsi="宋体" w:eastAsia="宋体" w:cs="宋体"/>
          <w:color w:val="auto"/>
          <w:sz w:val="24"/>
          <w:szCs w:val="24"/>
          <w:u w:val="single"/>
        </w:rPr>
      </w:pPr>
      <w:r>
        <w:rPr>
          <w:rFonts w:hint="eastAsia" w:ascii="宋体" w:hAnsi="宋体" w:eastAsia="宋体" w:cs="宋体"/>
          <w:color w:val="auto"/>
          <w:sz w:val="24"/>
          <w:szCs w:val="24"/>
        </w:rPr>
        <w:t>分标（如有）：</w:t>
      </w:r>
      <w:r>
        <w:rPr>
          <w:rFonts w:hint="eastAsia" w:ascii="宋体" w:hAnsi="宋体" w:eastAsia="宋体" w:cs="宋体"/>
          <w:color w:val="auto"/>
          <w:sz w:val="24"/>
          <w:szCs w:val="24"/>
          <w:u w:val="single"/>
        </w:rPr>
        <w:t xml:space="preserve">                                         </w:t>
      </w:r>
    </w:p>
    <w:p w14:paraId="523FDE2F">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802BFA6">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tbl>
      <w:tblPr>
        <w:tblStyle w:val="3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3"/>
        <w:gridCol w:w="5556"/>
      </w:tblGrid>
      <w:tr w14:paraId="6FC3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4083" w:type="dxa"/>
            <w:noWrap w:val="0"/>
            <w:vAlign w:val="center"/>
          </w:tcPr>
          <w:p w14:paraId="1674536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工程名称</w:t>
            </w:r>
          </w:p>
        </w:tc>
        <w:tc>
          <w:tcPr>
            <w:tcW w:w="5556" w:type="dxa"/>
            <w:noWrap w:val="0"/>
            <w:vAlign w:val="center"/>
          </w:tcPr>
          <w:p w14:paraId="3F9F98D7">
            <w:pPr>
              <w:spacing w:line="360" w:lineRule="auto"/>
              <w:jc w:val="center"/>
              <w:rPr>
                <w:rFonts w:hint="eastAsia" w:ascii="宋体" w:hAnsi="宋体" w:eastAsia="宋体" w:cs="宋体"/>
                <w:color w:val="auto"/>
                <w:sz w:val="24"/>
                <w:szCs w:val="24"/>
                <w:highlight w:val="none"/>
              </w:rPr>
            </w:pPr>
          </w:p>
        </w:tc>
      </w:tr>
      <w:tr w14:paraId="320C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4083" w:type="dxa"/>
            <w:noWrap w:val="0"/>
            <w:vAlign w:val="center"/>
          </w:tcPr>
          <w:p w14:paraId="22C0F39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项目经理及证书号</w:t>
            </w:r>
          </w:p>
        </w:tc>
        <w:tc>
          <w:tcPr>
            <w:tcW w:w="5556" w:type="dxa"/>
            <w:noWrap w:val="0"/>
            <w:vAlign w:val="center"/>
          </w:tcPr>
          <w:p w14:paraId="38567406">
            <w:pPr>
              <w:spacing w:line="360" w:lineRule="auto"/>
              <w:jc w:val="center"/>
              <w:rPr>
                <w:rFonts w:hint="eastAsia" w:ascii="宋体" w:hAnsi="宋体" w:eastAsia="宋体" w:cs="宋体"/>
                <w:color w:val="auto"/>
                <w:sz w:val="24"/>
                <w:szCs w:val="24"/>
                <w:highlight w:val="none"/>
              </w:rPr>
            </w:pPr>
          </w:p>
        </w:tc>
      </w:tr>
      <w:tr w14:paraId="1EB0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trPr>
        <w:tc>
          <w:tcPr>
            <w:tcW w:w="4083" w:type="dxa"/>
            <w:noWrap w:val="0"/>
            <w:vAlign w:val="center"/>
          </w:tcPr>
          <w:p w14:paraId="06CF7CE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竞标报价</w:t>
            </w:r>
          </w:p>
        </w:tc>
        <w:tc>
          <w:tcPr>
            <w:tcW w:w="5556" w:type="dxa"/>
            <w:noWrap w:val="0"/>
            <w:vAlign w:val="center"/>
          </w:tcPr>
          <w:p w14:paraId="0FF2D19D">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大写：人民币</w:t>
            </w:r>
            <w:r>
              <w:rPr>
                <w:rFonts w:hint="eastAsia" w:ascii="宋体" w:hAnsi="宋体" w:eastAsia="宋体" w:cs="宋体"/>
                <w:color w:val="auto"/>
                <w:sz w:val="24"/>
                <w:szCs w:val="24"/>
                <w:highlight w:val="none"/>
                <w:lang w:val="en-US" w:eastAsia="zh-CN"/>
              </w:rPr>
              <w:t xml:space="preserve">                   </w:t>
            </w:r>
          </w:p>
          <w:p w14:paraId="35140E97">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小写：¥</w:t>
            </w:r>
          </w:p>
        </w:tc>
      </w:tr>
      <w:tr w14:paraId="5759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4083" w:type="dxa"/>
            <w:noWrap w:val="0"/>
            <w:vAlign w:val="center"/>
          </w:tcPr>
          <w:p w14:paraId="457C316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质量要求</w:t>
            </w:r>
          </w:p>
        </w:tc>
        <w:tc>
          <w:tcPr>
            <w:tcW w:w="5556" w:type="dxa"/>
            <w:noWrap w:val="0"/>
            <w:vAlign w:val="center"/>
          </w:tcPr>
          <w:p w14:paraId="2009C7E5">
            <w:pPr>
              <w:spacing w:line="360" w:lineRule="auto"/>
              <w:jc w:val="center"/>
              <w:rPr>
                <w:rFonts w:hint="eastAsia" w:ascii="宋体" w:hAnsi="宋体" w:eastAsia="宋体" w:cs="宋体"/>
                <w:color w:val="auto"/>
                <w:sz w:val="24"/>
                <w:szCs w:val="24"/>
                <w:highlight w:val="none"/>
              </w:rPr>
            </w:pPr>
          </w:p>
        </w:tc>
      </w:tr>
      <w:tr w14:paraId="6DDB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4083" w:type="dxa"/>
            <w:noWrap w:val="0"/>
            <w:vAlign w:val="center"/>
          </w:tcPr>
          <w:p w14:paraId="659BE1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承诺合同履约期限</w:t>
            </w:r>
          </w:p>
        </w:tc>
        <w:tc>
          <w:tcPr>
            <w:tcW w:w="5556" w:type="dxa"/>
            <w:noWrap w:val="0"/>
            <w:vAlign w:val="center"/>
          </w:tcPr>
          <w:p w14:paraId="3E15C71B">
            <w:pPr>
              <w:spacing w:line="360" w:lineRule="auto"/>
              <w:jc w:val="center"/>
              <w:rPr>
                <w:rFonts w:hint="eastAsia" w:ascii="宋体" w:hAnsi="宋体" w:eastAsia="宋体" w:cs="宋体"/>
                <w:color w:val="auto"/>
                <w:sz w:val="24"/>
                <w:szCs w:val="24"/>
                <w:highlight w:val="none"/>
              </w:rPr>
            </w:pPr>
          </w:p>
        </w:tc>
      </w:tr>
      <w:tr w14:paraId="6B27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4083" w:type="dxa"/>
            <w:noWrap w:val="0"/>
            <w:vAlign w:val="center"/>
          </w:tcPr>
          <w:p w14:paraId="443E6E13">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c>
          <w:tcPr>
            <w:tcW w:w="5556" w:type="dxa"/>
            <w:noWrap w:val="0"/>
            <w:vAlign w:val="center"/>
          </w:tcPr>
          <w:p w14:paraId="26481E38">
            <w:pPr>
              <w:spacing w:line="360" w:lineRule="auto"/>
              <w:ind w:right="700"/>
              <w:jc w:val="center"/>
              <w:rPr>
                <w:rFonts w:hint="eastAsia" w:ascii="宋体" w:hAnsi="宋体" w:eastAsia="宋体" w:cs="宋体"/>
                <w:color w:val="auto"/>
                <w:sz w:val="24"/>
                <w:szCs w:val="24"/>
                <w:highlight w:val="none"/>
              </w:rPr>
            </w:pPr>
          </w:p>
        </w:tc>
      </w:tr>
    </w:tbl>
    <w:p w14:paraId="3ABA40AC">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 xml:space="preserve">注: </w:t>
      </w:r>
    </w:p>
    <w:p w14:paraId="4FCCD345">
      <w:pPr>
        <w:spacing w:line="360" w:lineRule="auto"/>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1.供应商的报价表必须加盖供应商公章并由</w:t>
      </w:r>
      <w:r>
        <w:rPr>
          <w:rFonts w:hint="eastAsia" w:ascii="宋体" w:hAnsi="宋体" w:eastAsia="宋体" w:cs="宋体"/>
          <w:color w:val="auto"/>
          <w:sz w:val="24"/>
          <w:lang w:eastAsia="zh-CN"/>
        </w:rPr>
        <w:t>法定代表人（或负责人）或者委托代理人</w:t>
      </w:r>
      <w:r>
        <w:rPr>
          <w:rFonts w:hint="eastAsia" w:ascii="宋体" w:hAnsi="宋体" w:eastAsia="宋体" w:cs="宋体"/>
          <w:color w:val="auto"/>
          <w:sz w:val="24"/>
        </w:rPr>
        <w:t>签字，</w:t>
      </w:r>
      <w:r>
        <w:rPr>
          <w:rFonts w:hint="eastAsia" w:ascii="宋体" w:hAnsi="宋体" w:eastAsia="宋体" w:cs="宋体"/>
          <w:b/>
          <w:color w:val="auto"/>
          <w:sz w:val="24"/>
        </w:rPr>
        <w:t>否则其响应文件按无效响应处理</w:t>
      </w:r>
      <w:r>
        <w:rPr>
          <w:rFonts w:hint="eastAsia" w:ascii="宋体" w:hAnsi="宋体" w:eastAsia="宋体" w:cs="宋体"/>
          <w:color w:val="auto"/>
          <w:sz w:val="24"/>
        </w:rPr>
        <w:t>。</w:t>
      </w:r>
    </w:p>
    <w:p w14:paraId="4F22695E">
      <w:pPr>
        <w:spacing w:line="360" w:lineRule="auto"/>
        <w:ind w:firstLine="480" w:firstLineChars="200"/>
        <w:contextualSpacing/>
        <w:jc w:val="left"/>
        <w:rPr>
          <w:rFonts w:hint="eastAsia" w:ascii="宋体" w:hAnsi="宋体" w:eastAsia="宋体" w:cs="宋体"/>
          <w:b/>
          <w:color w:val="auto"/>
          <w:sz w:val="24"/>
        </w:rPr>
      </w:pPr>
      <w:r>
        <w:rPr>
          <w:rFonts w:hint="eastAsia" w:ascii="宋体" w:hAnsi="宋体" w:eastAsia="宋体" w:cs="宋体"/>
          <w:bCs/>
          <w:color w:val="auto"/>
          <w:sz w:val="24"/>
        </w:rPr>
        <w:t>2.</w:t>
      </w:r>
      <w:r>
        <w:rPr>
          <w:rFonts w:hint="eastAsia" w:ascii="宋体" w:hAnsi="宋体" w:eastAsia="宋体" w:cs="宋体"/>
          <w:color w:val="auto"/>
          <w:sz w:val="24"/>
        </w:rPr>
        <w:t>报价一经涂改，应在涂改处加盖供应商公章或者由</w:t>
      </w:r>
      <w:r>
        <w:rPr>
          <w:rFonts w:hint="eastAsia" w:ascii="宋体" w:hAnsi="宋体" w:eastAsia="宋体" w:cs="宋体"/>
          <w:color w:val="auto"/>
          <w:sz w:val="24"/>
          <w:lang w:eastAsia="zh-CN"/>
        </w:rPr>
        <w:t>法定代表人（或负责人）或者委托代理人</w:t>
      </w:r>
      <w:r>
        <w:rPr>
          <w:rFonts w:hint="eastAsia" w:ascii="宋体" w:hAnsi="宋体" w:eastAsia="宋体" w:cs="宋体"/>
          <w:color w:val="auto"/>
          <w:sz w:val="24"/>
        </w:rPr>
        <w:t>签字或者盖章</w:t>
      </w:r>
      <w:r>
        <w:rPr>
          <w:rFonts w:hint="eastAsia" w:ascii="宋体" w:hAnsi="宋体" w:eastAsia="宋体" w:cs="宋体"/>
          <w:b/>
          <w:color w:val="auto"/>
          <w:sz w:val="24"/>
        </w:rPr>
        <w:t>，否则其响应文件按无效响应处理。</w:t>
      </w:r>
    </w:p>
    <w:p w14:paraId="7E3E22DF">
      <w:pPr>
        <w:spacing w:line="360" w:lineRule="auto"/>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3.如为联合体竞标，“供应商名称”处必须列明联合体各方名称，标注联合体牵头人名称，</w:t>
      </w:r>
      <w:r>
        <w:rPr>
          <w:rFonts w:hint="eastAsia" w:ascii="宋体" w:hAnsi="宋体" w:eastAsia="宋体" w:cs="宋体"/>
          <w:b/>
          <w:color w:val="auto"/>
          <w:sz w:val="24"/>
        </w:rPr>
        <w:t>否则其响应文件按无效响应处理。（采购人可根据项目情况自行修改是否需要联合体各方签字盖章）。</w:t>
      </w:r>
    </w:p>
    <w:p w14:paraId="6C0E2AAB">
      <w:pPr>
        <w:spacing w:line="360" w:lineRule="auto"/>
        <w:ind w:firstLine="480" w:firstLineChars="200"/>
        <w:contextualSpacing/>
        <w:jc w:val="left"/>
        <w:rPr>
          <w:rFonts w:hint="eastAsia" w:ascii="宋体" w:hAnsi="宋体" w:eastAsia="宋体" w:cs="宋体"/>
          <w:color w:val="auto"/>
          <w:sz w:val="24"/>
        </w:rPr>
      </w:pPr>
      <w:r>
        <w:rPr>
          <w:rFonts w:hint="eastAsia" w:ascii="宋体" w:hAnsi="宋体" w:eastAsia="宋体" w:cs="宋体"/>
          <w:color w:val="auto"/>
          <w:sz w:val="24"/>
        </w:rPr>
        <w:t>4.如为联合体竞标，盖章处须加盖联合体各方公章，</w:t>
      </w:r>
      <w:bookmarkStart w:id="43" w:name="_Hlk65851776"/>
      <w:r>
        <w:rPr>
          <w:rFonts w:hint="eastAsia" w:ascii="宋体" w:hAnsi="宋体" w:eastAsia="宋体" w:cs="宋体"/>
          <w:b/>
          <w:color w:val="auto"/>
          <w:sz w:val="24"/>
        </w:rPr>
        <w:t>否则其响应文件按无效响应处理。</w:t>
      </w:r>
      <w:bookmarkEnd w:id="43"/>
      <w:r>
        <w:rPr>
          <w:rFonts w:hint="eastAsia" w:ascii="宋体" w:hAnsi="宋体" w:eastAsia="宋体" w:cs="宋体"/>
          <w:b/>
          <w:color w:val="auto"/>
          <w:sz w:val="24"/>
        </w:rPr>
        <w:t>（采购人可根据项目情况自行修改是否需要联合体各方签字盖章）。</w:t>
      </w:r>
    </w:p>
    <w:p w14:paraId="75619E1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pacing w:val="-6"/>
          <w:sz w:val="24"/>
        </w:rPr>
        <w:t>如有多分标，分别列明各分标的报价表，</w:t>
      </w:r>
      <w:r>
        <w:rPr>
          <w:rFonts w:hint="eastAsia" w:ascii="宋体" w:hAnsi="宋体" w:eastAsia="宋体" w:cs="宋体"/>
          <w:b/>
          <w:color w:val="auto"/>
          <w:spacing w:val="-6"/>
          <w:sz w:val="24"/>
        </w:rPr>
        <w:t>否则其响应文件按无效响应处理。</w:t>
      </w:r>
    </w:p>
    <w:p w14:paraId="5A01036A">
      <w:pPr>
        <w:snapToGrid w:val="0"/>
        <w:spacing w:before="156" w:beforeLines="50" w:line="360" w:lineRule="auto"/>
        <w:ind w:right="480" w:firstLine="2640" w:firstLineChars="1100"/>
        <w:rPr>
          <w:rFonts w:hint="eastAsia" w:ascii="宋体" w:hAnsi="宋体" w:eastAsia="宋体" w:cs="宋体"/>
          <w:color w:val="auto"/>
          <w:sz w:val="24"/>
        </w:rPr>
      </w:pPr>
      <w:r>
        <w:rPr>
          <w:rFonts w:hint="eastAsia" w:ascii="宋体" w:hAnsi="宋体" w:eastAsia="宋体" w:cs="宋体"/>
          <w:color w:val="auto"/>
          <w:sz w:val="24"/>
          <w:lang w:eastAsia="zh-CN"/>
        </w:rPr>
        <w:t>法定代表人（或负责人）或者委托代理人</w:t>
      </w:r>
      <w:r>
        <w:rPr>
          <w:rFonts w:hint="eastAsia" w:ascii="宋体" w:hAnsi="宋体" w:eastAsia="宋体" w:cs="宋体"/>
          <w:color w:val="auto"/>
          <w:sz w:val="24"/>
        </w:rPr>
        <w:t>（签字</w:t>
      </w:r>
      <w:r>
        <w:rPr>
          <w:rFonts w:hint="eastAsia" w:ascii="宋体" w:hAnsi="宋体" w:eastAsia="宋体" w:cs="宋体"/>
          <w:color w:val="auto"/>
          <w:sz w:val="24"/>
          <w:lang w:eastAsia="zh-CN"/>
        </w:rPr>
        <w:t>）</w:t>
      </w:r>
      <w:r>
        <w:rPr>
          <w:rFonts w:hint="eastAsia" w:ascii="宋体" w:hAnsi="宋体" w:eastAsia="宋体" w:cs="宋体"/>
          <w:color w:val="auto"/>
          <w:sz w:val="24"/>
        </w:rPr>
        <w:t xml:space="preserve">：                 </w:t>
      </w:r>
    </w:p>
    <w:p w14:paraId="390B25EE">
      <w:pPr>
        <w:spacing w:line="360" w:lineRule="auto"/>
        <w:ind w:right="-817" w:rightChars="-389" w:firstLine="2640" w:firstLineChars="1100"/>
        <w:contextualSpacing/>
        <w:rPr>
          <w:rFonts w:hint="eastAsia"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p>
    <w:p w14:paraId="50317CAA">
      <w:pPr>
        <w:spacing w:line="360" w:lineRule="auto"/>
        <w:ind w:right="-817" w:rightChars="-389" w:firstLine="4080" w:firstLineChars="1700"/>
        <w:contextualSpacing/>
        <w:rPr>
          <w:rFonts w:hint="eastAsia" w:ascii="宋体" w:hAnsi="宋体" w:eastAsia="宋体" w:cs="宋体"/>
          <w:b/>
          <w:color w:val="auto"/>
          <w:sz w:val="24"/>
        </w:rPr>
      </w:pPr>
      <w:r>
        <w:rPr>
          <w:rFonts w:hint="eastAsia" w:ascii="宋体" w:hAnsi="宋体" w:eastAsia="宋体" w:cs="宋体"/>
          <w:color w:val="auto"/>
          <w:sz w:val="24"/>
        </w:rPr>
        <w:t>日期：   年   月   日</w:t>
      </w:r>
    </w:p>
    <w:p w14:paraId="144C4BBA">
      <w:pPr>
        <w:spacing w:before="312" w:beforeLines="100" w:after="156" w:afterLines="50" w:line="520" w:lineRule="exact"/>
        <w:jc w:val="center"/>
        <w:rPr>
          <w:rFonts w:hint="eastAsia" w:ascii="宋体" w:hAnsi="宋体" w:eastAsia="宋体" w:cs="宋体"/>
          <w:b/>
          <w:bCs w:val="0"/>
          <w:color w:val="auto"/>
          <w:sz w:val="44"/>
          <w:szCs w:val="44"/>
          <w:lang w:eastAsia="zh-CN"/>
        </w:rPr>
      </w:pPr>
      <w:r>
        <w:rPr>
          <w:rFonts w:hint="eastAsia" w:ascii="宋体" w:hAnsi="宋体" w:eastAsia="宋体" w:cs="宋体"/>
          <w:b/>
          <w:bCs w:val="0"/>
          <w:color w:val="auto"/>
          <w:sz w:val="44"/>
          <w:szCs w:val="44"/>
          <w:lang w:eastAsia="zh-CN"/>
        </w:rPr>
        <w:t>已标价的工程量清单</w:t>
      </w:r>
    </w:p>
    <w:p w14:paraId="3BB2DF03">
      <w:pPr>
        <w:numPr>
          <w:ilvl w:val="0"/>
          <w:numId w:val="0"/>
        </w:numPr>
        <w:spacing w:before="312" w:beforeLines="100" w:after="156" w:afterLines="50" w:line="520" w:lineRule="exact"/>
        <w:jc w:val="both"/>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CN"/>
        </w:rPr>
        <w:t>含工程量清单计价表和综合单价分析表、主要材料价格表。</w:t>
      </w:r>
    </w:p>
    <w:p w14:paraId="2801054C">
      <w:pPr>
        <w:numPr>
          <w:ilvl w:val="0"/>
          <w:numId w:val="0"/>
        </w:numPr>
        <w:spacing w:before="312" w:beforeLines="100" w:after="156" w:afterLines="50" w:line="520" w:lineRule="exact"/>
        <w:jc w:val="both"/>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2、已</w:t>
      </w:r>
      <w:r>
        <w:rPr>
          <w:rFonts w:hint="eastAsia" w:ascii="宋体" w:hAnsi="宋体" w:eastAsia="宋体" w:cs="宋体"/>
          <w:b w:val="0"/>
          <w:bCs/>
          <w:color w:val="auto"/>
          <w:sz w:val="21"/>
          <w:szCs w:val="21"/>
          <w:lang w:eastAsia="zh-CN"/>
        </w:rPr>
        <w:t>标价的工程量清单必须加盖电子签章。</w:t>
      </w:r>
    </w:p>
    <w:p w14:paraId="5E3DC5D6">
      <w:pPr>
        <w:spacing w:before="312" w:beforeLines="100" w:after="156" w:afterLines="50" w:line="520" w:lineRule="exact"/>
        <w:ind w:left="540"/>
        <w:jc w:val="center"/>
        <w:rPr>
          <w:rFonts w:hint="eastAsia" w:ascii="宋体" w:hAnsi="宋体" w:eastAsia="宋体" w:cs="宋体"/>
          <w:bCs/>
          <w:color w:val="auto"/>
          <w:sz w:val="44"/>
          <w:szCs w:val="44"/>
        </w:rPr>
      </w:pPr>
    </w:p>
    <w:p w14:paraId="50D65F4C">
      <w:pPr>
        <w:spacing w:before="312" w:beforeLines="100" w:after="156" w:afterLines="50" w:line="520" w:lineRule="exact"/>
        <w:ind w:left="540"/>
        <w:jc w:val="center"/>
        <w:rPr>
          <w:rFonts w:hint="eastAsia" w:ascii="宋体" w:hAnsi="宋体" w:eastAsia="宋体" w:cs="宋体"/>
          <w:bCs/>
          <w:color w:val="auto"/>
          <w:sz w:val="44"/>
          <w:szCs w:val="44"/>
        </w:rPr>
      </w:pPr>
    </w:p>
    <w:p w14:paraId="40EC24F6">
      <w:pPr>
        <w:spacing w:before="312" w:beforeLines="100" w:after="156" w:afterLines="50" w:line="520" w:lineRule="exact"/>
        <w:ind w:left="540"/>
        <w:jc w:val="center"/>
        <w:rPr>
          <w:rFonts w:hint="eastAsia" w:ascii="宋体" w:hAnsi="宋体" w:eastAsia="宋体" w:cs="宋体"/>
          <w:bCs/>
          <w:color w:val="auto"/>
          <w:sz w:val="44"/>
          <w:szCs w:val="44"/>
        </w:rPr>
      </w:pPr>
    </w:p>
    <w:p w14:paraId="3B3B8168">
      <w:pPr>
        <w:spacing w:before="312" w:beforeLines="100" w:after="156" w:afterLines="50" w:line="520" w:lineRule="exact"/>
        <w:ind w:left="540"/>
        <w:jc w:val="center"/>
        <w:rPr>
          <w:rFonts w:hint="eastAsia" w:ascii="宋体" w:hAnsi="宋体" w:eastAsia="宋体" w:cs="宋体"/>
          <w:bCs/>
          <w:color w:val="auto"/>
          <w:sz w:val="44"/>
          <w:szCs w:val="44"/>
        </w:rPr>
      </w:pPr>
    </w:p>
    <w:p w14:paraId="224CD4E4">
      <w:pPr>
        <w:spacing w:before="312" w:beforeLines="100" w:after="156" w:afterLines="50" w:line="520" w:lineRule="exact"/>
        <w:ind w:left="540"/>
        <w:jc w:val="center"/>
        <w:rPr>
          <w:rFonts w:hint="eastAsia" w:ascii="宋体" w:hAnsi="宋体" w:eastAsia="宋体" w:cs="宋体"/>
          <w:bCs/>
          <w:color w:val="auto"/>
          <w:sz w:val="44"/>
          <w:szCs w:val="44"/>
        </w:rPr>
      </w:pPr>
    </w:p>
    <w:p w14:paraId="7B0EEEA2">
      <w:pPr>
        <w:spacing w:before="312" w:beforeLines="100" w:after="156" w:afterLines="50" w:line="520" w:lineRule="exact"/>
        <w:ind w:left="540"/>
        <w:jc w:val="center"/>
        <w:rPr>
          <w:rFonts w:hint="eastAsia" w:ascii="宋体" w:hAnsi="宋体" w:eastAsia="宋体" w:cs="宋体"/>
          <w:bCs/>
          <w:color w:val="auto"/>
          <w:sz w:val="44"/>
          <w:szCs w:val="44"/>
        </w:rPr>
      </w:pPr>
    </w:p>
    <w:p w14:paraId="3F14AA49">
      <w:pPr>
        <w:spacing w:before="312" w:beforeLines="100" w:after="156" w:afterLines="50" w:line="520" w:lineRule="exact"/>
        <w:ind w:left="540"/>
        <w:jc w:val="center"/>
        <w:rPr>
          <w:rFonts w:hint="eastAsia" w:ascii="宋体" w:hAnsi="宋体" w:eastAsia="宋体" w:cs="宋体"/>
          <w:bCs/>
          <w:color w:val="auto"/>
          <w:sz w:val="44"/>
          <w:szCs w:val="44"/>
        </w:rPr>
      </w:pPr>
    </w:p>
    <w:p w14:paraId="79EC7007">
      <w:pPr>
        <w:spacing w:before="312" w:beforeLines="100" w:after="156" w:afterLines="50" w:line="520" w:lineRule="exact"/>
        <w:ind w:left="540"/>
        <w:jc w:val="center"/>
        <w:rPr>
          <w:rFonts w:hint="eastAsia" w:ascii="宋体" w:hAnsi="宋体" w:eastAsia="宋体" w:cs="宋体"/>
          <w:bCs/>
          <w:color w:val="auto"/>
          <w:sz w:val="44"/>
          <w:szCs w:val="44"/>
        </w:rPr>
      </w:pPr>
    </w:p>
    <w:p w14:paraId="102B699E">
      <w:pPr>
        <w:spacing w:before="312" w:beforeLines="100" w:after="156" w:afterLines="50" w:line="520" w:lineRule="exact"/>
        <w:ind w:left="540"/>
        <w:jc w:val="center"/>
        <w:rPr>
          <w:rFonts w:hint="eastAsia" w:ascii="宋体" w:hAnsi="宋体" w:eastAsia="宋体" w:cs="宋体"/>
          <w:bCs/>
          <w:color w:val="auto"/>
          <w:sz w:val="44"/>
          <w:szCs w:val="44"/>
        </w:rPr>
      </w:pPr>
    </w:p>
    <w:p w14:paraId="0BA91B4F">
      <w:pPr>
        <w:spacing w:before="312" w:beforeLines="100" w:after="156" w:afterLines="50" w:line="520" w:lineRule="exact"/>
        <w:ind w:left="540"/>
        <w:jc w:val="center"/>
        <w:rPr>
          <w:rFonts w:hint="eastAsia" w:ascii="宋体" w:hAnsi="宋体" w:eastAsia="宋体" w:cs="宋体"/>
          <w:bCs/>
          <w:color w:val="auto"/>
          <w:sz w:val="44"/>
          <w:szCs w:val="44"/>
        </w:rPr>
      </w:pPr>
    </w:p>
    <w:p w14:paraId="12D48951">
      <w:pPr>
        <w:spacing w:before="312" w:beforeLines="100" w:after="156" w:afterLines="50" w:line="520" w:lineRule="exact"/>
        <w:ind w:left="540"/>
        <w:jc w:val="center"/>
        <w:rPr>
          <w:rFonts w:hint="eastAsia" w:ascii="宋体" w:hAnsi="宋体" w:eastAsia="宋体" w:cs="宋体"/>
          <w:bCs/>
          <w:color w:val="auto"/>
          <w:sz w:val="44"/>
          <w:szCs w:val="44"/>
        </w:rPr>
      </w:pPr>
    </w:p>
    <w:p w14:paraId="3E23B8F9">
      <w:pPr>
        <w:spacing w:before="312" w:beforeLines="100" w:after="156" w:afterLines="50" w:line="520" w:lineRule="exact"/>
        <w:ind w:left="540"/>
        <w:jc w:val="center"/>
        <w:rPr>
          <w:rFonts w:hint="eastAsia" w:ascii="宋体" w:hAnsi="宋体" w:eastAsia="宋体" w:cs="宋体"/>
          <w:bCs/>
          <w:color w:val="auto"/>
          <w:sz w:val="44"/>
          <w:szCs w:val="44"/>
        </w:rPr>
      </w:pPr>
    </w:p>
    <w:p w14:paraId="44568074">
      <w:pPr>
        <w:spacing w:before="312" w:beforeLines="100" w:after="156" w:afterLines="50" w:line="520" w:lineRule="exact"/>
        <w:ind w:left="540"/>
        <w:jc w:val="center"/>
        <w:rPr>
          <w:rFonts w:hint="eastAsia" w:ascii="宋体" w:hAnsi="宋体" w:eastAsia="宋体" w:cs="宋体"/>
          <w:bCs/>
          <w:color w:val="auto"/>
          <w:sz w:val="44"/>
          <w:szCs w:val="44"/>
        </w:rPr>
      </w:pPr>
    </w:p>
    <w:p w14:paraId="49D637D5">
      <w:pPr>
        <w:spacing w:before="312" w:beforeLines="100" w:after="156" w:afterLines="50" w:line="520" w:lineRule="exact"/>
        <w:jc w:val="both"/>
        <w:rPr>
          <w:rFonts w:hint="eastAsia" w:ascii="宋体" w:hAnsi="宋体" w:eastAsia="宋体" w:cs="宋体"/>
          <w:bCs/>
          <w:color w:val="auto"/>
          <w:sz w:val="44"/>
          <w:szCs w:val="44"/>
        </w:rPr>
      </w:pPr>
    </w:p>
    <w:p w14:paraId="077B3841">
      <w:pPr>
        <w:snapToGrid w:val="0"/>
        <w:spacing w:before="156" w:beforeLines="50" w:after="50" w:line="360" w:lineRule="auto"/>
        <w:ind w:right="480"/>
        <w:rPr>
          <w:rFonts w:hint="eastAsia" w:ascii="宋体" w:hAnsi="宋体" w:eastAsia="宋体" w:cs="宋体"/>
          <w:b/>
          <w:color w:val="auto"/>
          <w:sz w:val="32"/>
          <w:szCs w:val="32"/>
        </w:rPr>
      </w:pPr>
      <w:r>
        <w:rPr>
          <w:rFonts w:hint="eastAsia" w:ascii="宋体" w:hAnsi="宋体" w:eastAsia="宋体" w:cs="宋体"/>
          <w:b/>
          <w:bCs/>
          <w:color w:val="auto"/>
          <w:sz w:val="32"/>
          <w:szCs w:val="32"/>
          <w:lang w:eastAsia="zh-CN"/>
        </w:rPr>
        <w:t>三</w:t>
      </w:r>
      <w:r>
        <w:rPr>
          <w:rFonts w:hint="eastAsia" w:ascii="宋体" w:hAnsi="宋体" w:eastAsia="宋体" w:cs="宋体"/>
          <w:b/>
          <w:bCs/>
          <w:color w:val="auto"/>
          <w:sz w:val="32"/>
          <w:szCs w:val="32"/>
        </w:rPr>
        <w:t>、</w:t>
      </w:r>
      <w:r>
        <w:rPr>
          <w:rFonts w:hint="eastAsia" w:ascii="宋体" w:hAnsi="宋体" w:eastAsia="宋体" w:cs="宋体"/>
          <w:b/>
          <w:color w:val="auto"/>
          <w:sz w:val="32"/>
          <w:szCs w:val="32"/>
        </w:rPr>
        <w:t>商务技术文件格式</w:t>
      </w:r>
    </w:p>
    <w:p w14:paraId="5EB3FE13">
      <w:pPr>
        <w:snapToGrid w:val="0"/>
        <w:spacing w:before="156" w:beforeLines="50" w:after="50" w:line="360" w:lineRule="auto"/>
        <w:jc w:val="left"/>
        <w:rPr>
          <w:rFonts w:hint="eastAsia" w:ascii="宋体" w:hAnsi="宋体" w:eastAsia="宋体" w:cs="宋体"/>
          <w:b/>
          <w:color w:val="auto"/>
          <w:sz w:val="32"/>
          <w:szCs w:val="32"/>
        </w:rPr>
      </w:pPr>
      <w:r>
        <w:rPr>
          <w:rFonts w:hint="eastAsia" w:ascii="宋体" w:hAnsi="宋体" w:eastAsia="宋体" w:cs="宋体"/>
          <w:b/>
          <w:color w:val="auto"/>
          <w:sz w:val="32"/>
          <w:szCs w:val="32"/>
        </w:rPr>
        <w:t>1.商务技术文件封面格式</w:t>
      </w:r>
    </w:p>
    <w:p w14:paraId="5B19487A">
      <w:pPr>
        <w:snapToGrid w:val="0"/>
        <w:spacing w:before="156"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p>
    <w:p w14:paraId="3ACB100B">
      <w:pPr>
        <w:snapToGrid w:val="0"/>
        <w:spacing w:before="156" w:beforeLines="50" w:after="50"/>
        <w:rPr>
          <w:rFonts w:hint="eastAsia" w:ascii="宋体" w:hAnsi="宋体" w:eastAsia="宋体" w:cs="宋体"/>
          <w:color w:val="auto"/>
          <w:sz w:val="24"/>
          <w:szCs w:val="20"/>
        </w:rPr>
      </w:pPr>
    </w:p>
    <w:p w14:paraId="270F84DD">
      <w:pPr>
        <w:snapToGrid w:val="0"/>
        <w:spacing w:before="156" w:beforeLines="50" w:after="50"/>
        <w:jc w:val="center"/>
        <w:rPr>
          <w:rFonts w:hint="eastAsia" w:ascii="宋体" w:hAnsi="宋体" w:eastAsia="宋体" w:cs="宋体"/>
          <w:bCs/>
          <w:color w:val="auto"/>
          <w:sz w:val="84"/>
          <w:szCs w:val="84"/>
        </w:rPr>
      </w:pPr>
      <w:r>
        <w:rPr>
          <w:rFonts w:hint="eastAsia" w:ascii="宋体" w:hAnsi="宋体" w:eastAsia="宋体" w:cs="宋体"/>
          <w:bCs/>
          <w:color w:val="auto"/>
          <w:sz w:val="84"/>
          <w:szCs w:val="84"/>
        </w:rPr>
        <w:t>响  应  文  件</w:t>
      </w:r>
    </w:p>
    <w:p w14:paraId="71F12A7F">
      <w:pPr>
        <w:snapToGrid w:val="0"/>
        <w:spacing w:before="156" w:beforeLines="50" w:after="50"/>
        <w:jc w:val="center"/>
        <w:rPr>
          <w:rFonts w:hint="eastAsia" w:ascii="宋体" w:hAnsi="宋体" w:eastAsia="宋体" w:cs="宋体"/>
          <w:b/>
          <w:bCs w:val="0"/>
          <w:color w:val="auto"/>
          <w:sz w:val="32"/>
          <w:szCs w:val="32"/>
        </w:rPr>
      </w:pPr>
    </w:p>
    <w:p w14:paraId="7B9B54F2">
      <w:pPr>
        <w:snapToGrid w:val="0"/>
        <w:spacing w:before="156" w:beforeLines="50" w:after="5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商  务  技  术  文  件</w:t>
      </w:r>
    </w:p>
    <w:p w14:paraId="2C2EBFB3">
      <w:pPr>
        <w:snapToGrid w:val="0"/>
        <w:spacing w:before="156" w:beforeLines="50" w:after="50"/>
        <w:rPr>
          <w:rFonts w:hint="eastAsia" w:ascii="宋体" w:hAnsi="宋体" w:eastAsia="宋体" w:cs="宋体"/>
          <w:b/>
          <w:bCs w:val="0"/>
          <w:color w:val="auto"/>
          <w:sz w:val="24"/>
          <w:szCs w:val="20"/>
        </w:rPr>
      </w:pPr>
    </w:p>
    <w:p w14:paraId="089B2D4B">
      <w:pPr>
        <w:snapToGrid w:val="0"/>
        <w:spacing w:before="156" w:beforeLines="50" w:after="50"/>
        <w:rPr>
          <w:rFonts w:hint="eastAsia" w:ascii="宋体" w:hAnsi="宋体" w:eastAsia="宋体" w:cs="宋体"/>
          <w:b/>
          <w:bCs w:val="0"/>
          <w:color w:val="auto"/>
          <w:sz w:val="24"/>
          <w:szCs w:val="20"/>
        </w:rPr>
      </w:pPr>
    </w:p>
    <w:p w14:paraId="2B83E6AC">
      <w:pPr>
        <w:snapToGrid w:val="0"/>
        <w:spacing w:before="156" w:beforeLines="50" w:after="50"/>
        <w:rPr>
          <w:rFonts w:hint="eastAsia" w:ascii="宋体" w:hAnsi="宋体" w:eastAsia="宋体" w:cs="宋体"/>
          <w:b/>
          <w:bCs w:val="0"/>
          <w:color w:val="auto"/>
          <w:sz w:val="24"/>
          <w:szCs w:val="20"/>
        </w:rPr>
      </w:pPr>
    </w:p>
    <w:p w14:paraId="5D90329E">
      <w:pPr>
        <w:snapToGrid w:val="0"/>
        <w:spacing w:before="156" w:beforeLines="50" w:after="50"/>
        <w:rPr>
          <w:rFonts w:hint="eastAsia" w:ascii="宋体" w:hAnsi="宋体" w:eastAsia="宋体" w:cs="宋体"/>
          <w:b/>
          <w:bCs w:val="0"/>
          <w:color w:val="auto"/>
          <w:sz w:val="24"/>
          <w:szCs w:val="20"/>
        </w:rPr>
      </w:pPr>
    </w:p>
    <w:p w14:paraId="747FF1CB">
      <w:pPr>
        <w:snapToGrid w:val="0"/>
        <w:spacing w:before="156" w:beforeLines="50" w:after="50"/>
        <w:rPr>
          <w:rFonts w:hint="eastAsia" w:ascii="宋体" w:hAnsi="宋体" w:eastAsia="宋体" w:cs="宋体"/>
          <w:b/>
          <w:bCs w:val="0"/>
          <w:color w:val="auto"/>
          <w:sz w:val="24"/>
          <w:szCs w:val="20"/>
        </w:rPr>
      </w:pPr>
    </w:p>
    <w:p w14:paraId="5EB8C5D4">
      <w:pPr>
        <w:snapToGrid w:val="0"/>
        <w:spacing w:before="156" w:beforeLines="50" w:after="50"/>
        <w:ind w:firstLine="643" w:firstLineChars="20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项目名称：</w:t>
      </w:r>
    </w:p>
    <w:p w14:paraId="44AABEA0">
      <w:pPr>
        <w:snapToGrid w:val="0"/>
        <w:spacing w:before="156" w:beforeLines="50" w:after="50"/>
        <w:ind w:firstLine="723" w:firstLineChars="225"/>
        <w:rPr>
          <w:rFonts w:hint="eastAsia" w:ascii="宋体" w:hAnsi="宋体" w:eastAsia="宋体" w:cs="宋体"/>
          <w:b/>
          <w:bCs w:val="0"/>
          <w:color w:val="auto"/>
          <w:sz w:val="32"/>
          <w:szCs w:val="32"/>
        </w:rPr>
      </w:pPr>
    </w:p>
    <w:p w14:paraId="47CA4EF1">
      <w:pPr>
        <w:snapToGrid w:val="0"/>
        <w:spacing w:before="156" w:beforeLines="50" w:after="50"/>
        <w:ind w:firstLine="643" w:firstLineChars="20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项目编号：</w:t>
      </w:r>
    </w:p>
    <w:p w14:paraId="09F6DA76">
      <w:pPr>
        <w:snapToGrid w:val="0"/>
        <w:spacing w:before="156" w:beforeLines="50" w:after="50"/>
        <w:ind w:firstLine="723" w:firstLineChars="225"/>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 </w:t>
      </w:r>
    </w:p>
    <w:p w14:paraId="2010B30F">
      <w:pPr>
        <w:snapToGrid w:val="0"/>
        <w:spacing w:before="156" w:beforeLines="50" w:after="50"/>
        <w:ind w:firstLine="643" w:firstLineChars="20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所竞分标：(如有则填写，无分标时填写“无”或者留空）</w:t>
      </w:r>
    </w:p>
    <w:p w14:paraId="6B25D3E5">
      <w:pPr>
        <w:snapToGrid w:val="0"/>
        <w:spacing w:before="156" w:beforeLines="50" w:after="50"/>
        <w:ind w:firstLine="723" w:firstLineChars="225"/>
        <w:rPr>
          <w:rFonts w:hint="eastAsia" w:ascii="宋体" w:hAnsi="宋体" w:eastAsia="宋体" w:cs="宋体"/>
          <w:b/>
          <w:bCs w:val="0"/>
          <w:color w:val="auto"/>
          <w:sz w:val="32"/>
          <w:szCs w:val="32"/>
        </w:rPr>
      </w:pPr>
    </w:p>
    <w:p w14:paraId="2F9DE521">
      <w:pPr>
        <w:pStyle w:val="7"/>
        <w:snapToGrid w:val="0"/>
        <w:spacing w:before="50" w:after="50"/>
        <w:ind w:firstLine="643" w:firstLineChars="20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供应商名称：</w:t>
      </w:r>
    </w:p>
    <w:p w14:paraId="213BBFC4">
      <w:pPr>
        <w:pStyle w:val="7"/>
        <w:snapToGrid w:val="0"/>
        <w:spacing w:before="50" w:after="50"/>
        <w:ind w:firstLine="723" w:firstLineChars="225"/>
        <w:rPr>
          <w:rFonts w:hint="eastAsia" w:ascii="宋体" w:hAnsi="宋体" w:eastAsia="宋体" w:cs="宋体"/>
          <w:b/>
          <w:bCs w:val="0"/>
          <w:color w:val="auto"/>
          <w:sz w:val="32"/>
          <w:szCs w:val="32"/>
        </w:rPr>
      </w:pPr>
    </w:p>
    <w:p w14:paraId="6C67D10A">
      <w:pPr>
        <w:pStyle w:val="7"/>
        <w:snapToGrid w:val="0"/>
        <w:spacing w:before="50" w:after="50"/>
        <w:ind w:firstLine="723" w:firstLineChars="225"/>
        <w:rPr>
          <w:rFonts w:hint="eastAsia" w:ascii="宋体" w:hAnsi="宋体" w:eastAsia="宋体" w:cs="宋体"/>
          <w:b/>
          <w:bCs w:val="0"/>
          <w:color w:val="auto"/>
          <w:sz w:val="32"/>
          <w:szCs w:val="32"/>
        </w:rPr>
      </w:pPr>
    </w:p>
    <w:p w14:paraId="542788FB">
      <w:pPr>
        <w:pStyle w:val="7"/>
        <w:snapToGrid w:val="0"/>
        <w:spacing w:before="50" w:after="50"/>
        <w:ind w:firstLine="1285" w:firstLineChars="400"/>
        <w:rPr>
          <w:rFonts w:hint="eastAsia" w:ascii="宋体" w:hAnsi="宋体" w:eastAsia="宋体" w:cs="宋体"/>
          <w:b/>
          <w:bCs w:val="0"/>
          <w:color w:val="auto"/>
          <w:sz w:val="32"/>
          <w:szCs w:val="32"/>
        </w:rPr>
      </w:pPr>
    </w:p>
    <w:p w14:paraId="147A790E">
      <w:pPr>
        <w:snapToGrid w:val="0"/>
        <w:spacing w:before="156" w:beforeLines="50" w:after="5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年    月    日</w:t>
      </w:r>
    </w:p>
    <w:p w14:paraId="48040881">
      <w:pPr>
        <w:snapToGrid w:val="0"/>
        <w:spacing w:before="156" w:beforeLines="50" w:after="50" w:line="360" w:lineRule="auto"/>
        <w:ind w:left="142"/>
        <w:jc w:val="left"/>
        <w:rPr>
          <w:rFonts w:hint="eastAsia" w:ascii="宋体" w:hAnsi="宋体" w:eastAsia="宋体" w:cs="宋体"/>
          <w:b/>
          <w:bCs/>
          <w:color w:val="auto"/>
          <w:sz w:val="24"/>
        </w:rPr>
      </w:pPr>
      <w:r>
        <w:rPr>
          <w:rFonts w:hint="eastAsia" w:ascii="宋体" w:hAnsi="宋体" w:eastAsia="宋体" w:cs="宋体"/>
          <w:color w:val="auto"/>
          <w:sz w:val="24"/>
        </w:rPr>
        <w:br w:type="page"/>
      </w:r>
      <w:r>
        <w:rPr>
          <w:rFonts w:hint="eastAsia" w:ascii="宋体" w:hAnsi="宋体" w:eastAsia="宋体" w:cs="宋体"/>
          <w:b/>
          <w:bCs/>
          <w:color w:val="auto"/>
          <w:sz w:val="32"/>
          <w:szCs w:val="32"/>
        </w:rPr>
        <w:t>2.商务技术文件目录</w:t>
      </w:r>
    </w:p>
    <w:p w14:paraId="3AD36AC7">
      <w:pPr>
        <w:snapToGrid w:val="0"/>
        <w:spacing w:before="156" w:beforeLines="50" w:after="50" w:line="36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根据磋商文件规定及供应商提供的材料自行编写目录（部分格式后附）。</w:t>
      </w:r>
    </w:p>
    <w:p w14:paraId="625B7569">
      <w:pPr>
        <w:spacing w:line="400" w:lineRule="exact"/>
        <w:rPr>
          <w:rFonts w:hint="eastAsia" w:ascii="宋体" w:hAnsi="宋体" w:eastAsia="宋体" w:cs="宋体"/>
          <w:color w:val="auto"/>
          <w:sz w:val="32"/>
          <w:szCs w:val="32"/>
        </w:rPr>
      </w:pPr>
    </w:p>
    <w:p w14:paraId="332B418A">
      <w:pPr>
        <w:spacing w:line="520" w:lineRule="exact"/>
        <w:jc w:val="center"/>
        <w:rPr>
          <w:rFonts w:hint="eastAsia" w:ascii="宋体" w:hAnsi="宋体" w:eastAsia="宋体" w:cs="宋体"/>
          <w:b/>
          <w:bCs/>
          <w:color w:val="auto"/>
          <w:sz w:val="32"/>
          <w:szCs w:val="32"/>
        </w:rPr>
      </w:pPr>
      <w:r>
        <w:rPr>
          <w:rFonts w:hint="eastAsia" w:ascii="宋体" w:hAnsi="宋体" w:eastAsia="宋体" w:cs="宋体"/>
          <w:color w:val="auto"/>
          <w:sz w:val="44"/>
          <w:szCs w:val="44"/>
        </w:rPr>
        <w:br w:type="page"/>
      </w:r>
      <w:r>
        <w:rPr>
          <w:rFonts w:hint="eastAsia" w:ascii="宋体" w:hAnsi="宋体" w:eastAsia="宋体" w:cs="宋体"/>
          <w:b/>
          <w:bCs/>
          <w:color w:val="auto"/>
          <w:sz w:val="44"/>
          <w:szCs w:val="44"/>
        </w:rPr>
        <w:t>无串通竞标行为的承诺函</w:t>
      </w:r>
    </w:p>
    <w:p w14:paraId="6ACBCD82">
      <w:pPr>
        <w:spacing w:line="360" w:lineRule="auto"/>
        <w:ind w:firstLine="640" w:firstLineChars="200"/>
        <w:contextualSpacing/>
        <w:rPr>
          <w:rFonts w:hint="eastAsia" w:ascii="宋体" w:hAnsi="宋体" w:eastAsia="宋体" w:cs="宋体"/>
          <w:color w:val="auto"/>
          <w:sz w:val="32"/>
          <w:szCs w:val="32"/>
        </w:rPr>
      </w:pPr>
    </w:p>
    <w:p w14:paraId="29D17A36">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一、我方承诺无下列相互串通竞标的情形：</w:t>
      </w:r>
    </w:p>
    <w:p w14:paraId="7960CA6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 xml:space="preserve">1.不同供应商的响应文件由同一单位或者个人编制； </w:t>
      </w:r>
    </w:p>
    <w:p w14:paraId="720B6D4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2.不同供应商委托同一单位或者个人办理竞标事宜；</w:t>
      </w:r>
    </w:p>
    <w:p w14:paraId="058F504E">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3.不同供应商的响应文件载明的项目管理员为同一个人；</w:t>
      </w:r>
    </w:p>
    <w:p w14:paraId="30BC97E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4.不</w:t>
      </w:r>
      <w:r>
        <w:rPr>
          <w:rFonts w:hint="eastAsia" w:ascii="宋体" w:hAnsi="宋体" w:eastAsia="宋体" w:cs="宋体"/>
          <w:color w:val="auto"/>
          <w:spacing w:val="-6"/>
          <w:sz w:val="24"/>
        </w:rPr>
        <w:t>同供应商的响应文件异常一致或者竞标报价呈规律性差异；</w:t>
      </w:r>
    </w:p>
    <w:p w14:paraId="5A39E54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5.不同供应商的响应文件相互混装；</w:t>
      </w:r>
    </w:p>
    <w:p w14:paraId="599D67CE">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6.不同供应商的磋商保证金从同一单位或者个人账户转出。</w:t>
      </w:r>
    </w:p>
    <w:p w14:paraId="02870D7F">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二、我方承诺无下列恶意串通的情形：</w:t>
      </w:r>
    </w:p>
    <w:p w14:paraId="34A0F4F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1.供应商直接或者间接从采购人或者采购代理机构处获得其他供应商的相关信息并修改其响应文件；</w:t>
      </w:r>
    </w:p>
    <w:p w14:paraId="22344FA3">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2.供应商按照采购人或者采购代理机构的授意撤换、修改响应文件；</w:t>
      </w:r>
    </w:p>
    <w:p w14:paraId="57F6A52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3.供</w:t>
      </w:r>
      <w:r>
        <w:rPr>
          <w:rFonts w:hint="eastAsia" w:ascii="宋体" w:hAnsi="宋体" w:eastAsia="宋体" w:cs="宋体"/>
          <w:color w:val="auto"/>
          <w:spacing w:val="-6"/>
          <w:sz w:val="24"/>
        </w:rPr>
        <w:t>应商之间协商报价、技术方案等响应文件的实质性内容；</w:t>
      </w:r>
    </w:p>
    <w:p w14:paraId="5778606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4.属于同一集团、协会、商会等组织成员的供应商按照该组织要求协同参加政府采购活动；</w:t>
      </w:r>
    </w:p>
    <w:p w14:paraId="4DC56EB9">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5.供应商之间事先约定一致抬高或者压低竞标报价，或者在竞争性磋商项目中事先约定轮流以高价位或者低价位成交，或者事先约定由某一特定供应商成交，然后再参加竞标；</w:t>
      </w:r>
    </w:p>
    <w:p w14:paraId="44B6989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6.供应商之间商定部分供应商放弃参加政府采购活动或者放弃成交；</w:t>
      </w:r>
    </w:p>
    <w:p w14:paraId="76572CF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7.供应商与采购人或者采购代理机构之间、供应商相互之间，为</w:t>
      </w:r>
      <w:r>
        <w:rPr>
          <w:rFonts w:hint="eastAsia" w:ascii="宋体" w:hAnsi="宋体" w:eastAsia="宋体" w:cs="宋体"/>
          <w:color w:val="auto"/>
          <w:spacing w:val="-6"/>
          <w:sz w:val="24"/>
        </w:rPr>
        <w:t>谋求特定供应商成交或者排斥其他供应商的其他串通行为。</w:t>
      </w:r>
    </w:p>
    <w:p w14:paraId="5A786EF7">
      <w:pPr>
        <w:spacing w:line="360" w:lineRule="auto"/>
        <w:ind w:firstLine="480" w:firstLineChars="200"/>
        <w:contextualSpacing/>
        <w:rPr>
          <w:rFonts w:hint="eastAsia" w:ascii="宋体" w:hAnsi="宋体" w:eastAsia="宋体" w:cs="宋体"/>
          <w:color w:val="auto"/>
          <w:sz w:val="24"/>
        </w:rPr>
      </w:pPr>
    </w:p>
    <w:p w14:paraId="68044754">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以上情形一经核查属实，我方愿意承担一切后果，并不再寻求任何旨在减轻或者免除法律责任的辩解。</w:t>
      </w:r>
    </w:p>
    <w:p w14:paraId="5EA66D8E">
      <w:pPr>
        <w:spacing w:line="360" w:lineRule="auto"/>
        <w:contextualSpacing/>
        <w:rPr>
          <w:rFonts w:hint="eastAsia" w:ascii="宋体" w:hAnsi="宋体" w:eastAsia="宋体" w:cs="宋体"/>
          <w:color w:val="auto"/>
          <w:sz w:val="24"/>
        </w:rPr>
      </w:pPr>
    </w:p>
    <w:p w14:paraId="701BAACC">
      <w:pPr>
        <w:spacing w:line="360" w:lineRule="auto"/>
        <w:ind w:firstLine="3600" w:firstLineChars="1500"/>
        <w:contextualSpacing/>
        <w:rPr>
          <w:rFonts w:hint="eastAsia" w:ascii="宋体" w:hAnsi="宋体" w:eastAsia="宋体" w:cs="宋体"/>
          <w:color w:val="auto"/>
          <w:sz w:val="24"/>
        </w:rPr>
      </w:pPr>
      <w:r>
        <w:rPr>
          <w:rFonts w:hint="eastAsia" w:ascii="宋体" w:hAnsi="宋体" w:eastAsia="宋体" w:cs="宋体"/>
          <w:color w:val="auto"/>
          <w:sz w:val="24"/>
        </w:rPr>
        <w:t>供应商（盖公章）：</w:t>
      </w:r>
    </w:p>
    <w:p w14:paraId="68D169C7">
      <w:pPr>
        <w:spacing w:line="360" w:lineRule="auto"/>
        <w:ind w:firstLine="480" w:firstLineChars="200"/>
        <w:contextualSpacing/>
        <w:jc w:val="center"/>
        <w:rPr>
          <w:rFonts w:hint="eastAsia" w:ascii="宋体" w:hAnsi="宋体" w:eastAsia="宋体" w:cs="宋体"/>
          <w:color w:val="auto"/>
          <w:sz w:val="32"/>
          <w:szCs w:val="32"/>
        </w:rPr>
      </w:pPr>
      <w:r>
        <w:rPr>
          <w:rFonts w:hint="eastAsia" w:ascii="宋体" w:hAnsi="宋体" w:eastAsia="宋体" w:cs="宋体"/>
          <w:color w:val="auto"/>
          <w:sz w:val="24"/>
        </w:rPr>
        <w:t xml:space="preserve">                               年   月   日</w:t>
      </w:r>
    </w:p>
    <w:p w14:paraId="2F22EE07">
      <w:pPr>
        <w:numPr>
          <w:ilvl w:val="0"/>
          <w:numId w:val="0"/>
        </w:numPr>
        <w:spacing w:before="312" w:beforeLines="100" w:after="156" w:afterLines="50" w:line="520" w:lineRule="exact"/>
        <w:jc w:val="both"/>
        <w:rPr>
          <w:rFonts w:hint="eastAsia" w:ascii="宋体" w:hAnsi="宋体" w:eastAsia="宋体" w:cs="宋体"/>
          <w:b w:val="0"/>
          <w:bCs/>
          <w:color w:val="auto"/>
          <w:sz w:val="21"/>
          <w:szCs w:val="21"/>
          <w:lang w:eastAsia="zh-CN"/>
        </w:rPr>
      </w:pPr>
    </w:p>
    <w:p w14:paraId="799936F3">
      <w:pPr>
        <w:spacing w:before="312" w:beforeLines="100" w:after="156" w:afterLines="50" w:line="520" w:lineRule="exact"/>
        <w:ind w:left="540"/>
        <w:jc w:val="center"/>
        <w:rPr>
          <w:rFonts w:hint="eastAsia" w:ascii="宋体" w:hAnsi="宋体" w:eastAsia="宋体" w:cs="宋体"/>
          <w:bCs/>
          <w:color w:val="auto"/>
          <w:sz w:val="44"/>
          <w:szCs w:val="44"/>
        </w:rPr>
      </w:pPr>
    </w:p>
    <w:p w14:paraId="7D37AEB4">
      <w:pPr>
        <w:spacing w:before="312" w:beforeLines="100" w:after="156" w:afterLines="50" w:line="520" w:lineRule="exact"/>
        <w:ind w:left="54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44"/>
          <w:szCs w:val="44"/>
        </w:rPr>
        <w:t>法定代表人身份证明</w:t>
      </w:r>
    </w:p>
    <w:p w14:paraId="10EF5603">
      <w:pPr>
        <w:spacing w:line="360" w:lineRule="auto"/>
        <w:ind w:left="540"/>
        <w:contextualSpacing/>
        <w:rPr>
          <w:rFonts w:hint="eastAsia" w:ascii="宋体" w:hAnsi="宋体" w:eastAsia="宋体" w:cs="宋体"/>
          <w:color w:val="auto"/>
          <w:sz w:val="32"/>
          <w:szCs w:val="32"/>
        </w:rPr>
      </w:pPr>
    </w:p>
    <w:p w14:paraId="3EB64A9A">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p>
    <w:p w14:paraId="21284039">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26C9950D">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6EBE1810">
      <w:pPr>
        <w:spacing w:line="360" w:lineRule="auto"/>
        <w:ind w:left="540"/>
        <w:contextualSpacing/>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0E537CD7">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2A1AA69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供应商名称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的法定代表人。</w:t>
      </w:r>
    </w:p>
    <w:p w14:paraId="77816BEA">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特此证明。</w:t>
      </w:r>
    </w:p>
    <w:p w14:paraId="620E1914">
      <w:pPr>
        <w:spacing w:line="360" w:lineRule="auto"/>
        <w:ind w:left="540"/>
        <w:contextualSpacing/>
        <w:rPr>
          <w:rFonts w:hint="eastAsia" w:ascii="宋体" w:hAnsi="宋体" w:eastAsia="宋体" w:cs="宋体"/>
          <w:color w:val="auto"/>
          <w:sz w:val="24"/>
        </w:rPr>
      </w:pPr>
    </w:p>
    <w:p w14:paraId="5FCB583E">
      <w:pPr>
        <w:spacing w:line="360" w:lineRule="auto"/>
        <w:ind w:left="540"/>
        <w:contextualSpacing/>
        <w:rPr>
          <w:rFonts w:hint="eastAsia" w:ascii="宋体" w:hAnsi="宋体" w:eastAsia="宋体" w:cs="宋体"/>
          <w:color w:val="auto"/>
          <w:sz w:val="24"/>
        </w:rPr>
      </w:pPr>
    </w:p>
    <w:p w14:paraId="387F643C">
      <w:pPr>
        <w:spacing w:line="360" w:lineRule="auto"/>
        <w:ind w:left="540"/>
        <w:contextualSpacing/>
        <w:rPr>
          <w:rFonts w:hint="eastAsia" w:ascii="宋体" w:hAnsi="宋体" w:eastAsia="宋体" w:cs="宋体"/>
          <w:color w:val="auto"/>
          <w:sz w:val="24"/>
        </w:rPr>
      </w:pPr>
    </w:p>
    <w:p w14:paraId="7D3AA5F5">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附件：法定代表人有效身份证正反面复印件</w:t>
      </w:r>
    </w:p>
    <w:p w14:paraId="02E2B596">
      <w:pPr>
        <w:spacing w:line="360" w:lineRule="auto"/>
        <w:ind w:left="540"/>
        <w:contextualSpacing/>
        <w:rPr>
          <w:rFonts w:hint="eastAsia" w:ascii="宋体" w:hAnsi="宋体" w:eastAsia="宋体" w:cs="宋体"/>
          <w:color w:val="auto"/>
          <w:sz w:val="24"/>
        </w:rPr>
      </w:pPr>
    </w:p>
    <w:p w14:paraId="3442DB53">
      <w:pPr>
        <w:spacing w:line="360" w:lineRule="auto"/>
        <w:ind w:left="540"/>
        <w:contextualSpacing/>
        <w:jc w:val="right"/>
        <w:rPr>
          <w:rFonts w:hint="eastAsia" w:ascii="宋体" w:hAnsi="宋体" w:eastAsia="宋体" w:cs="宋体"/>
          <w:color w:val="auto"/>
          <w:sz w:val="24"/>
        </w:rPr>
      </w:pPr>
      <w:r>
        <w:rPr>
          <w:rFonts w:hint="eastAsia" w:ascii="宋体" w:hAnsi="宋体" w:eastAsia="宋体" w:cs="宋体"/>
          <w:color w:val="auto"/>
          <w:sz w:val="24"/>
        </w:rPr>
        <w:t>供应商（盖公章）：</w:t>
      </w:r>
      <w:r>
        <w:rPr>
          <w:rFonts w:hint="eastAsia" w:ascii="宋体" w:hAnsi="宋体" w:eastAsia="宋体" w:cs="宋体"/>
          <w:color w:val="auto"/>
          <w:sz w:val="24"/>
          <w:u w:val="single"/>
        </w:rPr>
        <w:t xml:space="preserve">               </w:t>
      </w:r>
    </w:p>
    <w:p w14:paraId="326C6469">
      <w:pPr>
        <w:spacing w:line="360" w:lineRule="auto"/>
        <w:ind w:firstLine="4080" w:firstLineChars="1700"/>
        <w:contextualSpacing/>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A2D3C22">
      <w:pPr>
        <w:spacing w:line="360" w:lineRule="auto"/>
        <w:contextualSpacing/>
        <w:jc w:val="center"/>
        <w:rPr>
          <w:rFonts w:hint="eastAsia" w:ascii="宋体" w:hAnsi="宋体" w:eastAsia="宋体" w:cs="宋体"/>
          <w:b/>
          <w:color w:val="auto"/>
          <w:sz w:val="24"/>
        </w:rPr>
      </w:pPr>
    </w:p>
    <w:p w14:paraId="61AC8C92">
      <w:pPr>
        <w:spacing w:line="360" w:lineRule="auto"/>
        <w:contextualSpacing/>
        <w:jc w:val="left"/>
        <w:rPr>
          <w:rFonts w:hint="eastAsia" w:ascii="宋体" w:hAnsi="宋体" w:eastAsia="宋体" w:cs="宋体"/>
          <w:color w:val="auto"/>
          <w:sz w:val="24"/>
        </w:rPr>
      </w:pPr>
    </w:p>
    <w:p w14:paraId="2685EE0A">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注：自然人竞标的无需提供，联合体竞标的只需牵头人出具。</w:t>
      </w:r>
    </w:p>
    <w:p w14:paraId="20920948">
      <w:pPr>
        <w:adjustRightInd w:val="0"/>
        <w:snapToGrid w:val="0"/>
        <w:spacing w:line="300" w:lineRule="auto"/>
        <w:jc w:val="left"/>
        <w:rPr>
          <w:rFonts w:hint="eastAsia" w:ascii="宋体" w:hAnsi="宋体" w:eastAsia="宋体" w:cs="宋体"/>
          <w:b/>
          <w:color w:val="auto"/>
          <w:szCs w:val="21"/>
        </w:rPr>
      </w:pPr>
    </w:p>
    <w:p w14:paraId="776646C3">
      <w:pPr>
        <w:spacing w:line="500" w:lineRule="exact"/>
        <w:jc w:val="center"/>
        <w:rPr>
          <w:rFonts w:hint="eastAsia" w:ascii="宋体" w:hAnsi="宋体" w:eastAsia="宋体" w:cs="宋体"/>
          <w:b/>
          <w:bCs/>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bCs/>
          <w:color w:val="auto"/>
          <w:sz w:val="44"/>
          <w:szCs w:val="44"/>
        </w:rPr>
        <w:t>授权委托书</w:t>
      </w:r>
    </w:p>
    <w:p w14:paraId="48A42A1D">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（非联合体竞标格式）</w:t>
      </w:r>
    </w:p>
    <w:p w14:paraId="38409322">
      <w:pPr>
        <w:spacing w:line="520" w:lineRule="exact"/>
        <w:jc w:val="center"/>
        <w:rPr>
          <w:rFonts w:hint="eastAsia" w:ascii="宋体" w:hAnsi="宋体" w:eastAsia="宋体" w:cs="宋体"/>
          <w:color w:val="auto"/>
          <w:sz w:val="44"/>
          <w:szCs w:val="44"/>
        </w:rPr>
      </w:pPr>
      <w:r>
        <w:rPr>
          <w:rFonts w:hint="eastAsia" w:ascii="宋体" w:hAnsi="宋体" w:eastAsia="宋体" w:cs="宋体"/>
          <w:color w:val="auto"/>
          <w:sz w:val="32"/>
          <w:szCs w:val="32"/>
        </w:rPr>
        <w:t>（如有委托时）</w:t>
      </w:r>
    </w:p>
    <w:p w14:paraId="31767A16">
      <w:pPr>
        <w:spacing w:line="520" w:lineRule="exact"/>
        <w:rPr>
          <w:rFonts w:hint="eastAsia" w:ascii="宋体" w:hAnsi="宋体" w:eastAsia="宋体" w:cs="宋体"/>
          <w:color w:val="auto"/>
          <w:sz w:val="32"/>
          <w:szCs w:val="32"/>
        </w:rPr>
      </w:pPr>
    </w:p>
    <w:p w14:paraId="42C57B8D">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3683AE3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（供应商名称）  </w:t>
      </w:r>
      <w:r>
        <w:rPr>
          <w:rFonts w:hint="eastAsia" w:ascii="宋体" w:hAnsi="宋体" w:eastAsia="宋体" w:cs="宋体"/>
          <w:color w:val="auto"/>
          <w:sz w:val="24"/>
        </w:rPr>
        <w:t>的（</w:t>
      </w:r>
      <w:r>
        <w:rPr>
          <w:rFonts w:hint="eastAsia" w:ascii="宋体" w:hAnsi="宋体" w:eastAsia="宋体" w:cs="宋体"/>
          <w:color w:val="auto"/>
          <w:sz w:val="24"/>
          <w:u w:val="single"/>
        </w:rPr>
        <w:t>法定代表人/负责人/自然人本人</w:t>
      </w:r>
      <w:r>
        <w:rPr>
          <w:rFonts w:hint="eastAsia" w:ascii="宋体" w:hAnsi="宋体" w:eastAsia="宋体" w:cs="宋体"/>
          <w:color w:val="auto"/>
          <w:sz w:val="24"/>
        </w:rPr>
        <w:t>），现授权</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以我方的名义参加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项目的竞标活动，并代表我方全权办理针对上述项目的所有采购程序和环节的具体事务和签署相关文件。</w:t>
      </w:r>
    </w:p>
    <w:p w14:paraId="3D96EBF4">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我方对委托代理人的签字事项负全部责任。</w:t>
      </w:r>
    </w:p>
    <w:p w14:paraId="2304CB4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09203DB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1DD618A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附：法定代表人身份证明及委托代理人有效身份证正反面复印件</w:t>
      </w:r>
    </w:p>
    <w:p w14:paraId="49252665">
      <w:pPr>
        <w:spacing w:line="360" w:lineRule="auto"/>
        <w:rPr>
          <w:rFonts w:hint="eastAsia" w:ascii="宋体" w:hAnsi="宋体" w:eastAsia="宋体" w:cs="宋体"/>
          <w:color w:val="auto"/>
          <w:sz w:val="24"/>
        </w:rPr>
      </w:pPr>
    </w:p>
    <w:p w14:paraId="64AE2AAE">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委托代理人（签字）：         法定代表人（签字或者盖章）：                    </w:t>
      </w:r>
    </w:p>
    <w:p w14:paraId="50230A1F">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委托代理人身份证号码：                              </w:t>
      </w:r>
    </w:p>
    <w:p w14:paraId="252438FC">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7F91A222">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供应商（盖公章）：                      </w:t>
      </w:r>
    </w:p>
    <w:p w14:paraId="2FA1BDBF">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1E274ACF">
      <w:pPr>
        <w:spacing w:line="360" w:lineRule="auto"/>
        <w:rPr>
          <w:rFonts w:hint="eastAsia" w:ascii="宋体" w:hAnsi="宋体" w:eastAsia="宋体" w:cs="宋体"/>
          <w:color w:val="auto"/>
          <w:sz w:val="24"/>
        </w:rPr>
      </w:pPr>
    </w:p>
    <w:p w14:paraId="6B3A1DFE">
      <w:pPr>
        <w:spacing w:line="360" w:lineRule="auto"/>
        <w:rPr>
          <w:rFonts w:hint="eastAsia" w:ascii="宋体" w:hAnsi="宋体" w:eastAsia="宋体" w:cs="宋体"/>
          <w:color w:val="auto"/>
          <w:sz w:val="24"/>
        </w:rPr>
      </w:pPr>
      <w:r>
        <w:rPr>
          <w:rFonts w:hint="eastAsia" w:ascii="宋体" w:hAnsi="宋体" w:eastAsia="宋体" w:cs="宋体"/>
          <w:color w:val="auto"/>
          <w:sz w:val="24"/>
        </w:rPr>
        <w:t>注：1. 法定代表人必须在授权委托书上亲笔签字或者盖章，委托代理人必须在授权委托书上亲笔签字，</w:t>
      </w:r>
      <w:r>
        <w:rPr>
          <w:rFonts w:hint="eastAsia" w:ascii="宋体" w:hAnsi="宋体" w:eastAsia="宋体" w:cs="宋体"/>
          <w:b/>
          <w:color w:val="auto"/>
          <w:sz w:val="24"/>
        </w:rPr>
        <w:t>否则其响应文件按无效响应处理。</w:t>
      </w:r>
    </w:p>
    <w:p w14:paraId="63B21772">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2.法人、其他组织竞标时“我方”是指“我单位”，自然人竞标时“我方”是指“本人”。</w:t>
      </w:r>
    </w:p>
    <w:p w14:paraId="597424CB">
      <w:pPr>
        <w:spacing w:line="360" w:lineRule="auto"/>
        <w:ind w:firstLine="420" w:firstLineChars="200"/>
        <w:jc w:val="left"/>
        <w:rPr>
          <w:rFonts w:hint="eastAsia" w:ascii="宋体" w:hAnsi="宋体" w:eastAsia="宋体" w:cs="宋体"/>
          <w:color w:val="auto"/>
          <w:szCs w:val="21"/>
        </w:rPr>
      </w:pPr>
    </w:p>
    <w:p w14:paraId="2A24CA4A">
      <w:pPr>
        <w:spacing w:line="500" w:lineRule="exact"/>
        <w:jc w:val="center"/>
        <w:rPr>
          <w:rFonts w:hint="eastAsia" w:ascii="宋体" w:hAnsi="宋体" w:eastAsia="宋体" w:cs="宋体"/>
          <w:color w:val="auto"/>
          <w:sz w:val="44"/>
          <w:szCs w:val="44"/>
        </w:rPr>
      </w:pPr>
      <w:r>
        <w:rPr>
          <w:rFonts w:hint="eastAsia" w:ascii="宋体" w:hAnsi="宋体" w:eastAsia="宋体" w:cs="宋体"/>
          <w:color w:val="auto"/>
          <w:szCs w:val="21"/>
        </w:rPr>
        <w:br w:type="page"/>
      </w:r>
      <w:r>
        <w:rPr>
          <w:rFonts w:hint="eastAsia" w:ascii="宋体" w:hAnsi="宋体" w:eastAsia="宋体" w:cs="宋体"/>
          <w:b/>
          <w:bCs/>
          <w:color w:val="auto"/>
          <w:sz w:val="44"/>
          <w:szCs w:val="44"/>
        </w:rPr>
        <w:t>授权委托书</w:t>
      </w:r>
    </w:p>
    <w:p w14:paraId="120DF80C">
      <w:pPr>
        <w:spacing w:line="50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（联合体竞标格式）</w:t>
      </w:r>
    </w:p>
    <w:p w14:paraId="0EF020EB">
      <w:pPr>
        <w:spacing w:line="500" w:lineRule="exact"/>
        <w:jc w:val="center"/>
        <w:rPr>
          <w:rFonts w:hint="eastAsia" w:ascii="宋体" w:hAnsi="宋体" w:eastAsia="宋体" w:cs="宋体"/>
          <w:color w:val="auto"/>
          <w:sz w:val="44"/>
          <w:szCs w:val="44"/>
        </w:rPr>
      </w:pPr>
      <w:r>
        <w:rPr>
          <w:rFonts w:hint="eastAsia" w:ascii="宋体" w:hAnsi="宋体" w:eastAsia="宋体" w:cs="宋体"/>
          <w:color w:val="auto"/>
          <w:sz w:val="32"/>
          <w:szCs w:val="32"/>
        </w:rPr>
        <w:t>（如有委托时）</w:t>
      </w:r>
    </w:p>
    <w:p w14:paraId="199F3B86">
      <w:pPr>
        <w:spacing w:line="500" w:lineRule="exact"/>
        <w:jc w:val="center"/>
        <w:rPr>
          <w:rFonts w:hint="eastAsia" w:ascii="宋体" w:hAnsi="宋体" w:eastAsia="宋体" w:cs="宋体"/>
          <w:color w:val="auto"/>
          <w:sz w:val="44"/>
          <w:szCs w:val="44"/>
        </w:rPr>
      </w:pPr>
    </w:p>
    <w:p w14:paraId="5E55EC1C">
      <w:pPr>
        <w:spacing w:line="500" w:lineRule="exact"/>
        <w:jc w:val="center"/>
        <w:rPr>
          <w:rFonts w:hint="eastAsia" w:ascii="宋体" w:hAnsi="宋体" w:eastAsia="宋体" w:cs="宋体"/>
          <w:color w:val="auto"/>
          <w:sz w:val="32"/>
          <w:szCs w:val="32"/>
        </w:rPr>
      </w:pPr>
    </w:p>
    <w:p w14:paraId="163554C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本授权委托书声明：根据</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（牵头人名称）与</w:t>
      </w:r>
      <w:r>
        <w:rPr>
          <w:rFonts w:hint="eastAsia" w:ascii="宋体" w:hAnsi="宋体" w:eastAsia="宋体" w:cs="宋体"/>
          <w:color w:val="auto"/>
          <w:sz w:val="24"/>
          <w:u w:val="single"/>
        </w:rPr>
        <w:t xml:space="preserve">              </w:t>
      </w:r>
      <w:r>
        <w:rPr>
          <w:rFonts w:hint="eastAsia" w:ascii="宋体" w:hAnsi="宋体" w:eastAsia="宋体" w:cs="宋体"/>
          <w:color w:val="auto"/>
          <w:sz w:val="24"/>
        </w:rPr>
        <w:t>（联合体其他成员名称）签订的《联合体竞标协议书》的内容，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（牵头人名称）的法定代表人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（姓名）现授权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（姓名）为联合委托代理人，并代表我方全权办理针对上述项目的所有采购程序和环节的具体事务和签署相关文件。</w:t>
      </w:r>
    </w:p>
    <w:p w14:paraId="778DEEC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我方对委托代理人的签字事项负全部责任。</w:t>
      </w:r>
    </w:p>
    <w:p w14:paraId="2091FFD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455E841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466D7DFB">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附：法定代表人身份证明及委托代理人有效身份证正反面复印件</w:t>
      </w:r>
    </w:p>
    <w:p w14:paraId="2B2211F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牵头人法定代表人（签字或者盖章）：</w:t>
      </w:r>
    </w:p>
    <w:p w14:paraId="4F8BD3FC">
      <w:pPr>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牵头人（盖公章）：</w:t>
      </w:r>
    </w:p>
    <w:p w14:paraId="19D30387">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0809071B">
      <w:pPr>
        <w:spacing w:line="360" w:lineRule="auto"/>
        <w:rPr>
          <w:rFonts w:hint="eastAsia" w:ascii="宋体" w:hAnsi="宋体" w:eastAsia="宋体" w:cs="宋体"/>
          <w:color w:val="auto"/>
          <w:sz w:val="24"/>
        </w:rPr>
      </w:pPr>
    </w:p>
    <w:p w14:paraId="48788EE7">
      <w:pPr>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被授权人（签字）：</w:t>
      </w:r>
    </w:p>
    <w:p w14:paraId="21DE6801">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7D4D0CF9">
      <w:pPr>
        <w:spacing w:line="360" w:lineRule="auto"/>
        <w:rPr>
          <w:rFonts w:hint="eastAsia" w:ascii="宋体" w:hAnsi="宋体" w:eastAsia="宋体" w:cs="宋体"/>
          <w:color w:val="auto"/>
          <w:sz w:val="24"/>
        </w:rPr>
      </w:pPr>
    </w:p>
    <w:p w14:paraId="56749F70">
      <w:pPr>
        <w:spacing w:line="360" w:lineRule="auto"/>
        <w:rPr>
          <w:rFonts w:hint="eastAsia" w:ascii="宋体" w:hAnsi="宋体" w:eastAsia="宋体" w:cs="宋体"/>
          <w:color w:val="auto"/>
          <w:sz w:val="24"/>
        </w:rPr>
      </w:pPr>
      <w:r>
        <w:rPr>
          <w:rFonts w:hint="eastAsia" w:ascii="宋体" w:hAnsi="宋体" w:eastAsia="宋体" w:cs="宋体"/>
          <w:color w:val="auto"/>
          <w:sz w:val="24"/>
        </w:rPr>
        <w:t>注：1. 法定代表人必须在授权委托书上亲笔签字或者盖章，委托代理人必须在授权委托书上亲笔签字，</w:t>
      </w:r>
      <w:r>
        <w:rPr>
          <w:rFonts w:hint="eastAsia" w:ascii="宋体" w:hAnsi="宋体" w:eastAsia="宋体" w:cs="宋体"/>
          <w:b/>
          <w:color w:val="auto"/>
          <w:sz w:val="24"/>
        </w:rPr>
        <w:t>否则其响应文件按无效响应处理。</w:t>
      </w:r>
    </w:p>
    <w:p w14:paraId="3F69D323">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2.本授权委托书应由联合体牵头人的法定代表人按上述规定签署。</w:t>
      </w:r>
    </w:p>
    <w:p w14:paraId="65646DF6">
      <w:pPr>
        <w:spacing w:line="360" w:lineRule="auto"/>
        <w:ind w:firstLine="480" w:firstLineChars="200"/>
        <w:jc w:val="left"/>
        <w:rPr>
          <w:rFonts w:hint="eastAsia" w:ascii="宋体" w:hAnsi="宋体" w:eastAsia="宋体" w:cs="宋体"/>
          <w:color w:val="auto"/>
          <w:spacing w:val="-11"/>
          <w:sz w:val="24"/>
        </w:rPr>
      </w:pPr>
      <w:r>
        <w:rPr>
          <w:rFonts w:hint="eastAsia" w:ascii="宋体" w:hAnsi="宋体" w:eastAsia="宋体" w:cs="宋体"/>
          <w:color w:val="auto"/>
          <w:sz w:val="24"/>
        </w:rPr>
        <w:t>3.</w:t>
      </w:r>
      <w:r>
        <w:rPr>
          <w:rFonts w:hint="eastAsia" w:ascii="宋体" w:hAnsi="宋体" w:eastAsia="宋体" w:cs="宋体"/>
          <w:color w:val="auto"/>
          <w:spacing w:val="-11"/>
          <w:sz w:val="24"/>
        </w:rPr>
        <w:t>法人、其他组织竞标时“我方”是指“我单位”，自然人竞标时“我方”是指“本人”。</w:t>
      </w:r>
    </w:p>
    <w:p w14:paraId="0079A180">
      <w:pPr>
        <w:adjustRightInd w:val="0"/>
        <w:snapToGrid w:val="0"/>
        <w:spacing w:line="520" w:lineRule="exact"/>
        <w:jc w:val="both"/>
        <w:rPr>
          <w:rFonts w:hint="eastAsia" w:ascii="宋体" w:hAnsi="宋体" w:eastAsia="宋体" w:cs="宋体"/>
          <w:color w:val="auto"/>
          <w:sz w:val="32"/>
          <w:szCs w:val="32"/>
        </w:rPr>
      </w:pPr>
    </w:p>
    <w:p w14:paraId="2511BC90">
      <w:pPr>
        <w:adjustRightInd w:val="0"/>
        <w:snapToGrid w:val="0"/>
        <w:spacing w:line="520" w:lineRule="exact"/>
        <w:jc w:val="center"/>
        <w:rPr>
          <w:rFonts w:hint="eastAsia" w:ascii="宋体" w:hAnsi="宋体" w:eastAsia="宋体" w:cs="宋体"/>
          <w:bCs/>
          <w:color w:val="auto"/>
          <w:sz w:val="36"/>
          <w:szCs w:val="36"/>
          <w:lang w:val="en-US" w:eastAsia="zh-CN"/>
        </w:rPr>
      </w:pPr>
    </w:p>
    <w:p w14:paraId="1929AFA5">
      <w:pPr>
        <w:adjustRightInd w:val="0"/>
        <w:snapToGrid w:val="0"/>
        <w:spacing w:line="520" w:lineRule="exact"/>
        <w:jc w:val="center"/>
        <w:rPr>
          <w:rFonts w:hint="eastAsia" w:ascii="宋体" w:hAnsi="宋体" w:eastAsia="宋体" w:cs="宋体"/>
          <w:bCs/>
          <w:color w:val="auto"/>
          <w:sz w:val="36"/>
          <w:szCs w:val="36"/>
          <w:lang w:val="en-US" w:eastAsia="zh-CN"/>
        </w:rPr>
      </w:pPr>
    </w:p>
    <w:p w14:paraId="14747DB1">
      <w:pPr>
        <w:adjustRightInd w:val="0"/>
        <w:snapToGrid w:val="0"/>
        <w:spacing w:line="520" w:lineRule="exact"/>
        <w:jc w:val="center"/>
        <w:rPr>
          <w:rFonts w:hint="eastAsia" w:ascii="宋体" w:hAnsi="宋体" w:eastAsia="宋体" w:cs="宋体"/>
          <w:bCs/>
          <w:color w:val="auto"/>
          <w:sz w:val="36"/>
          <w:szCs w:val="36"/>
          <w:lang w:val="en-US" w:eastAsia="zh-CN"/>
        </w:rPr>
      </w:pPr>
    </w:p>
    <w:p w14:paraId="79964F40">
      <w:pPr>
        <w:adjustRightInd w:val="0"/>
        <w:snapToGrid w:val="0"/>
        <w:spacing w:line="520" w:lineRule="exact"/>
        <w:jc w:val="center"/>
        <w:rPr>
          <w:rFonts w:hint="eastAsia" w:ascii="宋体" w:hAnsi="宋体" w:eastAsia="宋体" w:cs="宋体"/>
          <w:b/>
          <w:bCs w:val="0"/>
          <w:color w:val="auto"/>
          <w:sz w:val="36"/>
          <w:szCs w:val="36"/>
          <w:lang w:val="en-US" w:eastAsia="zh-CN"/>
        </w:rPr>
      </w:pPr>
      <w:r>
        <w:rPr>
          <w:rFonts w:hint="eastAsia" w:ascii="宋体" w:hAnsi="宋体" w:eastAsia="宋体" w:cs="宋体"/>
          <w:b/>
          <w:bCs w:val="0"/>
          <w:color w:val="auto"/>
          <w:sz w:val="36"/>
          <w:szCs w:val="36"/>
          <w:lang w:val="en-US" w:eastAsia="zh-CN"/>
        </w:rPr>
        <w:t>针对本项目的施工组织设计方案</w:t>
      </w:r>
    </w:p>
    <w:p w14:paraId="264D4D12">
      <w:pPr>
        <w:adjustRightInd w:val="0"/>
        <w:snapToGrid w:val="0"/>
        <w:spacing w:line="52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 xml:space="preserve">（格式自拟）   </w:t>
      </w:r>
    </w:p>
    <w:p w14:paraId="1AEE1296">
      <w:pPr>
        <w:adjustRightInd w:val="0"/>
        <w:snapToGrid w:val="0"/>
        <w:spacing w:line="520" w:lineRule="exact"/>
        <w:jc w:val="center"/>
        <w:rPr>
          <w:rFonts w:hint="eastAsia" w:ascii="宋体" w:hAnsi="宋体" w:eastAsia="宋体" w:cs="宋体"/>
          <w:bCs/>
          <w:color w:val="auto"/>
          <w:sz w:val="28"/>
          <w:szCs w:val="28"/>
          <w:lang w:val="en-US" w:eastAsia="zh-CN"/>
        </w:rPr>
      </w:pPr>
    </w:p>
    <w:p w14:paraId="0CE1AE03">
      <w:pPr>
        <w:adjustRightInd w:val="0"/>
        <w:snapToGrid w:val="0"/>
        <w:spacing w:line="520" w:lineRule="exact"/>
        <w:jc w:val="center"/>
        <w:rPr>
          <w:rFonts w:hint="eastAsia" w:ascii="宋体" w:hAnsi="宋体" w:eastAsia="宋体" w:cs="宋体"/>
          <w:bCs/>
          <w:color w:val="auto"/>
          <w:sz w:val="28"/>
          <w:szCs w:val="28"/>
          <w:lang w:val="en-US" w:eastAsia="zh-CN"/>
        </w:rPr>
      </w:pPr>
    </w:p>
    <w:p w14:paraId="224C3D24">
      <w:pPr>
        <w:adjustRightInd w:val="0"/>
        <w:snapToGrid w:val="0"/>
        <w:spacing w:line="520" w:lineRule="exact"/>
        <w:jc w:val="center"/>
        <w:rPr>
          <w:rFonts w:hint="eastAsia" w:ascii="宋体" w:hAnsi="宋体" w:eastAsia="宋体" w:cs="宋体"/>
          <w:bCs/>
          <w:color w:val="auto"/>
          <w:sz w:val="28"/>
          <w:szCs w:val="28"/>
          <w:lang w:val="en-US" w:eastAsia="zh-CN"/>
        </w:rPr>
      </w:pPr>
    </w:p>
    <w:p w14:paraId="0602056D">
      <w:pPr>
        <w:adjustRightInd w:val="0"/>
        <w:snapToGrid w:val="0"/>
        <w:spacing w:line="520" w:lineRule="exact"/>
        <w:jc w:val="center"/>
        <w:rPr>
          <w:rFonts w:hint="eastAsia" w:ascii="宋体" w:hAnsi="宋体" w:eastAsia="宋体" w:cs="宋体"/>
          <w:bCs/>
          <w:color w:val="auto"/>
          <w:sz w:val="28"/>
          <w:szCs w:val="28"/>
          <w:lang w:val="en-US" w:eastAsia="zh-CN"/>
        </w:rPr>
      </w:pPr>
    </w:p>
    <w:p w14:paraId="044EF4B0">
      <w:pPr>
        <w:adjustRightInd w:val="0"/>
        <w:snapToGrid w:val="0"/>
        <w:spacing w:line="520" w:lineRule="exact"/>
        <w:jc w:val="center"/>
        <w:rPr>
          <w:rFonts w:hint="eastAsia" w:ascii="宋体" w:hAnsi="宋体" w:eastAsia="宋体" w:cs="宋体"/>
          <w:bCs/>
          <w:color w:val="auto"/>
          <w:sz w:val="28"/>
          <w:szCs w:val="28"/>
          <w:lang w:val="en-US" w:eastAsia="zh-CN"/>
        </w:rPr>
      </w:pPr>
    </w:p>
    <w:p w14:paraId="4D4D1D2B">
      <w:pPr>
        <w:adjustRightInd w:val="0"/>
        <w:snapToGrid w:val="0"/>
        <w:spacing w:line="520" w:lineRule="exact"/>
        <w:jc w:val="center"/>
        <w:rPr>
          <w:rFonts w:hint="eastAsia" w:ascii="宋体" w:hAnsi="宋体" w:eastAsia="宋体" w:cs="宋体"/>
          <w:bCs/>
          <w:color w:val="auto"/>
          <w:sz w:val="28"/>
          <w:szCs w:val="28"/>
          <w:lang w:val="en-US" w:eastAsia="zh-CN"/>
        </w:rPr>
      </w:pPr>
    </w:p>
    <w:p w14:paraId="47311D58">
      <w:pPr>
        <w:adjustRightInd w:val="0"/>
        <w:snapToGrid w:val="0"/>
        <w:spacing w:line="520" w:lineRule="exact"/>
        <w:jc w:val="center"/>
        <w:rPr>
          <w:rFonts w:hint="eastAsia" w:ascii="宋体" w:hAnsi="宋体" w:eastAsia="宋体" w:cs="宋体"/>
          <w:bCs/>
          <w:color w:val="auto"/>
          <w:sz w:val="28"/>
          <w:szCs w:val="28"/>
          <w:lang w:val="en-US" w:eastAsia="zh-CN"/>
        </w:rPr>
      </w:pPr>
    </w:p>
    <w:p w14:paraId="2379786C">
      <w:pPr>
        <w:adjustRightInd w:val="0"/>
        <w:snapToGrid w:val="0"/>
        <w:spacing w:line="520" w:lineRule="exact"/>
        <w:jc w:val="center"/>
        <w:rPr>
          <w:rFonts w:hint="eastAsia" w:ascii="宋体" w:hAnsi="宋体" w:eastAsia="宋体" w:cs="宋体"/>
          <w:bCs/>
          <w:color w:val="auto"/>
          <w:sz w:val="28"/>
          <w:szCs w:val="28"/>
          <w:lang w:val="en-US" w:eastAsia="zh-CN"/>
        </w:rPr>
      </w:pPr>
    </w:p>
    <w:p w14:paraId="46F8AD8E">
      <w:pPr>
        <w:adjustRightInd w:val="0"/>
        <w:snapToGrid w:val="0"/>
        <w:spacing w:line="520" w:lineRule="exact"/>
        <w:jc w:val="center"/>
        <w:rPr>
          <w:rFonts w:hint="eastAsia" w:ascii="宋体" w:hAnsi="宋体" w:eastAsia="宋体" w:cs="宋体"/>
          <w:bCs/>
          <w:color w:val="auto"/>
          <w:sz w:val="28"/>
          <w:szCs w:val="28"/>
          <w:lang w:val="en-US" w:eastAsia="zh-CN"/>
        </w:rPr>
      </w:pPr>
    </w:p>
    <w:p w14:paraId="582B26D4">
      <w:pPr>
        <w:pStyle w:val="29"/>
        <w:rPr>
          <w:rFonts w:hint="eastAsia" w:ascii="宋体" w:hAnsi="宋体" w:eastAsia="宋体" w:cs="宋体"/>
          <w:bCs/>
          <w:color w:val="auto"/>
          <w:sz w:val="28"/>
          <w:szCs w:val="28"/>
          <w:lang w:val="en-US" w:eastAsia="zh-CN"/>
        </w:rPr>
      </w:pPr>
    </w:p>
    <w:p w14:paraId="27A7D927">
      <w:pPr>
        <w:pStyle w:val="29"/>
        <w:rPr>
          <w:rFonts w:hint="eastAsia" w:ascii="宋体" w:hAnsi="宋体" w:eastAsia="宋体" w:cs="宋体"/>
          <w:bCs/>
          <w:color w:val="auto"/>
          <w:sz w:val="28"/>
          <w:szCs w:val="28"/>
          <w:lang w:val="en-US" w:eastAsia="zh-CN"/>
        </w:rPr>
      </w:pPr>
    </w:p>
    <w:p w14:paraId="370945DE">
      <w:pPr>
        <w:pStyle w:val="29"/>
        <w:rPr>
          <w:rFonts w:hint="eastAsia" w:ascii="宋体" w:hAnsi="宋体" w:eastAsia="宋体" w:cs="宋体"/>
          <w:bCs/>
          <w:color w:val="auto"/>
          <w:sz w:val="28"/>
          <w:szCs w:val="28"/>
          <w:lang w:val="en-US" w:eastAsia="zh-CN"/>
        </w:rPr>
      </w:pPr>
    </w:p>
    <w:p w14:paraId="2E5FA7D0">
      <w:pPr>
        <w:pStyle w:val="29"/>
        <w:rPr>
          <w:rFonts w:hint="eastAsia" w:ascii="宋体" w:hAnsi="宋体" w:eastAsia="宋体" w:cs="宋体"/>
          <w:bCs/>
          <w:color w:val="auto"/>
          <w:sz w:val="28"/>
          <w:szCs w:val="28"/>
          <w:lang w:val="en-US" w:eastAsia="zh-CN"/>
        </w:rPr>
      </w:pPr>
    </w:p>
    <w:p w14:paraId="0C91B765">
      <w:pPr>
        <w:pStyle w:val="29"/>
        <w:rPr>
          <w:rFonts w:hint="eastAsia" w:ascii="宋体" w:hAnsi="宋体" w:eastAsia="宋体" w:cs="宋体"/>
          <w:bCs/>
          <w:color w:val="auto"/>
          <w:sz w:val="28"/>
          <w:szCs w:val="28"/>
          <w:lang w:val="en-US" w:eastAsia="zh-CN"/>
        </w:rPr>
      </w:pPr>
    </w:p>
    <w:p w14:paraId="672574C6">
      <w:pPr>
        <w:pStyle w:val="29"/>
        <w:rPr>
          <w:rFonts w:hint="eastAsia" w:ascii="宋体" w:hAnsi="宋体" w:eastAsia="宋体" w:cs="宋体"/>
          <w:bCs/>
          <w:color w:val="auto"/>
          <w:sz w:val="28"/>
          <w:szCs w:val="28"/>
          <w:lang w:val="en-US" w:eastAsia="zh-CN"/>
        </w:rPr>
      </w:pPr>
    </w:p>
    <w:p w14:paraId="485049A9">
      <w:pPr>
        <w:pStyle w:val="29"/>
        <w:rPr>
          <w:rFonts w:hint="eastAsia" w:ascii="宋体" w:hAnsi="宋体" w:eastAsia="宋体" w:cs="宋体"/>
          <w:bCs/>
          <w:color w:val="auto"/>
          <w:sz w:val="28"/>
          <w:szCs w:val="28"/>
          <w:lang w:val="en-US" w:eastAsia="zh-CN"/>
        </w:rPr>
      </w:pPr>
    </w:p>
    <w:p w14:paraId="06601F4E">
      <w:pPr>
        <w:pStyle w:val="29"/>
        <w:rPr>
          <w:rFonts w:hint="eastAsia" w:ascii="宋体" w:hAnsi="宋体" w:eastAsia="宋体" w:cs="宋体"/>
          <w:bCs/>
          <w:color w:val="auto"/>
          <w:sz w:val="28"/>
          <w:szCs w:val="28"/>
          <w:lang w:val="en-US" w:eastAsia="zh-CN"/>
        </w:rPr>
      </w:pPr>
    </w:p>
    <w:p w14:paraId="5FC2DAE1">
      <w:pPr>
        <w:pStyle w:val="29"/>
        <w:rPr>
          <w:rFonts w:hint="eastAsia" w:ascii="宋体" w:hAnsi="宋体" w:eastAsia="宋体" w:cs="宋体"/>
          <w:bCs/>
          <w:color w:val="auto"/>
          <w:sz w:val="28"/>
          <w:szCs w:val="28"/>
          <w:lang w:val="en-US" w:eastAsia="zh-CN"/>
        </w:rPr>
      </w:pPr>
    </w:p>
    <w:p w14:paraId="3F084847">
      <w:pPr>
        <w:pStyle w:val="29"/>
        <w:rPr>
          <w:rFonts w:hint="eastAsia" w:ascii="宋体" w:hAnsi="宋体" w:eastAsia="宋体" w:cs="宋体"/>
          <w:bCs/>
          <w:color w:val="auto"/>
          <w:sz w:val="28"/>
          <w:szCs w:val="28"/>
          <w:lang w:val="en-US" w:eastAsia="zh-CN"/>
        </w:rPr>
      </w:pPr>
    </w:p>
    <w:p w14:paraId="17ABC434">
      <w:pPr>
        <w:pStyle w:val="29"/>
        <w:rPr>
          <w:rFonts w:hint="eastAsia" w:ascii="宋体" w:hAnsi="宋体" w:eastAsia="宋体" w:cs="宋体"/>
          <w:bCs/>
          <w:color w:val="auto"/>
          <w:sz w:val="28"/>
          <w:szCs w:val="28"/>
          <w:lang w:val="en-US" w:eastAsia="zh-CN"/>
        </w:rPr>
      </w:pPr>
    </w:p>
    <w:p w14:paraId="0A5080E4">
      <w:pPr>
        <w:pStyle w:val="29"/>
        <w:rPr>
          <w:rFonts w:hint="eastAsia" w:ascii="宋体" w:hAnsi="宋体" w:eastAsia="宋体" w:cs="宋体"/>
          <w:bCs/>
          <w:color w:val="auto"/>
          <w:sz w:val="28"/>
          <w:szCs w:val="28"/>
          <w:lang w:val="en-US" w:eastAsia="zh-CN"/>
        </w:rPr>
      </w:pPr>
    </w:p>
    <w:p w14:paraId="54961A96">
      <w:pPr>
        <w:pStyle w:val="29"/>
        <w:rPr>
          <w:rFonts w:hint="eastAsia" w:ascii="宋体" w:hAnsi="宋体" w:eastAsia="宋体" w:cs="宋体"/>
          <w:bCs/>
          <w:color w:val="auto"/>
          <w:sz w:val="28"/>
          <w:szCs w:val="28"/>
          <w:lang w:val="en-US" w:eastAsia="zh-CN"/>
        </w:rPr>
      </w:pPr>
    </w:p>
    <w:p w14:paraId="49917976">
      <w:pPr>
        <w:adjustRightInd w:val="0"/>
        <w:snapToGrid w:val="0"/>
        <w:spacing w:line="520" w:lineRule="exact"/>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lang w:eastAsia="zh-CN"/>
        </w:rPr>
        <w:t>拟委任的项目经理资历表</w:t>
      </w:r>
    </w:p>
    <w:p w14:paraId="449E4DC4">
      <w:pPr>
        <w:pStyle w:val="7"/>
        <w:rPr>
          <w:rFonts w:hint="eastAsia" w:ascii="宋体" w:hAnsi="宋体" w:eastAsia="宋体" w:cs="宋体"/>
          <w:color w:val="auto"/>
          <w:lang w:eastAsia="zh-CN"/>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9"/>
        <w:gridCol w:w="213"/>
        <w:gridCol w:w="1469"/>
        <w:gridCol w:w="17"/>
        <w:gridCol w:w="1508"/>
        <w:gridCol w:w="990"/>
        <w:gridCol w:w="800"/>
        <w:gridCol w:w="399"/>
        <w:gridCol w:w="875"/>
        <w:gridCol w:w="487"/>
        <w:gridCol w:w="1041"/>
      </w:tblGrid>
      <w:tr w14:paraId="24CC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1099" w:type="dxa"/>
            <w:noWrap w:val="0"/>
            <w:vAlign w:val="center"/>
          </w:tcPr>
          <w:p w14:paraId="446E15A4">
            <w:pPr>
              <w:spacing w:line="560" w:lineRule="exact"/>
              <w:jc w:val="center"/>
              <w:rPr>
                <w:rFonts w:hint="eastAsia" w:ascii="宋体" w:hAnsi="宋体" w:eastAsia="宋体" w:cs="宋体"/>
                <w:color w:val="auto"/>
                <w:szCs w:val="21"/>
              </w:rPr>
            </w:pPr>
            <w:r>
              <w:rPr>
                <w:rFonts w:hint="eastAsia" w:ascii="宋体" w:hAnsi="宋体" w:eastAsia="宋体" w:cs="宋体"/>
                <w:color w:val="auto"/>
                <w:szCs w:val="21"/>
              </w:rPr>
              <w:t>姓 名</w:t>
            </w:r>
          </w:p>
        </w:tc>
        <w:tc>
          <w:tcPr>
            <w:tcW w:w="1699" w:type="dxa"/>
            <w:gridSpan w:val="3"/>
            <w:noWrap w:val="0"/>
            <w:vAlign w:val="center"/>
          </w:tcPr>
          <w:p w14:paraId="32168A4D">
            <w:pPr>
              <w:spacing w:line="560" w:lineRule="exact"/>
              <w:ind w:firstLine="420"/>
              <w:rPr>
                <w:rFonts w:hint="eastAsia" w:ascii="宋体" w:hAnsi="宋体" w:eastAsia="宋体" w:cs="宋体"/>
                <w:color w:val="auto"/>
                <w:szCs w:val="21"/>
              </w:rPr>
            </w:pPr>
          </w:p>
        </w:tc>
        <w:tc>
          <w:tcPr>
            <w:tcW w:w="1508" w:type="dxa"/>
            <w:noWrap w:val="0"/>
            <w:vAlign w:val="center"/>
          </w:tcPr>
          <w:p w14:paraId="68F8CEF0">
            <w:pPr>
              <w:spacing w:line="560" w:lineRule="exact"/>
              <w:jc w:val="center"/>
              <w:rPr>
                <w:rFonts w:hint="eastAsia" w:ascii="宋体" w:hAnsi="宋体" w:eastAsia="宋体" w:cs="宋体"/>
                <w:color w:val="auto"/>
                <w:szCs w:val="21"/>
              </w:rPr>
            </w:pPr>
            <w:r>
              <w:rPr>
                <w:rFonts w:hint="eastAsia" w:ascii="宋体" w:hAnsi="宋体" w:eastAsia="宋体" w:cs="宋体"/>
                <w:color w:val="auto"/>
                <w:szCs w:val="21"/>
              </w:rPr>
              <w:t>性 别</w:t>
            </w:r>
          </w:p>
        </w:tc>
        <w:tc>
          <w:tcPr>
            <w:tcW w:w="1790" w:type="dxa"/>
            <w:gridSpan w:val="2"/>
            <w:noWrap w:val="0"/>
            <w:vAlign w:val="center"/>
          </w:tcPr>
          <w:p w14:paraId="33260AAA">
            <w:pPr>
              <w:spacing w:line="560" w:lineRule="exact"/>
              <w:ind w:firstLine="420"/>
              <w:rPr>
                <w:rFonts w:hint="eastAsia" w:ascii="宋体" w:hAnsi="宋体" w:eastAsia="宋体" w:cs="宋体"/>
                <w:color w:val="auto"/>
                <w:szCs w:val="21"/>
              </w:rPr>
            </w:pPr>
          </w:p>
        </w:tc>
        <w:tc>
          <w:tcPr>
            <w:tcW w:w="1274" w:type="dxa"/>
            <w:gridSpan w:val="2"/>
            <w:noWrap w:val="0"/>
            <w:vAlign w:val="top"/>
          </w:tcPr>
          <w:p w14:paraId="39CDCA94">
            <w:pPr>
              <w:spacing w:line="560" w:lineRule="exact"/>
              <w:jc w:val="center"/>
              <w:rPr>
                <w:rFonts w:hint="eastAsia" w:ascii="宋体" w:hAnsi="宋体" w:eastAsia="宋体" w:cs="宋体"/>
                <w:color w:val="auto"/>
                <w:szCs w:val="21"/>
              </w:rPr>
            </w:pPr>
            <w:r>
              <w:rPr>
                <w:rFonts w:hint="eastAsia" w:ascii="宋体" w:hAnsi="宋体" w:eastAsia="宋体" w:cs="宋体"/>
                <w:color w:val="auto"/>
                <w:szCs w:val="21"/>
              </w:rPr>
              <w:t>年 龄</w:t>
            </w:r>
          </w:p>
        </w:tc>
        <w:tc>
          <w:tcPr>
            <w:tcW w:w="1528" w:type="dxa"/>
            <w:gridSpan w:val="2"/>
            <w:noWrap w:val="0"/>
            <w:vAlign w:val="top"/>
          </w:tcPr>
          <w:p w14:paraId="3ACBD297">
            <w:pPr>
              <w:spacing w:line="560" w:lineRule="exact"/>
              <w:ind w:firstLine="420"/>
              <w:rPr>
                <w:rFonts w:hint="eastAsia" w:ascii="宋体" w:hAnsi="宋体" w:eastAsia="宋体" w:cs="宋体"/>
                <w:color w:val="auto"/>
                <w:szCs w:val="21"/>
              </w:rPr>
            </w:pPr>
          </w:p>
        </w:tc>
      </w:tr>
      <w:tr w14:paraId="1DA4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1099" w:type="dxa"/>
            <w:noWrap w:val="0"/>
            <w:vAlign w:val="center"/>
          </w:tcPr>
          <w:p w14:paraId="0FC7828F">
            <w:pPr>
              <w:spacing w:line="560" w:lineRule="exact"/>
              <w:jc w:val="center"/>
              <w:rPr>
                <w:rFonts w:hint="eastAsia" w:ascii="宋体" w:hAnsi="宋体" w:eastAsia="宋体" w:cs="宋体"/>
                <w:color w:val="auto"/>
                <w:szCs w:val="21"/>
              </w:rPr>
            </w:pPr>
            <w:r>
              <w:rPr>
                <w:rFonts w:hint="eastAsia" w:ascii="宋体" w:hAnsi="宋体" w:eastAsia="宋体" w:cs="宋体"/>
                <w:color w:val="auto"/>
                <w:szCs w:val="21"/>
              </w:rPr>
              <w:t>职 务</w:t>
            </w:r>
          </w:p>
        </w:tc>
        <w:tc>
          <w:tcPr>
            <w:tcW w:w="1699" w:type="dxa"/>
            <w:gridSpan w:val="3"/>
            <w:noWrap w:val="0"/>
            <w:vAlign w:val="center"/>
          </w:tcPr>
          <w:p w14:paraId="5A14285E">
            <w:pPr>
              <w:spacing w:line="560" w:lineRule="exact"/>
              <w:ind w:firstLine="420"/>
              <w:rPr>
                <w:rFonts w:hint="eastAsia" w:ascii="宋体" w:hAnsi="宋体" w:eastAsia="宋体" w:cs="宋体"/>
                <w:color w:val="auto"/>
                <w:szCs w:val="21"/>
              </w:rPr>
            </w:pPr>
          </w:p>
        </w:tc>
        <w:tc>
          <w:tcPr>
            <w:tcW w:w="1508" w:type="dxa"/>
            <w:noWrap w:val="0"/>
            <w:vAlign w:val="center"/>
          </w:tcPr>
          <w:p w14:paraId="05E4C110">
            <w:pPr>
              <w:spacing w:line="560" w:lineRule="exact"/>
              <w:jc w:val="center"/>
              <w:rPr>
                <w:rFonts w:hint="eastAsia" w:ascii="宋体" w:hAnsi="宋体" w:eastAsia="宋体" w:cs="宋体"/>
                <w:color w:val="auto"/>
                <w:szCs w:val="21"/>
              </w:rPr>
            </w:pPr>
            <w:r>
              <w:rPr>
                <w:rFonts w:hint="eastAsia" w:ascii="宋体" w:hAnsi="宋体" w:eastAsia="宋体" w:cs="宋体"/>
                <w:color w:val="auto"/>
                <w:szCs w:val="21"/>
              </w:rPr>
              <w:t>职 称</w:t>
            </w:r>
          </w:p>
        </w:tc>
        <w:tc>
          <w:tcPr>
            <w:tcW w:w="1790" w:type="dxa"/>
            <w:gridSpan w:val="2"/>
            <w:noWrap w:val="0"/>
            <w:vAlign w:val="center"/>
          </w:tcPr>
          <w:p w14:paraId="1D4FAEDF">
            <w:pPr>
              <w:spacing w:line="560" w:lineRule="exact"/>
              <w:ind w:firstLine="420"/>
              <w:rPr>
                <w:rFonts w:hint="eastAsia" w:ascii="宋体" w:hAnsi="宋体" w:eastAsia="宋体" w:cs="宋体"/>
                <w:color w:val="auto"/>
                <w:szCs w:val="21"/>
              </w:rPr>
            </w:pPr>
          </w:p>
        </w:tc>
        <w:tc>
          <w:tcPr>
            <w:tcW w:w="1274" w:type="dxa"/>
            <w:gridSpan w:val="2"/>
            <w:noWrap w:val="0"/>
            <w:vAlign w:val="top"/>
          </w:tcPr>
          <w:p w14:paraId="713291B3">
            <w:pPr>
              <w:spacing w:line="560" w:lineRule="exact"/>
              <w:jc w:val="center"/>
              <w:rPr>
                <w:rFonts w:hint="eastAsia" w:ascii="宋体" w:hAnsi="宋体" w:eastAsia="宋体" w:cs="宋体"/>
                <w:color w:val="auto"/>
                <w:szCs w:val="21"/>
              </w:rPr>
            </w:pPr>
            <w:r>
              <w:rPr>
                <w:rFonts w:hint="eastAsia" w:ascii="宋体" w:hAnsi="宋体" w:eastAsia="宋体" w:cs="宋体"/>
                <w:color w:val="auto"/>
                <w:szCs w:val="21"/>
              </w:rPr>
              <w:t>学 历</w:t>
            </w:r>
          </w:p>
        </w:tc>
        <w:tc>
          <w:tcPr>
            <w:tcW w:w="1528" w:type="dxa"/>
            <w:gridSpan w:val="2"/>
            <w:noWrap w:val="0"/>
            <w:vAlign w:val="top"/>
          </w:tcPr>
          <w:p w14:paraId="6BE7EBA3">
            <w:pPr>
              <w:spacing w:line="560" w:lineRule="exact"/>
              <w:ind w:firstLine="420"/>
              <w:rPr>
                <w:rFonts w:hint="eastAsia" w:ascii="宋体" w:hAnsi="宋体" w:eastAsia="宋体" w:cs="宋体"/>
                <w:color w:val="auto"/>
                <w:szCs w:val="21"/>
              </w:rPr>
            </w:pPr>
          </w:p>
        </w:tc>
      </w:tr>
      <w:tr w14:paraId="4674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2798" w:type="dxa"/>
            <w:gridSpan w:val="4"/>
            <w:noWrap w:val="0"/>
            <w:vAlign w:val="center"/>
          </w:tcPr>
          <w:p w14:paraId="6A11CC52">
            <w:pPr>
              <w:spacing w:line="560" w:lineRule="exact"/>
              <w:ind w:firstLine="420"/>
              <w:rPr>
                <w:rFonts w:hint="eastAsia" w:ascii="宋体" w:hAnsi="宋体" w:eastAsia="宋体" w:cs="宋体"/>
                <w:color w:val="auto"/>
                <w:szCs w:val="21"/>
              </w:rPr>
            </w:pPr>
            <w:r>
              <w:rPr>
                <w:rFonts w:hint="eastAsia" w:ascii="宋体" w:hAnsi="宋体" w:eastAsia="宋体" w:cs="宋体"/>
                <w:color w:val="auto"/>
                <w:szCs w:val="21"/>
              </w:rPr>
              <w:t>参加工作时间</w:t>
            </w:r>
          </w:p>
        </w:tc>
        <w:tc>
          <w:tcPr>
            <w:tcW w:w="1508" w:type="dxa"/>
            <w:noWrap w:val="0"/>
            <w:vAlign w:val="center"/>
          </w:tcPr>
          <w:p w14:paraId="30DD8040">
            <w:pPr>
              <w:spacing w:line="560" w:lineRule="exact"/>
              <w:rPr>
                <w:rFonts w:hint="eastAsia" w:ascii="宋体" w:hAnsi="宋体" w:eastAsia="宋体" w:cs="宋体"/>
                <w:color w:val="auto"/>
                <w:szCs w:val="21"/>
              </w:rPr>
            </w:pPr>
          </w:p>
        </w:tc>
        <w:tc>
          <w:tcPr>
            <w:tcW w:w="3064" w:type="dxa"/>
            <w:gridSpan w:val="4"/>
            <w:noWrap w:val="0"/>
            <w:vAlign w:val="center"/>
          </w:tcPr>
          <w:p w14:paraId="3D5060CE">
            <w:pPr>
              <w:spacing w:line="56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担任项目经理工程师年限</w:t>
            </w:r>
          </w:p>
        </w:tc>
        <w:tc>
          <w:tcPr>
            <w:tcW w:w="1528" w:type="dxa"/>
            <w:gridSpan w:val="2"/>
            <w:noWrap w:val="0"/>
            <w:vAlign w:val="top"/>
          </w:tcPr>
          <w:p w14:paraId="5525C60F">
            <w:pPr>
              <w:spacing w:line="560" w:lineRule="exact"/>
              <w:ind w:firstLine="420"/>
              <w:rPr>
                <w:rFonts w:hint="eastAsia" w:ascii="宋体" w:hAnsi="宋体" w:eastAsia="宋体" w:cs="宋体"/>
                <w:color w:val="auto"/>
                <w:szCs w:val="21"/>
              </w:rPr>
            </w:pPr>
          </w:p>
        </w:tc>
      </w:tr>
      <w:tr w14:paraId="3EA5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exact"/>
          <w:jc w:val="center"/>
        </w:trPr>
        <w:tc>
          <w:tcPr>
            <w:tcW w:w="2798" w:type="dxa"/>
            <w:gridSpan w:val="4"/>
            <w:noWrap w:val="0"/>
            <w:vAlign w:val="center"/>
          </w:tcPr>
          <w:p w14:paraId="328B61A3">
            <w:pPr>
              <w:spacing w:line="560" w:lineRule="exact"/>
              <w:jc w:val="center"/>
              <w:rPr>
                <w:rFonts w:hint="eastAsia" w:ascii="宋体" w:hAnsi="宋体" w:eastAsia="宋体" w:cs="宋体"/>
                <w:color w:val="auto"/>
                <w:szCs w:val="21"/>
              </w:rPr>
            </w:pPr>
            <w:r>
              <w:rPr>
                <w:rFonts w:hint="eastAsia" w:ascii="宋体" w:hAnsi="宋体" w:eastAsia="宋体" w:cs="宋体"/>
                <w:color w:val="auto"/>
                <w:szCs w:val="21"/>
              </w:rPr>
              <w:t>项目经理职称证书号</w:t>
            </w:r>
          </w:p>
          <w:p w14:paraId="7F642593">
            <w:pPr>
              <w:spacing w:line="560" w:lineRule="exact"/>
              <w:jc w:val="center"/>
              <w:rPr>
                <w:rFonts w:hint="eastAsia" w:ascii="宋体" w:hAnsi="宋体" w:eastAsia="宋体" w:cs="宋体"/>
                <w:color w:val="auto"/>
                <w:szCs w:val="21"/>
              </w:rPr>
            </w:pPr>
          </w:p>
          <w:p w14:paraId="162A4759">
            <w:pPr>
              <w:spacing w:line="560" w:lineRule="exact"/>
              <w:jc w:val="center"/>
              <w:rPr>
                <w:rFonts w:hint="eastAsia" w:ascii="宋体" w:hAnsi="宋体" w:eastAsia="宋体" w:cs="宋体"/>
                <w:color w:val="auto"/>
                <w:szCs w:val="21"/>
              </w:rPr>
            </w:pPr>
            <w:r>
              <w:rPr>
                <w:rFonts w:hint="eastAsia" w:ascii="宋体" w:hAnsi="宋体" w:eastAsia="宋体" w:cs="宋体"/>
                <w:color w:val="auto"/>
                <w:szCs w:val="21"/>
              </w:rPr>
              <w:t xml:space="preserve">程 </w:t>
            </w:r>
          </w:p>
        </w:tc>
        <w:tc>
          <w:tcPr>
            <w:tcW w:w="1508" w:type="dxa"/>
            <w:noWrap w:val="0"/>
            <w:vAlign w:val="center"/>
          </w:tcPr>
          <w:p w14:paraId="51B9062B">
            <w:pPr>
              <w:spacing w:line="560" w:lineRule="exact"/>
              <w:ind w:firstLine="420"/>
              <w:jc w:val="center"/>
              <w:rPr>
                <w:rFonts w:hint="eastAsia" w:ascii="宋体" w:hAnsi="宋体" w:eastAsia="宋体" w:cs="宋体"/>
                <w:color w:val="auto"/>
                <w:szCs w:val="21"/>
              </w:rPr>
            </w:pPr>
          </w:p>
          <w:p w14:paraId="12F42246">
            <w:pPr>
              <w:spacing w:line="560" w:lineRule="exact"/>
              <w:ind w:firstLine="420"/>
              <w:jc w:val="center"/>
              <w:rPr>
                <w:rFonts w:hint="eastAsia" w:ascii="宋体" w:hAnsi="宋体" w:eastAsia="宋体" w:cs="宋体"/>
                <w:color w:val="auto"/>
                <w:szCs w:val="21"/>
              </w:rPr>
            </w:pPr>
          </w:p>
          <w:p w14:paraId="7A18C186">
            <w:pPr>
              <w:spacing w:line="560" w:lineRule="exact"/>
              <w:ind w:firstLine="420"/>
              <w:jc w:val="center"/>
              <w:rPr>
                <w:rFonts w:hint="eastAsia" w:ascii="宋体" w:hAnsi="宋体" w:eastAsia="宋体" w:cs="宋体"/>
                <w:color w:val="auto"/>
                <w:szCs w:val="21"/>
              </w:rPr>
            </w:pPr>
          </w:p>
        </w:tc>
        <w:tc>
          <w:tcPr>
            <w:tcW w:w="3064" w:type="dxa"/>
            <w:gridSpan w:val="4"/>
            <w:noWrap w:val="0"/>
            <w:vAlign w:val="center"/>
          </w:tcPr>
          <w:p w14:paraId="275C7288">
            <w:pPr>
              <w:spacing w:line="560" w:lineRule="exact"/>
              <w:jc w:val="center"/>
              <w:rPr>
                <w:rFonts w:hint="eastAsia" w:ascii="宋体" w:hAnsi="宋体" w:eastAsia="宋体" w:cs="宋体"/>
                <w:color w:val="auto"/>
                <w:szCs w:val="21"/>
              </w:rPr>
            </w:pPr>
            <w:r>
              <w:rPr>
                <w:rFonts w:hint="eastAsia" w:ascii="宋体" w:hAnsi="宋体" w:eastAsia="宋体" w:cs="宋体"/>
                <w:color w:val="auto"/>
                <w:szCs w:val="21"/>
              </w:rPr>
              <w:t>项目经理注册证书号</w:t>
            </w:r>
          </w:p>
          <w:p w14:paraId="19BFA697">
            <w:pPr>
              <w:spacing w:line="560" w:lineRule="exact"/>
              <w:ind w:firstLine="420"/>
              <w:rPr>
                <w:rFonts w:hint="eastAsia" w:ascii="宋体" w:hAnsi="宋体" w:eastAsia="宋体" w:cs="宋体"/>
                <w:color w:val="auto"/>
                <w:szCs w:val="21"/>
              </w:rPr>
            </w:pPr>
          </w:p>
        </w:tc>
        <w:tc>
          <w:tcPr>
            <w:tcW w:w="1528" w:type="dxa"/>
            <w:gridSpan w:val="2"/>
            <w:noWrap w:val="0"/>
            <w:vAlign w:val="top"/>
          </w:tcPr>
          <w:p w14:paraId="4EF5F638">
            <w:pPr>
              <w:spacing w:line="560" w:lineRule="exact"/>
              <w:ind w:firstLine="420"/>
              <w:rPr>
                <w:rFonts w:hint="eastAsia" w:ascii="宋体" w:hAnsi="宋体" w:eastAsia="宋体" w:cs="宋体"/>
                <w:color w:val="auto"/>
                <w:szCs w:val="21"/>
              </w:rPr>
            </w:pPr>
          </w:p>
          <w:p w14:paraId="13548B1A">
            <w:pPr>
              <w:spacing w:line="560" w:lineRule="exact"/>
              <w:ind w:firstLine="420"/>
              <w:rPr>
                <w:rFonts w:hint="eastAsia" w:ascii="宋体" w:hAnsi="宋体" w:eastAsia="宋体" w:cs="宋体"/>
                <w:color w:val="auto"/>
                <w:szCs w:val="21"/>
              </w:rPr>
            </w:pPr>
          </w:p>
        </w:tc>
      </w:tr>
      <w:tr w14:paraId="053C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exact"/>
          <w:jc w:val="center"/>
        </w:trPr>
        <w:tc>
          <w:tcPr>
            <w:tcW w:w="1312" w:type="dxa"/>
            <w:gridSpan w:val="2"/>
            <w:noWrap w:val="0"/>
            <w:vAlign w:val="center"/>
          </w:tcPr>
          <w:p w14:paraId="67052FFB">
            <w:pPr>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主要工</w:t>
            </w:r>
          </w:p>
          <w:p w14:paraId="461C02BF">
            <w:pPr>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作经历</w:t>
            </w:r>
          </w:p>
        </w:tc>
        <w:tc>
          <w:tcPr>
            <w:tcW w:w="7586" w:type="dxa"/>
            <w:gridSpan w:val="9"/>
            <w:noWrap w:val="0"/>
            <w:vAlign w:val="center"/>
          </w:tcPr>
          <w:p w14:paraId="57B10A84">
            <w:pPr>
              <w:jc w:val="center"/>
              <w:rPr>
                <w:rFonts w:hint="eastAsia" w:ascii="宋体" w:hAnsi="宋体" w:eastAsia="宋体" w:cs="宋体"/>
                <w:color w:val="auto"/>
                <w:szCs w:val="21"/>
              </w:rPr>
            </w:pPr>
          </w:p>
        </w:tc>
      </w:tr>
      <w:tr w14:paraId="32E4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exact"/>
          <w:jc w:val="center"/>
        </w:trPr>
        <w:tc>
          <w:tcPr>
            <w:tcW w:w="8898" w:type="dxa"/>
            <w:gridSpan w:val="11"/>
            <w:noWrap w:val="0"/>
            <w:vAlign w:val="center"/>
          </w:tcPr>
          <w:p w14:paraId="48E0EC27">
            <w:pPr>
              <w:jc w:val="center"/>
              <w:rPr>
                <w:rFonts w:hint="eastAsia" w:ascii="宋体" w:hAnsi="宋体" w:eastAsia="宋体" w:cs="宋体"/>
                <w:color w:val="auto"/>
                <w:szCs w:val="21"/>
              </w:rPr>
            </w:pPr>
            <w:r>
              <w:rPr>
                <w:rFonts w:hint="eastAsia" w:ascii="宋体" w:hAnsi="宋体" w:eastAsia="宋体" w:cs="宋体"/>
                <w:color w:val="auto"/>
                <w:szCs w:val="21"/>
              </w:rPr>
              <w:t>已完成的工程情况</w:t>
            </w:r>
          </w:p>
        </w:tc>
      </w:tr>
      <w:tr w14:paraId="5B15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exact"/>
          <w:jc w:val="center"/>
        </w:trPr>
        <w:tc>
          <w:tcPr>
            <w:tcW w:w="1312" w:type="dxa"/>
            <w:gridSpan w:val="2"/>
            <w:noWrap w:val="0"/>
            <w:vAlign w:val="center"/>
          </w:tcPr>
          <w:p w14:paraId="683621AE">
            <w:pPr>
              <w:jc w:val="center"/>
              <w:rPr>
                <w:rFonts w:hint="eastAsia" w:ascii="宋体" w:hAnsi="宋体" w:eastAsia="宋体" w:cs="宋体"/>
                <w:color w:val="auto"/>
                <w:szCs w:val="21"/>
              </w:rPr>
            </w:pPr>
            <w:r>
              <w:rPr>
                <w:rFonts w:hint="eastAsia" w:ascii="宋体" w:hAnsi="宋体" w:eastAsia="宋体" w:cs="宋体"/>
                <w:color w:val="auto"/>
                <w:szCs w:val="21"/>
              </w:rPr>
              <w:t>建设单位</w:t>
            </w:r>
          </w:p>
        </w:tc>
        <w:tc>
          <w:tcPr>
            <w:tcW w:w="1469" w:type="dxa"/>
            <w:noWrap w:val="0"/>
            <w:vAlign w:val="center"/>
          </w:tcPr>
          <w:p w14:paraId="2D288839">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1525" w:type="dxa"/>
            <w:gridSpan w:val="2"/>
            <w:noWrap w:val="0"/>
            <w:vAlign w:val="center"/>
          </w:tcPr>
          <w:p w14:paraId="3981D875">
            <w:pPr>
              <w:jc w:val="center"/>
              <w:rPr>
                <w:rFonts w:hint="eastAsia" w:ascii="宋体" w:hAnsi="宋体" w:eastAsia="宋体" w:cs="宋体"/>
                <w:color w:val="auto"/>
                <w:szCs w:val="21"/>
              </w:rPr>
            </w:pPr>
            <w:r>
              <w:rPr>
                <w:rFonts w:hint="eastAsia" w:ascii="宋体" w:hAnsi="宋体" w:eastAsia="宋体" w:cs="宋体"/>
                <w:color w:val="auto"/>
                <w:szCs w:val="21"/>
              </w:rPr>
              <w:t>建设规模</w:t>
            </w:r>
          </w:p>
          <w:p w14:paraId="3C73B429">
            <w:pPr>
              <w:jc w:val="center"/>
              <w:rPr>
                <w:rFonts w:hint="eastAsia" w:ascii="宋体" w:hAnsi="宋体" w:eastAsia="宋体" w:cs="宋体"/>
                <w:color w:val="auto"/>
                <w:szCs w:val="21"/>
              </w:rPr>
            </w:pPr>
            <w:r>
              <w:rPr>
                <w:rFonts w:hint="eastAsia" w:ascii="宋体" w:hAnsi="宋体" w:eastAsia="宋体" w:cs="宋体"/>
                <w:color w:val="auto"/>
                <w:szCs w:val="21"/>
              </w:rPr>
              <w:t>（面积、层数等）</w:t>
            </w:r>
          </w:p>
        </w:tc>
        <w:tc>
          <w:tcPr>
            <w:tcW w:w="990" w:type="dxa"/>
            <w:noWrap w:val="0"/>
            <w:vAlign w:val="center"/>
          </w:tcPr>
          <w:p w14:paraId="15A51E4C">
            <w:pPr>
              <w:jc w:val="center"/>
              <w:rPr>
                <w:rFonts w:hint="eastAsia" w:ascii="宋体" w:hAnsi="宋体" w:eastAsia="宋体" w:cs="宋体"/>
                <w:color w:val="auto"/>
                <w:szCs w:val="21"/>
              </w:rPr>
            </w:pPr>
            <w:r>
              <w:rPr>
                <w:rFonts w:hint="eastAsia" w:ascii="宋体" w:hAnsi="宋体" w:eastAsia="宋体" w:cs="宋体"/>
                <w:color w:val="auto"/>
                <w:szCs w:val="21"/>
              </w:rPr>
              <w:t>开、竣工</w:t>
            </w:r>
          </w:p>
          <w:p w14:paraId="57F49E7B">
            <w:pPr>
              <w:jc w:val="center"/>
              <w:rPr>
                <w:rFonts w:hint="eastAsia" w:ascii="宋体" w:hAnsi="宋体" w:eastAsia="宋体" w:cs="宋体"/>
                <w:color w:val="auto"/>
                <w:szCs w:val="21"/>
              </w:rPr>
            </w:pPr>
            <w:r>
              <w:rPr>
                <w:rFonts w:hint="eastAsia" w:ascii="宋体" w:hAnsi="宋体" w:eastAsia="宋体" w:cs="宋体"/>
                <w:color w:val="auto"/>
                <w:szCs w:val="21"/>
              </w:rPr>
              <w:t>日期</w:t>
            </w:r>
          </w:p>
        </w:tc>
        <w:tc>
          <w:tcPr>
            <w:tcW w:w="1199" w:type="dxa"/>
            <w:gridSpan w:val="2"/>
            <w:noWrap w:val="0"/>
            <w:vAlign w:val="center"/>
          </w:tcPr>
          <w:p w14:paraId="7164EF24">
            <w:pPr>
              <w:jc w:val="center"/>
              <w:rPr>
                <w:rFonts w:hint="eastAsia" w:ascii="宋体" w:hAnsi="宋体" w:eastAsia="宋体" w:cs="宋体"/>
                <w:color w:val="auto"/>
                <w:szCs w:val="21"/>
              </w:rPr>
            </w:pPr>
            <w:r>
              <w:rPr>
                <w:rFonts w:hint="eastAsia" w:ascii="宋体" w:hAnsi="宋体" w:eastAsia="宋体" w:cs="宋体"/>
                <w:color w:val="auto"/>
                <w:szCs w:val="21"/>
              </w:rPr>
              <w:t>工程质量</w:t>
            </w:r>
          </w:p>
        </w:tc>
        <w:tc>
          <w:tcPr>
            <w:tcW w:w="1362" w:type="dxa"/>
            <w:gridSpan w:val="2"/>
            <w:noWrap w:val="0"/>
            <w:vAlign w:val="center"/>
          </w:tcPr>
          <w:p w14:paraId="6EB3BD55">
            <w:pPr>
              <w:jc w:val="center"/>
              <w:rPr>
                <w:rFonts w:hint="eastAsia" w:ascii="宋体" w:hAnsi="宋体" w:eastAsia="宋体" w:cs="宋体"/>
                <w:color w:val="auto"/>
                <w:szCs w:val="21"/>
              </w:rPr>
            </w:pPr>
            <w:r>
              <w:rPr>
                <w:rFonts w:hint="eastAsia" w:ascii="宋体" w:hAnsi="宋体" w:eastAsia="宋体" w:cs="宋体"/>
                <w:color w:val="auto"/>
                <w:szCs w:val="21"/>
              </w:rPr>
              <w:t>在项目中</w:t>
            </w:r>
          </w:p>
          <w:p w14:paraId="2797FE9F">
            <w:pPr>
              <w:jc w:val="center"/>
              <w:rPr>
                <w:rFonts w:hint="eastAsia" w:ascii="宋体" w:hAnsi="宋体" w:eastAsia="宋体" w:cs="宋体"/>
                <w:color w:val="auto"/>
                <w:szCs w:val="21"/>
              </w:rPr>
            </w:pPr>
            <w:r>
              <w:rPr>
                <w:rFonts w:hint="eastAsia" w:ascii="宋体" w:hAnsi="宋体" w:eastAsia="宋体" w:cs="宋体"/>
                <w:color w:val="auto"/>
                <w:szCs w:val="21"/>
              </w:rPr>
              <w:t>担任职务</w:t>
            </w:r>
          </w:p>
        </w:tc>
        <w:tc>
          <w:tcPr>
            <w:tcW w:w="1041" w:type="dxa"/>
            <w:noWrap w:val="0"/>
            <w:vAlign w:val="center"/>
          </w:tcPr>
          <w:p w14:paraId="17CEF95D">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0EAE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exact"/>
          <w:jc w:val="center"/>
        </w:trPr>
        <w:tc>
          <w:tcPr>
            <w:tcW w:w="1312" w:type="dxa"/>
            <w:gridSpan w:val="2"/>
            <w:noWrap w:val="0"/>
            <w:vAlign w:val="center"/>
          </w:tcPr>
          <w:p w14:paraId="4637A086">
            <w:pPr>
              <w:spacing w:line="560" w:lineRule="exact"/>
              <w:ind w:firstLine="420"/>
              <w:jc w:val="center"/>
              <w:rPr>
                <w:rFonts w:hint="eastAsia" w:ascii="宋体" w:hAnsi="宋体" w:eastAsia="宋体" w:cs="宋体"/>
                <w:color w:val="auto"/>
                <w:szCs w:val="21"/>
              </w:rPr>
            </w:pPr>
          </w:p>
        </w:tc>
        <w:tc>
          <w:tcPr>
            <w:tcW w:w="1469" w:type="dxa"/>
            <w:noWrap w:val="0"/>
            <w:vAlign w:val="center"/>
          </w:tcPr>
          <w:p w14:paraId="045F28E8">
            <w:pPr>
              <w:spacing w:line="560" w:lineRule="exact"/>
              <w:ind w:firstLine="420"/>
              <w:jc w:val="center"/>
              <w:rPr>
                <w:rFonts w:hint="eastAsia" w:ascii="宋体" w:hAnsi="宋体" w:eastAsia="宋体" w:cs="宋体"/>
                <w:color w:val="auto"/>
                <w:szCs w:val="21"/>
              </w:rPr>
            </w:pPr>
          </w:p>
        </w:tc>
        <w:tc>
          <w:tcPr>
            <w:tcW w:w="1525" w:type="dxa"/>
            <w:gridSpan w:val="2"/>
            <w:noWrap w:val="0"/>
            <w:vAlign w:val="center"/>
          </w:tcPr>
          <w:p w14:paraId="6D320C90">
            <w:pPr>
              <w:spacing w:line="560" w:lineRule="exact"/>
              <w:ind w:firstLine="420"/>
              <w:jc w:val="center"/>
              <w:rPr>
                <w:rFonts w:hint="eastAsia" w:ascii="宋体" w:hAnsi="宋体" w:eastAsia="宋体" w:cs="宋体"/>
                <w:color w:val="auto"/>
                <w:szCs w:val="21"/>
              </w:rPr>
            </w:pPr>
          </w:p>
        </w:tc>
        <w:tc>
          <w:tcPr>
            <w:tcW w:w="990" w:type="dxa"/>
            <w:noWrap w:val="0"/>
            <w:vAlign w:val="center"/>
          </w:tcPr>
          <w:p w14:paraId="64F2A621">
            <w:pPr>
              <w:spacing w:line="560" w:lineRule="exact"/>
              <w:ind w:firstLine="420"/>
              <w:jc w:val="center"/>
              <w:rPr>
                <w:rFonts w:hint="eastAsia" w:ascii="宋体" w:hAnsi="宋体" w:eastAsia="宋体" w:cs="宋体"/>
                <w:color w:val="auto"/>
                <w:szCs w:val="21"/>
              </w:rPr>
            </w:pPr>
          </w:p>
        </w:tc>
        <w:tc>
          <w:tcPr>
            <w:tcW w:w="1199" w:type="dxa"/>
            <w:gridSpan w:val="2"/>
            <w:noWrap w:val="0"/>
            <w:vAlign w:val="top"/>
          </w:tcPr>
          <w:p w14:paraId="0F7F2FD8">
            <w:pPr>
              <w:spacing w:line="560" w:lineRule="exact"/>
              <w:ind w:firstLine="420"/>
              <w:jc w:val="center"/>
              <w:rPr>
                <w:rFonts w:hint="eastAsia" w:ascii="宋体" w:hAnsi="宋体" w:eastAsia="宋体" w:cs="宋体"/>
                <w:color w:val="auto"/>
                <w:szCs w:val="21"/>
              </w:rPr>
            </w:pPr>
          </w:p>
        </w:tc>
        <w:tc>
          <w:tcPr>
            <w:tcW w:w="1362" w:type="dxa"/>
            <w:gridSpan w:val="2"/>
            <w:noWrap w:val="0"/>
            <w:vAlign w:val="top"/>
          </w:tcPr>
          <w:p w14:paraId="55EE9340">
            <w:pPr>
              <w:spacing w:line="560" w:lineRule="exact"/>
              <w:ind w:firstLine="420"/>
              <w:jc w:val="center"/>
              <w:rPr>
                <w:rFonts w:hint="eastAsia" w:ascii="宋体" w:hAnsi="宋体" w:eastAsia="宋体" w:cs="宋体"/>
                <w:color w:val="auto"/>
                <w:szCs w:val="21"/>
              </w:rPr>
            </w:pPr>
          </w:p>
        </w:tc>
        <w:tc>
          <w:tcPr>
            <w:tcW w:w="1041" w:type="dxa"/>
            <w:noWrap w:val="0"/>
            <w:vAlign w:val="top"/>
          </w:tcPr>
          <w:p w14:paraId="2B447618">
            <w:pPr>
              <w:spacing w:line="560" w:lineRule="exact"/>
              <w:ind w:firstLine="420"/>
              <w:jc w:val="center"/>
              <w:rPr>
                <w:rFonts w:hint="eastAsia" w:ascii="宋体" w:hAnsi="宋体" w:eastAsia="宋体" w:cs="宋体"/>
                <w:color w:val="auto"/>
                <w:szCs w:val="21"/>
              </w:rPr>
            </w:pPr>
          </w:p>
        </w:tc>
      </w:tr>
      <w:tr w14:paraId="6CA6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exact"/>
          <w:jc w:val="center"/>
        </w:trPr>
        <w:tc>
          <w:tcPr>
            <w:tcW w:w="1312" w:type="dxa"/>
            <w:gridSpan w:val="2"/>
            <w:noWrap w:val="0"/>
            <w:vAlign w:val="center"/>
          </w:tcPr>
          <w:p w14:paraId="1342236B">
            <w:pPr>
              <w:spacing w:line="560" w:lineRule="exact"/>
              <w:ind w:firstLine="420"/>
              <w:jc w:val="center"/>
              <w:rPr>
                <w:rFonts w:hint="eastAsia" w:ascii="宋体" w:hAnsi="宋体" w:eastAsia="宋体" w:cs="宋体"/>
                <w:color w:val="auto"/>
                <w:szCs w:val="21"/>
              </w:rPr>
            </w:pPr>
          </w:p>
        </w:tc>
        <w:tc>
          <w:tcPr>
            <w:tcW w:w="1469" w:type="dxa"/>
            <w:noWrap w:val="0"/>
            <w:vAlign w:val="center"/>
          </w:tcPr>
          <w:p w14:paraId="4811F8BE">
            <w:pPr>
              <w:spacing w:line="560" w:lineRule="exact"/>
              <w:ind w:firstLine="420"/>
              <w:jc w:val="center"/>
              <w:rPr>
                <w:rFonts w:hint="eastAsia" w:ascii="宋体" w:hAnsi="宋体" w:eastAsia="宋体" w:cs="宋体"/>
                <w:color w:val="auto"/>
                <w:szCs w:val="21"/>
              </w:rPr>
            </w:pPr>
          </w:p>
        </w:tc>
        <w:tc>
          <w:tcPr>
            <w:tcW w:w="1525" w:type="dxa"/>
            <w:gridSpan w:val="2"/>
            <w:noWrap w:val="0"/>
            <w:vAlign w:val="center"/>
          </w:tcPr>
          <w:p w14:paraId="58C8E814">
            <w:pPr>
              <w:spacing w:line="560" w:lineRule="exact"/>
              <w:ind w:firstLine="420"/>
              <w:jc w:val="center"/>
              <w:rPr>
                <w:rFonts w:hint="eastAsia" w:ascii="宋体" w:hAnsi="宋体" w:eastAsia="宋体" w:cs="宋体"/>
                <w:color w:val="auto"/>
                <w:szCs w:val="21"/>
              </w:rPr>
            </w:pPr>
          </w:p>
        </w:tc>
        <w:tc>
          <w:tcPr>
            <w:tcW w:w="990" w:type="dxa"/>
            <w:noWrap w:val="0"/>
            <w:vAlign w:val="center"/>
          </w:tcPr>
          <w:p w14:paraId="312AD212">
            <w:pPr>
              <w:spacing w:line="560" w:lineRule="exact"/>
              <w:ind w:firstLine="420"/>
              <w:jc w:val="center"/>
              <w:rPr>
                <w:rFonts w:hint="eastAsia" w:ascii="宋体" w:hAnsi="宋体" w:eastAsia="宋体" w:cs="宋体"/>
                <w:color w:val="auto"/>
                <w:szCs w:val="21"/>
              </w:rPr>
            </w:pPr>
          </w:p>
        </w:tc>
        <w:tc>
          <w:tcPr>
            <w:tcW w:w="1199" w:type="dxa"/>
            <w:gridSpan w:val="2"/>
            <w:noWrap w:val="0"/>
            <w:vAlign w:val="top"/>
          </w:tcPr>
          <w:p w14:paraId="489CB619">
            <w:pPr>
              <w:spacing w:line="560" w:lineRule="exact"/>
              <w:ind w:firstLine="420"/>
              <w:jc w:val="center"/>
              <w:rPr>
                <w:rFonts w:hint="eastAsia" w:ascii="宋体" w:hAnsi="宋体" w:eastAsia="宋体" w:cs="宋体"/>
                <w:color w:val="auto"/>
                <w:szCs w:val="21"/>
              </w:rPr>
            </w:pPr>
          </w:p>
        </w:tc>
        <w:tc>
          <w:tcPr>
            <w:tcW w:w="1362" w:type="dxa"/>
            <w:gridSpan w:val="2"/>
            <w:noWrap w:val="0"/>
            <w:vAlign w:val="top"/>
          </w:tcPr>
          <w:p w14:paraId="3C293D0E">
            <w:pPr>
              <w:spacing w:line="560" w:lineRule="exact"/>
              <w:ind w:firstLine="420"/>
              <w:jc w:val="center"/>
              <w:rPr>
                <w:rFonts w:hint="eastAsia" w:ascii="宋体" w:hAnsi="宋体" w:eastAsia="宋体" w:cs="宋体"/>
                <w:color w:val="auto"/>
                <w:szCs w:val="21"/>
              </w:rPr>
            </w:pPr>
          </w:p>
        </w:tc>
        <w:tc>
          <w:tcPr>
            <w:tcW w:w="1041" w:type="dxa"/>
            <w:noWrap w:val="0"/>
            <w:vAlign w:val="top"/>
          </w:tcPr>
          <w:p w14:paraId="42AE9AE1">
            <w:pPr>
              <w:spacing w:line="560" w:lineRule="exact"/>
              <w:ind w:firstLine="420"/>
              <w:jc w:val="center"/>
              <w:rPr>
                <w:rFonts w:hint="eastAsia" w:ascii="宋体" w:hAnsi="宋体" w:eastAsia="宋体" w:cs="宋体"/>
                <w:color w:val="auto"/>
                <w:szCs w:val="21"/>
              </w:rPr>
            </w:pPr>
          </w:p>
        </w:tc>
      </w:tr>
      <w:tr w14:paraId="5463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exact"/>
          <w:jc w:val="center"/>
        </w:trPr>
        <w:tc>
          <w:tcPr>
            <w:tcW w:w="1312" w:type="dxa"/>
            <w:gridSpan w:val="2"/>
            <w:noWrap w:val="0"/>
            <w:vAlign w:val="center"/>
          </w:tcPr>
          <w:p w14:paraId="30738B5B">
            <w:pPr>
              <w:spacing w:line="560" w:lineRule="exact"/>
              <w:ind w:firstLine="420"/>
              <w:jc w:val="center"/>
              <w:rPr>
                <w:rFonts w:hint="eastAsia" w:ascii="宋体" w:hAnsi="宋体" w:eastAsia="宋体" w:cs="宋体"/>
                <w:color w:val="auto"/>
                <w:szCs w:val="21"/>
              </w:rPr>
            </w:pPr>
          </w:p>
        </w:tc>
        <w:tc>
          <w:tcPr>
            <w:tcW w:w="1469" w:type="dxa"/>
            <w:noWrap w:val="0"/>
            <w:vAlign w:val="center"/>
          </w:tcPr>
          <w:p w14:paraId="1B0601FF">
            <w:pPr>
              <w:spacing w:line="560" w:lineRule="exact"/>
              <w:ind w:firstLine="420"/>
              <w:jc w:val="center"/>
              <w:rPr>
                <w:rFonts w:hint="eastAsia" w:ascii="宋体" w:hAnsi="宋体" w:eastAsia="宋体" w:cs="宋体"/>
                <w:color w:val="auto"/>
                <w:szCs w:val="21"/>
              </w:rPr>
            </w:pPr>
          </w:p>
        </w:tc>
        <w:tc>
          <w:tcPr>
            <w:tcW w:w="1525" w:type="dxa"/>
            <w:gridSpan w:val="2"/>
            <w:noWrap w:val="0"/>
            <w:vAlign w:val="center"/>
          </w:tcPr>
          <w:p w14:paraId="742CCB59">
            <w:pPr>
              <w:spacing w:line="560" w:lineRule="exact"/>
              <w:ind w:firstLine="420"/>
              <w:jc w:val="center"/>
              <w:rPr>
                <w:rFonts w:hint="eastAsia" w:ascii="宋体" w:hAnsi="宋体" w:eastAsia="宋体" w:cs="宋体"/>
                <w:color w:val="auto"/>
                <w:szCs w:val="21"/>
              </w:rPr>
            </w:pPr>
          </w:p>
        </w:tc>
        <w:tc>
          <w:tcPr>
            <w:tcW w:w="990" w:type="dxa"/>
            <w:noWrap w:val="0"/>
            <w:vAlign w:val="center"/>
          </w:tcPr>
          <w:p w14:paraId="172E396E">
            <w:pPr>
              <w:spacing w:line="560" w:lineRule="exact"/>
              <w:ind w:firstLine="420"/>
              <w:jc w:val="center"/>
              <w:rPr>
                <w:rFonts w:hint="eastAsia" w:ascii="宋体" w:hAnsi="宋体" w:eastAsia="宋体" w:cs="宋体"/>
                <w:color w:val="auto"/>
                <w:szCs w:val="21"/>
              </w:rPr>
            </w:pPr>
          </w:p>
        </w:tc>
        <w:tc>
          <w:tcPr>
            <w:tcW w:w="1199" w:type="dxa"/>
            <w:gridSpan w:val="2"/>
            <w:noWrap w:val="0"/>
            <w:vAlign w:val="top"/>
          </w:tcPr>
          <w:p w14:paraId="6E3DB049">
            <w:pPr>
              <w:spacing w:line="560" w:lineRule="exact"/>
              <w:ind w:firstLine="420"/>
              <w:jc w:val="center"/>
              <w:rPr>
                <w:rFonts w:hint="eastAsia" w:ascii="宋体" w:hAnsi="宋体" w:eastAsia="宋体" w:cs="宋体"/>
                <w:color w:val="auto"/>
                <w:szCs w:val="21"/>
              </w:rPr>
            </w:pPr>
          </w:p>
        </w:tc>
        <w:tc>
          <w:tcPr>
            <w:tcW w:w="1362" w:type="dxa"/>
            <w:gridSpan w:val="2"/>
            <w:noWrap w:val="0"/>
            <w:vAlign w:val="top"/>
          </w:tcPr>
          <w:p w14:paraId="7723F0B3">
            <w:pPr>
              <w:spacing w:line="560" w:lineRule="exact"/>
              <w:ind w:firstLine="420"/>
              <w:jc w:val="center"/>
              <w:rPr>
                <w:rFonts w:hint="eastAsia" w:ascii="宋体" w:hAnsi="宋体" w:eastAsia="宋体" w:cs="宋体"/>
                <w:color w:val="auto"/>
                <w:szCs w:val="21"/>
              </w:rPr>
            </w:pPr>
          </w:p>
        </w:tc>
        <w:tc>
          <w:tcPr>
            <w:tcW w:w="1041" w:type="dxa"/>
            <w:noWrap w:val="0"/>
            <w:vAlign w:val="top"/>
          </w:tcPr>
          <w:p w14:paraId="019BC176">
            <w:pPr>
              <w:spacing w:line="560" w:lineRule="exact"/>
              <w:ind w:firstLine="420"/>
              <w:jc w:val="center"/>
              <w:rPr>
                <w:rFonts w:hint="eastAsia" w:ascii="宋体" w:hAnsi="宋体" w:eastAsia="宋体" w:cs="宋体"/>
                <w:color w:val="auto"/>
                <w:szCs w:val="21"/>
              </w:rPr>
            </w:pPr>
          </w:p>
        </w:tc>
      </w:tr>
    </w:tbl>
    <w:p w14:paraId="1359FFBA">
      <w:pPr>
        <w:adjustRightInd w:val="0"/>
        <w:snapToGrid w:val="0"/>
        <w:spacing w:line="520" w:lineRule="exact"/>
        <w:jc w:val="both"/>
        <w:rPr>
          <w:rFonts w:hint="eastAsia" w:ascii="宋体" w:hAnsi="宋体" w:eastAsia="宋体" w:cs="宋体"/>
          <w:bCs/>
          <w:color w:val="auto"/>
          <w:sz w:val="44"/>
          <w:szCs w:val="44"/>
        </w:rPr>
      </w:pPr>
    </w:p>
    <w:p w14:paraId="07423E69">
      <w:pPr>
        <w:adjustRightInd w:val="0"/>
        <w:snapToGrid w:val="0"/>
        <w:spacing w:line="520" w:lineRule="exact"/>
        <w:jc w:val="both"/>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注：本表后面附上项目经理的身份证、职称资格证书以及资格审查条件所要求的其他相关证书（如建造师注册证书、安全生产考核合格证书等）的复印件。身份证如为第二代身份证的应附前后两面的复印件；建造师证应附有标明建造师级别、姓名、专业、正书号和注册号、发证机关的相关页面复印件；安全生产考核合格证应附有姓名、证书号和类别、发证机关和有效期的相关页面复印件。</w:t>
      </w:r>
    </w:p>
    <w:p w14:paraId="179B2EC1">
      <w:pPr>
        <w:adjustRightInd w:val="0"/>
        <w:snapToGrid w:val="0"/>
        <w:spacing w:line="520" w:lineRule="exact"/>
        <w:ind w:firstLine="7040" w:firstLineChars="1600"/>
        <w:jc w:val="center"/>
        <w:rPr>
          <w:rFonts w:hint="eastAsia" w:ascii="宋体" w:hAnsi="宋体" w:eastAsia="宋体" w:cs="宋体"/>
          <w:bCs/>
          <w:color w:val="auto"/>
          <w:sz w:val="44"/>
          <w:szCs w:val="44"/>
        </w:rPr>
      </w:pPr>
    </w:p>
    <w:p w14:paraId="01A41CDD">
      <w:pPr>
        <w:adjustRightInd w:val="0"/>
        <w:snapToGrid w:val="0"/>
        <w:spacing w:line="520" w:lineRule="exact"/>
        <w:ind w:firstLine="7040" w:firstLineChars="1600"/>
        <w:jc w:val="center"/>
        <w:rPr>
          <w:rFonts w:hint="eastAsia" w:ascii="宋体" w:hAnsi="宋体" w:eastAsia="宋体" w:cs="宋体"/>
          <w:bCs/>
          <w:color w:val="auto"/>
          <w:sz w:val="44"/>
          <w:szCs w:val="44"/>
        </w:rPr>
      </w:pPr>
    </w:p>
    <w:p w14:paraId="6EE6B799">
      <w:pPr>
        <w:adjustRightInd w:val="0"/>
        <w:snapToGrid w:val="0"/>
        <w:spacing w:line="520" w:lineRule="exact"/>
        <w:rPr>
          <w:rFonts w:hint="eastAsia" w:ascii="宋体" w:hAnsi="宋体" w:eastAsia="宋体" w:cs="宋体"/>
          <w:color w:val="auto"/>
          <w:szCs w:val="21"/>
          <w:u w:val="single"/>
        </w:rPr>
      </w:pPr>
    </w:p>
    <w:p w14:paraId="664A0016">
      <w:pPr>
        <w:pStyle w:val="74"/>
        <w:jc w:val="center"/>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sz w:val="44"/>
          <w:szCs w:val="44"/>
        </w:rPr>
        <w:br w:type="page"/>
      </w:r>
      <w:r>
        <w:rPr>
          <w:rFonts w:hint="eastAsia" w:ascii="宋体" w:hAnsi="宋体" w:eastAsia="宋体" w:cs="宋体"/>
          <w:b/>
          <w:bCs w:val="0"/>
          <w:color w:val="auto"/>
          <w:kern w:val="2"/>
          <w:sz w:val="36"/>
          <w:szCs w:val="36"/>
          <w:lang w:val="en-US" w:eastAsia="zh-CN" w:bidi="ar-SA"/>
        </w:rPr>
        <w:t>拟委任的技术负责人简历表</w:t>
      </w:r>
    </w:p>
    <w:p w14:paraId="467D4BA7">
      <w:pPr>
        <w:pStyle w:val="74"/>
        <w:rPr>
          <w:rFonts w:hint="eastAsia" w:ascii="宋体" w:hAnsi="宋体" w:eastAsia="宋体" w:cs="宋体"/>
          <w:color w:val="auto"/>
          <w:highlight w:val="none"/>
        </w:rPr>
      </w:pPr>
    </w:p>
    <w:tbl>
      <w:tblPr>
        <w:tblStyle w:val="3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3DE7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68C70261">
            <w:pPr>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noWrap w:val="0"/>
            <w:vAlign w:val="center"/>
          </w:tcPr>
          <w:p w14:paraId="1F7156C0">
            <w:pPr>
              <w:jc w:val="center"/>
              <w:rPr>
                <w:rFonts w:hint="eastAsia" w:ascii="宋体" w:hAnsi="宋体" w:eastAsia="宋体" w:cs="宋体"/>
                <w:color w:val="auto"/>
                <w:highlight w:val="none"/>
              </w:rPr>
            </w:pPr>
          </w:p>
        </w:tc>
        <w:tc>
          <w:tcPr>
            <w:tcW w:w="1893" w:type="dxa"/>
            <w:gridSpan w:val="2"/>
            <w:noWrap w:val="0"/>
            <w:vAlign w:val="center"/>
          </w:tcPr>
          <w:p w14:paraId="26E382AA">
            <w:pPr>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noWrap w:val="0"/>
            <w:vAlign w:val="center"/>
          </w:tcPr>
          <w:p w14:paraId="7C933751">
            <w:pPr>
              <w:jc w:val="center"/>
              <w:rPr>
                <w:rFonts w:hint="eastAsia" w:ascii="宋体" w:hAnsi="宋体" w:eastAsia="宋体" w:cs="宋体"/>
                <w:color w:val="auto"/>
                <w:highlight w:val="none"/>
              </w:rPr>
            </w:pPr>
          </w:p>
        </w:tc>
        <w:tc>
          <w:tcPr>
            <w:tcW w:w="1108" w:type="dxa"/>
            <w:gridSpan w:val="2"/>
            <w:noWrap w:val="0"/>
            <w:vAlign w:val="center"/>
          </w:tcPr>
          <w:p w14:paraId="0894CA18">
            <w:pPr>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276" w:type="dxa"/>
            <w:noWrap w:val="0"/>
            <w:vAlign w:val="center"/>
          </w:tcPr>
          <w:p w14:paraId="4F9FE5AD">
            <w:pPr>
              <w:jc w:val="center"/>
              <w:rPr>
                <w:rFonts w:hint="eastAsia" w:ascii="宋体" w:hAnsi="宋体" w:eastAsia="宋体" w:cs="宋体"/>
                <w:color w:val="auto"/>
                <w:highlight w:val="none"/>
              </w:rPr>
            </w:pPr>
          </w:p>
        </w:tc>
      </w:tr>
      <w:tr w14:paraId="0D8C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09159E36">
            <w:pPr>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noWrap w:val="0"/>
            <w:vAlign w:val="center"/>
          </w:tcPr>
          <w:p w14:paraId="523FDE7A">
            <w:pPr>
              <w:jc w:val="center"/>
              <w:rPr>
                <w:rFonts w:hint="eastAsia" w:ascii="宋体" w:hAnsi="宋体" w:eastAsia="宋体" w:cs="宋体"/>
                <w:color w:val="auto"/>
                <w:highlight w:val="none"/>
              </w:rPr>
            </w:pPr>
          </w:p>
        </w:tc>
        <w:tc>
          <w:tcPr>
            <w:tcW w:w="1893" w:type="dxa"/>
            <w:gridSpan w:val="2"/>
            <w:noWrap w:val="0"/>
            <w:vAlign w:val="center"/>
          </w:tcPr>
          <w:p w14:paraId="31DD7A49">
            <w:pPr>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noWrap w:val="0"/>
            <w:vAlign w:val="center"/>
          </w:tcPr>
          <w:p w14:paraId="3A43C76E">
            <w:pPr>
              <w:jc w:val="center"/>
              <w:rPr>
                <w:rFonts w:hint="eastAsia" w:ascii="宋体" w:hAnsi="宋体" w:eastAsia="宋体" w:cs="宋体"/>
                <w:color w:val="auto"/>
                <w:highlight w:val="none"/>
              </w:rPr>
            </w:pPr>
          </w:p>
        </w:tc>
        <w:tc>
          <w:tcPr>
            <w:tcW w:w="1108" w:type="dxa"/>
            <w:gridSpan w:val="2"/>
            <w:noWrap w:val="0"/>
            <w:vAlign w:val="center"/>
          </w:tcPr>
          <w:p w14:paraId="5E46102B">
            <w:pPr>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276" w:type="dxa"/>
            <w:noWrap w:val="0"/>
            <w:vAlign w:val="center"/>
          </w:tcPr>
          <w:p w14:paraId="05AFFEE3">
            <w:pPr>
              <w:jc w:val="center"/>
              <w:rPr>
                <w:rFonts w:hint="eastAsia" w:ascii="宋体" w:hAnsi="宋体" w:eastAsia="宋体" w:cs="宋体"/>
                <w:color w:val="auto"/>
                <w:highlight w:val="none"/>
              </w:rPr>
            </w:pPr>
          </w:p>
        </w:tc>
      </w:tr>
      <w:tr w14:paraId="741D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0522048E">
            <w:pPr>
              <w:jc w:val="center"/>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noWrap w:val="0"/>
            <w:vAlign w:val="center"/>
          </w:tcPr>
          <w:p w14:paraId="41DFC27D">
            <w:pPr>
              <w:jc w:val="center"/>
              <w:rPr>
                <w:rFonts w:hint="eastAsia" w:ascii="宋体" w:hAnsi="宋体" w:eastAsia="宋体" w:cs="宋体"/>
                <w:color w:val="auto"/>
                <w:highlight w:val="none"/>
              </w:rPr>
            </w:pPr>
          </w:p>
        </w:tc>
        <w:tc>
          <w:tcPr>
            <w:tcW w:w="2693" w:type="dxa"/>
            <w:gridSpan w:val="4"/>
            <w:noWrap w:val="0"/>
            <w:vAlign w:val="center"/>
          </w:tcPr>
          <w:p w14:paraId="56CA9997">
            <w:pPr>
              <w:jc w:val="center"/>
              <w:rPr>
                <w:rFonts w:hint="eastAsia" w:ascii="宋体" w:hAnsi="宋体" w:eastAsia="宋体" w:cs="宋体"/>
                <w:color w:val="auto"/>
                <w:highlight w:val="none"/>
              </w:rPr>
            </w:pPr>
            <w:r>
              <w:rPr>
                <w:rFonts w:hint="eastAsia" w:ascii="宋体" w:hAnsi="宋体" w:eastAsia="宋体" w:cs="宋体"/>
                <w:color w:val="auto"/>
                <w:highlight w:val="none"/>
              </w:rPr>
              <w:t>担任技术负责人年限</w:t>
            </w:r>
          </w:p>
        </w:tc>
        <w:tc>
          <w:tcPr>
            <w:tcW w:w="1276" w:type="dxa"/>
            <w:noWrap w:val="0"/>
            <w:vAlign w:val="center"/>
          </w:tcPr>
          <w:p w14:paraId="393E666E">
            <w:pPr>
              <w:jc w:val="center"/>
              <w:rPr>
                <w:rFonts w:hint="eastAsia" w:ascii="宋体" w:hAnsi="宋体" w:eastAsia="宋体" w:cs="宋体"/>
                <w:color w:val="auto"/>
                <w:highlight w:val="none"/>
              </w:rPr>
            </w:pPr>
          </w:p>
        </w:tc>
      </w:tr>
      <w:tr w14:paraId="1C29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704724E4">
            <w:pPr>
              <w:jc w:val="center"/>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5B82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0DB3DA5C">
            <w:pPr>
              <w:jc w:val="center"/>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noWrap w:val="0"/>
            <w:vAlign w:val="center"/>
          </w:tcPr>
          <w:p w14:paraId="29539DF6">
            <w:pPr>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noWrap w:val="0"/>
            <w:vAlign w:val="center"/>
          </w:tcPr>
          <w:p w14:paraId="71C3E241">
            <w:pPr>
              <w:jc w:val="center"/>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noWrap w:val="0"/>
            <w:vAlign w:val="center"/>
          </w:tcPr>
          <w:p w14:paraId="797DD1AF">
            <w:pPr>
              <w:jc w:val="center"/>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noWrap w:val="0"/>
            <w:vAlign w:val="center"/>
          </w:tcPr>
          <w:p w14:paraId="4FCF163C">
            <w:pPr>
              <w:jc w:val="center"/>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noWrap w:val="0"/>
            <w:vAlign w:val="center"/>
          </w:tcPr>
          <w:p w14:paraId="0F890EF0">
            <w:pPr>
              <w:jc w:val="center"/>
              <w:rPr>
                <w:rFonts w:hint="eastAsia" w:ascii="宋体" w:hAnsi="宋体" w:eastAsia="宋体" w:cs="宋体"/>
                <w:color w:val="auto"/>
                <w:highlight w:val="none"/>
              </w:rPr>
            </w:pPr>
            <w:r>
              <w:rPr>
                <w:rFonts w:hint="eastAsia" w:ascii="宋体" w:hAnsi="宋体" w:eastAsia="宋体" w:cs="宋体"/>
                <w:color w:val="auto"/>
                <w:highlight w:val="none"/>
              </w:rPr>
              <w:t>工程质量</w:t>
            </w:r>
          </w:p>
        </w:tc>
      </w:tr>
      <w:tr w14:paraId="5F79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D3F5DCF">
            <w:pPr>
              <w:jc w:val="center"/>
              <w:rPr>
                <w:rFonts w:hint="eastAsia" w:ascii="宋体" w:hAnsi="宋体" w:eastAsia="宋体" w:cs="宋体"/>
                <w:color w:val="auto"/>
                <w:highlight w:val="none"/>
              </w:rPr>
            </w:pPr>
          </w:p>
        </w:tc>
        <w:tc>
          <w:tcPr>
            <w:tcW w:w="1548" w:type="dxa"/>
            <w:noWrap w:val="0"/>
            <w:vAlign w:val="center"/>
          </w:tcPr>
          <w:p w14:paraId="103D8D43">
            <w:pPr>
              <w:jc w:val="center"/>
              <w:rPr>
                <w:rFonts w:hint="eastAsia" w:ascii="宋体" w:hAnsi="宋体" w:eastAsia="宋体" w:cs="宋体"/>
                <w:color w:val="auto"/>
                <w:highlight w:val="none"/>
              </w:rPr>
            </w:pPr>
          </w:p>
        </w:tc>
        <w:tc>
          <w:tcPr>
            <w:tcW w:w="1547" w:type="dxa"/>
            <w:gridSpan w:val="2"/>
            <w:noWrap w:val="0"/>
            <w:vAlign w:val="center"/>
          </w:tcPr>
          <w:p w14:paraId="404BB729">
            <w:pPr>
              <w:jc w:val="center"/>
              <w:rPr>
                <w:rFonts w:hint="eastAsia" w:ascii="宋体" w:hAnsi="宋体" w:eastAsia="宋体" w:cs="宋体"/>
                <w:color w:val="auto"/>
                <w:highlight w:val="none"/>
              </w:rPr>
            </w:pPr>
          </w:p>
        </w:tc>
        <w:tc>
          <w:tcPr>
            <w:tcW w:w="1548" w:type="dxa"/>
            <w:gridSpan w:val="2"/>
            <w:noWrap w:val="0"/>
            <w:vAlign w:val="center"/>
          </w:tcPr>
          <w:p w14:paraId="2DBF0183">
            <w:pPr>
              <w:jc w:val="center"/>
              <w:rPr>
                <w:rFonts w:hint="eastAsia" w:ascii="宋体" w:hAnsi="宋体" w:eastAsia="宋体" w:cs="宋体"/>
                <w:color w:val="auto"/>
                <w:highlight w:val="none"/>
              </w:rPr>
            </w:pPr>
          </w:p>
        </w:tc>
        <w:tc>
          <w:tcPr>
            <w:tcW w:w="1547" w:type="dxa"/>
            <w:gridSpan w:val="2"/>
            <w:noWrap w:val="0"/>
            <w:vAlign w:val="center"/>
          </w:tcPr>
          <w:p w14:paraId="0C0C4DB1">
            <w:pPr>
              <w:jc w:val="center"/>
              <w:rPr>
                <w:rFonts w:hint="eastAsia" w:ascii="宋体" w:hAnsi="宋体" w:eastAsia="宋体" w:cs="宋体"/>
                <w:color w:val="auto"/>
                <w:highlight w:val="none"/>
              </w:rPr>
            </w:pPr>
          </w:p>
        </w:tc>
        <w:tc>
          <w:tcPr>
            <w:tcW w:w="1548" w:type="dxa"/>
            <w:gridSpan w:val="2"/>
            <w:noWrap w:val="0"/>
            <w:vAlign w:val="center"/>
          </w:tcPr>
          <w:p w14:paraId="4EBA2B24">
            <w:pPr>
              <w:jc w:val="center"/>
              <w:rPr>
                <w:rFonts w:hint="eastAsia" w:ascii="宋体" w:hAnsi="宋体" w:eastAsia="宋体" w:cs="宋体"/>
                <w:color w:val="auto"/>
                <w:highlight w:val="none"/>
              </w:rPr>
            </w:pPr>
          </w:p>
        </w:tc>
      </w:tr>
      <w:tr w14:paraId="6C9B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6D16B05">
            <w:pPr>
              <w:jc w:val="center"/>
              <w:rPr>
                <w:rFonts w:hint="eastAsia" w:ascii="宋体" w:hAnsi="宋体" w:eastAsia="宋体" w:cs="宋体"/>
                <w:color w:val="auto"/>
                <w:highlight w:val="none"/>
              </w:rPr>
            </w:pPr>
          </w:p>
        </w:tc>
        <w:tc>
          <w:tcPr>
            <w:tcW w:w="1548" w:type="dxa"/>
            <w:noWrap w:val="0"/>
            <w:vAlign w:val="center"/>
          </w:tcPr>
          <w:p w14:paraId="4ABC570F">
            <w:pPr>
              <w:jc w:val="center"/>
              <w:rPr>
                <w:rFonts w:hint="eastAsia" w:ascii="宋体" w:hAnsi="宋体" w:eastAsia="宋体" w:cs="宋体"/>
                <w:color w:val="auto"/>
                <w:highlight w:val="none"/>
              </w:rPr>
            </w:pPr>
          </w:p>
        </w:tc>
        <w:tc>
          <w:tcPr>
            <w:tcW w:w="1547" w:type="dxa"/>
            <w:gridSpan w:val="2"/>
            <w:noWrap w:val="0"/>
            <w:vAlign w:val="center"/>
          </w:tcPr>
          <w:p w14:paraId="747D30FE">
            <w:pPr>
              <w:jc w:val="center"/>
              <w:rPr>
                <w:rFonts w:hint="eastAsia" w:ascii="宋体" w:hAnsi="宋体" w:eastAsia="宋体" w:cs="宋体"/>
                <w:color w:val="auto"/>
                <w:highlight w:val="none"/>
              </w:rPr>
            </w:pPr>
          </w:p>
        </w:tc>
        <w:tc>
          <w:tcPr>
            <w:tcW w:w="1548" w:type="dxa"/>
            <w:gridSpan w:val="2"/>
            <w:noWrap w:val="0"/>
            <w:vAlign w:val="center"/>
          </w:tcPr>
          <w:p w14:paraId="7A84555D">
            <w:pPr>
              <w:jc w:val="center"/>
              <w:rPr>
                <w:rFonts w:hint="eastAsia" w:ascii="宋体" w:hAnsi="宋体" w:eastAsia="宋体" w:cs="宋体"/>
                <w:color w:val="auto"/>
                <w:highlight w:val="none"/>
              </w:rPr>
            </w:pPr>
          </w:p>
        </w:tc>
        <w:tc>
          <w:tcPr>
            <w:tcW w:w="1547" w:type="dxa"/>
            <w:gridSpan w:val="2"/>
            <w:noWrap w:val="0"/>
            <w:vAlign w:val="center"/>
          </w:tcPr>
          <w:p w14:paraId="7457666C">
            <w:pPr>
              <w:jc w:val="center"/>
              <w:rPr>
                <w:rFonts w:hint="eastAsia" w:ascii="宋体" w:hAnsi="宋体" w:eastAsia="宋体" w:cs="宋体"/>
                <w:color w:val="auto"/>
                <w:highlight w:val="none"/>
              </w:rPr>
            </w:pPr>
          </w:p>
        </w:tc>
        <w:tc>
          <w:tcPr>
            <w:tcW w:w="1548" w:type="dxa"/>
            <w:gridSpan w:val="2"/>
            <w:noWrap w:val="0"/>
            <w:vAlign w:val="center"/>
          </w:tcPr>
          <w:p w14:paraId="47F6FE0C">
            <w:pPr>
              <w:jc w:val="center"/>
              <w:rPr>
                <w:rFonts w:hint="eastAsia" w:ascii="宋体" w:hAnsi="宋体" w:eastAsia="宋体" w:cs="宋体"/>
                <w:color w:val="auto"/>
                <w:highlight w:val="none"/>
              </w:rPr>
            </w:pPr>
          </w:p>
        </w:tc>
      </w:tr>
      <w:tr w14:paraId="374F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07BAF56F">
            <w:pPr>
              <w:jc w:val="center"/>
              <w:rPr>
                <w:rFonts w:hint="eastAsia" w:ascii="宋体" w:hAnsi="宋体" w:eastAsia="宋体" w:cs="宋体"/>
                <w:color w:val="auto"/>
                <w:highlight w:val="none"/>
              </w:rPr>
            </w:pPr>
          </w:p>
        </w:tc>
        <w:tc>
          <w:tcPr>
            <w:tcW w:w="1548" w:type="dxa"/>
            <w:noWrap w:val="0"/>
            <w:vAlign w:val="center"/>
          </w:tcPr>
          <w:p w14:paraId="1100B179">
            <w:pPr>
              <w:jc w:val="center"/>
              <w:rPr>
                <w:rFonts w:hint="eastAsia" w:ascii="宋体" w:hAnsi="宋体" w:eastAsia="宋体" w:cs="宋体"/>
                <w:color w:val="auto"/>
                <w:highlight w:val="none"/>
              </w:rPr>
            </w:pPr>
          </w:p>
        </w:tc>
        <w:tc>
          <w:tcPr>
            <w:tcW w:w="1547" w:type="dxa"/>
            <w:gridSpan w:val="2"/>
            <w:noWrap w:val="0"/>
            <w:vAlign w:val="center"/>
          </w:tcPr>
          <w:p w14:paraId="624681C3">
            <w:pPr>
              <w:jc w:val="center"/>
              <w:rPr>
                <w:rFonts w:hint="eastAsia" w:ascii="宋体" w:hAnsi="宋体" w:eastAsia="宋体" w:cs="宋体"/>
                <w:color w:val="auto"/>
                <w:highlight w:val="none"/>
              </w:rPr>
            </w:pPr>
          </w:p>
        </w:tc>
        <w:tc>
          <w:tcPr>
            <w:tcW w:w="1548" w:type="dxa"/>
            <w:gridSpan w:val="2"/>
            <w:noWrap w:val="0"/>
            <w:vAlign w:val="center"/>
          </w:tcPr>
          <w:p w14:paraId="701B85FE">
            <w:pPr>
              <w:jc w:val="center"/>
              <w:rPr>
                <w:rFonts w:hint="eastAsia" w:ascii="宋体" w:hAnsi="宋体" w:eastAsia="宋体" w:cs="宋体"/>
                <w:color w:val="auto"/>
                <w:highlight w:val="none"/>
              </w:rPr>
            </w:pPr>
          </w:p>
        </w:tc>
        <w:tc>
          <w:tcPr>
            <w:tcW w:w="1547" w:type="dxa"/>
            <w:gridSpan w:val="2"/>
            <w:noWrap w:val="0"/>
            <w:vAlign w:val="center"/>
          </w:tcPr>
          <w:p w14:paraId="487E15AE">
            <w:pPr>
              <w:jc w:val="center"/>
              <w:rPr>
                <w:rFonts w:hint="eastAsia" w:ascii="宋体" w:hAnsi="宋体" w:eastAsia="宋体" w:cs="宋体"/>
                <w:color w:val="auto"/>
                <w:highlight w:val="none"/>
              </w:rPr>
            </w:pPr>
          </w:p>
        </w:tc>
        <w:tc>
          <w:tcPr>
            <w:tcW w:w="1548" w:type="dxa"/>
            <w:gridSpan w:val="2"/>
            <w:noWrap w:val="0"/>
            <w:vAlign w:val="center"/>
          </w:tcPr>
          <w:p w14:paraId="3ABFC816">
            <w:pPr>
              <w:jc w:val="center"/>
              <w:rPr>
                <w:rFonts w:hint="eastAsia" w:ascii="宋体" w:hAnsi="宋体" w:eastAsia="宋体" w:cs="宋体"/>
                <w:color w:val="auto"/>
                <w:highlight w:val="none"/>
              </w:rPr>
            </w:pPr>
          </w:p>
        </w:tc>
      </w:tr>
      <w:tr w14:paraId="6820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49C43944">
            <w:pPr>
              <w:jc w:val="center"/>
              <w:rPr>
                <w:rFonts w:hint="eastAsia" w:ascii="宋体" w:hAnsi="宋体" w:eastAsia="宋体" w:cs="宋体"/>
                <w:color w:val="auto"/>
                <w:highlight w:val="none"/>
              </w:rPr>
            </w:pPr>
          </w:p>
        </w:tc>
        <w:tc>
          <w:tcPr>
            <w:tcW w:w="1548" w:type="dxa"/>
            <w:noWrap w:val="0"/>
            <w:vAlign w:val="center"/>
          </w:tcPr>
          <w:p w14:paraId="47F65A37">
            <w:pPr>
              <w:jc w:val="center"/>
              <w:rPr>
                <w:rFonts w:hint="eastAsia" w:ascii="宋体" w:hAnsi="宋体" w:eastAsia="宋体" w:cs="宋体"/>
                <w:color w:val="auto"/>
                <w:highlight w:val="none"/>
              </w:rPr>
            </w:pPr>
          </w:p>
        </w:tc>
        <w:tc>
          <w:tcPr>
            <w:tcW w:w="1547" w:type="dxa"/>
            <w:gridSpan w:val="2"/>
            <w:noWrap w:val="0"/>
            <w:vAlign w:val="center"/>
          </w:tcPr>
          <w:p w14:paraId="4ABA11A1">
            <w:pPr>
              <w:jc w:val="center"/>
              <w:rPr>
                <w:rFonts w:hint="eastAsia" w:ascii="宋体" w:hAnsi="宋体" w:eastAsia="宋体" w:cs="宋体"/>
                <w:color w:val="auto"/>
                <w:highlight w:val="none"/>
              </w:rPr>
            </w:pPr>
          </w:p>
        </w:tc>
        <w:tc>
          <w:tcPr>
            <w:tcW w:w="1548" w:type="dxa"/>
            <w:gridSpan w:val="2"/>
            <w:noWrap w:val="0"/>
            <w:vAlign w:val="center"/>
          </w:tcPr>
          <w:p w14:paraId="59FEA82C">
            <w:pPr>
              <w:jc w:val="center"/>
              <w:rPr>
                <w:rFonts w:hint="eastAsia" w:ascii="宋体" w:hAnsi="宋体" w:eastAsia="宋体" w:cs="宋体"/>
                <w:color w:val="auto"/>
                <w:highlight w:val="none"/>
              </w:rPr>
            </w:pPr>
          </w:p>
        </w:tc>
        <w:tc>
          <w:tcPr>
            <w:tcW w:w="1547" w:type="dxa"/>
            <w:gridSpan w:val="2"/>
            <w:noWrap w:val="0"/>
            <w:vAlign w:val="center"/>
          </w:tcPr>
          <w:p w14:paraId="7B74BAE4">
            <w:pPr>
              <w:jc w:val="center"/>
              <w:rPr>
                <w:rFonts w:hint="eastAsia" w:ascii="宋体" w:hAnsi="宋体" w:eastAsia="宋体" w:cs="宋体"/>
                <w:color w:val="auto"/>
                <w:highlight w:val="none"/>
              </w:rPr>
            </w:pPr>
          </w:p>
        </w:tc>
        <w:tc>
          <w:tcPr>
            <w:tcW w:w="1548" w:type="dxa"/>
            <w:gridSpan w:val="2"/>
            <w:noWrap w:val="0"/>
            <w:vAlign w:val="center"/>
          </w:tcPr>
          <w:p w14:paraId="458BD5C2">
            <w:pPr>
              <w:jc w:val="center"/>
              <w:rPr>
                <w:rFonts w:hint="eastAsia" w:ascii="宋体" w:hAnsi="宋体" w:eastAsia="宋体" w:cs="宋体"/>
                <w:color w:val="auto"/>
                <w:highlight w:val="none"/>
              </w:rPr>
            </w:pPr>
          </w:p>
        </w:tc>
      </w:tr>
    </w:tbl>
    <w:p w14:paraId="1097097B">
      <w:pPr>
        <w:spacing w:line="360" w:lineRule="auto"/>
        <w:rPr>
          <w:rFonts w:hint="eastAsia" w:ascii="宋体" w:hAnsi="宋体" w:eastAsia="宋体" w:cs="宋体"/>
          <w:color w:val="auto"/>
          <w:szCs w:val="21"/>
          <w:highlight w:val="none"/>
        </w:rPr>
      </w:pPr>
    </w:p>
    <w:p w14:paraId="13750662">
      <w:pPr>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highlight w:val="none"/>
        </w:rPr>
        <w:t>注：本表后须附安全员的身份证以及资格审查条件所要求的其他相关证书（如安全生产考核合格证书等)的复印件。身份证应附前后两面的复印件：安全生产考核合格证应附有姓名、证书号和类别、发证机关和有效期的相关页面复印件</w:t>
      </w:r>
      <w:r>
        <w:rPr>
          <w:rFonts w:hint="eastAsia" w:ascii="宋体" w:hAnsi="宋体" w:eastAsia="宋体" w:cs="宋体"/>
          <w:color w:val="auto"/>
          <w:highlight w:val="none"/>
          <w:lang w:eastAsia="zh-CN"/>
        </w:rPr>
        <w:t>。</w:t>
      </w:r>
    </w:p>
    <w:p w14:paraId="2A963772">
      <w:pPr>
        <w:pStyle w:val="29"/>
        <w:rPr>
          <w:rFonts w:hint="eastAsia" w:ascii="宋体" w:hAnsi="宋体" w:eastAsia="宋体" w:cs="宋体"/>
          <w:color w:val="auto"/>
          <w:kern w:val="0"/>
          <w:szCs w:val="21"/>
          <w:highlight w:val="none"/>
        </w:rPr>
      </w:pPr>
    </w:p>
    <w:p w14:paraId="696D863B">
      <w:pPr>
        <w:spacing w:line="300" w:lineRule="auto"/>
        <w:rPr>
          <w:rFonts w:hint="eastAsia" w:ascii="宋体" w:hAnsi="宋体" w:eastAsia="宋体" w:cs="宋体"/>
          <w:b/>
          <w:bCs/>
          <w:color w:val="auto"/>
          <w:sz w:val="24"/>
        </w:rPr>
      </w:pPr>
    </w:p>
    <w:p w14:paraId="321F3A1B">
      <w:pPr>
        <w:spacing w:line="300" w:lineRule="auto"/>
        <w:rPr>
          <w:rFonts w:hint="eastAsia" w:ascii="宋体" w:hAnsi="宋体" w:eastAsia="宋体" w:cs="宋体"/>
          <w:b/>
          <w:bCs/>
          <w:color w:val="auto"/>
          <w:sz w:val="24"/>
        </w:rPr>
      </w:pPr>
    </w:p>
    <w:p w14:paraId="0E7A3A6D">
      <w:pPr>
        <w:spacing w:line="300" w:lineRule="auto"/>
        <w:rPr>
          <w:rFonts w:hint="eastAsia" w:ascii="宋体" w:hAnsi="宋体" w:eastAsia="宋体" w:cs="宋体"/>
          <w:b/>
          <w:bCs/>
          <w:color w:val="auto"/>
          <w:sz w:val="24"/>
        </w:rPr>
      </w:pPr>
    </w:p>
    <w:p w14:paraId="4FBC3280">
      <w:pPr>
        <w:spacing w:line="300" w:lineRule="auto"/>
        <w:rPr>
          <w:rFonts w:hint="eastAsia" w:ascii="宋体" w:hAnsi="宋体" w:eastAsia="宋体" w:cs="宋体"/>
          <w:b/>
          <w:bCs/>
          <w:color w:val="auto"/>
          <w:sz w:val="24"/>
        </w:rPr>
      </w:pPr>
    </w:p>
    <w:p w14:paraId="4A541ED1">
      <w:pPr>
        <w:spacing w:line="300" w:lineRule="auto"/>
        <w:rPr>
          <w:rFonts w:hint="eastAsia" w:ascii="宋体" w:hAnsi="宋体" w:eastAsia="宋体" w:cs="宋体"/>
          <w:b/>
          <w:bCs/>
          <w:color w:val="auto"/>
          <w:sz w:val="24"/>
        </w:rPr>
      </w:pPr>
    </w:p>
    <w:p w14:paraId="5E28B41B">
      <w:pPr>
        <w:spacing w:line="300" w:lineRule="auto"/>
        <w:rPr>
          <w:rFonts w:hint="eastAsia" w:ascii="宋体" w:hAnsi="宋体" w:eastAsia="宋体" w:cs="宋体"/>
          <w:b/>
          <w:bCs/>
          <w:color w:val="auto"/>
          <w:sz w:val="24"/>
        </w:rPr>
      </w:pPr>
    </w:p>
    <w:p w14:paraId="3846C368">
      <w:pPr>
        <w:pStyle w:val="51"/>
        <w:rPr>
          <w:rFonts w:hint="eastAsia" w:ascii="宋体" w:hAnsi="宋体" w:eastAsia="宋体" w:cs="宋体"/>
          <w:color w:val="auto"/>
        </w:rPr>
      </w:pPr>
    </w:p>
    <w:p w14:paraId="6B38B8B4">
      <w:pPr>
        <w:spacing w:line="300" w:lineRule="auto"/>
        <w:rPr>
          <w:rFonts w:hint="eastAsia" w:ascii="宋体" w:hAnsi="宋体" w:eastAsia="宋体" w:cs="宋体"/>
          <w:b/>
          <w:bCs/>
          <w:color w:val="auto"/>
          <w:sz w:val="24"/>
        </w:rPr>
      </w:pPr>
    </w:p>
    <w:p w14:paraId="0A9F95D9">
      <w:pPr>
        <w:spacing w:line="300" w:lineRule="auto"/>
        <w:rPr>
          <w:rFonts w:hint="eastAsia" w:ascii="宋体" w:hAnsi="宋体" w:eastAsia="宋体" w:cs="宋体"/>
          <w:b/>
          <w:bCs/>
          <w:color w:val="auto"/>
          <w:sz w:val="24"/>
        </w:rPr>
      </w:pPr>
    </w:p>
    <w:p w14:paraId="14B5352D">
      <w:pPr>
        <w:spacing w:line="300" w:lineRule="auto"/>
        <w:rPr>
          <w:rFonts w:hint="eastAsia" w:ascii="宋体" w:hAnsi="宋体" w:eastAsia="宋体" w:cs="宋体"/>
          <w:b/>
          <w:bCs/>
          <w:color w:val="auto"/>
          <w:sz w:val="24"/>
        </w:rPr>
      </w:pPr>
    </w:p>
    <w:p w14:paraId="3464D1D1">
      <w:pPr>
        <w:spacing w:line="360" w:lineRule="auto"/>
        <w:jc w:val="both"/>
        <w:rPr>
          <w:rFonts w:hint="eastAsia" w:ascii="宋体" w:hAnsi="宋体" w:eastAsia="宋体" w:cs="宋体"/>
          <w:color w:val="auto"/>
          <w:sz w:val="24"/>
        </w:rPr>
      </w:pPr>
    </w:p>
    <w:p w14:paraId="36DF838A">
      <w:pPr>
        <w:spacing w:line="360" w:lineRule="auto"/>
        <w:jc w:val="both"/>
        <w:rPr>
          <w:rFonts w:hint="eastAsia" w:ascii="宋体" w:hAnsi="宋体" w:eastAsia="宋体" w:cs="宋体"/>
          <w:color w:val="auto"/>
          <w:sz w:val="44"/>
          <w:szCs w:val="44"/>
          <w:highlight w:val="none"/>
        </w:rPr>
      </w:pPr>
    </w:p>
    <w:p w14:paraId="4A8FFAB0">
      <w:pPr>
        <w:pStyle w:val="74"/>
        <w:jc w:val="center"/>
        <w:rPr>
          <w:rFonts w:hint="eastAsia" w:ascii="宋体" w:hAnsi="宋体" w:eastAsia="宋体" w:cs="宋体"/>
          <w:b/>
          <w:bCs w:val="0"/>
          <w:color w:val="auto"/>
          <w:kern w:val="2"/>
          <w:sz w:val="36"/>
          <w:szCs w:val="36"/>
          <w:lang w:val="en-US" w:eastAsia="zh-CN" w:bidi="ar-SA"/>
        </w:rPr>
      </w:pPr>
      <w:r>
        <w:rPr>
          <w:rFonts w:hint="eastAsia" w:ascii="宋体" w:hAnsi="宋体" w:eastAsia="宋体" w:cs="宋体"/>
          <w:b/>
          <w:bCs w:val="0"/>
          <w:color w:val="auto"/>
          <w:kern w:val="2"/>
          <w:sz w:val="36"/>
          <w:szCs w:val="36"/>
          <w:lang w:val="en-US" w:eastAsia="zh-CN" w:bidi="ar-SA"/>
        </w:rPr>
        <w:t>建设工程项目管理承诺书</w:t>
      </w:r>
    </w:p>
    <w:p w14:paraId="0C17F343">
      <w:pPr>
        <w:pStyle w:val="74"/>
        <w:jc w:val="center"/>
        <w:rPr>
          <w:rFonts w:hint="eastAsia" w:ascii="宋体" w:hAnsi="宋体" w:eastAsia="宋体" w:cs="宋体"/>
          <w:bCs/>
          <w:color w:val="auto"/>
          <w:kern w:val="2"/>
          <w:sz w:val="24"/>
          <w:szCs w:val="24"/>
          <w:lang w:val="en-US" w:eastAsia="zh-CN" w:bidi="ar-SA"/>
        </w:rPr>
      </w:pPr>
    </w:p>
    <w:p w14:paraId="700EAE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lang w:eastAsia="zh-CN"/>
        </w:rPr>
        <w:t>致</w:t>
      </w:r>
      <w:r>
        <w:rPr>
          <w:rFonts w:hint="eastAsia" w:ascii="宋体" w:hAnsi="宋体" w:eastAsia="宋体" w:cs="宋体"/>
          <w:b w:val="0"/>
          <w:bCs w:val="0"/>
          <w:color w:val="auto"/>
          <w:sz w:val="24"/>
          <w:szCs w:val="24"/>
          <w:u w:val="single"/>
          <w:lang w:val="en-US" w:eastAsia="zh-CN"/>
        </w:rPr>
        <w:t xml:space="preserve">  采购单位名称 </w:t>
      </w:r>
      <w:r>
        <w:rPr>
          <w:rFonts w:hint="eastAsia" w:ascii="宋体" w:hAnsi="宋体" w:eastAsia="宋体" w:cs="宋体"/>
          <w:b w:val="0"/>
          <w:bCs w:val="0"/>
          <w:color w:val="auto"/>
          <w:sz w:val="24"/>
          <w:szCs w:val="24"/>
          <w:u w:val="none"/>
          <w:lang w:val="en-US" w:eastAsia="zh-CN"/>
        </w:rPr>
        <w:t>:</w:t>
      </w:r>
    </w:p>
    <w:p w14:paraId="2993BE3A">
      <w:pPr>
        <w:pStyle w:val="51"/>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如我公司在贵单位的</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成交，根据博白县人民政府的相关规定，我方在此向采购人承诺：</w:t>
      </w:r>
    </w:p>
    <w:p w14:paraId="30629991">
      <w:pPr>
        <w:pStyle w:val="51"/>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5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我方保证在</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项目的响应文件中，如实反映我方以前所承建工程中工资支付的情况，并特别注明至提交响应文件截止之日止，不存在拖欠或克扣农民工工资的行为。</w:t>
      </w:r>
    </w:p>
    <w:p w14:paraId="7C306BD3">
      <w:pPr>
        <w:pStyle w:val="51"/>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5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我方参与投标的</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项目，一旦成交，我方保证在收到成交通知书之日起</w:t>
      </w:r>
      <w:r>
        <w:rPr>
          <w:rFonts w:hint="eastAsia" w:ascii="宋体" w:hAnsi="宋体" w:eastAsia="宋体" w:cs="宋体"/>
          <w:b w:val="0"/>
          <w:bCs w:val="0"/>
          <w:color w:val="auto"/>
          <w:sz w:val="24"/>
          <w:szCs w:val="24"/>
          <w:u w:val="single"/>
          <w:lang w:val="en-US" w:eastAsia="zh-CN"/>
        </w:rPr>
        <w:t xml:space="preserve">  20 </w:t>
      </w:r>
      <w:r>
        <w:rPr>
          <w:rFonts w:hint="eastAsia" w:ascii="宋体" w:hAnsi="宋体" w:eastAsia="宋体" w:cs="宋体"/>
          <w:b w:val="0"/>
          <w:bCs w:val="0"/>
          <w:color w:val="auto"/>
          <w:sz w:val="24"/>
          <w:szCs w:val="24"/>
          <w:u w:val="none"/>
          <w:lang w:val="en-US" w:eastAsia="zh-CN"/>
        </w:rPr>
        <w:t>个工作日内，及时并足额农民工工资保证金存入指定帐户，作为本项目农民工工资保证金。</w:t>
      </w:r>
    </w:p>
    <w:p w14:paraId="6182FAAA">
      <w:pPr>
        <w:pStyle w:val="51"/>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5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如我方在承包</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项目中出现拖欠或克扣农民工工资和其它职工工资情况的，由建设行政主管部门从本企业缴纳的农民工工资保证金中先予划支。</w:t>
      </w:r>
    </w:p>
    <w:p w14:paraId="55538E28">
      <w:pPr>
        <w:pStyle w:val="51"/>
        <w:keepNext w:val="0"/>
        <w:keepLines w:val="0"/>
        <w:pageBreakBefore w:val="0"/>
        <w:widowControl w:val="0"/>
        <w:numPr>
          <w:ilvl w:val="0"/>
          <w:numId w:val="6"/>
        </w:numPr>
        <w:kinsoku/>
        <w:wordWrap/>
        <w:overflowPunct/>
        <w:topLinePunct w:val="0"/>
        <w:autoSpaceDE/>
        <w:autoSpaceDN/>
        <w:bidi w:val="0"/>
        <w:adjustRightInd/>
        <w:snapToGrid/>
        <w:spacing w:line="440" w:lineRule="exact"/>
        <w:ind w:firstLine="5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如我方不按时、足额存入农民工工资保证金，采购人有权取消我方成交资格。</w:t>
      </w:r>
    </w:p>
    <w:p w14:paraId="584494A3">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u w:val="none"/>
          <w:lang w:val="en-US" w:eastAsia="zh-CN"/>
        </w:rPr>
      </w:pPr>
    </w:p>
    <w:p w14:paraId="4E04438E">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u w:val="none"/>
          <w:lang w:val="en-US" w:eastAsia="zh-CN"/>
        </w:rPr>
      </w:pPr>
    </w:p>
    <w:p w14:paraId="0620D4C1">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u w:val="none"/>
          <w:lang w:val="en-US" w:eastAsia="zh-CN"/>
        </w:rPr>
      </w:pPr>
    </w:p>
    <w:p w14:paraId="425AE7C8">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u w:val="none"/>
          <w:lang w:val="en-US" w:eastAsia="zh-CN"/>
        </w:rPr>
      </w:pPr>
    </w:p>
    <w:p w14:paraId="7C679047">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供应商：</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（公章）</w:t>
      </w:r>
    </w:p>
    <w:p w14:paraId="183EA63F">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法定代表人（或负责人）或授权代理人：</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（签字）</w:t>
      </w:r>
    </w:p>
    <w:p w14:paraId="4EF4956C">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日期：</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年</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月</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日</w:t>
      </w:r>
    </w:p>
    <w:p w14:paraId="03E11805">
      <w:pPr>
        <w:spacing w:line="360" w:lineRule="auto"/>
        <w:ind w:left="1955" w:leftChars="931" w:firstLine="1120" w:firstLineChars="400"/>
        <w:jc w:val="both"/>
        <w:rPr>
          <w:rFonts w:hint="eastAsia" w:ascii="宋体" w:hAnsi="宋体" w:eastAsia="宋体" w:cs="宋体"/>
          <w:color w:val="auto"/>
          <w:sz w:val="28"/>
          <w:szCs w:val="28"/>
        </w:rPr>
      </w:pPr>
    </w:p>
    <w:p w14:paraId="682AF2A7">
      <w:pPr>
        <w:spacing w:line="360" w:lineRule="auto"/>
        <w:ind w:left="1955" w:leftChars="931" w:firstLine="1120" w:firstLineChars="400"/>
        <w:jc w:val="both"/>
        <w:rPr>
          <w:rFonts w:hint="eastAsia" w:ascii="宋体" w:hAnsi="宋体" w:eastAsia="宋体" w:cs="宋体"/>
          <w:color w:val="auto"/>
          <w:sz w:val="28"/>
          <w:szCs w:val="28"/>
        </w:rPr>
      </w:pPr>
    </w:p>
    <w:p w14:paraId="6ED09F2C">
      <w:pPr>
        <w:spacing w:line="360" w:lineRule="auto"/>
        <w:ind w:left="1955" w:leftChars="931" w:firstLine="1120" w:firstLineChars="400"/>
        <w:jc w:val="both"/>
        <w:rPr>
          <w:rFonts w:hint="eastAsia" w:ascii="宋体" w:hAnsi="宋体" w:eastAsia="宋体" w:cs="宋体"/>
          <w:color w:val="auto"/>
          <w:sz w:val="28"/>
          <w:szCs w:val="28"/>
        </w:rPr>
      </w:pPr>
    </w:p>
    <w:p w14:paraId="67FFF33E">
      <w:pPr>
        <w:pStyle w:val="51"/>
        <w:rPr>
          <w:rFonts w:hint="eastAsia" w:ascii="宋体" w:hAnsi="宋体" w:eastAsia="宋体" w:cs="宋体"/>
          <w:color w:val="auto"/>
          <w:sz w:val="28"/>
          <w:szCs w:val="28"/>
        </w:rPr>
      </w:pPr>
    </w:p>
    <w:p w14:paraId="63E0A846">
      <w:pPr>
        <w:pStyle w:val="51"/>
        <w:rPr>
          <w:rFonts w:hint="eastAsia" w:ascii="宋体" w:hAnsi="宋体" w:eastAsia="宋体" w:cs="宋体"/>
          <w:color w:val="auto"/>
          <w:sz w:val="28"/>
          <w:szCs w:val="28"/>
        </w:rPr>
      </w:pPr>
    </w:p>
    <w:p w14:paraId="08CC03DF">
      <w:pPr>
        <w:pStyle w:val="51"/>
        <w:rPr>
          <w:rFonts w:hint="eastAsia" w:ascii="宋体" w:hAnsi="宋体" w:eastAsia="宋体" w:cs="宋体"/>
          <w:color w:val="auto"/>
          <w:sz w:val="28"/>
          <w:szCs w:val="28"/>
        </w:rPr>
      </w:pPr>
    </w:p>
    <w:p w14:paraId="6A8F5EF1">
      <w:pPr>
        <w:spacing w:line="300" w:lineRule="auto"/>
        <w:rPr>
          <w:rFonts w:hint="eastAsia" w:ascii="宋体" w:hAnsi="宋体" w:eastAsia="宋体" w:cs="宋体"/>
          <w:color w:val="auto"/>
          <w:szCs w:val="21"/>
        </w:rPr>
      </w:pPr>
      <w:r>
        <w:rPr>
          <w:rFonts w:hint="eastAsia" w:ascii="宋体" w:hAnsi="宋体" w:eastAsia="宋体" w:cs="宋体"/>
          <w:b/>
          <w:bCs/>
          <w:color w:val="auto"/>
          <w:sz w:val="24"/>
        </w:rPr>
        <w:t>其他文书、文件格式</w:t>
      </w:r>
    </w:p>
    <w:p w14:paraId="45B97461">
      <w:pPr>
        <w:jc w:val="center"/>
        <w:rPr>
          <w:rFonts w:hint="eastAsia" w:ascii="宋体" w:hAnsi="宋体" w:eastAsia="宋体" w:cs="宋体"/>
          <w:color w:val="auto"/>
          <w:sz w:val="44"/>
          <w:szCs w:val="44"/>
        </w:rPr>
      </w:pPr>
      <w:r>
        <w:rPr>
          <w:rFonts w:hint="eastAsia" w:ascii="宋体" w:hAnsi="宋体" w:eastAsia="宋体" w:cs="宋体"/>
          <w:color w:val="auto"/>
          <w:sz w:val="44"/>
          <w:szCs w:val="44"/>
        </w:rPr>
        <w:t>中小企业声明函</w:t>
      </w:r>
    </w:p>
    <w:p w14:paraId="12D8F928">
      <w:pPr>
        <w:spacing w:before="2" w:line="500" w:lineRule="exact"/>
        <w:ind w:firstLine="708" w:firstLineChars="294"/>
        <w:rPr>
          <w:rFonts w:hint="eastAsia" w:ascii="宋体" w:hAnsi="宋体" w:eastAsia="宋体" w:cs="宋体"/>
          <w:b/>
          <w:bCs/>
          <w:color w:val="auto"/>
          <w:sz w:val="24"/>
        </w:rPr>
      </w:pPr>
    </w:p>
    <w:p w14:paraId="4BF2A445">
      <w:pPr>
        <w:pStyle w:val="15"/>
        <w:spacing w:line="500" w:lineRule="exact"/>
        <w:ind w:right="142" w:firstLine="705" w:firstLineChars="294"/>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本公司（联合体）郑重声明，根据《政府采购促进中小企业发展管理办法》（财库﹝2020﹞46号）的规定，本公司（联合体）参加</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采购单位名称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的</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项目名称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采购活动，服务全部由符合政策要求的中小企业承接。相关企业（含联合体中的中小企业、签订分包意向协议的中小企业）的具体情况如下：</w:t>
      </w:r>
    </w:p>
    <w:p w14:paraId="6DE33A60">
      <w:pPr>
        <w:tabs>
          <w:tab w:val="left" w:pos="1384"/>
          <w:tab w:val="left" w:pos="4562"/>
          <w:tab w:val="left" w:pos="6803"/>
        </w:tabs>
        <w:spacing w:before="13" w:line="500" w:lineRule="exact"/>
        <w:ind w:right="142" w:firstLine="772" w:firstLineChars="322"/>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lang w:eastAsia="zh-CN"/>
        </w:rPr>
        <w:t>建筑行业</w:t>
      </w:r>
      <w:r>
        <w:rPr>
          <w:rFonts w:hint="eastAsia" w:ascii="宋体" w:hAnsi="宋体" w:eastAsia="宋体" w:cs="宋体"/>
          <w:color w:val="auto"/>
          <w:sz w:val="24"/>
        </w:rPr>
        <w:t>；承接企业为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274CE24F">
      <w:pPr>
        <w:tabs>
          <w:tab w:val="left" w:pos="1065"/>
          <w:tab w:val="left" w:pos="4262"/>
          <w:tab w:val="left" w:pos="6477"/>
        </w:tabs>
        <w:spacing w:before="20" w:line="500" w:lineRule="exact"/>
        <w:ind w:right="84" w:firstLine="772" w:firstLineChars="322"/>
        <w:rPr>
          <w:rFonts w:hint="eastAsia" w:ascii="宋体" w:hAnsi="宋体" w:eastAsia="宋体" w:cs="宋体"/>
          <w:color w:val="auto"/>
          <w:sz w:val="24"/>
          <w:u w:val="single"/>
        </w:rPr>
      </w:pPr>
      <w:r>
        <w:rPr>
          <w:rFonts w:hint="eastAsia" w:ascii="宋体" w:hAnsi="宋体" w:eastAsia="宋体" w:cs="宋体"/>
          <w:color w:val="auto"/>
          <w:sz w:val="24"/>
        </w:rPr>
        <w:t>2.</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lang w:eastAsia="zh-CN"/>
        </w:rPr>
        <w:t>建筑行业</w:t>
      </w:r>
      <w:r>
        <w:rPr>
          <w:rFonts w:hint="eastAsia" w:ascii="宋体" w:hAnsi="宋体" w:eastAsia="宋体" w:cs="宋体"/>
          <w:color w:val="auto"/>
          <w:sz w:val="24"/>
        </w:rPr>
        <w:t>；承接企业为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0949635C">
      <w:pPr>
        <w:pStyle w:val="15"/>
        <w:spacing w:before="34" w:line="500" w:lineRule="exact"/>
        <w:ind w:right="142" w:firstLine="705" w:firstLineChars="294"/>
        <w:rPr>
          <w:rFonts w:hint="eastAsia" w:ascii="宋体" w:hAnsi="宋体" w:eastAsia="宋体" w:cs="宋体"/>
          <w:color w:val="auto"/>
          <w:sz w:val="24"/>
        </w:rPr>
      </w:pPr>
      <w:r>
        <w:rPr>
          <w:rFonts w:hint="eastAsia" w:ascii="宋体" w:hAnsi="宋体" w:eastAsia="宋体" w:cs="宋体"/>
          <w:color w:val="auto"/>
          <w:sz w:val="24"/>
        </w:rPr>
        <w:t xml:space="preserve">…… </w:t>
      </w:r>
    </w:p>
    <w:p w14:paraId="1928255E">
      <w:pPr>
        <w:pStyle w:val="15"/>
        <w:spacing w:before="34" w:line="500" w:lineRule="exact"/>
        <w:ind w:right="142" w:firstLine="705" w:firstLineChars="294"/>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5A9B183B">
      <w:pPr>
        <w:pStyle w:val="15"/>
        <w:spacing w:before="25" w:line="500" w:lineRule="exact"/>
        <w:ind w:right="142" w:firstLine="705" w:firstLineChars="294"/>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0011FA29">
      <w:pPr>
        <w:pStyle w:val="15"/>
        <w:spacing w:before="56" w:line="500" w:lineRule="exact"/>
        <w:ind w:right="1808" w:firstLine="705" w:firstLineChars="294"/>
        <w:rPr>
          <w:rFonts w:hint="eastAsia" w:ascii="宋体" w:hAnsi="宋体" w:eastAsia="宋体" w:cs="宋体"/>
          <w:color w:val="auto"/>
          <w:sz w:val="24"/>
        </w:rPr>
      </w:pPr>
    </w:p>
    <w:p w14:paraId="27F532FA">
      <w:pPr>
        <w:pStyle w:val="15"/>
        <w:spacing w:before="56" w:line="500" w:lineRule="exact"/>
        <w:ind w:right="650" w:firstLine="5625" w:firstLineChars="2344"/>
        <w:rPr>
          <w:rFonts w:hint="eastAsia" w:ascii="宋体" w:hAnsi="宋体" w:eastAsia="宋体" w:cs="宋体"/>
          <w:color w:val="auto"/>
          <w:sz w:val="24"/>
        </w:rPr>
      </w:pPr>
      <w:r>
        <w:rPr>
          <w:rFonts w:hint="eastAsia" w:ascii="宋体" w:hAnsi="宋体" w:eastAsia="宋体" w:cs="宋体"/>
          <w:color w:val="auto"/>
          <w:sz w:val="24"/>
        </w:rPr>
        <w:t xml:space="preserve">企业名称（章）： </w:t>
      </w:r>
    </w:p>
    <w:p w14:paraId="49DF4AA7">
      <w:pPr>
        <w:pStyle w:val="15"/>
        <w:spacing w:before="56" w:line="500" w:lineRule="exact"/>
        <w:ind w:right="1808" w:firstLine="5625" w:firstLineChars="2344"/>
        <w:rPr>
          <w:rFonts w:hint="eastAsia" w:ascii="宋体" w:hAnsi="宋体" w:eastAsia="宋体" w:cs="宋体"/>
          <w:color w:val="auto"/>
          <w:sz w:val="24"/>
        </w:rPr>
      </w:pPr>
      <w:r>
        <w:rPr>
          <w:rFonts w:hint="eastAsia" w:ascii="宋体" w:hAnsi="宋体" w:eastAsia="宋体" w:cs="宋体"/>
          <w:color w:val="auto"/>
          <w:sz w:val="24"/>
        </w:rPr>
        <w:t>日 期：</w:t>
      </w:r>
    </w:p>
    <w:p w14:paraId="4EFF8295">
      <w:pPr>
        <w:spacing w:line="520" w:lineRule="exact"/>
        <w:jc w:val="left"/>
        <w:rPr>
          <w:rFonts w:hint="eastAsia" w:ascii="宋体" w:hAnsi="宋体" w:eastAsia="宋体" w:cs="宋体"/>
          <w:color w:val="auto"/>
          <w:sz w:val="24"/>
        </w:rPr>
      </w:pPr>
      <w:r>
        <w:rPr>
          <w:rFonts w:hint="eastAsia" w:ascii="宋体" w:hAnsi="宋体" w:eastAsia="宋体" w:cs="宋体"/>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CA3D465">
      <w:pPr>
        <w:spacing w:line="520" w:lineRule="exact"/>
        <w:jc w:val="center"/>
        <w:rPr>
          <w:rFonts w:hint="eastAsia" w:ascii="宋体" w:hAnsi="宋体" w:eastAsia="宋体" w:cs="宋体"/>
          <w:color w:val="auto"/>
          <w:sz w:val="24"/>
        </w:rPr>
      </w:pPr>
    </w:p>
    <w:p w14:paraId="2E4E92AF">
      <w:pPr>
        <w:pStyle w:val="20"/>
        <w:jc w:val="left"/>
        <w:rPr>
          <w:rFonts w:hint="eastAsia" w:ascii="宋体" w:hAnsi="宋体" w:eastAsia="宋体" w:cs="宋体"/>
          <w:color w:val="auto"/>
          <w:sz w:val="32"/>
          <w:szCs w:val="32"/>
        </w:rPr>
      </w:pPr>
      <w:r>
        <w:rPr>
          <w:rFonts w:hint="eastAsia" w:ascii="宋体" w:hAnsi="宋体" w:eastAsia="宋体" w:cs="宋体"/>
          <w:color w:val="auto"/>
          <w:sz w:val="24"/>
        </w:rPr>
        <w:br w:type="page"/>
      </w:r>
      <w:r>
        <w:rPr>
          <w:rFonts w:hint="eastAsia" w:ascii="宋体" w:hAnsi="宋体" w:eastAsia="宋体" w:cs="宋体"/>
          <w:color w:val="auto"/>
          <w:sz w:val="32"/>
          <w:szCs w:val="32"/>
        </w:rPr>
        <w:t>附：</w:t>
      </w:r>
    </w:p>
    <w:p w14:paraId="5A024707">
      <w:pPr>
        <w:jc w:val="center"/>
        <w:rPr>
          <w:rFonts w:hint="eastAsia" w:ascii="宋体" w:hAnsi="宋体" w:eastAsia="宋体" w:cs="宋体"/>
          <w:color w:val="auto"/>
          <w:sz w:val="44"/>
          <w:szCs w:val="44"/>
        </w:rPr>
      </w:pPr>
      <w:r>
        <w:rPr>
          <w:rFonts w:hint="eastAsia" w:ascii="宋体" w:hAnsi="宋体" w:eastAsia="宋体" w:cs="宋体"/>
          <w:color w:val="auto"/>
          <w:sz w:val="44"/>
          <w:szCs w:val="44"/>
        </w:rPr>
        <w:t>中小微企业划型标准</w:t>
      </w:r>
    </w:p>
    <w:p w14:paraId="01A67DCF">
      <w:pPr>
        <w:ind w:left="1871"/>
        <w:rPr>
          <w:rFonts w:hint="eastAsia" w:ascii="宋体" w:hAnsi="宋体" w:eastAsia="宋体" w:cs="宋体"/>
          <w:color w:val="auto"/>
          <w:szCs w:val="21"/>
        </w:rPr>
      </w:pPr>
    </w:p>
    <w:tbl>
      <w:tblPr>
        <w:tblStyle w:val="30"/>
        <w:tblW w:w="9277" w:type="dxa"/>
        <w:jc w:val="center"/>
        <w:tblLayout w:type="fixed"/>
        <w:tblCellMar>
          <w:top w:w="0" w:type="dxa"/>
          <w:left w:w="108" w:type="dxa"/>
          <w:bottom w:w="0" w:type="dxa"/>
          <w:right w:w="108" w:type="dxa"/>
        </w:tblCellMar>
      </w:tblPr>
      <w:tblGrid>
        <w:gridCol w:w="1977"/>
        <w:gridCol w:w="1608"/>
        <w:gridCol w:w="1061"/>
        <w:gridCol w:w="1883"/>
        <w:gridCol w:w="1673"/>
        <w:gridCol w:w="1075"/>
      </w:tblGrid>
      <w:tr w14:paraId="3F847249">
        <w:tblPrEx>
          <w:tblCellMar>
            <w:top w:w="0" w:type="dxa"/>
            <w:left w:w="108" w:type="dxa"/>
            <w:bottom w:w="0" w:type="dxa"/>
            <w:right w:w="108" w:type="dxa"/>
          </w:tblCellMar>
        </w:tblPrEx>
        <w:trPr>
          <w:trHeight w:val="285" w:hRule="atLeast"/>
          <w:jc w:val="center"/>
        </w:trPr>
        <w:tc>
          <w:tcPr>
            <w:tcW w:w="1977" w:type="dxa"/>
            <w:tcBorders>
              <w:top w:val="single" w:color="auto" w:sz="4" w:space="0"/>
              <w:left w:val="single" w:color="auto" w:sz="4" w:space="0"/>
              <w:bottom w:val="single" w:color="auto" w:sz="4" w:space="0"/>
              <w:right w:val="single" w:color="auto" w:sz="4" w:space="0"/>
            </w:tcBorders>
            <w:noWrap w:val="0"/>
            <w:vAlign w:val="center"/>
          </w:tcPr>
          <w:p w14:paraId="64B3FE74">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行业名称</w:t>
            </w:r>
          </w:p>
        </w:tc>
        <w:tc>
          <w:tcPr>
            <w:tcW w:w="1608" w:type="dxa"/>
            <w:tcBorders>
              <w:top w:val="single" w:color="auto" w:sz="4" w:space="0"/>
              <w:left w:val="nil"/>
              <w:bottom w:val="single" w:color="auto" w:sz="4" w:space="0"/>
              <w:right w:val="single" w:color="auto" w:sz="4" w:space="0"/>
            </w:tcBorders>
            <w:noWrap w:val="0"/>
            <w:vAlign w:val="center"/>
          </w:tcPr>
          <w:p w14:paraId="40C28065">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指标名称</w:t>
            </w:r>
          </w:p>
        </w:tc>
        <w:tc>
          <w:tcPr>
            <w:tcW w:w="1061" w:type="dxa"/>
            <w:tcBorders>
              <w:top w:val="single" w:color="auto" w:sz="4" w:space="0"/>
              <w:left w:val="nil"/>
              <w:bottom w:val="single" w:color="auto" w:sz="4" w:space="0"/>
              <w:right w:val="single" w:color="auto" w:sz="4" w:space="0"/>
            </w:tcBorders>
            <w:noWrap w:val="0"/>
            <w:vAlign w:val="center"/>
          </w:tcPr>
          <w:p w14:paraId="508A2BD6">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计量单位</w:t>
            </w:r>
          </w:p>
        </w:tc>
        <w:tc>
          <w:tcPr>
            <w:tcW w:w="1883" w:type="dxa"/>
            <w:tcBorders>
              <w:top w:val="single" w:color="auto" w:sz="4" w:space="0"/>
              <w:left w:val="nil"/>
              <w:bottom w:val="single" w:color="auto" w:sz="4" w:space="0"/>
              <w:right w:val="single" w:color="auto" w:sz="4" w:space="0"/>
            </w:tcBorders>
            <w:noWrap w:val="0"/>
            <w:vAlign w:val="center"/>
          </w:tcPr>
          <w:p w14:paraId="04FB11F4">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中型</w:t>
            </w:r>
          </w:p>
        </w:tc>
        <w:tc>
          <w:tcPr>
            <w:tcW w:w="1673" w:type="dxa"/>
            <w:tcBorders>
              <w:top w:val="single" w:color="auto" w:sz="4" w:space="0"/>
              <w:left w:val="nil"/>
              <w:bottom w:val="single" w:color="auto" w:sz="4" w:space="0"/>
              <w:right w:val="single" w:color="auto" w:sz="4" w:space="0"/>
            </w:tcBorders>
            <w:noWrap w:val="0"/>
            <w:vAlign w:val="center"/>
          </w:tcPr>
          <w:p w14:paraId="7A32855F">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小型</w:t>
            </w:r>
          </w:p>
        </w:tc>
        <w:tc>
          <w:tcPr>
            <w:tcW w:w="1075" w:type="dxa"/>
            <w:tcBorders>
              <w:top w:val="single" w:color="auto" w:sz="4" w:space="0"/>
              <w:left w:val="nil"/>
              <w:bottom w:val="single" w:color="auto" w:sz="4" w:space="0"/>
              <w:right w:val="single" w:color="auto" w:sz="4" w:space="0"/>
            </w:tcBorders>
            <w:noWrap w:val="0"/>
            <w:vAlign w:val="center"/>
          </w:tcPr>
          <w:p w14:paraId="59403A2D">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微型</w:t>
            </w:r>
          </w:p>
        </w:tc>
      </w:tr>
      <w:tr w14:paraId="30B5CAC1">
        <w:tblPrEx>
          <w:tblCellMar>
            <w:top w:w="0" w:type="dxa"/>
            <w:left w:w="108" w:type="dxa"/>
            <w:bottom w:w="0" w:type="dxa"/>
            <w:right w:w="108" w:type="dxa"/>
          </w:tblCellMar>
        </w:tblPrEx>
        <w:trPr>
          <w:trHeight w:val="225" w:hRule="atLeast"/>
          <w:jc w:val="center"/>
        </w:trPr>
        <w:tc>
          <w:tcPr>
            <w:tcW w:w="1977" w:type="dxa"/>
            <w:tcBorders>
              <w:top w:val="nil"/>
              <w:left w:val="single" w:color="auto" w:sz="4" w:space="0"/>
              <w:bottom w:val="single" w:color="auto" w:sz="4" w:space="0"/>
              <w:right w:val="single" w:color="auto" w:sz="4" w:space="0"/>
            </w:tcBorders>
            <w:noWrap w:val="0"/>
            <w:vAlign w:val="bottom"/>
          </w:tcPr>
          <w:p w14:paraId="47485894">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农、林、牧、渔</w:t>
            </w:r>
          </w:p>
        </w:tc>
        <w:tc>
          <w:tcPr>
            <w:tcW w:w="1608" w:type="dxa"/>
            <w:tcBorders>
              <w:top w:val="nil"/>
              <w:left w:val="nil"/>
              <w:bottom w:val="single" w:color="auto" w:sz="4" w:space="0"/>
              <w:right w:val="single" w:color="auto" w:sz="4" w:space="0"/>
            </w:tcBorders>
            <w:noWrap w:val="0"/>
            <w:vAlign w:val="center"/>
          </w:tcPr>
          <w:p w14:paraId="3352A52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7DD7027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21DD7A3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673" w:type="dxa"/>
            <w:tcBorders>
              <w:top w:val="nil"/>
              <w:left w:val="nil"/>
              <w:bottom w:val="single" w:color="auto" w:sz="4" w:space="0"/>
              <w:right w:val="single" w:color="auto" w:sz="4" w:space="0"/>
            </w:tcBorders>
            <w:noWrap w:val="0"/>
            <w:vAlign w:val="center"/>
          </w:tcPr>
          <w:p w14:paraId="16CF7D0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1075" w:type="dxa"/>
            <w:tcBorders>
              <w:top w:val="nil"/>
              <w:left w:val="nil"/>
              <w:bottom w:val="single" w:color="auto" w:sz="4" w:space="0"/>
              <w:right w:val="single" w:color="auto" w:sz="4" w:space="0"/>
            </w:tcBorders>
            <w:noWrap w:val="0"/>
            <w:vAlign w:val="center"/>
          </w:tcPr>
          <w:p w14:paraId="5C0DCC7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532E9E87">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1B2969C2">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工业</w:t>
            </w:r>
          </w:p>
        </w:tc>
        <w:tc>
          <w:tcPr>
            <w:tcW w:w="1608" w:type="dxa"/>
            <w:tcBorders>
              <w:top w:val="nil"/>
              <w:left w:val="nil"/>
              <w:bottom w:val="single" w:color="auto" w:sz="4" w:space="0"/>
              <w:right w:val="single" w:color="auto" w:sz="4" w:space="0"/>
            </w:tcBorders>
            <w:noWrap w:val="0"/>
            <w:vAlign w:val="center"/>
          </w:tcPr>
          <w:p w14:paraId="5F5F1F3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37DD2C0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196892E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673" w:type="dxa"/>
            <w:tcBorders>
              <w:top w:val="nil"/>
              <w:left w:val="nil"/>
              <w:bottom w:val="single" w:color="auto" w:sz="4" w:space="0"/>
              <w:right w:val="single" w:color="auto" w:sz="4" w:space="0"/>
            </w:tcBorders>
            <w:noWrap w:val="0"/>
            <w:vAlign w:val="center"/>
          </w:tcPr>
          <w:p w14:paraId="43E3787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75" w:type="dxa"/>
            <w:tcBorders>
              <w:top w:val="nil"/>
              <w:left w:val="nil"/>
              <w:bottom w:val="single" w:color="auto" w:sz="4" w:space="0"/>
              <w:right w:val="single" w:color="auto" w:sz="4" w:space="0"/>
            </w:tcBorders>
            <w:noWrap w:val="0"/>
            <w:vAlign w:val="center"/>
          </w:tcPr>
          <w:p w14:paraId="510FC99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78A67DE4">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2935185D">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4600039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3D81431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0880596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673" w:type="dxa"/>
            <w:tcBorders>
              <w:top w:val="nil"/>
              <w:left w:val="nil"/>
              <w:bottom w:val="single" w:color="auto" w:sz="4" w:space="0"/>
              <w:right w:val="single" w:color="auto" w:sz="4" w:space="0"/>
            </w:tcBorders>
            <w:noWrap w:val="0"/>
            <w:vAlign w:val="center"/>
          </w:tcPr>
          <w:p w14:paraId="150F279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1075" w:type="dxa"/>
            <w:tcBorders>
              <w:top w:val="nil"/>
              <w:left w:val="nil"/>
              <w:bottom w:val="single" w:color="auto" w:sz="4" w:space="0"/>
              <w:right w:val="single" w:color="auto" w:sz="4" w:space="0"/>
            </w:tcBorders>
            <w:noWrap w:val="0"/>
            <w:vAlign w:val="center"/>
          </w:tcPr>
          <w:p w14:paraId="3A51D87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0B2D1D83">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405F5278">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建筑业</w:t>
            </w:r>
          </w:p>
        </w:tc>
        <w:tc>
          <w:tcPr>
            <w:tcW w:w="1608" w:type="dxa"/>
            <w:tcBorders>
              <w:top w:val="nil"/>
              <w:left w:val="nil"/>
              <w:bottom w:val="single" w:color="auto" w:sz="4" w:space="0"/>
              <w:right w:val="single" w:color="auto" w:sz="4" w:space="0"/>
            </w:tcBorders>
            <w:noWrap w:val="0"/>
            <w:vAlign w:val="center"/>
          </w:tcPr>
          <w:p w14:paraId="5F55277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1D41A0F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0EDBFAB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673" w:type="dxa"/>
            <w:tcBorders>
              <w:top w:val="nil"/>
              <w:left w:val="nil"/>
              <w:bottom w:val="single" w:color="auto" w:sz="4" w:space="0"/>
              <w:right w:val="single" w:color="auto" w:sz="4" w:space="0"/>
            </w:tcBorders>
            <w:noWrap w:val="0"/>
            <w:vAlign w:val="center"/>
          </w:tcPr>
          <w:p w14:paraId="429A742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1075" w:type="dxa"/>
            <w:tcBorders>
              <w:top w:val="nil"/>
              <w:left w:val="nil"/>
              <w:bottom w:val="single" w:color="auto" w:sz="4" w:space="0"/>
              <w:right w:val="single" w:color="auto" w:sz="4" w:space="0"/>
            </w:tcBorders>
            <w:noWrap w:val="0"/>
            <w:vAlign w:val="center"/>
          </w:tcPr>
          <w:p w14:paraId="5F404B7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5222D686">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1336EC2E">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067701B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1061" w:type="dxa"/>
            <w:tcBorders>
              <w:top w:val="nil"/>
              <w:left w:val="nil"/>
              <w:bottom w:val="single" w:color="auto" w:sz="4" w:space="0"/>
              <w:right w:val="single" w:color="auto" w:sz="4" w:space="0"/>
            </w:tcBorders>
            <w:noWrap w:val="0"/>
            <w:vAlign w:val="center"/>
          </w:tcPr>
          <w:p w14:paraId="1A0128A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2D30183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673" w:type="dxa"/>
            <w:tcBorders>
              <w:top w:val="nil"/>
              <w:left w:val="nil"/>
              <w:bottom w:val="single" w:color="auto" w:sz="4" w:space="0"/>
              <w:right w:val="single" w:color="auto" w:sz="4" w:space="0"/>
            </w:tcBorders>
            <w:noWrap w:val="0"/>
            <w:vAlign w:val="center"/>
          </w:tcPr>
          <w:p w14:paraId="2F0FA40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1075" w:type="dxa"/>
            <w:tcBorders>
              <w:top w:val="nil"/>
              <w:left w:val="nil"/>
              <w:bottom w:val="single" w:color="auto" w:sz="4" w:space="0"/>
              <w:right w:val="single" w:color="auto" w:sz="4" w:space="0"/>
            </w:tcBorders>
            <w:noWrap w:val="0"/>
            <w:vAlign w:val="center"/>
          </w:tcPr>
          <w:p w14:paraId="5AE9334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2840DD1A">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72B62F6D">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批发业</w:t>
            </w:r>
          </w:p>
        </w:tc>
        <w:tc>
          <w:tcPr>
            <w:tcW w:w="1608" w:type="dxa"/>
            <w:tcBorders>
              <w:top w:val="nil"/>
              <w:left w:val="nil"/>
              <w:bottom w:val="single" w:color="auto" w:sz="4" w:space="0"/>
              <w:right w:val="single" w:color="auto" w:sz="4" w:space="0"/>
            </w:tcBorders>
            <w:noWrap w:val="0"/>
            <w:vAlign w:val="center"/>
          </w:tcPr>
          <w:p w14:paraId="3C2572C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5F764A4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2E655DC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673" w:type="dxa"/>
            <w:tcBorders>
              <w:top w:val="nil"/>
              <w:left w:val="nil"/>
              <w:bottom w:val="single" w:color="auto" w:sz="4" w:space="0"/>
              <w:right w:val="single" w:color="auto" w:sz="4" w:space="0"/>
            </w:tcBorders>
            <w:noWrap w:val="0"/>
            <w:vAlign w:val="center"/>
          </w:tcPr>
          <w:p w14:paraId="744ED3E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1075" w:type="dxa"/>
            <w:tcBorders>
              <w:top w:val="nil"/>
              <w:left w:val="nil"/>
              <w:bottom w:val="single" w:color="auto" w:sz="4" w:space="0"/>
              <w:right w:val="single" w:color="auto" w:sz="4" w:space="0"/>
            </w:tcBorders>
            <w:noWrap w:val="0"/>
            <w:vAlign w:val="center"/>
          </w:tcPr>
          <w:p w14:paraId="44EBFFA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69D7F182">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591FCD98">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5FF2F2D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04F7F8C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28D5E13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673" w:type="dxa"/>
            <w:tcBorders>
              <w:top w:val="nil"/>
              <w:left w:val="nil"/>
              <w:bottom w:val="single" w:color="auto" w:sz="4" w:space="0"/>
              <w:right w:val="single" w:color="auto" w:sz="4" w:space="0"/>
            </w:tcBorders>
            <w:noWrap w:val="0"/>
            <w:vAlign w:val="center"/>
          </w:tcPr>
          <w:p w14:paraId="799BB73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075" w:type="dxa"/>
            <w:tcBorders>
              <w:top w:val="nil"/>
              <w:left w:val="nil"/>
              <w:bottom w:val="single" w:color="auto" w:sz="4" w:space="0"/>
              <w:right w:val="single" w:color="auto" w:sz="4" w:space="0"/>
            </w:tcBorders>
            <w:noWrap w:val="0"/>
            <w:vAlign w:val="center"/>
          </w:tcPr>
          <w:p w14:paraId="19FD74A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39C1D14A">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7896F8FA">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零售业</w:t>
            </w:r>
          </w:p>
        </w:tc>
        <w:tc>
          <w:tcPr>
            <w:tcW w:w="1608" w:type="dxa"/>
            <w:tcBorders>
              <w:top w:val="nil"/>
              <w:left w:val="nil"/>
              <w:bottom w:val="single" w:color="auto" w:sz="4" w:space="0"/>
              <w:right w:val="single" w:color="auto" w:sz="4" w:space="0"/>
            </w:tcBorders>
            <w:noWrap w:val="0"/>
            <w:vAlign w:val="center"/>
          </w:tcPr>
          <w:p w14:paraId="45F8048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5F8CDF5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1AF25C2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673" w:type="dxa"/>
            <w:tcBorders>
              <w:top w:val="nil"/>
              <w:left w:val="nil"/>
              <w:bottom w:val="single" w:color="auto" w:sz="4" w:space="0"/>
              <w:right w:val="single" w:color="auto" w:sz="4" w:space="0"/>
            </w:tcBorders>
            <w:noWrap w:val="0"/>
            <w:vAlign w:val="center"/>
          </w:tcPr>
          <w:p w14:paraId="0A1D08A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10≤X＜50</w:t>
            </w:r>
          </w:p>
        </w:tc>
        <w:tc>
          <w:tcPr>
            <w:tcW w:w="1075" w:type="dxa"/>
            <w:tcBorders>
              <w:top w:val="nil"/>
              <w:left w:val="nil"/>
              <w:bottom w:val="single" w:color="auto" w:sz="4" w:space="0"/>
              <w:right w:val="single" w:color="auto" w:sz="4" w:space="0"/>
            </w:tcBorders>
            <w:noWrap w:val="0"/>
            <w:vAlign w:val="center"/>
          </w:tcPr>
          <w:p w14:paraId="65C9F81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632A2A69">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4AC31F05">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29F6181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63254C7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7189E1E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673" w:type="dxa"/>
            <w:tcBorders>
              <w:top w:val="nil"/>
              <w:left w:val="nil"/>
              <w:bottom w:val="single" w:color="auto" w:sz="4" w:space="0"/>
              <w:right w:val="single" w:color="auto" w:sz="4" w:space="0"/>
            </w:tcBorders>
            <w:noWrap w:val="0"/>
            <w:vAlign w:val="center"/>
          </w:tcPr>
          <w:p w14:paraId="4079E40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1075" w:type="dxa"/>
            <w:tcBorders>
              <w:top w:val="nil"/>
              <w:left w:val="nil"/>
              <w:bottom w:val="single" w:color="auto" w:sz="4" w:space="0"/>
              <w:right w:val="single" w:color="auto" w:sz="4" w:space="0"/>
            </w:tcBorders>
            <w:noWrap w:val="0"/>
            <w:vAlign w:val="center"/>
          </w:tcPr>
          <w:p w14:paraId="5E77E94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FD9A3EA">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4052E0B6">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交通运输业</w:t>
            </w:r>
          </w:p>
        </w:tc>
        <w:tc>
          <w:tcPr>
            <w:tcW w:w="1608" w:type="dxa"/>
            <w:tcBorders>
              <w:top w:val="nil"/>
              <w:left w:val="nil"/>
              <w:bottom w:val="single" w:color="auto" w:sz="4" w:space="0"/>
              <w:right w:val="single" w:color="auto" w:sz="4" w:space="0"/>
            </w:tcBorders>
            <w:noWrap w:val="0"/>
            <w:vAlign w:val="center"/>
          </w:tcPr>
          <w:p w14:paraId="0CD4142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073B6B7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275BA2C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673" w:type="dxa"/>
            <w:tcBorders>
              <w:top w:val="nil"/>
              <w:left w:val="nil"/>
              <w:bottom w:val="single" w:color="auto" w:sz="4" w:space="0"/>
              <w:right w:val="single" w:color="auto" w:sz="4" w:space="0"/>
            </w:tcBorders>
            <w:noWrap w:val="0"/>
            <w:vAlign w:val="center"/>
          </w:tcPr>
          <w:p w14:paraId="67AD9D7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75" w:type="dxa"/>
            <w:tcBorders>
              <w:top w:val="nil"/>
              <w:left w:val="nil"/>
              <w:bottom w:val="single" w:color="auto" w:sz="4" w:space="0"/>
              <w:right w:val="single" w:color="auto" w:sz="4" w:space="0"/>
            </w:tcBorders>
            <w:noWrap w:val="0"/>
            <w:vAlign w:val="center"/>
          </w:tcPr>
          <w:p w14:paraId="4D1A0E8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5EA052B">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690FABA8">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236CFEC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123DBC1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33EC064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673" w:type="dxa"/>
            <w:tcBorders>
              <w:top w:val="nil"/>
              <w:left w:val="nil"/>
              <w:bottom w:val="single" w:color="auto" w:sz="4" w:space="0"/>
              <w:right w:val="single" w:color="auto" w:sz="4" w:space="0"/>
            </w:tcBorders>
            <w:noWrap w:val="0"/>
            <w:vAlign w:val="center"/>
          </w:tcPr>
          <w:p w14:paraId="5455F5B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1075" w:type="dxa"/>
            <w:tcBorders>
              <w:top w:val="nil"/>
              <w:left w:val="nil"/>
              <w:bottom w:val="single" w:color="auto" w:sz="4" w:space="0"/>
              <w:right w:val="single" w:color="auto" w:sz="4" w:space="0"/>
            </w:tcBorders>
            <w:noWrap w:val="0"/>
            <w:vAlign w:val="center"/>
          </w:tcPr>
          <w:p w14:paraId="4EFA9AD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61111F4C">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74F05195">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仓储业</w:t>
            </w:r>
          </w:p>
        </w:tc>
        <w:tc>
          <w:tcPr>
            <w:tcW w:w="1608" w:type="dxa"/>
            <w:tcBorders>
              <w:top w:val="nil"/>
              <w:left w:val="nil"/>
              <w:bottom w:val="single" w:color="auto" w:sz="4" w:space="0"/>
              <w:right w:val="single" w:color="auto" w:sz="4" w:space="0"/>
            </w:tcBorders>
            <w:noWrap w:val="0"/>
            <w:vAlign w:val="center"/>
          </w:tcPr>
          <w:p w14:paraId="5BDA75A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1F9B0DD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281D071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673" w:type="dxa"/>
            <w:tcBorders>
              <w:top w:val="nil"/>
              <w:left w:val="nil"/>
              <w:bottom w:val="single" w:color="auto" w:sz="4" w:space="0"/>
              <w:right w:val="single" w:color="auto" w:sz="4" w:space="0"/>
            </w:tcBorders>
            <w:noWrap w:val="0"/>
            <w:vAlign w:val="center"/>
          </w:tcPr>
          <w:p w14:paraId="2B2ECCB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1075" w:type="dxa"/>
            <w:tcBorders>
              <w:top w:val="nil"/>
              <w:left w:val="nil"/>
              <w:bottom w:val="single" w:color="auto" w:sz="4" w:space="0"/>
              <w:right w:val="single" w:color="auto" w:sz="4" w:space="0"/>
            </w:tcBorders>
            <w:noWrap w:val="0"/>
            <w:vAlign w:val="center"/>
          </w:tcPr>
          <w:p w14:paraId="0D790CA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31C12D87">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1DBCBA0F">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58377F7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73E159C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3E7CEB4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673" w:type="dxa"/>
            <w:tcBorders>
              <w:top w:val="nil"/>
              <w:left w:val="nil"/>
              <w:bottom w:val="single" w:color="auto" w:sz="4" w:space="0"/>
              <w:right w:val="single" w:color="auto" w:sz="4" w:space="0"/>
            </w:tcBorders>
            <w:noWrap w:val="0"/>
            <w:vAlign w:val="center"/>
          </w:tcPr>
          <w:p w14:paraId="3A27B2B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75" w:type="dxa"/>
            <w:tcBorders>
              <w:top w:val="nil"/>
              <w:left w:val="nil"/>
              <w:bottom w:val="single" w:color="auto" w:sz="4" w:space="0"/>
              <w:right w:val="single" w:color="auto" w:sz="4" w:space="0"/>
            </w:tcBorders>
            <w:noWrap w:val="0"/>
            <w:vAlign w:val="center"/>
          </w:tcPr>
          <w:p w14:paraId="24F2714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076569AF">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34BBE4DC">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邮政业</w:t>
            </w:r>
          </w:p>
        </w:tc>
        <w:tc>
          <w:tcPr>
            <w:tcW w:w="1608" w:type="dxa"/>
            <w:tcBorders>
              <w:top w:val="nil"/>
              <w:left w:val="nil"/>
              <w:bottom w:val="single" w:color="auto" w:sz="4" w:space="0"/>
              <w:right w:val="single" w:color="auto" w:sz="4" w:space="0"/>
            </w:tcBorders>
            <w:noWrap w:val="0"/>
            <w:vAlign w:val="center"/>
          </w:tcPr>
          <w:p w14:paraId="7222F7F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23E7347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794AFD0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673" w:type="dxa"/>
            <w:tcBorders>
              <w:top w:val="nil"/>
              <w:left w:val="nil"/>
              <w:bottom w:val="single" w:color="auto" w:sz="4" w:space="0"/>
              <w:right w:val="single" w:color="auto" w:sz="4" w:space="0"/>
            </w:tcBorders>
            <w:noWrap w:val="0"/>
            <w:vAlign w:val="center"/>
          </w:tcPr>
          <w:p w14:paraId="14F11D9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75" w:type="dxa"/>
            <w:tcBorders>
              <w:top w:val="nil"/>
              <w:left w:val="nil"/>
              <w:bottom w:val="single" w:color="auto" w:sz="4" w:space="0"/>
              <w:right w:val="single" w:color="auto" w:sz="4" w:space="0"/>
            </w:tcBorders>
            <w:noWrap w:val="0"/>
            <w:vAlign w:val="center"/>
          </w:tcPr>
          <w:p w14:paraId="0D092D9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30296ABA">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6114759B">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04F1B91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12E75F7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70CAF95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673" w:type="dxa"/>
            <w:tcBorders>
              <w:top w:val="nil"/>
              <w:left w:val="nil"/>
              <w:bottom w:val="single" w:color="auto" w:sz="4" w:space="0"/>
              <w:right w:val="single" w:color="auto" w:sz="4" w:space="0"/>
            </w:tcBorders>
            <w:noWrap w:val="0"/>
            <w:vAlign w:val="center"/>
          </w:tcPr>
          <w:p w14:paraId="1394B17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75" w:type="dxa"/>
            <w:tcBorders>
              <w:top w:val="nil"/>
              <w:left w:val="nil"/>
              <w:bottom w:val="single" w:color="auto" w:sz="4" w:space="0"/>
              <w:right w:val="single" w:color="auto" w:sz="4" w:space="0"/>
            </w:tcBorders>
            <w:noWrap w:val="0"/>
            <w:vAlign w:val="center"/>
          </w:tcPr>
          <w:p w14:paraId="64B92B7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291C1CA">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7ECF9BC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住宿业</w:t>
            </w:r>
          </w:p>
        </w:tc>
        <w:tc>
          <w:tcPr>
            <w:tcW w:w="1608" w:type="dxa"/>
            <w:tcBorders>
              <w:top w:val="nil"/>
              <w:left w:val="nil"/>
              <w:bottom w:val="single" w:color="auto" w:sz="4" w:space="0"/>
              <w:right w:val="single" w:color="auto" w:sz="4" w:space="0"/>
            </w:tcBorders>
            <w:noWrap w:val="0"/>
            <w:vAlign w:val="center"/>
          </w:tcPr>
          <w:p w14:paraId="6CE4BE5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00FA192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2C79D11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673" w:type="dxa"/>
            <w:tcBorders>
              <w:top w:val="nil"/>
              <w:left w:val="nil"/>
              <w:bottom w:val="single" w:color="auto" w:sz="4" w:space="0"/>
              <w:right w:val="single" w:color="auto" w:sz="4" w:space="0"/>
            </w:tcBorders>
            <w:noWrap w:val="0"/>
            <w:vAlign w:val="center"/>
          </w:tcPr>
          <w:p w14:paraId="2C1C551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75" w:type="dxa"/>
            <w:tcBorders>
              <w:top w:val="nil"/>
              <w:left w:val="nil"/>
              <w:bottom w:val="single" w:color="auto" w:sz="4" w:space="0"/>
              <w:right w:val="single" w:color="auto" w:sz="4" w:space="0"/>
            </w:tcBorders>
            <w:noWrap w:val="0"/>
            <w:vAlign w:val="center"/>
          </w:tcPr>
          <w:p w14:paraId="003E12E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153D14A">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3E034444">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1603A6A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7797A8A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40F20E8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673" w:type="dxa"/>
            <w:tcBorders>
              <w:top w:val="nil"/>
              <w:left w:val="nil"/>
              <w:bottom w:val="single" w:color="auto" w:sz="4" w:space="0"/>
              <w:right w:val="single" w:color="auto" w:sz="4" w:space="0"/>
            </w:tcBorders>
            <w:noWrap w:val="0"/>
            <w:vAlign w:val="center"/>
          </w:tcPr>
          <w:p w14:paraId="445498C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75" w:type="dxa"/>
            <w:tcBorders>
              <w:top w:val="nil"/>
              <w:left w:val="nil"/>
              <w:bottom w:val="single" w:color="auto" w:sz="4" w:space="0"/>
              <w:right w:val="single" w:color="auto" w:sz="4" w:space="0"/>
            </w:tcBorders>
            <w:noWrap w:val="0"/>
            <w:vAlign w:val="center"/>
          </w:tcPr>
          <w:p w14:paraId="37EC26E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93E38BF">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1C7CB5CE">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餐饮业</w:t>
            </w:r>
          </w:p>
        </w:tc>
        <w:tc>
          <w:tcPr>
            <w:tcW w:w="1608" w:type="dxa"/>
            <w:tcBorders>
              <w:top w:val="nil"/>
              <w:left w:val="nil"/>
              <w:bottom w:val="single" w:color="auto" w:sz="4" w:space="0"/>
              <w:right w:val="single" w:color="auto" w:sz="4" w:space="0"/>
            </w:tcBorders>
            <w:noWrap w:val="0"/>
            <w:vAlign w:val="center"/>
          </w:tcPr>
          <w:p w14:paraId="70D2785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6699337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0B829AD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673" w:type="dxa"/>
            <w:tcBorders>
              <w:top w:val="nil"/>
              <w:left w:val="nil"/>
              <w:bottom w:val="single" w:color="auto" w:sz="4" w:space="0"/>
              <w:right w:val="single" w:color="auto" w:sz="4" w:space="0"/>
            </w:tcBorders>
            <w:noWrap w:val="0"/>
            <w:vAlign w:val="center"/>
          </w:tcPr>
          <w:p w14:paraId="79C7001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75" w:type="dxa"/>
            <w:tcBorders>
              <w:top w:val="nil"/>
              <w:left w:val="nil"/>
              <w:bottom w:val="single" w:color="auto" w:sz="4" w:space="0"/>
              <w:right w:val="single" w:color="auto" w:sz="4" w:space="0"/>
            </w:tcBorders>
            <w:noWrap w:val="0"/>
            <w:vAlign w:val="center"/>
          </w:tcPr>
          <w:p w14:paraId="6C76BD2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11E1E08">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16B38DAC">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61BD4DF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13F4CE8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7C45F94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673" w:type="dxa"/>
            <w:tcBorders>
              <w:top w:val="nil"/>
              <w:left w:val="nil"/>
              <w:bottom w:val="single" w:color="auto" w:sz="4" w:space="0"/>
              <w:right w:val="single" w:color="auto" w:sz="4" w:space="0"/>
            </w:tcBorders>
            <w:noWrap w:val="0"/>
            <w:vAlign w:val="center"/>
          </w:tcPr>
          <w:p w14:paraId="6FDA7BF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75" w:type="dxa"/>
            <w:tcBorders>
              <w:top w:val="nil"/>
              <w:left w:val="nil"/>
              <w:bottom w:val="single" w:color="auto" w:sz="4" w:space="0"/>
              <w:right w:val="single" w:color="auto" w:sz="4" w:space="0"/>
            </w:tcBorders>
            <w:noWrap w:val="0"/>
            <w:vAlign w:val="center"/>
          </w:tcPr>
          <w:p w14:paraId="3524733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BA60B61">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62564D67">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信息传输业</w:t>
            </w:r>
          </w:p>
        </w:tc>
        <w:tc>
          <w:tcPr>
            <w:tcW w:w="1608" w:type="dxa"/>
            <w:tcBorders>
              <w:top w:val="nil"/>
              <w:left w:val="nil"/>
              <w:bottom w:val="single" w:color="auto" w:sz="4" w:space="0"/>
              <w:right w:val="single" w:color="auto" w:sz="4" w:space="0"/>
            </w:tcBorders>
            <w:noWrap w:val="0"/>
            <w:vAlign w:val="center"/>
          </w:tcPr>
          <w:p w14:paraId="4A601EA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79F8CC0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7873249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673" w:type="dxa"/>
            <w:tcBorders>
              <w:top w:val="nil"/>
              <w:left w:val="nil"/>
              <w:bottom w:val="single" w:color="auto" w:sz="4" w:space="0"/>
              <w:right w:val="single" w:color="auto" w:sz="4" w:space="0"/>
            </w:tcBorders>
            <w:noWrap w:val="0"/>
            <w:vAlign w:val="center"/>
          </w:tcPr>
          <w:p w14:paraId="51D899B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75" w:type="dxa"/>
            <w:tcBorders>
              <w:top w:val="nil"/>
              <w:left w:val="nil"/>
              <w:bottom w:val="single" w:color="auto" w:sz="4" w:space="0"/>
              <w:right w:val="single" w:color="auto" w:sz="4" w:space="0"/>
            </w:tcBorders>
            <w:noWrap w:val="0"/>
            <w:vAlign w:val="center"/>
          </w:tcPr>
          <w:p w14:paraId="20CB313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3A37DD42">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511541C2">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7078543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7DFDDAD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4B1B8F5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673" w:type="dxa"/>
            <w:tcBorders>
              <w:top w:val="nil"/>
              <w:left w:val="nil"/>
              <w:bottom w:val="single" w:color="auto" w:sz="4" w:space="0"/>
              <w:right w:val="single" w:color="auto" w:sz="4" w:space="0"/>
            </w:tcBorders>
            <w:noWrap w:val="0"/>
            <w:vAlign w:val="center"/>
          </w:tcPr>
          <w:p w14:paraId="30AA40D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75" w:type="dxa"/>
            <w:tcBorders>
              <w:top w:val="nil"/>
              <w:left w:val="nil"/>
              <w:bottom w:val="single" w:color="auto" w:sz="4" w:space="0"/>
              <w:right w:val="single" w:color="auto" w:sz="4" w:space="0"/>
            </w:tcBorders>
            <w:noWrap w:val="0"/>
            <w:vAlign w:val="center"/>
          </w:tcPr>
          <w:p w14:paraId="250BF2B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96EE21A">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20BE171D">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软件和信息技术服务业</w:t>
            </w:r>
          </w:p>
        </w:tc>
        <w:tc>
          <w:tcPr>
            <w:tcW w:w="1608" w:type="dxa"/>
            <w:tcBorders>
              <w:top w:val="nil"/>
              <w:left w:val="nil"/>
              <w:bottom w:val="single" w:color="auto" w:sz="4" w:space="0"/>
              <w:right w:val="single" w:color="auto" w:sz="4" w:space="0"/>
            </w:tcBorders>
            <w:noWrap w:val="0"/>
            <w:vAlign w:val="center"/>
          </w:tcPr>
          <w:p w14:paraId="44C72DC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4049CDD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0CD9AD7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673" w:type="dxa"/>
            <w:tcBorders>
              <w:top w:val="nil"/>
              <w:left w:val="nil"/>
              <w:bottom w:val="single" w:color="auto" w:sz="4" w:space="0"/>
              <w:right w:val="single" w:color="auto" w:sz="4" w:space="0"/>
            </w:tcBorders>
            <w:noWrap w:val="0"/>
            <w:vAlign w:val="center"/>
          </w:tcPr>
          <w:p w14:paraId="0BB2B1C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75" w:type="dxa"/>
            <w:tcBorders>
              <w:top w:val="nil"/>
              <w:left w:val="nil"/>
              <w:bottom w:val="single" w:color="auto" w:sz="4" w:space="0"/>
              <w:right w:val="single" w:color="auto" w:sz="4" w:space="0"/>
            </w:tcBorders>
            <w:noWrap w:val="0"/>
            <w:vAlign w:val="center"/>
          </w:tcPr>
          <w:p w14:paraId="29E516E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54D06DEB">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1EE16969">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786ED4A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008834A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5DC5C57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673" w:type="dxa"/>
            <w:tcBorders>
              <w:top w:val="nil"/>
              <w:left w:val="nil"/>
              <w:bottom w:val="single" w:color="auto" w:sz="4" w:space="0"/>
              <w:right w:val="single" w:color="auto" w:sz="4" w:space="0"/>
            </w:tcBorders>
            <w:noWrap w:val="0"/>
            <w:vAlign w:val="center"/>
          </w:tcPr>
          <w:p w14:paraId="245AE0D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1075" w:type="dxa"/>
            <w:tcBorders>
              <w:top w:val="nil"/>
              <w:left w:val="nil"/>
              <w:bottom w:val="single" w:color="auto" w:sz="4" w:space="0"/>
              <w:right w:val="single" w:color="auto" w:sz="4" w:space="0"/>
            </w:tcBorders>
            <w:noWrap w:val="0"/>
            <w:vAlign w:val="center"/>
          </w:tcPr>
          <w:p w14:paraId="6B4A402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7C5731B0">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437CF1C3">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房地产开发经营</w:t>
            </w:r>
          </w:p>
        </w:tc>
        <w:tc>
          <w:tcPr>
            <w:tcW w:w="1608" w:type="dxa"/>
            <w:tcBorders>
              <w:top w:val="nil"/>
              <w:left w:val="nil"/>
              <w:bottom w:val="single" w:color="auto" w:sz="4" w:space="0"/>
              <w:right w:val="single" w:color="auto" w:sz="4" w:space="0"/>
            </w:tcBorders>
            <w:noWrap w:val="0"/>
            <w:vAlign w:val="center"/>
          </w:tcPr>
          <w:p w14:paraId="69FAB97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6847008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15587A4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673" w:type="dxa"/>
            <w:tcBorders>
              <w:top w:val="nil"/>
              <w:left w:val="nil"/>
              <w:bottom w:val="single" w:color="auto" w:sz="4" w:space="0"/>
              <w:right w:val="single" w:color="auto" w:sz="4" w:space="0"/>
            </w:tcBorders>
            <w:noWrap w:val="0"/>
            <w:vAlign w:val="center"/>
          </w:tcPr>
          <w:p w14:paraId="7849367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100≤X＜1000</w:t>
            </w:r>
          </w:p>
        </w:tc>
        <w:tc>
          <w:tcPr>
            <w:tcW w:w="1075" w:type="dxa"/>
            <w:tcBorders>
              <w:top w:val="nil"/>
              <w:left w:val="nil"/>
              <w:bottom w:val="single" w:color="auto" w:sz="4" w:space="0"/>
              <w:right w:val="single" w:color="auto" w:sz="4" w:space="0"/>
            </w:tcBorders>
            <w:noWrap w:val="0"/>
            <w:vAlign w:val="center"/>
          </w:tcPr>
          <w:p w14:paraId="459E08D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008F2B1F">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2BA38727">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63E497F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1061" w:type="dxa"/>
            <w:tcBorders>
              <w:top w:val="nil"/>
              <w:left w:val="nil"/>
              <w:bottom w:val="single" w:color="auto" w:sz="4" w:space="0"/>
              <w:right w:val="single" w:color="auto" w:sz="4" w:space="0"/>
            </w:tcBorders>
            <w:noWrap w:val="0"/>
            <w:vAlign w:val="center"/>
          </w:tcPr>
          <w:p w14:paraId="7255450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6010E69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673" w:type="dxa"/>
            <w:tcBorders>
              <w:top w:val="nil"/>
              <w:left w:val="nil"/>
              <w:bottom w:val="single" w:color="auto" w:sz="4" w:space="0"/>
              <w:right w:val="single" w:color="auto" w:sz="4" w:space="0"/>
            </w:tcBorders>
            <w:noWrap w:val="0"/>
            <w:vAlign w:val="center"/>
          </w:tcPr>
          <w:p w14:paraId="6100335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2000≤Y＜5000</w:t>
            </w:r>
          </w:p>
        </w:tc>
        <w:tc>
          <w:tcPr>
            <w:tcW w:w="1075" w:type="dxa"/>
            <w:tcBorders>
              <w:top w:val="nil"/>
              <w:left w:val="nil"/>
              <w:bottom w:val="single" w:color="auto" w:sz="4" w:space="0"/>
              <w:right w:val="single" w:color="auto" w:sz="4" w:space="0"/>
            </w:tcBorders>
            <w:noWrap w:val="0"/>
            <w:vAlign w:val="center"/>
          </w:tcPr>
          <w:p w14:paraId="2D66E69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w:t>
            </w:r>
          </w:p>
        </w:tc>
      </w:tr>
      <w:tr w14:paraId="4695FAB5">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2161946C">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物业管理</w:t>
            </w:r>
          </w:p>
        </w:tc>
        <w:tc>
          <w:tcPr>
            <w:tcW w:w="1608" w:type="dxa"/>
            <w:tcBorders>
              <w:top w:val="nil"/>
              <w:left w:val="nil"/>
              <w:bottom w:val="single" w:color="auto" w:sz="4" w:space="0"/>
              <w:right w:val="single" w:color="auto" w:sz="4" w:space="0"/>
            </w:tcBorders>
            <w:noWrap w:val="0"/>
            <w:vAlign w:val="center"/>
          </w:tcPr>
          <w:p w14:paraId="6446E69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662040D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780EA90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673" w:type="dxa"/>
            <w:tcBorders>
              <w:top w:val="nil"/>
              <w:left w:val="nil"/>
              <w:bottom w:val="single" w:color="auto" w:sz="4" w:space="0"/>
              <w:right w:val="single" w:color="auto" w:sz="4" w:space="0"/>
            </w:tcBorders>
            <w:noWrap w:val="0"/>
            <w:vAlign w:val="center"/>
          </w:tcPr>
          <w:p w14:paraId="7C36718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075" w:type="dxa"/>
            <w:tcBorders>
              <w:top w:val="nil"/>
              <w:left w:val="nil"/>
              <w:bottom w:val="single" w:color="auto" w:sz="4" w:space="0"/>
              <w:right w:val="single" w:color="auto" w:sz="4" w:space="0"/>
            </w:tcBorders>
            <w:noWrap w:val="0"/>
            <w:vAlign w:val="center"/>
          </w:tcPr>
          <w:p w14:paraId="2774C51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7923E7C8">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75E45839">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14342B6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1061" w:type="dxa"/>
            <w:tcBorders>
              <w:top w:val="nil"/>
              <w:left w:val="nil"/>
              <w:bottom w:val="single" w:color="auto" w:sz="4" w:space="0"/>
              <w:right w:val="single" w:color="auto" w:sz="4" w:space="0"/>
            </w:tcBorders>
            <w:noWrap w:val="0"/>
            <w:vAlign w:val="center"/>
          </w:tcPr>
          <w:p w14:paraId="69981C6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5E39E1D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673" w:type="dxa"/>
            <w:tcBorders>
              <w:top w:val="nil"/>
              <w:left w:val="nil"/>
              <w:bottom w:val="single" w:color="auto" w:sz="4" w:space="0"/>
              <w:right w:val="single" w:color="auto" w:sz="4" w:space="0"/>
            </w:tcBorders>
            <w:noWrap w:val="0"/>
            <w:vAlign w:val="center"/>
          </w:tcPr>
          <w:p w14:paraId="27FD1F9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1075" w:type="dxa"/>
            <w:tcBorders>
              <w:top w:val="nil"/>
              <w:left w:val="nil"/>
              <w:bottom w:val="single" w:color="auto" w:sz="4" w:space="0"/>
              <w:right w:val="single" w:color="auto" w:sz="4" w:space="0"/>
            </w:tcBorders>
            <w:noWrap w:val="0"/>
            <w:vAlign w:val="center"/>
          </w:tcPr>
          <w:p w14:paraId="7910EFC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60E5CD52">
        <w:tblPrEx>
          <w:tblCellMar>
            <w:top w:w="0" w:type="dxa"/>
            <w:left w:w="108" w:type="dxa"/>
            <w:bottom w:w="0" w:type="dxa"/>
            <w:right w:w="108" w:type="dxa"/>
          </w:tblCellMar>
        </w:tblPrEx>
        <w:trPr>
          <w:trHeight w:val="225" w:hRule="atLeast"/>
          <w:jc w:val="center"/>
        </w:trPr>
        <w:tc>
          <w:tcPr>
            <w:tcW w:w="1977" w:type="dxa"/>
            <w:vMerge w:val="restart"/>
            <w:tcBorders>
              <w:top w:val="nil"/>
              <w:left w:val="single" w:color="auto" w:sz="4" w:space="0"/>
              <w:bottom w:val="single" w:color="auto" w:sz="4" w:space="0"/>
              <w:right w:val="single" w:color="auto" w:sz="4" w:space="0"/>
            </w:tcBorders>
            <w:noWrap w:val="0"/>
            <w:vAlign w:val="bottom"/>
          </w:tcPr>
          <w:p w14:paraId="3CA8246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租赁和商务服务业</w:t>
            </w:r>
          </w:p>
        </w:tc>
        <w:tc>
          <w:tcPr>
            <w:tcW w:w="1608" w:type="dxa"/>
            <w:tcBorders>
              <w:top w:val="nil"/>
              <w:left w:val="nil"/>
              <w:bottom w:val="single" w:color="auto" w:sz="4" w:space="0"/>
              <w:right w:val="single" w:color="auto" w:sz="4" w:space="0"/>
            </w:tcBorders>
            <w:noWrap w:val="0"/>
            <w:vAlign w:val="center"/>
          </w:tcPr>
          <w:p w14:paraId="28B1695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3FFBB63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492C7F8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673" w:type="dxa"/>
            <w:tcBorders>
              <w:top w:val="nil"/>
              <w:left w:val="nil"/>
              <w:bottom w:val="single" w:color="auto" w:sz="4" w:space="0"/>
              <w:right w:val="single" w:color="auto" w:sz="4" w:space="0"/>
            </w:tcBorders>
            <w:noWrap w:val="0"/>
            <w:vAlign w:val="center"/>
          </w:tcPr>
          <w:p w14:paraId="504424D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75" w:type="dxa"/>
            <w:tcBorders>
              <w:top w:val="nil"/>
              <w:left w:val="nil"/>
              <w:bottom w:val="single" w:color="auto" w:sz="4" w:space="0"/>
              <w:right w:val="single" w:color="auto" w:sz="4" w:space="0"/>
            </w:tcBorders>
            <w:noWrap w:val="0"/>
            <w:vAlign w:val="center"/>
          </w:tcPr>
          <w:p w14:paraId="3894329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6A48E712">
        <w:tblPrEx>
          <w:tblCellMar>
            <w:top w:w="0" w:type="dxa"/>
            <w:left w:w="108" w:type="dxa"/>
            <w:bottom w:w="0" w:type="dxa"/>
            <w:right w:w="108" w:type="dxa"/>
          </w:tblCellMar>
        </w:tblPrEx>
        <w:trPr>
          <w:trHeight w:val="225" w:hRule="atLeast"/>
          <w:jc w:val="center"/>
        </w:trPr>
        <w:tc>
          <w:tcPr>
            <w:tcW w:w="1977" w:type="dxa"/>
            <w:vMerge w:val="continue"/>
            <w:tcBorders>
              <w:top w:val="nil"/>
              <w:left w:val="single" w:color="auto" w:sz="4" w:space="0"/>
              <w:bottom w:val="single" w:color="auto" w:sz="4" w:space="0"/>
              <w:right w:val="single" w:color="auto" w:sz="4" w:space="0"/>
            </w:tcBorders>
            <w:noWrap w:val="0"/>
            <w:vAlign w:val="center"/>
          </w:tcPr>
          <w:p w14:paraId="1FA0DACE">
            <w:pPr>
              <w:widowControl/>
              <w:jc w:val="left"/>
              <w:rPr>
                <w:rFonts w:hint="eastAsia" w:ascii="宋体" w:hAnsi="宋体" w:eastAsia="宋体" w:cs="宋体"/>
                <w:b/>
                <w:bCs/>
                <w:color w:val="auto"/>
                <w:kern w:val="0"/>
                <w:sz w:val="18"/>
                <w:szCs w:val="18"/>
              </w:rPr>
            </w:pPr>
          </w:p>
        </w:tc>
        <w:tc>
          <w:tcPr>
            <w:tcW w:w="1608" w:type="dxa"/>
            <w:tcBorders>
              <w:top w:val="nil"/>
              <w:left w:val="nil"/>
              <w:bottom w:val="single" w:color="auto" w:sz="4" w:space="0"/>
              <w:right w:val="single" w:color="auto" w:sz="4" w:space="0"/>
            </w:tcBorders>
            <w:noWrap w:val="0"/>
            <w:vAlign w:val="center"/>
          </w:tcPr>
          <w:p w14:paraId="3F74966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1061" w:type="dxa"/>
            <w:tcBorders>
              <w:top w:val="nil"/>
              <w:left w:val="nil"/>
              <w:bottom w:val="single" w:color="auto" w:sz="4" w:space="0"/>
              <w:right w:val="single" w:color="auto" w:sz="4" w:space="0"/>
            </w:tcBorders>
            <w:noWrap w:val="0"/>
            <w:vAlign w:val="center"/>
          </w:tcPr>
          <w:p w14:paraId="11EB842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83" w:type="dxa"/>
            <w:tcBorders>
              <w:top w:val="nil"/>
              <w:left w:val="nil"/>
              <w:bottom w:val="single" w:color="auto" w:sz="4" w:space="0"/>
              <w:right w:val="single" w:color="auto" w:sz="4" w:space="0"/>
            </w:tcBorders>
            <w:noWrap w:val="0"/>
            <w:vAlign w:val="center"/>
          </w:tcPr>
          <w:p w14:paraId="247734F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673" w:type="dxa"/>
            <w:tcBorders>
              <w:top w:val="nil"/>
              <w:left w:val="nil"/>
              <w:bottom w:val="single" w:color="auto" w:sz="4" w:space="0"/>
              <w:right w:val="single" w:color="auto" w:sz="4" w:space="0"/>
            </w:tcBorders>
            <w:noWrap w:val="0"/>
            <w:vAlign w:val="center"/>
          </w:tcPr>
          <w:p w14:paraId="744EA1C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1075" w:type="dxa"/>
            <w:tcBorders>
              <w:top w:val="nil"/>
              <w:left w:val="nil"/>
              <w:bottom w:val="single" w:color="auto" w:sz="4" w:space="0"/>
              <w:right w:val="single" w:color="auto" w:sz="4" w:space="0"/>
            </w:tcBorders>
            <w:noWrap w:val="0"/>
            <w:vAlign w:val="center"/>
          </w:tcPr>
          <w:p w14:paraId="6095F72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0F86762">
        <w:tblPrEx>
          <w:tblCellMar>
            <w:top w:w="0" w:type="dxa"/>
            <w:left w:w="108" w:type="dxa"/>
            <w:bottom w:w="0" w:type="dxa"/>
            <w:right w:w="108" w:type="dxa"/>
          </w:tblCellMar>
        </w:tblPrEx>
        <w:trPr>
          <w:trHeight w:val="225" w:hRule="atLeast"/>
          <w:jc w:val="center"/>
        </w:trPr>
        <w:tc>
          <w:tcPr>
            <w:tcW w:w="1977" w:type="dxa"/>
            <w:tcBorders>
              <w:top w:val="nil"/>
              <w:left w:val="single" w:color="auto" w:sz="4" w:space="0"/>
              <w:bottom w:val="single" w:color="auto" w:sz="4" w:space="0"/>
              <w:right w:val="single" w:color="auto" w:sz="4" w:space="0"/>
            </w:tcBorders>
            <w:noWrap w:val="0"/>
            <w:vAlign w:val="bottom"/>
          </w:tcPr>
          <w:p w14:paraId="372EC0DD">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其他未列明行业</w:t>
            </w:r>
          </w:p>
        </w:tc>
        <w:tc>
          <w:tcPr>
            <w:tcW w:w="1608" w:type="dxa"/>
            <w:tcBorders>
              <w:top w:val="nil"/>
              <w:left w:val="nil"/>
              <w:bottom w:val="single" w:color="auto" w:sz="4" w:space="0"/>
              <w:right w:val="single" w:color="auto" w:sz="4" w:space="0"/>
            </w:tcBorders>
            <w:noWrap w:val="0"/>
            <w:vAlign w:val="center"/>
          </w:tcPr>
          <w:p w14:paraId="2F6DCD5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1061" w:type="dxa"/>
            <w:tcBorders>
              <w:top w:val="nil"/>
              <w:left w:val="nil"/>
              <w:bottom w:val="single" w:color="auto" w:sz="4" w:space="0"/>
              <w:right w:val="single" w:color="auto" w:sz="4" w:space="0"/>
            </w:tcBorders>
            <w:noWrap w:val="0"/>
            <w:vAlign w:val="center"/>
          </w:tcPr>
          <w:p w14:paraId="4C9C68D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83" w:type="dxa"/>
            <w:tcBorders>
              <w:top w:val="nil"/>
              <w:left w:val="nil"/>
              <w:bottom w:val="single" w:color="auto" w:sz="4" w:space="0"/>
              <w:right w:val="single" w:color="auto" w:sz="4" w:space="0"/>
            </w:tcBorders>
            <w:noWrap w:val="0"/>
            <w:vAlign w:val="center"/>
          </w:tcPr>
          <w:p w14:paraId="43FF4DB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673" w:type="dxa"/>
            <w:tcBorders>
              <w:top w:val="nil"/>
              <w:left w:val="nil"/>
              <w:bottom w:val="single" w:color="auto" w:sz="4" w:space="0"/>
              <w:right w:val="single" w:color="auto" w:sz="4" w:space="0"/>
            </w:tcBorders>
            <w:noWrap w:val="0"/>
            <w:vAlign w:val="center"/>
          </w:tcPr>
          <w:p w14:paraId="51FE9F2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75" w:type="dxa"/>
            <w:tcBorders>
              <w:top w:val="nil"/>
              <w:left w:val="nil"/>
              <w:bottom w:val="single" w:color="auto" w:sz="4" w:space="0"/>
              <w:right w:val="single" w:color="auto" w:sz="4" w:space="0"/>
            </w:tcBorders>
            <w:noWrap w:val="0"/>
            <w:vAlign w:val="center"/>
          </w:tcPr>
          <w:p w14:paraId="3CDDD18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592E6E26">
      <w:pPr>
        <w:spacing w:line="360" w:lineRule="auto"/>
        <w:ind w:firstLine="525" w:firstLineChars="250"/>
        <w:rPr>
          <w:rFonts w:hint="eastAsia" w:ascii="宋体" w:hAnsi="宋体" w:eastAsia="宋体" w:cs="宋体"/>
          <w:color w:val="auto"/>
          <w:szCs w:val="21"/>
        </w:rPr>
      </w:pPr>
    </w:p>
    <w:p w14:paraId="13B48799">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9C35811">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24"/>
        </w:rPr>
        <w:br w:type="page"/>
      </w:r>
      <w:r>
        <w:rPr>
          <w:rFonts w:hint="eastAsia" w:ascii="宋体" w:hAnsi="宋体" w:eastAsia="宋体" w:cs="宋体"/>
          <w:color w:val="auto"/>
          <w:sz w:val="44"/>
          <w:szCs w:val="44"/>
        </w:rPr>
        <w:t>残疾人福利性单位声明函</w:t>
      </w:r>
    </w:p>
    <w:p w14:paraId="7F27DC2E">
      <w:pPr>
        <w:spacing w:line="360" w:lineRule="auto"/>
        <w:contextualSpacing/>
        <w:rPr>
          <w:rFonts w:hint="eastAsia" w:ascii="宋体" w:hAnsi="宋体" w:eastAsia="宋体" w:cs="宋体"/>
          <w:color w:val="auto"/>
          <w:sz w:val="32"/>
          <w:szCs w:val="32"/>
        </w:rPr>
      </w:pPr>
    </w:p>
    <w:p w14:paraId="3374DDAD">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项目采购活动提供本单位制造的货物（由本单位承担工程/提供服务），或者提供其他残疾人福利性单位制造的货物（不包括使用非残疾人福利性单位注册商标的货物）。</w:t>
      </w:r>
    </w:p>
    <w:p w14:paraId="5594BC6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691C3293">
      <w:pPr>
        <w:spacing w:line="360" w:lineRule="auto"/>
        <w:contextualSpacing/>
        <w:rPr>
          <w:rFonts w:hint="eastAsia" w:ascii="宋体" w:hAnsi="宋体" w:eastAsia="宋体" w:cs="宋体"/>
          <w:color w:val="auto"/>
          <w:sz w:val="24"/>
        </w:rPr>
      </w:pPr>
    </w:p>
    <w:p w14:paraId="1F45511D">
      <w:pPr>
        <w:spacing w:line="360" w:lineRule="auto"/>
        <w:contextualSpacing/>
        <w:rPr>
          <w:rFonts w:hint="eastAsia" w:ascii="宋体" w:hAnsi="宋体" w:eastAsia="宋体" w:cs="宋体"/>
          <w:color w:val="auto"/>
          <w:sz w:val="24"/>
        </w:rPr>
      </w:pPr>
    </w:p>
    <w:p w14:paraId="31184CE5">
      <w:pPr>
        <w:spacing w:line="360" w:lineRule="auto"/>
        <w:contextualSpacing/>
        <w:rPr>
          <w:rFonts w:hint="eastAsia" w:ascii="宋体" w:hAnsi="宋体" w:eastAsia="宋体" w:cs="宋体"/>
          <w:color w:val="auto"/>
          <w:sz w:val="24"/>
        </w:rPr>
      </w:pPr>
    </w:p>
    <w:p w14:paraId="40106444">
      <w:pPr>
        <w:spacing w:line="360" w:lineRule="auto"/>
        <w:ind w:firstLine="2400" w:firstLineChars="1000"/>
        <w:contextualSpacing/>
        <w:rPr>
          <w:rFonts w:hint="eastAsia" w:ascii="宋体" w:hAnsi="宋体" w:eastAsia="宋体" w:cs="宋体"/>
          <w:color w:val="auto"/>
          <w:sz w:val="24"/>
        </w:rPr>
      </w:pPr>
      <w:r>
        <w:rPr>
          <w:rFonts w:hint="eastAsia" w:ascii="宋体" w:hAnsi="宋体" w:eastAsia="宋体" w:cs="宋体"/>
          <w:color w:val="auto"/>
          <w:sz w:val="24"/>
        </w:rPr>
        <w:t>单位名称（盖章）：</w:t>
      </w:r>
    </w:p>
    <w:p w14:paraId="4CB4154A">
      <w:pPr>
        <w:spacing w:line="360" w:lineRule="auto"/>
        <w:ind w:firstLine="3600" w:firstLineChars="1500"/>
        <w:contextualSpacing/>
        <w:rPr>
          <w:rFonts w:hint="eastAsia" w:ascii="宋体" w:hAnsi="宋体" w:eastAsia="宋体" w:cs="宋体"/>
          <w:color w:val="auto"/>
          <w:sz w:val="24"/>
        </w:rPr>
      </w:pPr>
      <w:r>
        <w:rPr>
          <w:rFonts w:hint="eastAsia" w:ascii="宋体" w:hAnsi="宋体" w:eastAsia="宋体" w:cs="宋体"/>
          <w:color w:val="auto"/>
          <w:sz w:val="24"/>
        </w:rPr>
        <w:t>日  期：</w:t>
      </w:r>
    </w:p>
    <w:p w14:paraId="4F57319D">
      <w:pPr>
        <w:spacing w:line="360" w:lineRule="auto"/>
        <w:contextualSpacing/>
        <w:rPr>
          <w:rFonts w:hint="eastAsia" w:ascii="宋体" w:hAnsi="宋体" w:eastAsia="宋体" w:cs="宋体"/>
          <w:color w:val="auto"/>
          <w:sz w:val="24"/>
        </w:rPr>
      </w:pPr>
    </w:p>
    <w:p w14:paraId="71207349">
      <w:pPr>
        <w:spacing w:line="360" w:lineRule="auto"/>
        <w:contextualSpacing/>
        <w:rPr>
          <w:rFonts w:hint="eastAsia" w:ascii="宋体" w:hAnsi="宋体" w:eastAsia="宋体" w:cs="宋体"/>
          <w:color w:val="auto"/>
          <w:sz w:val="24"/>
        </w:rPr>
      </w:pPr>
    </w:p>
    <w:p w14:paraId="79B29C45">
      <w:pPr>
        <w:spacing w:line="360" w:lineRule="auto"/>
        <w:contextualSpacing/>
        <w:rPr>
          <w:rFonts w:hint="eastAsia" w:ascii="宋体" w:hAnsi="宋体" w:eastAsia="宋体" w:cs="宋体"/>
          <w:color w:val="auto"/>
          <w:sz w:val="24"/>
        </w:rPr>
      </w:pPr>
    </w:p>
    <w:p w14:paraId="40D615B2">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6064CB4B">
      <w:pPr>
        <w:spacing w:line="360" w:lineRule="auto"/>
        <w:jc w:val="center"/>
        <w:rPr>
          <w:rFonts w:hint="eastAsia" w:ascii="宋体" w:hAnsi="宋体" w:eastAsia="宋体" w:cs="宋体"/>
          <w:b/>
          <w:bCs/>
          <w:color w:val="auto"/>
          <w:sz w:val="32"/>
          <w:szCs w:val="32"/>
        </w:rPr>
      </w:pPr>
      <w:r>
        <w:rPr>
          <w:rFonts w:hint="eastAsia" w:ascii="宋体" w:hAnsi="宋体" w:eastAsia="宋体" w:cs="宋体"/>
          <w:color w:val="auto"/>
          <w:sz w:val="24"/>
        </w:rPr>
        <w:br w:type="page"/>
      </w:r>
      <w:r>
        <w:rPr>
          <w:rFonts w:hint="eastAsia" w:ascii="宋体" w:hAnsi="宋体" w:eastAsia="宋体" w:cs="宋体"/>
          <w:color w:val="auto"/>
          <w:sz w:val="44"/>
          <w:szCs w:val="44"/>
        </w:rPr>
        <w:t>质疑函</w:t>
      </w:r>
      <w:r>
        <w:rPr>
          <w:rFonts w:hint="eastAsia" w:ascii="宋体" w:hAnsi="宋体" w:eastAsia="宋体" w:cs="宋体"/>
          <w:color w:val="auto"/>
          <w:sz w:val="28"/>
          <w:szCs w:val="28"/>
          <w:highlight w:val="none"/>
        </w:rPr>
        <w:t>（格式）</w:t>
      </w:r>
    </w:p>
    <w:p w14:paraId="6A601F57">
      <w:pPr>
        <w:pStyle w:val="20"/>
        <w:spacing w:line="360" w:lineRule="auto"/>
        <w:ind w:firstLine="482" w:firstLineChars="200"/>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一、质疑供应商基本信息：</w:t>
      </w:r>
    </w:p>
    <w:p w14:paraId="23EFA708">
      <w:pPr>
        <w:pStyle w:val="20"/>
        <w:spacing w:line="360" w:lineRule="auto"/>
        <w:ind w:firstLine="480" w:firstLineChars="200"/>
        <w:contextualSpacing/>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质疑供应商：</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1C531F75">
      <w:pPr>
        <w:pStyle w:val="20"/>
        <w:spacing w:line="360" w:lineRule="auto"/>
        <w:ind w:firstLine="480" w:firstLineChars="20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6452B042">
      <w:pPr>
        <w:pStyle w:val="20"/>
        <w:spacing w:line="360" w:lineRule="auto"/>
        <w:ind w:firstLine="480" w:firstLineChars="20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2736EB61">
      <w:pPr>
        <w:pStyle w:val="20"/>
        <w:spacing w:line="360" w:lineRule="auto"/>
        <w:ind w:firstLine="480" w:firstLineChars="20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授权代表：</w:t>
      </w:r>
      <w:r>
        <w:rPr>
          <w:rFonts w:hint="eastAsia" w:ascii="宋体" w:hAnsi="宋体" w:eastAsia="宋体" w:cs="宋体"/>
          <w:bCs/>
          <w:color w:val="auto"/>
          <w:sz w:val="24"/>
          <w:szCs w:val="24"/>
          <w:u w:val="single"/>
        </w:rPr>
        <w:t xml:space="preserve">                      </w:t>
      </w:r>
    </w:p>
    <w:p w14:paraId="2EB39558">
      <w:pPr>
        <w:pStyle w:val="20"/>
        <w:spacing w:line="360" w:lineRule="auto"/>
        <w:ind w:firstLine="480" w:firstLineChars="200"/>
        <w:contextualSpacing/>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00C35886">
      <w:pPr>
        <w:pStyle w:val="20"/>
        <w:spacing w:line="360" w:lineRule="auto"/>
        <w:ind w:firstLine="480" w:firstLineChars="200"/>
        <w:contextualSpacing/>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43500573">
      <w:pPr>
        <w:pStyle w:val="20"/>
        <w:spacing w:line="360" w:lineRule="auto"/>
        <w:ind w:firstLine="482" w:firstLineChars="200"/>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二、质疑项目基本情况：</w:t>
      </w:r>
    </w:p>
    <w:p w14:paraId="519049A5">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bCs/>
          <w:color w:val="auto"/>
          <w:sz w:val="24"/>
          <w:szCs w:val="24"/>
        </w:rPr>
        <w:t>质疑</w:t>
      </w:r>
      <w:r>
        <w:rPr>
          <w:rFonts w:hint="eastAsia" w:ascii="宋体" w:hAnsi="宋体" w:eastAsia="宋体" w:cs="宋体"/>
          <w:color w:val="auto"/>
          <w:sz w:val="24"/>
          <w:szCs w:val="24"/>
        </w:rPr>
        <w:t>项目的名称：</w:t>
      </w:r>
      <w:r>
        <w:rPr>
          <w:rFonts w:hint="eastAsia" w:ascii="宋体" w:hAnsi="宋体" w:eastAsia="宋体" w:cs="宋体"/>
          <w:bCs/>
          <w:color w:val="auto"/>
          <w:sz w:val="24"/>
          <w:szCs w:val="24"/>
          <w:u w:val="single"/>
        </w:rPr>
        <w:t xml:space="preserve">                                     </w:t>
      </w:r>
    </w:p>
    <w:p w14:paraId="2306A9F3">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bCs/>
          <w:color w:val="auto"/>
          <w:sz w:val="24"/>
          <w:szCs w:val="24"/>
        </w:rPr>
        <w:t>质疑</w:t>
      </w:r>
      <w:r>
        <w:rPr>
          <w:rFonts w:hint="eastAsia" w:ascii="宋体" w:hAnsi="宋体" w:eastAsia="宋体" w:cs="宋体"/>
          <w:color w:val="auto"/>
          <w:sz w:val="24"/>
          <w:szCs w:val="24"/>
        </w:rPr>
        <w:t>项目的编号：</w:t>
      </w:r>
      <w:r>
        <w:rPr>
          <w:rFonts w:hint="eastAsia" w:ascii="宋体" w:hAnsi="宋体" w:eastAsia="宋体" w:cs="宋体"/>
          <w:bCs/>
          <w:color w:val="auto"/>
          <w:sz w:val="24"/>
          <w:szCs w:val="24"/>
          <w:u w:val="single"/>
        </w:rPr>
        <w:t xml:space="preserve">                                     </w:t>
      </w:r>
    </w:p>
    <w:p w14:paraId="3B66C3D6">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bCs/>
          <w:color w:val="auto"/>
          <w:sz w:val="24"/>
          <w:szCs w:val="24"/>
          <w:u w:val="single"/>
        </w:rPr>
        <w:t xml:space="preserve">                                         </w:t>
      </w:r>
    </w:p>
    <w:p w14:paraId="0EBA89ED">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质疑事项：</w:t>
      </w:r>
    </w:p>
    <w:p w14:paraId="2102C3F6">
      <w:pPr>
        <w:pStyle w:val="20"/>
        <w:spacing w:line="360" w:lineRule="auto"/>
        <w:ind w:left="25" w:leftChars="12" w:firstLine="352" w:firstLineChars="147"/>
        <w:contextualSpacing/>
        <w:rPr>
          <w:rFonts w:hint="eastAsia" w:ascii="宋体" w:hAnsi="宋体" w:eastAsia="宋体" w:cs="宋体"/>
          <w:color w:val="auto"/>
          <w:sz w:val="24"/>
          <w:szCs w:val="24"/>
        </w:rPr>
      </w:pPr>
      <w:r>
        <w:rPr>
          <w:rFonts w:hint="eastAsia" w:ascii="宋体" w:hAnsi="宋体" w:eastAsia="宋体" w:cs="宋体"/>
          <w:color w:val="auto"/>
          <w:sz w:val="24"/>
          <w:szCs w:val="24"/>
        </w:rPr>
        <w:t>□采购文件   采购文件获取日期：</w:t>
      </w:r>
      <w:r>
        <w:rPr>
          <w:rFonts w:hint="eastAsia" w:ascii="宋体" w:hAnsi="宋体" w:eastAsia="宋体" w:cs="宋体"/>
          <w:bCs/>
          <w:color w:val="auto"/>
          <w:sz w:val="24"/>
          <w:szCs w:val="24"/>
          <w:u w:val="single"/>
        </w:rPr>
        <w:t xml:space="preserve">                                   </w:t>
      </w:r>
    </w:p>
    <w:p w14:paraId="1357478A">
      <w:pPr>
        <w:pStyle w:val="20"/>
        <w:spacing w:line="360" w:lineRule="auto"/>
        <w:ind w:left="25" w:leftChars="12" w:firstLine="352" w:firstLineChars="147"/>
        <w:contextualSpacing/>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□采购过程   </w:t>
      </w:r>
    </w:p>
    <w:p w14:paraId="25BCAE7A">
      <w:pPr>
        <w:pStyle w:val="20"/>
        <w:spacing w:line="360" w:lineRule="auto"/>
        <w:ind w:left="25" w:leftChars="12" w:firstLine="352" w:firstLineChars="147"/>
        <w:contextualSpacing/>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□成交结果   </w:t>
      </w:r>
    </w:p>
    <w:p w14:paraId="654F8D79">
      <w:pPr>
        <w:pStyle w:val="20"/>
        <w:spacing w:line="360" w:lineRule="auto"/>
        <w:ind w:left="25" w:leftChars="12" w:firstLine="472" w:firstLineChars="196"/>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三、质疑事项具体内容</w:t>
      </w:r>
    </w:p>
    <w:p w14:paraId="0965E8CE">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质疑事项1：</w:t>
      </w:r>
      <w:r>
        <w:rPr>
          <w:rFonts w:hint="eastAsia" w:ascii="宋体" w:hAnsi="宋体" w:eastAsia="宋体" w:cs="宋体"/>
          <w:bCs/>
          <w:color w:val="auto"/>
          <w:sz w:val="24"/>
          <w:szCs w:val="24"/>
          <w:u w:val="single"/>
        </w:rPr>
        <w:t xml:space="preserve">                                                                    </w:t>
      </w:r>
    </w:p>
    <w:p w14:paraId="105F328A">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bCs/>
          <w:color w:val="auto"/>
          <w:sz w:val="24"/>
          <w:szCs w:val="24"/>
          <w:u w:val="single"/>
        </w:rPr>
        <w:t xml:space="preserve">                                                                      </w:t>
      </w:r>
    </w:p>
    <w:p w14:paraId="0ED46DB3">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u w:val="single"/>
        </w:rPr>
        <w:t xml:space="preserve">               </w:t>
      </w:r>
    </w:p>
    <w:p w14:paraId="4831E218">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质疑事项2</w:t>
      </w:r>
    </w:p>
    <w:p w14:paraId="58343292">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E2BE3B1">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四、与质疑事项相关的质疑请求：</w:t>
      </w:r>
    </w:p>
    <w:p w14:paraId="78DA2A79">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bCs/>
          <w:color w:val="auto"/>
          <w:sz w:val="24"/>
          <w:szCs w:val="24"/>
          <w:u w:val="single"/>
        </w:rPr>
        <w:t xml:space="preserve">                                                                </w:t>
      </w:r>
    </w:p>
    <w:p w14:paraId="3AE604AA">
      <w:pPr>
        <w:pStyle w:val="20"/>
        <w:spacing w:line="360" w:lineRule="auto"/>
        <w:ind w:left="25" w:leftChars="12" w:firstLine="352" w:firstLineChars="147"/>
        <w:contextualSpacing/>
        <w:rPr>
          <w:rFonts w:hint="eastAsia" w:ascii="宋体" w:hAnsi="宋体" w:eastAsia="宋体" w:cs="宋体"/>
          <w:color w:val="auto"/>
          <w:sz w:val="24"/>
          <w:szCs w:val="24"/>
        </w:rPr>
      </w:pPr>
    </w:p>
    <w:p w14:paraId="1AE03C41">
      <w:pPr>
        <w:pStyle w:val="20"/>
        <w:spacing w:line="360" w:lineRule="auto"/>
        <w:ind w:left="25" w:leftChars="12" w:firstLine="472" w:firstLineChars="197"/>
        <w:contextualSpacing/>
        <w:rPr>
          <w:rFonts w:hint="eastAsia" w:ascii="宋体" w:hAnsi="宋体" w:eastAsia="宋体" w:cs="宋体"/>
          <w:color w:val="auto"/>
          <w:sz w:val="24"/>
          <w:szCs w:val="24"/>
        </w:rPr>
      </w:pPr>
      <w:r>
        <w:rPr>
          <w:rFonts w:hint="eastAsia" w:ascii="宋体" w:hAnsi="宋体" w:eastAsia="宋体" w:cs="宋体"/>
          <w:color w:val="auto"/>
          <w:sz w:val="24"/>
          <w:szCs w:val="24"/>
        </w:rPr>
        <w:t>签字（签章）：                                       公章：</w:t>
      </w:r>
    </w:p>
    <w:p w14:paraId="72842A15">
      <w:pPr>
        <w:pStyle w:val="20"/>
        <w:spacing w:line="360" w:lineRule="auto"/>
        <w:ind w:firstLine="480" w:firstLineChars="200"/>
        <w:contextualSpacing/>
        <w:rPr>
          <w:rFonts w:hint="eastAsia" w:ascii="宋体" w:hAnsi="宋体" w:eastAsia="宋体" w:cs="宋体"/>
          <w:b/>
          <w:color w:val="auto"/>
          <w:sz w:val="24"/>
          <w:szCs w:val="24"/>
        </w:rPr>
      </w:pPr>
      <w:r>
        <w:rPr>
          <w:rFonts w:hint="eastAsia" w:ascii="宋体" w:hAnsi="宋体" w:eastAsia="宋体" w:cs="宋体"/>
          <w:color w:val="auto"/>
          <w:sz w:val="24"/>
          <w:szCs w:val="24"/>
        </w:rPr>
        <w:t>日期：</w:t>
      </w:r>
    </w:p>
    <w:p w14:paraId="10547D17">
      <w:pPr>
        <w:pStyle w:val="20"/>
        <w:spacing w:line="360" w:lineRule="auto"/>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320DAEF8">
      <w:pPr>
        <w:pStyle w:val="20"/>
        <w:spacing w:line="360" w:lineRule="auto"/>
        <w:ind w:left="25" w:leftChars="12" w:firstLine="354" w:firstLineChars="147"/>
        <w:contextualSpacing/>
        <w:rPr>
          <w:rFonts w:hint="eastAsia" w:ascii="宋体" w:hAnsi="宋体" w:eastAsia="宋体" w:cs="宋体"/>
          <w:b/>
          <w:bCs/>
          <w:color w:val="auto"/>
          <w:sz w:val="24"/>
          <w:szCs w:val="24"/>
        </w:rPr>
      </w:pPr>
      <w:r>
        <w:rPr>
          <w:rFonts w:hint="eastAsia" w:ascii="宋体" w:hAnsi="宋体" w:eastAsia="宋体" w:cs="宋体"/>
          <w:b/>
          <w:color w:val="auto"/>
          <w:sz w:val="24"/>
          <w:szCs w:val="24"/>
        </w:rPr>
        <w:t>1.供应商提出质疑时，应提交质疑函和必要的证明材料</w:t>
      </w:r>
      <w:r>
        <w:rPr>
          <w:rFonts w:hint="eastAsia" w:ascii="宋体" w:hAnsi="宋体" w:eastAsia="宋体" w:cs="宋体"/>
          <w:b/>
          <w:bCs/>
          <w:color w:val="auto"/>
          <w:sz w:val="24"/>
          <w:szCs w:val="24"/>
        </w:rPr>
        <w:t>。</w:t>
      </w:r>
    </w:p>
    <w:p w14:paraId="7CD4A695">
      <w:pPr>
        <w:pStyle w:val="20"/>
        <w:spacing w:line="360" w:lineRule="auto"/>
        <w:ind w:left="25" w:leftChars="12" w:firstLine="354" w:firstLineChars="147"/>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B9CB9A">
      <w:pPr>
        <w:pStyle w:val="20"/>
        <w:spacing w:line="360" w:lineRule="auto"/>
        <w:ind w:left="25" w:leftChars="12" w:firstLine="354" w:firstLineChars="147"/>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3.质疑函的质疑事项应具体、明确，并有必要的事实依据和法律依据。</w:t>
      </w:r>
    </w:p>
    <w:p w14:paraId="023FD516">
      <w:pPr>
        <w:pStyle w:val="20"/>
        <w:spacing w:line="360" w:lineRule="auto"/>
        <w:ind w:left="25" w:leftChars="12" w:firstLine="354" w:firstLineChars="147"/>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4.质疑函的质疑请求应与质疑事项相关。</w:t>
      </w:r>
    </w:p>
    <w:p w14:paraId="725E37D1">
      <w:pPr>
        <w:pStyle w:val="20"/>
        <w:spacing w:line="360" w:lineRule="auto"/>
        <w:ind w:left="25" w:leftChars="12" w:firstLine="354" w:firstLineChars="147"/>
        <w:contextualSpacing/>
        <w:rPr>
          <w:rFonts w:hint="eastAsia" w:ascii="宋体" w:hAnsi="宋体" w:eastAsia="宋体" w:cs="宋体"/>
          <w:b/>
          <w:color w:val="auto"/>
        </w:rPr>
      </w:pPr>
      <w:r>
        <w:rPr>
          <w:rFonts w:hint="eastAsia" w:ascii="宋体" w:hAnsi="宋体" w:eastAsia="宋体" w:cs="宋体"/>
          <w:b/>
          <w:color w:val="auto"/>
          <w:sz w:val="24"/>
          <w:szCs w:val="24"/>
        </w:rPr>
        <w:t>5.质疑供应商为法人或者其他组织的，质疑函应由法定代表人、主要负责人，或者其授权代表签字或者盖章，并加盖公章。</w:t>
      </w:r>
    </w:p>
    <w:p w14:paraId="077B194D">
      <w:pPr>
        <w:pStyle w:val="20"/>
        <w:snapToGrid w:val="0"/>
        <w:rPr>
          <w:rFonts w:hint="eastAsia" w:ascii="宋体" w:hAnsi="宋体" w:eastAsia="宋体" w:cs="宋体"/>
          <w:b/>
          <w:color w:val="auto"/>
          <w:sz w:val="24"/>
          <w:szCs w:val="24"/>
        </w:rPr>
      </w:pPr>
    </w:p>
    <w:p w14:paraId="18978B6D">
      <w:pPr>
        <w:rPr>
          <w:rFonts w:hint="eastAsia" w:ascii="宋体" w:hAnsi="宋体" w:eastAsia="宋体" w:cs="宋体"/>
          <w:color w:val="auto"/>
          <w:sz w:val="32"/>
          <w:szCs w:val="40"/>
        </w:rPr>
      </w:pPr>
    </w:p>
    <w:p w14:paraId="2924AF9A">
      <w:pPr>
        <w:rPr>
          <w:rFonts w:hint="eastAsia" w:ascii="宋体" w:hAnsi="宋体" w:eastAsia="宋体" w:cs="宋体"/>
          <w:color w:val="auto"/>
          <w:sz w:val="32"/>
          <w:szCs w:val="40"/>
        </w:rPr>
      </w:pPr>
    </w:p>
    <w:p w14:paraId="371B8535">
      <w:pPr>
        <w:rPr>
          <w:rFonts w:hint="eastAsia" w:ascii="宋体" w:hAnsi="宋体" w:eastAsia="宋体" w:cs="宋体"/>
          <w:color w:val="auto"/>
          <w:sz w:val="32"/>
          <w:szCs w:val="40"/>
        </w:rPr>
      </w:pPr>
    </w:p>
    <w:p w14:paraId="2E89739E">
      <w:pPr>
        <w:rPr>
          <w:rFonts w:hint="eastAsia" w:ascii="宋体" w:hAnsi="宋体" w:eastAsia="宋体" w:cs="宋体"/>
          <w:color w:val="auto"/>
          <w:sz w:val="32"/>
          <w:szCs w:val="40"/>
        </w:rPr>
      </w:pPr>
    </w:p>
    <w:p w14:paraId="79F6CA67">
      <w:pPr>
        <w:rPr>
          <w:rFonts w:hint="eastAsia" w:ascii="宋体" w:hAnsi="宋体" w:eastAsia="宋体" w:cs="宋体"/>
          <w:color w:val="auto"/>
          <w:sz w:val="32"/>
          <w:szCs w:val="40"/>
        </w:rPr>
      </w:pPr>
    </w:p>
    <w:p w14:paraId="5C822BE3">
      <w:pPr>
        <w:rPr>
          <w:rFonts w:hint="eastAsia" w:ascii="宋体" w:hAnsi="宋体" w:eastAsia="宋体" w:cs="宋体"/>
          <w:color w:val="auto"/>
          <w:sz w:val="32"/>
          <w:szCs w:val="40"/>
        </w:rPr>
      </w:pPr>
    </w:p>
    <w:p w14:paraId="24EF69C8">
      <w:pPr>
        <w:rPr>
          <w:rFonts w:hint="eastAsia" w:ascii="宋体" w:hAnsi="宋体" w:eastAsia="宋体" w:cs="宋体"/>
          <w:color w:val="auto"/>
          <w:sz w:val="32"/>
          <w:szCs w:val="40"/>
        </w:rPr>
      </w:pPr>
    </w:p>
    <w:p w14:paraId="10AD1592">
      <w:pPr>
        <w:rPr>
          <w:rFonts w:hint="eastAsia" w:ascii="宋体" w:hAnsi="宋体" w:eastAsia="宋体" w:cs="宋体"/>
          <w:color w:val="auto"/>
          <w:sz w:val="32"/>
          <w:szCs w:val="40"/>
        </w:rPr>
      </w:pPr>
    </w:p>
    <w:p w14:paraId="56100C10">
      <w:pPr>
        <w:rPr>
          <w:rFonts w:hint="eastAsia" w:ascii="宋体" w:hAnsi="宋体" w:eastAsia="宋体" w:cs="宋体"/>
          <w:color w:val="auto"/>
          <w:sz w:val="32"/>
          <w:szCs w:val="40"/>
        </w:rPr>
      </w:pPr>
    </w:p>
    <w:p w14:paraId="5D327F1F">
      <w:pPr>
        <w:rPr>
          <w:rFonts w:hint="eastAsia" w:ascii="宋体" w:hAnsi="宋体" w:eastAsia="宋体" w:cs="宋体"/>
          <w:color w:val="auto"/>
          <w:sz w:val="32"/>
          <w:szCs w:val="40"/>
        </w:rPr>
      </w:pPr>
    </w:p>
    <w:p w14:paraId="3EE09624">
      <w:pPr>
        <w:rPr>
          <w:rFonts w:hint="eastAsia" w:ascii="宋体" w:hAnsi="宋体" w:eastAsia="宋体" w:cs="宋体"/>
          <w:color w:val="auto"/>
          <w:sz w:val="32"/>
          <w:szCs w:val="40"/>
        </w:rPr>
      </w:pPr>
    </w:p>
    <w:p w14:paraId="5335FC8F">
      <w:pPr>
        <w:rPr>
          <w:rFonts w:hint="eastAsia" w:ascii="宋体" w:hAnsi="宋体" w:eastAsia="宋体" w:cs="宋体"/>
          <w:color w:val="auto"/>
          <w:sz w:val="32"/>
          <w:szCs w:val="40"/>
        </w:rPr>
      </w:pPr>
    </w:p>
    <w:p w14:paraId="3F44B9D7">
      <w:pPr>
        <w:rPr>
          <w:rFonts w:hint="eastAsia" w:ascii="宋体" w:hAnsi="宋体" w:eastAsia="宋体" w:cs="宋体"/>
          <w:color w:val="auto"/>
          <w:sz w:val="32"/>
          <w:szCs w:val="40"/>
        </w:rPr>
      </w:pPr>
    </w:p>
    <w:p w14:paraId="6129B61A">
      <w:pPr>
        <w:rPr>
          <w:rFonts w:hint="eastAsia" w:ascii="宋体" w:hAnsi="宋体" w:eastAsia="宋体" w:cs="宋体"/>
          <w:color w:val="auto"/>
          <w:sz w:val="32"/>
          <w:szCs w:val="40"/>
        </w:rPr>
      </w:pPr>
    </w:p>
    <w:p w14:paraId="28234FA5">
      <w:pPr>
        <w:spacing w:line="360" w:lineRule="auto"/>
        <w:jc w:val="center"/>
        <w:rPr>
          <w:rFonts w:hint="eastAsia" w:ascii="宋体" w:hAnsi="宋体" w:eastAsia="宋体" w:cs="宋体"/>
          <w:color w:val="auto"/>
          <w:sz w:val="24"/>
        </w:rPr>
      </w:pPr>
      <w:r>
        <w:rPr>
          <w:rFonts w:hint="eastAsia" w:ascii="宋体" w:hAnsi="宋体" w:eastAsia="宋体" w:cs="宋体"/>
          <w:color w:val="auto"/>
          <w:sz w:val="44"/>
          <w:szCs w:val="44"/>
        </w:rPr>
        <w:br w:type="page"/>
      </w:r>
      <w:r>
        <w:rPr>
          <w:rFonts w:hint="eastAsia" w:ascii="宋体" w:hAnsi="宋体" w:eastAsia="宋体" w:cs="宋体"/>
          <w:color w:val="auto"/>
          <w:sz w:val="44"/>
          <w:szCs w:val="44"/>
        </w:rPr>
        <w:t>投诉书</w:t>
      </w:r>
      <w:r>
        <w:rPr>
          <w:rFonts w:hint="eastAsia" w:ascii="宋体" w:hAnsi="宋体" w:eastAsia="宋体" w:cs="宋体"/>
          <w:color w:val="auto"/>
          <w:sz w:val="28"/>
          <w:szCs w:val="28"/>
          <w:highlight w:val="none"/>
        </w:rPr>
        <w:t>（格式）</w:t>
      </w:r>
    </w:p>
    <w:p w14:paraId="204E18FA">
      <w:pPr>
        <w:pStyle w:val="2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一、投诉相关主体基本情况：</w:t>
      </w:r>
    </w:p>
    <w:p w14:paraId="2C512DCA">
      <w:pPr>
        <w:pStyle w:val="20"/>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供应商：</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4B5F6C98">
      <w:pPr>
        <w:pStyle w:val="2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4CF861EC">
      <w:pPr>
        <w:pStyle w:val="20"/>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法定代表人/主要负责人：</w:t>
      </w:r>
      <w:r>
        <w:rPr>
          <w:rFonts w:hint="eastAsia" w:ascii="宋体" w:hAnsi="宋体" w:eastAsia="宋体" w:cs="宋体"/>
          <w:bCs/>
          <w:color w:val="auto"/>
          <w:sz w:val="24"/>
          <w:szCs w:val="24"/>
          <w:u w:val="single"/>
        </w:rPr>
        <w:t xml:space="preserve">                                                         </w:t>
      </w:r>
    </w:p>
    <w:p w14:paraId="6A7CD54F">
      <w:pPr>
        <w:pStyle w:val="2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09CBA954">
      <w:pPr>
        <w:pStyle w:val="20"/>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授权代表：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216066D9">
      <w:pPr>
        <w:pStyle w:val="20"/>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p>
    <w:p w14:paraId="44D9A363">
      <w:pPr>
        <w:pStyle w:val="2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27900A39">
      <w:pPr>
        <w:pStyle w:val="2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被投诉人1：</w:t>
      </w:r>
    </w:p>
    <w:p w14:paraId="75B68E4D">
      <w:pPr>
        <w:pStyle w:val="20"/>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p>
    <w:p w14:paraId="72C8D885">
      <w:pPr>
        <w:pStyle w:val="2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234977FC">
      <w:pPr>
        <w:pStyle w:val="20"/>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p>
    <w:p w14:paraId="2C5C6BB7">
      <w:pPr>
        <w:pStyle w:val="2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被投诉人2：</w:t>
      </w:r>
    </w:p>
    <w:p w14:paraId="3DFE3269">
      <w:pPr>
        <w:pStyle w:val="2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w:t>
      </w:r>
    </w:p>
    <w:p w14:paraId="3E0B049C">
      <w:pPr>
        <w:pStyle w:val="20"/>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相关供应商：</w:t>
      </w:r>
      <w:r>
        <w:rPr>
          <w:rFonts w:hint="eastAsia" w:ascii="宋体" w:hAnsi="宋体" w:eastAsia="宋体" w:cs="宋体"/>
          <w:bCs/>
          <w:color w:val="auto"/>
          <w:sz w:val="24"/>
          <w:szCs w:val="24"/>
          <w:u w:val="single"/>
        </w:rPr>
        <w:t xml:space="preserve">                                                                       </w:t>
      </w:r>
    </w:p>
    <w:p w14:paraId="64BC54C8">
      <w:pPr>
        <w:pStyle w:val="20"/>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邮编：</w:t>
      </w:r>
      <w:r>
        <w:rPr>
          <w:rFonts w:hint="eastAsia" w:ascii="宋体" w:hAnsi="宋体" w:eastAsia="宋体" w:cs="宋体"/>
          <w:bCs/>
          <w:color w:val="auto"/>
          <w:sz w:val="24"/>
          <w:szCs w:val="24"/>
          <w:u w:val="single"/>
        </w:rPr>
        <w:t xml:space="preserve">                         </w:t>
      </w:r>
    </w:p>
    <w:p w14:paraId="55798BDA">
      <w:pPr>
        <w:pStyle w:val="2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联系人：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联系电话：</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w:t>
      </w:r>
    </w:p>
    <w:p w14:paraId="374E8BB6">
      <w:pPr>
        <w:pStyle w:val="2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二、投诉项目基本情况：</w:t>
      </w:r>
    </w:p>
    <w:p w14:paraId="21090B19">
      <w:pPr>
        <w:pStyle w:val="20"/>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采购</w:t>
      </w:r>
      <w:r>
        <w:rPr>
          <w:rFonts w:hint="eastAsia" w:ascii="宋体" w:hAnsi="宋体" w:eastAsia="宋体" w:cs="宋体"/>
          <w:color w:val="auto"/>
          <w:sz w:val="24"/>
          <w:szCs w:val="24"/>
        </w:rPr>
        <w:t>项目的名称：</w:t>
      </w:r>
      <w:r>
        <w:rPr>
          <w:rFonts w:hint="eastAsia" w:ascii="宋体" w:hAnsi="宋体" w:eastAsia="宋体" w:cs="宋体"/>
          <w:bCs/>
          <w:color w:val="auto"/>
          <w:sz w:val="24"/>
          <w:szCs w:val="24"/>
          <w:u w:val="single"/>
        </w:rPr>
        <w:t xml:space="preserve">                                                                   </w:t>
      </w:r>
    </w:p>
    <w:p w14:paraId="54C9D92A">
      <w:pPr>
        <w:pStyle w:val="20"/>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rPr>
        <w:t>采购</w:t>
      </w:r>
      <w:r>
        <w:rPr>
          <w:rFonts w:hint="eastAsia" w:ascii="宋体" w:hAnsi="宋体" w:eastAsia="宋体" w:cs="宋体"/>
          <w:color w:val="auto"/>
          <w:sz w:val="24"/>
          <w:szCs w:val="24"/>
        </w:rPr>
        <w:t>项目的编号：</w:t>
      </w:r>
      <w:r>
        <w:rPr>
          <w:rFonts w:hint="eastAsia" w:ascii="宋体" w:hAnsi="宋体" w:eastAsia="宋体" w:cs="宋体"/>
          <w:bCs/>
          <w:color w:val="auto"/>
          <w:sz w:val="24"/>
          <w:szCs w:val="24"/>
          <w:u w:val="single"/>
        </w:rPr>
        <w:t xml:space="preserve">                                          </w:t>
      </w:r>
    </w:p>
    <w:p w14:paraId="4341A08E">
      <w:pPr>
        <w:pStyle w:val="20"/>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采购人名称：</w:t>
      </w:r>
      <w:r>
        <w:rPr>
          <w:rFonts w:hint="eastAsia" w:ascii="宋体" w:hAnsi="宋体" w:eastAsia="宋体" w:cs="宋体"/>
          <w:bCs/>
          <w:color w:val="auto"/>
          <w:sz w:val="24"/>
          <w:szCs w:val="24"/>
          <w:u w:val="single"/>
        </w:rPr>
        <w:t xml:space="preserve">                                                                        </w:t>
      </w:r>
    </w:p>
    <w:p w14:paraId="007E9FB6">
      <w:pPr>
        <w:pStyle w:val="20"/>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代理机构名称：</w:t>
      </w:r>
      <w:r>
        <w:rPr>
          <w:rFonts w:hint="eastAsia" w:ascii="宋体" w:hAnsi="宋体" w:eastAsia="宋体" w:cs="宋体"/>
          <w:bCs/>
          <w:color w:val="auto"/>
          <w:sz w:val="24"/>
          <w:szCs w:val="24"/>
          <w:u w:val="single"/>
        </w:rPr>
        <w:t xml:space="preserve">                                                                      </w:t>
      </w:r>
    </w:p>
    <w:p w14:paraId="15569BA7">
      <w:pPr>
        <w:pStyle w:val="20"/>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竞争性磋商文件公告：</w:t>
      </w:r>
      <w:r>
        <w:rPr>
          <w:rFonts w:hint="eastAsia" w:ascii="宋体" w:hAnsi="宋体" w:eastAsia="宋体" w:cs="宋体"/>
          <w:bCs/>
          <w:color w:val="auto"/>
          <w:sz w:val="24"/>
          <w:szCs w:val="24"/>
          <w:u w:val="single"/>
        </w:rPr>
        <w:t>是/否</w:t>
      </w:r>
      <w:r>
        <w:rPr>
          <w:rFonts w:hint="eastAsia" w:ascii="宋体" w:hAnsi="宋体" w:eastAsia="宋体" w:cs="宋体"/>
          <w:bCs/>
          <w:color w:val="auto"/>
          <w:sz w:val="24"/>
          <w:szCs w:val="24"/>
        </w:rPr>
        <w:t>公告期限：</w:t>
      </w:r>
      <w:r>
        <w:rPr>
          <w:rFonts w:hint="eastAsia" w:ascii="宋体" w:hAnsi="宋体" w:eastAsia="宋体" w:cs="宋体"/>
          <w:bCs/>
          <w:color w:val="auto"/>
          <w:sz w:val="24"/>
          <w:szCs w:val="24"/>
          <w:u w:val="single"/>
        </w:rPr>
        <w:t xml:space="preserve">                                                       </w:t>
      </w:r>
    </w:p>
    <w:p w14:paraId="4F76E74B">
      <w:pPr>
        <w:pStyle w:val="20"/>
        <w:spacing w:line="360" w:lineRule="auto"/>
        <w:ind w:left="25" w:leftChars="12" w:firstLine="472" w:firstLineChars="197"/>
        <w:rPr>
          <w:rFonts w:hint="eastAsia" w:ascii="宋体" w:hAnsi="宋体" w:eastAsia="宋体" w:cs="宋体"/>
          <w:b/>
          <w:color w:val="auto"/>
          <w:sz w:val="24"/>
          <w:szCs w:val="24"/>
        </w:rPr>
      </w:pPr>
      <w:r>
        <w:rPr>
          <w:rFonts w:hint="eastAsia" w:ascii="宋体" w:hAnsi="宋体" w:eastAsia="宋体" w:cs="宋体"/>
          <w:bCs/>
          <w:color w:val="auto"/>
          <w:sz w:val="24"/>
          <w:szCs w:val="24"/>
        </w:rPr>
        <w:t>采购结果公告：</w:t>
      </w:r>
      <w:r>
        <w:rPr>
          <w:rFonts w:hint="eastAsia" w:ascii="宋体" w:hAnsi="宋体" w:eastAsia="宋体" w:cs="宋体"/>
          <w:bCs/>
          <w:color w:val="auto"/>
          <w:sz w:val="24"/>
          <w:szCs w:val="24"/>
          <w:u w:val="single"/>
        </w:rPr>
        <w:t>是/否</w:t>
      </w:r>
      <w:r>
        <w:rPr>
          <w:rFonts w:hint="eastAsia" w:ascii="宋体" w:hAnsi="宋体" w:eastAsia="宋体" w:cs="宋体"/>
          <w:bCs/>
          <w:color w:val="auto"/>
          <w:sz w:val="24"/>
          <w:szCs w:val="24"/>
        </w:rPr>
        <w:t>公告期限：</w:t>
      </w:r>
      <w:r>
        <w:rPr>
          <w:rFonts w:hint="eastAsia" w:ascii="宋体" w:hAnsi="宋体" w:eastAsia="宋体" w:cs="宋体"/>
          <w:bCs/>
          <w:color w:val="auto"/>
          <w:sz w:val="24"/>
          <w:szCs w:val="24"/>
          <w:u w:val="single"/>
        </w:rPr>
        <w:t xml:space="preserve">                                                       </w:t>
      </w:r>
    </w:p>
    <w:p w14:paraId="4445AFBF">
      <w:pPr>
        <w:pStyle w:val="20"/>
        <w:spacing w:line="360" w:lineRule="auto"/>
        <w:ind w:left="25" w:leftChars="12"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三、质疑基本情况</w:t>
      </w:r>
    </w:p>
    <w:p w14:paraId="06D91EAC">
      <w:pPr>
        <w:pStyle w:val="2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投诉人于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提出质疑，质疑事项为：</w:t>
      </w:r>
    </w:p>
    <w:p w14:paraId="0C8324F5">
      <w:pPr>
        <w:pStyle w:val="20"/>
        <w:spacing w:line="360" w:lineRule="auto"/>
        <w:ind w:firstLine="241"/>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2DA246F9">
      <w:pPr>
        <w:pStyle w:val="20"/>
        <w:spacing w:line="360" w:lineRule="auto"/>
        <w:ind w:firstLine="241"/>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u w:val="single"/>
        </w:rPr>
        <w:t xml:space="preserve">                                                                                      </w:t>
      </w:r>
    </w:p>
    <w:p w14:paraId="64686F38">
      <w:pPr>
        <w:pStyle w:val="2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u w:val="single"/>
        </w:rPr>
        <w:t>采购人/代理机构</w:t>
      </w:r>
      <w:r>
        <w:rPr>
          <w:rFonts w:hint="eastAsia" w:ascii="宋体" w:hAnsi="宋体" w:eastAsia="宋体" w:cs="宋体"/>
          <w:bCs/>
          <w:color w:val="auto"/>
          <w:sz w:val="24"/>
          <w:szCs w:val="24"/>
        </w:rPr>
        <w:t>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bCs/>
          <w:color w:val="auto"/>
          <w:sz w:val="24"/>
          <w:szCs w:val="24"/>
        </w:rPr>
        <w:t xml:space="preserve">就质疑事项作出了答复/没有在法定期限内作出答复。                                                                                             </w:t>
      </w:r>
    </w:p>
    <w:p w14:paraId="4B843525">
      <w:pPr>
        <w:pStyle w:val="20"/>
        <w:spacing w:line="360" w:lineRule="auto"/>
        <w:ind w:left="25" w:leftChars="12"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四、投诉事项具体内容</w:t>
      </w:r>
    </w:p>
    <w:p w14:paraId="7933932B">
      <w:pPr>
        <w:pStyle w:val="20"/>
        <w:spacing w:line="360" w:lineRule="auto"/>
        <w:ind w:left="25" w:leftChars="12" w:firstLine="472" w:firstLineChars="197"/>
        <w:rPr>
          <w:rFonts w:hint="eastAsia" w:ascii="宋体" w:hAnsi="宋体" w:eastAsia="宋体" w:cs="宋体"/>
          <w:bCs/>
          <w:color w:val="auto"/>
          <w:sz w:val="24"/>
          <w:szCs w:val="24"/>
          <w:u w:val="single"/>
        </w:rPr>
      </w:pPr>
      <w:r>
        <w:rPr>
          <w:rFonts w:hint="eastAsia" w:ascii="宋体" w:hAnsi="宋体" w:eastAsia="宋体" w:cs="宋体"/>
          <w:color w:val="auto"/>
          <w:sz w:val="24"/>
          <w:szCs w:val="24"/>
        </w:rPr>
        <w:t>投诉事项1：</w:t>
      </w:r>
      <w:r>
        <w:rPr>
          <w:rFonts w:hint="eastAsia" w:ascii="宋体" w:hAnsi="宋体" w:eastAsia="宋体" w:cs="宋体"/>
          <w:bCs/>
          <w:color w:val="auto"/>
          <w:sz w:val="24"/>
          <w:szCs w:val="24"/>
          <w:u w:val="single"/>
        </w:rPr>
        <w:t xml:space="preserve">                                                                           </w:t>
      </w:r>
    </w:p>
    <w:p w14:paraId="13467E7B">
      <w:pPr>
        <w:pStyle w:val="2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事实依据：</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22687DC9">
      <w:pPr>
        <w:pStyle w:val="20"/>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bCs/>
          <w:color w:val="auto"/>
          <w:sz w:val="24"/>
          <w:szCs w:val="24"/>
          <w:u w:val="single"/>
        </w:rPr>
        <w:t xml:space="preserve">                                                                                        </w:t>
      </w:r>
    </w:p>
    <w:p w14:paraId="262B055C">
      <w:pPr>
        <w:pStyle w:val="2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法律依据：</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u w:val="single"/>
        </w:rPr>
        <w:t xml:space="preserve">                                                                                      </w:t>
      </w:r>
    </w:p>
    <w:p w14:paraId="2B416109">
      <w:pPr>
        <w:pStyle w:val="20"/>
        <w:spacing w:line="360" w:lineRule="auto"/>
        <w:ind w:left="25" w:leftChars="12" w:firstLine="352" w:firstLineChars="147"/>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u w:val="single"/>
        </w:rPr>
        <w:t xml:space="preserve">                                                                                        </w:t>
      </w:r>
    </w:p>
    <w:p w14:paraId="752591E8">
      <w:pPr>
        <w:pStyle w:val="20"/>
        <w:spacing w:line="360" w:lineRule="auto"/>
        <w:ind w:left="25" w:leftChars="12" w:firstLine="472" w:firstLineChars="197"/>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投诉事项2  </w:t>
      </w:r>
      <w:r>
        <w:rPr>
          <w:rFonts w:hint="eastAsia" w:ascii="宋体" w:hAnsi="宋体" w:eastAsia="宋体" w:cs="宋体"/>
          <w:bCs/>
          <w:color w:val="auto"/>
          <w:sz w:val="24"/>
          <w:szCs w:val="24"/>
        </w:rPr>
        <w:t xml:space="preserve">   </w:t>
      </w:r>
    </w:p>
    <w:p w14:paraId="1A4160B4">
      <w:pPr>
        <w:pStyle w:val="20"/>
        <w:spacing w:line="360" w:lineRule="auto"/>
        <w:ind w:left="25" w:leftChars="12" w:firstLine="472" w:firstLineChars="197"/>
        <w:rPr>
          <w:rFonts w:hint="eastAsia" w:ascii="宋体" w:hAnsi="宋体" w:eastAsia="宋体" w:cs="宋体"/>
          <w:bCs/>
          <w:color w:val="auto"/>
          <w:sz w:val="24"/>
          <w:szCs w:val="24"/>
        </w:rPr>
      </w:pPr>
      <w:r>
        <w:rPr>
          <w:rFonts w:hint="eastAsia" w:ascii="宋体" w:hAnsi="宋体" w:eastAsia="宋体" w:cs="宋体"/>
          <w:bCs/>
          <w:color w:val="auto"/>
          <w:sz w:val="24"/>
          <w:szCs w:val="24"/>
        </w:rPr>
        <w:t>……</w:t>
      </w:r>
    </w:p>
    <w:p w14:paraId="57BEE6A0">
      <w:pPr>
        <w:pStyle w:val="20"/>
        <w:spacing w:line="360" w:lineRule="auto"/>
        <w:ind w:left="25" w:leftChars="12"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五、与投诉事项相关的投诉请求：</w:t>
      </w:r>
    </w:p>
    <w:p w14:paraId="52583F04">
      <w:pPr>
        <w:pStyle w:val="20"/>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bCs/>
          <w:color w:val="auto"/>
          <w:sz w:val="24"/>
          <w:szCs w:val="24"/>
          <w:u w:val="single"/>
        </w:rPr>
        <w:t xml:space="preserve">                                                                                 </w:t>
      </w:r>
    </w:p>
    <w:p w14:paraId="4AE0DD41">
      <w:pPr>
        <w:pStyle w:val="20"/>
        <w:spacing w:line="360" w:lineRule="auto"/>
        <w:ind w:left="25" w:leftChars="12" w:firstLine="352" w:firstLineChars="147"/>
        <w:rPr>
          <w:rFonts w:hint="eastAsia" w:ascii="宋体" w:hAnsi="宋体" w:eastAsia="宋体" w:cs="宋体"/>
          <w:color w:val="auto"/>
          <w:sz w:val="24"/>
          <w:szCs w:val="24"/>
        </w:rPr>
      </w:pPr>
    </w:p>
    <w:p w14:paraId="15EB5ED7">
      <w:pPr>
        <w:pStyle w:val="20"/>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签字（签章）：                                       公章：</w:t>
      </w:r>
    </w:p>
    <w:p w14:paraId="7D46C7DC">
      <w:pPr>
        <w:pStyle w:val="20"/>
        <w:spacing w:line="360" w:lineRule="auto"/>
        <w:ind w:left="25" w:leftChars="12" w:firstLine="352" w:firstLineChars="147"/>
        <w:rPr>
          <w:rFonts w:hint="eastAsia" w:ascii="宋体" w:hAnsi="宋体" w:eastAsia="宋体" w:cs="宋体"/>
          <w:color w:val="auto"/>
          <w:sz w:val="24"/>
          <w:szCs w:val="24"/>
        </w:rPr>
      </w:pPr>
    </w:p>
    <w:p w14:paraId="3EB60D23">
      <w:pPr>
        <w:pStyle w:val="20"/>
        <w:spacing w:line="360" w:lineRule="auto"/>
        <w:ind w:left="25" w:leftChars="12"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793624BD">
      <w:pPr>
        <w:pStyle w:val="20"/>
        <w:spacing w:line="360" w:lineRule="auto"/>
        <w:ind w:left="25" w:leftChars="12" w:firstLine="472" w:firstLineChars="197"/>
        <w:rPr>
          <w:rFonts w:hint="eastAsia" w:ascii="宋体" w:hAnsi="宋体" w:eastAsia="宋体" w:cs="宋体"/>
          <w:b/>
          <w:color w:val="auto"/>
          <w:sz w:val="24"/>
          <w:szCs w:val="24"/>
        </w:rPr>
      </w:pPr>
      <w:r>
        <w:rPr>
          <w:rFonts w:hint="eastAsia" w:ascii="宋体" w:hAnsi="宋体" w:eastAsia="宋体" w:cs="宋体"/>
          <w:bCs/>
          <w:color w:val="auto"/>
          <w:sz w:val="24"/>
          <w:szCs w:val="24"/>
        </w:rPr>
        <w:t xml:space="preserve">                                                                                 </w:t>
      </w:r>
    </w:p>
    <w:p w14:paraId="371B866B">
      <w:pPr>
        <w:pStyle w:val="2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6E421BF1">
      <w:pPr>
        <w:pStyle w:val="20"/>
        <w:spacing w:line="360" w:lineRule="auto"/>
        <w:ind w:left="25" w:leftChars="12" w:firstLine="354" w:firstLineChars="147"/>
        <w:rPr>
          <w:rFonts w:hint="eastAsia" w:ascii="宋体" w:hAnsi="宋体" w:eastAsia="宋体" w:cs="宋体"/>
          <w:b/>
          <w:bCs/>
          <w:color w:val="auto"/>
          <w:sz w:val="24"/>
          <w:szCs w:val="24"/>
        </w:rPr>
      </w:pPr>
      <w:r>
        <w:rPr>
          <w:rFonts w:hint="eastAsia" w:ascii="宋体" w:hAnsi="宋体" w:eastAsia="宋体" w:cs="宋体"/>
          <w:b/>
          <w:color w:val="auto"/>
          <w:sz w:val="24"/>
          <w:szCs w:val="24"/>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rPr>
        <w:t>。</w:t>
      </w:r>
    </w:p>
    <w:p w14:paraId="553D67FF">
      <w:pPr>
        <w:pStyle w:val="20"/>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A78612">
      <w:pPr>
        <w:pStyle w:val="20"/>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3.投诉书应简要列明质疑事项，质疑函、质疑答复等作为附件材料提供。</w:t>
      </w:r>
    </w:p>
    <w:p w14:paraId="43132169">
      <w:pPr>
        <w:pStyle w:val="20"/>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4.投诉书的投诉事项应具体、明确，并有必要的事实依据和法律依据。</w:t>
      </w:r>
    </w:p>
    <w:p w14:paraId="19E36922">
      <w:pPr>
        <w:pStyle w:val="20"/>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5.投诉书的投诉请求应与投诉事项相关。</w:t>
      </w:r>
    </w:p>
    <w:p w14:paraId="6B81FA4B">
      <w:pPr>
        <w:pStyle w:val="20"/>
        <w:spacing w:line="360" w:lineRule="auto"/>
        <w:ind w:left="25" w:leftChars="12"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6.投诉人为法人或者其他组织的，投诉书应由法定代表人、主要负责人，或者其授权代表签字或者盖章，并加盖公章。</w:t>
      </w:r>
      <w:bookmarkStart w:id="44" w:name="_Toc74323461"/>
    </w:p>
    <w:p w14:paraId="5B0EDBAB">
      <w:pPr>
        <w:pStyle w:val="52"/>
        <w:rPr>
          <w:rFonts w:hint="eastAsia" w:ascii="宋体" w:hAnsi="宋体" w:eastAsia="宋体" w:cs="宋体"/>
          <w:color w:val="auto"/>
        </w:rPr>
      </w:pPr>
    </w:p>
    <w:p w14:paraId="1D426E15">
      <w:pPr>
        <w:pStyle w:val="2"/>
        <w:tabs>
          <w:tab w:val="left" w:pos="432"/>
        </w:tabs>
        <w:spacing w:line="360" w:lineRule="auto"/>
        <w:ind w:left="0" w:firstLine="0"/>
        <w:jc w:val="center"/>
        <w:rPr>
          <w:rFonts w:hint="eastAsia" w:ascii="宋体" w:hAnsi="宋体" w:eastAsia="宋体" w:cs="宋体"/>
          <w:color w:val="auto"/>
        </w:rPr>
      </w:pPr>
    </w:p>
    <w:p w14:paraId="5663685C">
      <w:pPr>
        <w:pStyle w:val="2"/>
        <w:tabs>
          <w:tab w:val="left" w:pos="432"/>
        </w:tabs>
        <w:spacing w:line="360" w:lineRule="auto"/>
        <w:ind w:left="0" w:firstLine="0"/>
        <w:jc w:val="center"/>
        <w:rPr>
          <w:rFonts w:hint="eastAsia" w:ascii="宋体" w:hAnsi="宋体" w:eastAsia="宋体" w:cs="宋体"/>
          <w:color w:val="auto"/>
        </w:rPr>
      </w:pPr>
    </w:p>
    <w:p w14:paraId="5707D112">
      <w:pPr>
        <w:pStyle w:val="2"/>
        <w:tabs>
          <w:tab w:val="left" w:pos="432"/>
        </w:tabs>
        <w:spacing w:line="360" w:lineRule="auto"/>
        <w:ind w:left="0" w:firstLine="0"/>
        <w:jc w:val="center"/>
        <w:rPr>
          <w:rFonts w:hint="eastAsia" w:ascii="宋体" w:hAnsi="宋体" w:eastAsia="宋体" w:cs="宋体"/>
          <w:color w:val="auto"/>
        </w:rPr>
      </w:pPr>
    </w:p>
    <w:p w14:paraId="00A03D1E">
      <w:pPr>
        <w:pStyle w:val="2"/>
        <w:tabs>
          <w:tab w:val="left" w:pos="432"/>
        </w:tabs>
        <w:spacing w:line="360" w:lineRule="auto"/>
        <w:ind w:left="0" w:firstLine="0"/>
        <w:jc w:val="center"/>
        <w:rPr>
          <w:rFonts w:hint="eastAsia" w:ascii="宋体" w:hAnsi="宋体" w:eastAsia="宋体" w:cs="宋体"/>
          <w:color w:val="auto"/>
        </w:rPr>
      </w:pPr>
    </w:p>
    <w:p w14:paraId="676C5E63">
      <w:pPr>
        <w:pStyle w:val="2"/>
        <w:tabs>
          <w:tab w:val="left" w:pos="432"/>
        </w:tabs>
        <w:spacing w:line="360" w:lineRule="auto"/>
        <w:ind w:left="0" w:firstLine="0"/>
        <w:jc w:val="center"/>
        <w:rPr>
          <w:rFonts w:hint="eastAsia" w:ascii="宋体" w:hAnsi="宋体" w:eastAsia="宋体" w:cs="宋体"/>
          <w:color w:val="auto"/>
        </w:rPr>
      </w:pPr>
    </w:p>
    <w:p w14:paraId="7E2CBA74">
      <w:pPr>
        <w:pStyle w:val="2"/>
        <w:tabs>
          <w:tab w:val="left" w:pos="432"/>
        </w:tabs>
        <w:spacing w:line="360" w:lineRule="auto"/>
        <w:ind w:left="0" w:firstLine="0"/>
        <w:jc w:val="center"/>
        <w:rPr>
          <w:rFonts w:hint="eastAsia" w:ascii="宋体" w:hAnsi="宋体" w:eastAsia="宋体" w:cs="宋体"/>
          <w:color w:val="auto"/>
        </w:rPr>
      </w:pPr>
    </w:p>
    <w:p w14:paraId="7EA4F5F9">
      <w:pPr>
        <w:pStyle w:val="2"/>
        <w:tabs>
          <w:tab w:val="left" w:pos="432"/>
        </w:tabs>
        <w:spacing w:line="360" w:lineRule="auto"/>
        <w:ind w:left="0" w:firstLine="0"/>
        <w:jc w:val="center"/>
        <w:rPr>
          <w:rFonts w:hint="eastAsia" w:ascii="宋体" w:hAnsi="宋体" w:eastAsia="宋体" w:cs="宋体"/>
          <w:bCs/>
          <w:color w:val="auto"/>
          <w:kern w:val="44"/>
          <w:sz w:val="44"/>
          <w:szCs w:val="44"/>
          <w:lang w:eastAsia="zh-CN"/>
        </w:rPr>
      </w:pPr>
      <w:r>
        <w:rPr>
          <w:rFonts w:hint="eastAsia" w:ascii="宋体" w:hAnsi="宋体" w:eastAsia="宋体" w:cs="宋体"/>
          <w:color w:val="auto"/>
        </w:rPr>
        <w:t xml:space="preserve">第六章 </w:t>
      </w:r>
      <w:bookmarkEnd w:id="44"/>
      <w:r>
        <w:rPr>
          <w:rFonts w:hint="eastAsia" w:ascii="宋体" w:hAnsi="宋体" w:eastAsia="宋体" w:cs="宋体"/>
          <w:bCs/>
          <w:color w:val="auto"/>
          <w:kern w:val="44"/>
          <w:sz w:val="44"/>
          <w:szCs w:val="44"/>
        </w:rPr>
        <w:t>合同</w:t>
      </w:r>
      <w:r>
        <w:rPr>
          <w:rFonts w:hint="eastAsia" w:ascii="宋体" w:hAnsi="宋体" w:eastAsia="宋体" w:cs="宋体"/>
          <w:bCs/>
          <w:color w:val="auto"/>
          <w:kern w:val="44"/>
          <w:sz w:val="44"/>
          <w:szCs w:val="44"/>
          <w:lang w:eastAsia="zh-CN"/>
        </w:rPr>
        <w:t>文本</w:t>
      </w:r>
    </w:p>
    <w:p w14:paraId="49EF6631">
      <w:pPr>
        <w:jc w:val="center"/>
        <w:rPr>
          <w:rFonts w:hint="eastAsia" w:ascii="宋体" w:hAnsi="宋体" w:eastAsia="宋体" w:cs="宋体"/>
          <w:color w:val="auto"/>
        </w:rPr>
      </w:pPr>
      <w:bookmarkStart w:id="45" w:name="_Toc74156228"/>
    </w:p>
    <w:p w14:paraId="0F869E58">
      <w:pPr>
        <w:jc w:val="center"/>
        <w:rPr>
          <w:rFonts w:hint="eastAsia" w:ascii="宋体" w:hAnsi="宋体" w:eastAsia="宋体" w:cs="宋体"/>
          <w:color w:val="auto"/>
        </w:rPr>
      </w:pPr>
    </w:p>
    <w:bookmarkEnd w:id="45"/>
    <w:p w14:paraId="35ACF989">
      <w:pPr>
        <w:spacing w:before="4"/>
        <w:rPr>
          <w:rFonts w:hint="eastAsia" w:ascii="宋体" w:hAnsi="宋体" w:eastAsia="宋体" w:cs="宋体"/>
          <w:color w:val="auto"/>
          <w:sz w:val="6"/>
          <w:szCs w:val="6"/>
        </w:rPr>
      </w:pPr>
    </w:p>
    <w:p w14:paraId="7F327ED9">
      <w:pPr>
        <w:pStyle w:val="7"/>
        <w:rPr>
          <w:rFonts w:hint="eastAsia" w:ascii="宋体" w:hAnsi="宋体" w:eastAsia="宋体" w:cs="宋体"/>
          <w:color w:val="auto"/>
          <w:sz w:val="6"/>
          <w:szCs w:val="6"/>
        </w:rPr>
      </w:pPr>
    </w:p>
    <w:p w14:paraId="591E9B0F">
      <w:pPr>
        <w:pStyle w:val="7"/>
        <w:rPr>
          <w:rFonts w:hint="eastAsia" w:ascii="宋体" w:hAnsi="宋体" w:eastAsia="宋体" w:cs="宋体"/>
          <w:color w:val="auto"/>
          <w:sz w:val="6"/>
          <w:szCs w:val="6"/>
        </w:rPr>
      </w:pPr>
    </w:p>
    <w:p w14:paraId="237329F4">
      <w:pPr>
        <w:pStyle w:val="7"/>
        <w:rPr>
          <w:rFonts w:hint="eastAsia" w:ascii="宋体" w:hAnsi="宋体" w:eastAsia="宋体" w:cs="宋体"/>
          <w:color w:val="auto"/>
          <w:sz w:val="6"/>
          <w:szCs w:val="6"/>
        </w:rPr>
      </w:pPr>
    </w:p>
    <w:p w14:paraId="5EF88E30">
      <w:pPr>
        <w:pStyle w:val="7"/>
        <w:rPr>
          <w:rFonts w:hint="eastAsia" w:ascii="宋体" w:hAnsi="宋体" w:eastAsia="宋体" w:cs="宋体"/>
          <w:color w:val="auto"/>
          <w:sz w:val="6"/>
          <w:szCs w:val="6"/>
        </w:rPr>
      </w:pPr>
    </w:p>
    <w:p w14:paraId="545D97D3">
      <w:pPr>
        <w:pStyle w:val="7"/>
        <w:rPr>
          <w:rFonts w:hint="eastAsia" w:ascii="宋体" w:hAnsi="宋体" w:eastAsia="宋体" w:cs="宋体"/>
          <w:color w:val="auto"/>
          <w:sz w:val="6"/>
          <w:szCs w:val="6"/>
        </w:rPr>
      </w:pPr>
    </w:p>
    <w:p w14:paraId="5BA5DC96">
      <w:pPr>
        <w:pStyle w:val="7"/>
        <w:rPr>
          <w:rFonts w:hint="eastAsia" w:ascii="宋体" w:hAnsi="宋体" w:eastAsia="宋体" w:cs="宋体"/>
          <w:color w:val="auto"/>
          <w:sz w:val="6"/>
          <w:szCs w:val="6"/>
        </w:rPr>
      </w:pPr>
    </w:p>
    <w:p w14:paraId="6420DDBE">
      <w:pPr>
        <w:pStyle w:val="7"/>
        <w:rPr>
          <w:rFonts w:hint="eastAsia" w:ascii="宋体" w:hAnsi="宋体" w:eastAsia="宋体" w:cs="宋体"/>
          <w:color w:val="auto"/>
          <w:sz w:val="6"/>
          <w:szCs w:val="6"/>
        </w:rPr>
      </w:pPr>
    </w:p>
    <w:p w14:paraId="5EB0AD38">
      <w:pPr>
        <w:pStyle w:val="7"/>
        <w:rPr>
          <w:rFonts w:hint="eastAsia" w:ascii="宋体" w:hAnsi="宋体" w:cs="宋体"/>
          <w:color w:val="auto"/>
          <w:sz w:val="6"/>
          <w:szCs w:val="6"/>
        </w:rPr>
      </w:pPr>
    </w:p>
    <w:p w14:paraId="09084300">
      <w:pPr>
        <w:pStyle w:val="7"/>
        <w:rPr>
          <w:rFonts w:hint="eastAsia" w:ascii="宋体" w:hAnsi="宋体" w:cs="宋体"/>
          <w:color w:val="auto"/>
          <w:sz w:val="6"/>
          <w:szCs w:val="6"/>
        </w:rPr>
      </w:pPr>
    </w:p>
    <w:p w14:paraId="5EF1F546">
      <w:pPr>
        <w:pStyle w:val="7"/>
        <w:rPr>
          <w:rFonts w:hint="eastAsia" w:ascii="宋体" w:hAnsi="宋体" w:cs="宋体"/>
          <w:color w:val="auto"/>
          <w:sz w:val="6"/>
          <w:szCs w:val="6"/>
        </w:rPr>
      </w:pPr>
    </w:p>
    <w:p w14:paraId="1EAF1514">
      <w:pPr>
        <w:pStyle w:val="7"/>
        <w:rPr>
          <w:rFonts w:hint="eastAsia" w:ascii="宋体" w:hAnsi="宋体" w:cs="宋体"/>
          <w:color w:val="auto"/>
          <w:sz w:val="6"/>
          <w:szCs w:val="6"/>
        </w:rPr>
      </w:pPr>
    </w:p>
    <w:p w14:paraId="50E0A674">
      <w:pPr>
        <w:pStyle w:val="7"/>
        <w:rPr>
          <w:rFonts w:hint="eastAsia" w:ascii="宋体" w:hAnsi="宋体" w:cs="宋体"/>
          <w:color w:val="auto"/>
          <w:sz w:val="6"/>
          <w:szCs w:val="6"/>
        </w:rPr>
      </w:pPr>
    </w:p>
    <w:p w14:paraId="692055AA">
      <w:pPr>
        <w:pStyle w:val="7"/>
        <w:rPr>
          <w:rFonts w:hint="eastAsia" w:ascii="宋体" w:hAnsi="宋体" w:cs="宋体"/>
          <w:color w:val="auto"/>
          <w:sz w:val="6"/>
          <w:szCs w:val="6"/>
        </w:rPr>
      </w:pPr>
    </w:p>
    <w:p w14:paraId="414E4B32">
      <w:pPr>
        <w:pStyle w:val="7"/>
        <w:rPr>
          <w:rFonts w:hint="eastAsia" w:ascii="宋体" w:hAnsi="宋体" w:cs="宋体"/>
          <w:color w:val="auto"/>
          <w:sz w:val="6"/>
          <w:szCs w:val="6"/>
        </w:rPr>
      </w:pPr>
    </w:p>
    <w:p w14:paraId="224F474D">
      <w:pPr>
        <w:pStyle w:val="7"/>
        <w:rPr>
          <w:rFonts w:hint="eastAsia" w:ascii="宋体" w:hAnsi="宋体" w:cs="宋体"/>
          <w:color w:val="auto"/>
          <w:sz w:val="6"/>
          <w:szCs w:val="6"/>
        </w:rPr>
      </w:pPr>
    </w:p>
    <w:p w14:paraId="0B4D5C7B">
      <w:pPr>
        <w:pStyle w:val="7"/>
        <w:rPr>
          <w:rFonts w:hint="eastAsia" w:ascii="宋体" w:hAnsi="宋体" w:cs="宋体"/>
          <w:color w:val="auto"/>
          <w:sz w:val="6"/>
          <w:szCs w:val="6"/>
        </w:rPr>
      </w:pPr>
    </w:p>
    <w:p w14:paraId="2FA36EC1">
      <w:pPr>
        <w:pStyle w:val="7"/>
        <w:rPr>
          <w:rFonts w:hint="eastAsia" w:ascii="宋体" w:hAnsi="宋体" w:cs="宋体"/>
          <w:color w:val="auto"/>
          <w:sz w:val="6"/>
          <w:szCs w:val="6"/>
        </w:rPr>
      </w:pPr>
    </w:p>
    <w:p w14:paraId="67209F6E">
      <w:pPr>
        <w:jc w:val="center"/>
        <w:rPr>
          <w:rFonts w:hint="eastAsia"/>
          <w:b/>
          <w:color w:val="auto"/>
          <w:sz w:val="52"/>
          <w:szCs w:val="52"/>
        </w:rPr>
      </w:pPr>
      <w:bookmarkStart w:id="46" w:name="_Toc296890982"/>
      <w:bookmarkStart w:id="47" w:name="_Toc83895638"/>
      <w:bookmarkStart w:id="48" w:name="_Toc373227552"/>
      <w:bookmarkStart w:id="49" w:name="_Toc351203480"/>
      <w:bookmarkStart w:id="50" w:name="_Toc389065255"/>
      <w:bookmarkStart w:id="51" w:name="_Toc296503025"/>
      <w:bookmarkStart w:id="52" w:name="_Toc407135191"/>
      <w:bookmarkStart w:id="53" w:name="_Toc373478199"/>
      <w:bookmarkStart w:id="54" w:name="_Toc256000127"/>
      <w:bookmarkStart w:id="55" w:name="_Toc358569763"/>
    </w:p>
    <w:p w14:paraId="11885347">
      <w:pPr>
        <w:jc w:val="center"/>
        <w:rPr>
          <w:rFonts w:hint="eastAsia"/>
          <w:b/>
          <w:color w:val="auto"/>
          <w:sz w:val="52"/>
          <w:szCs w:val="52"/>
        </w:rPr>
      </w:pPr>
    </w:p>
    <w:p w14:paraId="28E76BEA">
      <w:pPr>
        <w:jc w:val="center"/>
        <w:rPr>
          <w:rFonts w:hint="eastAsia"/>
          <w:b/>
          <w:color w:val="auto"/>
          <w:sz w:val="52"/>
          <w:szCs w:val="52"/>
        </w:rPr>
      </w:pPr>
    </w:p>
    <w:p w14:paraId="7895B073">
      <w:pPr>
        <w:jc w:val="center"/>
        <w:rPr>
          <w:rFonts w:hint="eastAsia"/>
          <w:color w:val="auto"/>
          <w:sz w:val="40"/>
          <w:szCs w:val="40"/>
        </w:rPr>
      </w:pPr>
      <w:r>
        <w:rPr>
          <w:rFonts w:hint="eastAsia"/>
          <w:b/>
          <w:color w:val="auto"/>
          <w:sz w:val="52"/>
          <w:szCs w:val="52"/>
        </w:rPr>
        <w:t>建设工程施工合同</w:t>
      </w:r>
    </w:p>
    <w:p w14:paraId="429ED443">
      <w:pPr>
        <w:rPr>
          <w:rFonts w:hint="eastAsia"/>
          <w:color w:val="auto"/>
          <w:sz w:val="52"/>
          <w:szCs w:val="52"/>
        </w:rPr>
      </w:pPr>
    </w:p>
    <w:p w14:paraId="422692D9">
      <w:pPr>
        <w:rPr>
          <w:rFonts w:hint="eastAsia"/>
          <w:color w:val="auto"/>
          <w:sz w:val="52"/>
          <w:szCs w:val="52"/>
        </w:rPr>
      </w:pPr>
    </w:p>
    <w:p w14:paraId="49DE6BA6">
      <w:pPr>
        <w:ind w:firstLine="0" w:firstLineChars="0"/>
        <w:rPr>
          <w:rFonts w:hint="eastAsia"/>
          <w:b/>
          <w:color w:val="auto"/>
          <w:sz w:val="28"/>
          <w:szCs w:val="28"/>
        </w:rPr>
      </w:pPr>
    </w:p>
    <w:p w14:paraId="6A8FBCD6">
      <w:pPr>
        <w:ind w:firstLine="2935" w:firstLineChars="1044"/>
        <w:rPr>
          <w:rFonts w:hint="default" w:eastAsia="宋体"/>
          <w:b/>
          <w:color w:val="auto"/>
          <w:sz w:val="28"/>
          <w:szCs w:val="28"/>
          <w:lang w:val="en-US" w:eastAsia="zh-CN"/>
        </w:rPr>
      </w:pPr>
      <w:r>
        <w:rPr>
          <w:rFonts w:hint="eastAsia"/>
          <w:b/>
          <w:color w:val="auto"/>
          <w:sz w:val="28"/>
          <w:szCs w:val="28"/>
        </w:rPr>
        <w:t>合同编号：XMB-</w:t>
      </w:r>
      <w:r>
        <w:rPr>
          <w:rFonts w:hint="eastAsia"/>
          <w:b/>
          <w:color w:val="auto"/>
          <w:sz w:val="28"/>
          <w:szCs w:val="28"/>
          <w:lang w:val="en-US" w:eastAsia="zh-CN"/>
        </w:rPr>
        <w:t>2026</w:t>
      </w:r>
      <w:r>
        <w:rPr>
          <w:rFonts w:hint="eastAsia"/>
          <w:b/>
          <w:color w:val="auto"/>
          <w:sz w:val="28"/>
          <w:szCs w:val="28"/>
        </w:rPr>
        <w:t>-</w:t>
      </w:r>
      <w:r>
        <w:rPr>
          <w:rFonts w:hint="eastAsia" w:eastAsia="宋体"/>
          <w:b/>
          <w:color w:val="auto"/>
          <w:sz w:val="28"/>
          <w:szCs w:val="28"/>
          <w:lang w:val="en-US" w:eastAsia="zh-CN"/>
        </w:rPr>
        <w:t xml:space="preserve">    </w:t>
      </w:r>
    </w:p>
    <w:p w14:paraId="6C4A8C02">
      <w:pPr>
        <w:ind w:firstLine="2935" w:firstLineChars="1044"/>
        <w:rPr>
          <w:rFonts w:hint="eastAsia"/>
          <w:b/>
          <w:color w:val="auto"/>
          <w:sz w:val="28"/>
          <w:szCs w:val="28"/>
        </w:rPr>
      </w:pPr>
    </w:p>
    <w:p w14:paraId="0CAF62EA">
      <w:pPr>
        <w:ind w:firstLine="2935" w:firstLineChars="1044"/>
        <w:rPr>
          <w:rFonts w:hint="eastAsia"/>
          <w:b/>
          <w:color w:val="auto"/>
          <w:sz w:val="28"/>
          <w:szCs w:val="28"/>
        </w:rPr>
      </w:pPr>
    </w:p>
    <w:p w14:paraId="09DDE90C">
      <w:pPr>
        <w:ind w:firstLine="2935" w:firstLineChars="1044"/>
        <w:rPr>
          <w:rFonts w:hint="eastAsia"/>
          <w:b/>
          <w:color w:val="auto"/>
          <w:sz w:val="28"/>
          <w:szCs w:val="28"/>
        </w:rPr>
      </w:pPr>
    </w:p>
    <w:p w14:paraId="2EAB82DE">
      <w:pPr>
        <w:ind w:firstLine="2935" w:firstLineChars="1044"/>
        <w:rPr>
          <w:rFonts w:hint="eastAsia"/>
          <w:b/>
          <w:color w:val="auto"/>
          <w:sz w:val="28"/>
          <w:szCs w:val="28"/>
        </w:rPr>
      </w:pPr>
    </w:p>
    <w:p w14:paraId="0219F36A">
      <w:pPr>
        <w:rPr>
          <w:rFonts w:hint="eastAsia" w:eastAsia="宋体"/>
          <w:b/>
          <w:color w:val="auto"/>
          <w:sz w:val="28"/>
          <w:szCs w:val="28"/>
          <w:lang w:eastAsia="zh-CN"/>
        </w:rPr>
      </w:pPr>
      <w:r>
        <w:rPr>
          <w:rFonts w:hint="eastAsia"/>
          <w:b/>
          <w:color w:val="auto"/>
          <w:sz w:val="28"/>
          <w:szCs w:val="28"/>
        </w:rPr>
        <w:t>工程名称：</w:t>
      </w:r>
      <w:r>
        <w:rPr>
          <w:rFonts w:hint="eastAsia" w:eastAsia="宋体" w:cs="Arial"/>
          <w:b/>
          <w:color w:val="auto"/>
          <w:sz w:val="28"/>
          <w:szCs w:val="28"/>
          <w:u w:val="none"/>
          <w:lang w:eastAsia="zh-CN"/>
        </w:rPr>
        <w:t>xxxx工程</w:t>
      </w:r>
    </w:p>
    <w:p w14:paraId="04079EB6">
      <w:pPr>
        <w:ind w:firstLine="3354" w:firstLineChars="1044"/>
        <w:rPr>
          <w:rFonts w:hint="eastAsia"/>
          <w:b/>
          <w:color w:val="auto"/>
          <w:sz w:val="32"/>
          <w:szCs w:val="32"/>
        </w:rPr>
      </w:pPr>
    </w:p>
    <w:p w14:paraId="10919EEF">
      <w:pPr>
        <w:rPr>
          <w:rFonts w:hint="eastAsia"/>
          <w:color w:val="auto"/>
          <w:sz w:val="52"/>
          <w:szCs w:val="52"/>
        </w:rPr>
      </w:pPr>
    </w:p>
    <w:p w14:paraId="7FFCE186">
      <w:pPr>
        <w:rPr>
          <w:rFonts w:hint="eastAsia"/>
          <w:color w:val="auto"/>
          <w:sz w:val="52"/>
          <w:szCs w:val="52"/>
        </w:rPr>
      </w:pPr>
    </w:p>
    <w:p w14:paraId="4AE70264">
      <w:pPr>
        <w:rPr>
          <w:rFonts w:hint="eastAsia"/>
          <w:color w:val="auto"/>
          <w:sz w:val="52"/>
          <w:szCs w:val="52"/>
        </w:rPr>
      </w:pPr>
    </w:p>
    <w:p w14:paraId="19E86392">
      <w:pPr>
        <w:rPr>
          <w:rFonts w:hint="eastAsia"/>
          <w:color w:val="auto"/>
          <w:sz w:val="52"/>
          <w:szCs w:val="52"/>
        </w:rPr>
      </w:pPr>
    </w:p>
    <w:p w14:paraId="6DAB1A4F">
      <w:pPr>
        <w:rPr>
          <w:rFonts w:hint="eastAsia"/>
          <w:color w:val="auto"/>
          <w:sz w:val="52"/>
          <w:szCs w:val="52"/>
        </w:rPr>
      </w:pPr>
    </w:p>
    <w:p w14:paraId="5E56715E">
      <w:pPr>
        <w:spacing w:line="420" w:lineRule="exact"/>
        <w:ind w:firstLine="3300" w:firstLineChars="1100"/>
        <w:outlineLvl w:val="1"/>
        <w:rPr>
          <w:rFonts w:hint="eastAsia" w:ascii="宋体"/>
          <w:color w:val="auto"/>
          <w:sz w:val="30"/>
          <w:szCs w:val="30"/>
        </w:rPr>
      </w:pPr>
      <w:r>
        <w:rPr>
          <w:rFonts w:hint="eastAsia" w:ascii="宋体"/>
          <w:color w:val="auto"/>
          <w:sz w:val="30"/>
          <w:szCs w:val="30"/>
        </w:rPr>
        <w:t>住房和城乡建设部</w:t>
      </w:r>
    </w:p>
    <w:p w14:paraId="44F4B556">
      <w:pPr>
        <w:spacing w:line="420" w:lineRule="exact"/>
        <w:jc w:val="center"/>
        <w:outlineLvl w:val="1"/>
        <w:rPr>
          <w:rFonts w:hint="eastAsia" w:ascii="宋体" w:hAnsi="宋体"/>
          <w:color w:val="auto"/>
          <w:szCs w:val="21"/>
        </w:rPr>
      </w:pPr>
      <w:r>
        <w:rPr>
          <w:rFonts w:hint="eastAsia" w:ascii="宋体"/>
          <w:color w:val="auto"/>
          <w:sz w:val="30"/>
          <w:szCs w:val="30"/>
        </w:rPr>
        <w:t>国家工商行政管理总局    制定</w:t>
      </w:r>
    </w:p>
    <w:p w14:paraId="6B9CDE95">
      <w:pPr>
        <w:pStyle w:val="96"/>
        <w:spacing w:line="480" w:lineRule="exact"/>
        <w:ind w:left="0" w:right="159" w:firstLine="560" w:firstLineChars="200"/>
        <w:rPr>
          <w:rFonts w:hint="eastAsia" w:ascii="仿宋_GB2312" w:eastAsia="仿宋_GB2312"/>
          <w:color w:val="auto"/>
          <w:sz w:val="28"/>
          <w:szCs w:val="28"/>
        </w:rPr>
        <w:sectPr>
          <w:footerReference r:id="rId9" w:type="first"/>
          <w:headerReference r:id="rId7" w:type="default"/>
          <w:footerReference r:id="rId8" w:type="even"/>
          <w:pgSz w:w="11906" w:h="16838"/>
          <w:pgMar w:top="1417" w:right="1417" w:bottom="1417" w:left="1417" w:header="850" w:footer="850" w:gutter="0"/>
          <w:pgNumType w:fmt="decimal"/>
          <w:cols w:space="720" w:num="1"/>
          <w:rtlGutter w:val="0"/>
          <w:docGrid w:type="lines" w:linePitch="312" w:charSpace="0"/>
        </w:sectPr>
      </w:pPr>
    </w:p>
    <w:p w14:paraId="67C002EE">
      <w:pPr>
        <w:pStyle w:val="2"/>
        <w:jc w:val="center"/>
        <w:rPr>
          <w:color w:val="auto"/>
          <w:sz w:val="36"/>
          <w:szCs w:val="36"/>
        </w:rPr>
      </w:pPr>
      <w:r>
        <w:rPr>
          <w:rFonts w:hint="eastAsia" w:cs="黑体"/>
          <w:color w:val="auto"/>
          <w:sz w:val="36"/>
          <w:szCs w:val="36"/>
          <w:highlight w:val="white"/>
        </w:rPr>
        <w:t>第一部分</w:t>
      </w:r>
      <w:r>
        <w:rPr>
          <w:color w:val="auto"/>
          <w:sz w:val="36"/>
          <w:szCs w:val="36"/>
          <w:highlight w:val="white"/>
        </w:rPr>
        <w:t xml:space="preserve"> </w:t>
      </w:r>
      <w:r>
        <w:rPr>
          <w:rFonts w:hint="eastAsia" w:cs="黑体"/>
          <w:color w:val="auto"/>
          <w:sz w:val="36"/>
          <w:szCs w:val="36"/>
          <w:highlight w:val="white"/>
        </w:rPr>
        <w:t>合同协议书</w:t>
      </w:r>
      <w:bookmarkEnd w:id="46"/>
      <w:bookmarkEnd w:id="47"/>
      <w:bookmarkEnd w:id="48"/>
      <w:bookmarkEnd w:id="49"/>
      <w:bookmarkEnd w:id="50"/>
      <w:bookmarkEnd w:id="51"/>
      <w:bookmarkEnd w:id="52"/>
      <w:bookmarkEnd w:id="53"/>
      <w:bookmarkEnd w:id="54"/>
    </w:p>
    <w:p w14:paraId="26DFC821">
      <w:pPr>
        <w:autoSpaceDE/>
        <w:autoSpaceDN/>
        <w:spacing w:line="360" w:lineRule="auto"/>
        <w:rPr>
          <w:color w:val="auto"/>
          <w:highlight w:val="red"/>
        </w:rPr>
      </w:pPr>
      <w:bookmarkStart w:id="56" w:name="EBf5d8882b67eb450294403d6d9eac2034"/>
    </w:p>
    <w:p w14:paraId="77F567FB">
      <w:pPr>
        <w:pStyle w:val="75"/>
        <w:spacing w:line="360" w:lineRule="auto"/>
        <w:rPr>
          <w:rStyle w:val="32"/>
          <w:rFonts w:hint="eastAsia" w:ascii="Times New Roman" w:hAnsi="宋体" w:eastAsia="宋体" w:cs="宋体"/>
          <w:color w:val="auto"/>
          <w:sz w:val="22"/>
          <w:szCs w:val="22"/>
          <w:lang w:eastAsia="zh-CN"/>
        </w:rPr>
      </w:pPr>
      <w:r>
        <w:rPr>
          <w:rStyle w:val="32"/>
          <w:rFonts w:hint="eastAsia" w:ascii="Times New Roman" w:hAnsi="宋体" w:eastAsia="宋体" w:cs="宋体"/>
          <w:color w:val="auto"/>
          <w:sz w:val="22"/>
          <w:szCs w:val="22"/>
        </w:rPr>
        <w:t>发包人（全称）：</w:t>
      </w:r>
      <w:r>
        <w:rPr>
          <w:rStyle w:val="32"/>
          <w:rFonts w:hint="eastAsia" w:ascii="Times New Roman" w:hAnsi="宋体" w:eastAsia="宋体" w:cs="Times New Roman"/>
          <w:color w:val="auto"/>
          <w:sz w:val="22"/>
          <w:szCs w:val="22"/>
          <w:u w:val="single"/>
        </w:rPr>
        <w:t>博白县人民医院</w:t>
      </w:r>
      <w:r>
        <w:rPr>
          <w:rStyle w:val="32"/>
          <w:rFonts w:ascii="Times New Roman" w:hAnsi="宋体" w:eastAsia="宋体" w:cs="Times New Roman"/>
          <w:color w:val="auto"/>
          <w:sz w:val="22"/>
          <w:szCs w:val="22"/>
          <w:u w:val="single"/>
        </w:rPr>
        <w:t xml:space="preserve">       </w:t>
      </w:r>
      <w:r>
        <w:rPr>
          <w:rStyle w:val="32"/>
          <w:rFonts w:hint="eastAsia" w:ascii="Times New Roman" w:hAnsi="宋体" w:eastAsia="宋体" w:cs="宋体"/>
          <w:color w:val="auto"/>
          <w:sz w:val="22"/>
          <w:szCs w:val="22"/>
          <w:lang w:val="en-US" w:eastAsia="zh-CN"/>
        </w:rPr>
        <w:t>（简称甲方）</w:t>
      </w:r>
    </w:p>
    <w:p w14:paraId="6590A1B1">
      <w:pPr>
        <w:pStyle w:val="75"/>
        <w:spacing w:line="360" w:lineRule="auto"/>
        <w:rPr>
          <w:rStyle w:val="32"/>
          <w:rFonts w:ascii="Times New Roman" w:hAnsi="Times New Roman" w:eastAsia="宋体" w:cs="Times New Roman"/>
          <w:color w:val="auto"/>
          <w:sz w:val="22"/>
          <w:szCs w:val="22"/>
          <w:u w:val="single"/>
        </w:rPr>
      </w:pPr>
      <w:r>
        <w:rPr>
          <w:rStyle w:val="32"/>
          <w:rFonts w:hint="eastAsia" w:ascii="Times New Roman" w:hAnsi="宋体" w:eastAsia="宋体" w:cs="宋体"/>
          <w:color w:val="auto"/>
          <w:sz w:val="22"/>
          <w:szCs w:val="22"/>
        </w:rPr>
        <w:t>承包人（全称）：</w:t>
      </w:r>
      <w:r>
        <w:rPr>
          <w:rStyle w:val="32"/>
          <w:rFonts w:hint="eastAsia" w:ascii="Times New Roman" w:hAnsi="宋体" w:cs="Times New Roman"/>
          <w:color w:val="auto"/>
          <w:sz w:val="22"/>
          <w:szCs w:val="22"/>
          <w:u w:val="single"/>
          <w:lang w:eastAsia="zh-CN"/>
        </w:rPr>
        <w:t>xxxx公司</w:t>
      </w:r>
      <w:r>
        <w:rPr>
          <w:rStyle w:val="32"/>
          <w:rFonts w:hint="eastAsia" w:ascii="Times New Roman" w:hAnsi="宋体" w:cs="Times New Roman"/>
          <w:color w:val="auto"/>
          <w:sz w:val="22"/>
          <w:szCs w:val="22"/>
          <w:u w:val="single"/>
          <w:lang w:val="en-US" w:eastAsia="zh-CN"/>
        </w:rPr>
        <w:t xml:space="preserve">    </w:t>
      </w:r>
      <w:r>
        <w:rPr>
          <w:rStyle w:val="32"/>
          <w:rFonts w:ascii="Times New Roman" w:hAnsi="宋体" w:eastAsia="宋体" w:cs="Times New Roman"/>
          <w:color w:val="auto"/>
          <w:sz w:val="22"/>
          <w:szCs w:val="22"/>
          <w:u w:val="single"/>
        </w:rPr>
        <w:t xml:space="preserve">  </w:t>
      </w:r>
      <w:r>
        <w:rPr>
          <w:rStyle w:val="32"/>
          <w:rFonts w:hint="eastAsia" w:ascii="Times New Roman" w:hAnsi="宋体" w:eastAsia="宋体" w:cs="宋体"/>
          <w:color w:val="auto"/>
          <w:sz w:val="22"/>
          <w:szCs w:val="22"/>
          <w:lang w:val="en-US" w:eastAsia="zh-CN"/>
        </w:rPr>
        <w:t>（简称</w:t>
      </w:r>
      <w:r>
        <w:rPr>
          <w:rStyle w:val="32"/>
          <w:rFonts w:hint="eastAsia" w:ascii="Times New Roman" w:hAnsi="宋体" w:cs="宋体"/>
          <w:color w:val="auto"/>
          <w:sz w:val="22"/>
          <w:szCs w:val="22"/>
          <w:lang w:val="en-US" w:eastAsia="zh-CN"/>
        </w:rPr>
        <w:t>乙方</w:t>
      </w:r>
      <w:r>
        <w:rPr>
          <w:rStyle w:val="32"/>
          <w:rFonts w:hint="eastAsia" w:ascii="Times New Roman" w:hAnsi="宋体" w:eastAsia="宋体" w:cs="宋体"/>
          <w:color w:val="auto"/>
          <w:sz w:val="22"/>
          <w:szCs w:val="22"/>
          <w:lang w:val="en-US" w:eastAsia="zh-CN"/>
        </w:rPr>
        <w:t>）</w:t>
      </w:r>
    </w:p>
    <w:p w14:paraId="6AAF9701">
      <w:pPr>
        <w:pStyle w:val="75"/>
        <w:spacing w:line="360" w:lineRule="auto"/>
        <w:ind w:firstLine="440" w:firstLineChars="200"/>
        <w:rPr>
          <w:rStyle w:val="32"/>
          <w:rFonts w:ascii="Times New Roman" w:hAnsi="宋体" w:eastAsia="宋体" w:cs="Times New Roman"/>
          <w:color w:val="auto"/>
          <w:sz w:val="22"/>
          <w:szCs w:val="22"/>
        </w:rPr>
      </w:pPr>
      <w:r>
        <w:rPr>
          <w:rStyle w:val="32"/>
          <w:rFonts w:hint="eastAsia" w:ascii="Times New Roman" w:hAnsi="宋体" w:eastAsia="宋体" w:cs="宋体"/>
          <w:color w:val="auto"/>
          <w:sz w:val="22"/>
          <w:szCs w:val="22"/>
        </w:rPr>
        <w:t>根据《</w:t>
      </w:r>
      <w:r>
        <w:rPr>
          <w:rStyle w:val="32"/>
          <w:rFonts w:hint="eastAsia" w:ascii="Calibri" w:hAnsi="宋体" w:eastAsia="宋体" w:cs="宋体"/>
          <w:color w:val="auto"/>
          <w:sz w:val="22"/>
          <w:szCs w:val="24"/>
        </w:rPr>
        <w:t>中华人民共和国民法典</w:t>
      </w:r>
      <w:r>
        <w:rPr>
          <w:rStyle w:val="32"/>
          <w:rFonts w:hint="eastAsia" w:ascii="Times New Roman" w:hAnsi="宋体" w:eastAsia="宋体" w:cs="宋体"/>
          <w:color w:val="auto"/>
          <w:sz w:val="22"/>
          <w:szCs w:val="22"/>
        </w:rPr>
        <w:t>》、《中华人民共和国建筑法》及有关法律规定，遵循平等、自愿、公平和诚实信用的原则，双方就</w:t>
      </w:r>
      <w:r>
        <w:rPr>
          <w:rStyle w:val="32"/>
          <w:rFonts w:ascii="Times New Roman" w:hAnsi="Times New Roman" w:eastAsia="宋体" w:cs="Times New Roman"/>
          <w:color w:val="auto"/>
          <w:sz w:val="22"/>
          <w:szCs w:val="22"/>
          <w:u w:val="single"/>
        </w:rPr>
        <w:t xml:space="preserve">  </w:t>
      </w:r>
      <w:r>
        <w:rPr>
          <w:rStyle w:val="32"/>
          <w:rFonts w:hint="eastAsia" w:ascii="Times New Roman" w:hAnsi="Times New Roman" w:cs="Times New Roman"/>
          <w:color w:val="auto"/>
          <w:sz w:val="22"/>
          <w:szCs w:val="22"/>
          <w:u w:val="single"/>
          <w:lang w:eastAsia="zh-CN"/>
        </w:rPr>
        <w:t>xxxx工程</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工程施工及有关事项协商一致，共同达成如下协议：</w:t>
      </w:r>
      <w:bookmarkStart w:id="57" w:name="_Toc351203481"/>
    </w:p>
    <w:p w14:paraId="714038D0">
      <w:pPr>
        <w:pStyle w:val="75"/>
        <w:spacing w:line="360" w:lineRule="auto"/>
        <w:ind w:firstLine="442" w:firstLineChars="200"/>
        <w:outlineLvl w:val="0"/>
        <w:rPr>
          <w:rStyle w:val="32"/>
          <w:rFonts w:ascii="Times New Roman" w:hAnsi="Times New Roman" w:eastAsia="宋体" w:cs="Times New Roman"/>
          <w:b/>
          <w:bCs/>
          <w:color w:val="auto"/>
          <w:sz w:val="22"/>
          <w:szCs w:val="22"/>
        </w:rPr>
      </w:pPr>
      <w:r>
        <w:rPr>
          <w:rStyle w:val="32"/>
          <w:rFonts w:hint="eastAsia" w:ascii="Times New Roman" w:hAnsi="宋体" w:eastAsia="宋体" w:cs="宋体"/>
          <w:b/>
          <w:bCs/>
          <w:color w:val="auto"/>
          <w:sz w:val="22"/>
          <w:szCs w:val="22"/>
        </w:rPr>
        <w:t>一、工程概况</w:t>
      </w:r>
      <w:bookmarkEnd w:id="57"/>
    </w:p>
    <w:p w14:paraId="161607C3">
      <w:pPr>
        <w:pStyle w:val="75"/>
        <w:spacing w:line="360" w:lineRule="auto"/>
        <w:ind w:firstLine="431" w:firstLineChars="196"/>
        <w:rPr>
          <w:rStyle w:val="32"/>
          <w:rFonts w:ascii="Times New Roman" w:hAnsi="Times New Roman" w:eastAsia="宋体" w:cs="Times New Roman"/>
          <w:color w:val="auto"/>
          <w:sz w:val="22"/>
          <w:szCs w:val="22"/>
          <w:u w:val="single"/>
        </w:rPr>
      </w:pPr>
      <w:r>
        <w:rPr>
          <w:rStyle w:val="32"/>
          <w:rFonts w:ascii="Times New Roman" w:hAnsi="Times New Roman" w:eastAsia="宋体" w:cs="Times New Roman"/>
          <w:color w:val="auto"/>
          <w:sz w:val="22"/>
          <w:szCs w:val="22"/>
        </w:rPr>
        <w:t xml:space="preserve">1. </w:t>
      </w:r>
      <w:r>
        <w:rPr>
          <w:rStyle w:val="32"/>
          <w:rFonts w:hint="eastAsia" w:ascii="Times New Roman" w:hAnsi="宋体" w:eastAsia="宋体" w:cs="宋体"/>
          <w:color w:val="auto"/>
          <w:sz w:val="22"/>
          <w:szCs w:val="22"/>
        </w:rPr>
        <w:t>工程名称：</w:t>
      </w:r>
      <w:r>
        <w:rPr>
          <w:rStyle w:val="32"/>
          <w:rFonts w:hint="eastAsia" w:ascii="Times New Roman" w:hAnsi="Times New Roman" w:cs="Times New Roman"/>
          <w:color w:val="auto"/>
          <w:sz w:val="22"/>
          <w:szCs w:val="22"/>
          <w:u w:val="single"/>
          <w:lang w:eastAsia="zh-CN"/>
        </w:rPr>
        <w:t>xxxx工程</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w:t>
      </w:r>
    </w:p>
    <w:p w14:paraId="10BEB7CF">
      <w:pPr>
        <w:pStyle w:val="75"/>
        <w:spacing w:line="360" w:lineRule="auto"/>
        <w:ind w:firstLine="431" w:firstLineChars="196"/>
        <w:rPr>
          <w:rStyle w:val="32"/>
          <w:rFonts w:ascii="Times New Roman" w:hAnsi="Times New Roman" w:eastAsia="宋体" w:cs="Times New Roman"/>
          <w:color w:val="auto"/>
          <w:sz w:val="22"/>
          <w:szCs w:val="22"/>
        </w:rPr>
      </w:pPr>
      <w:r>
        <w:rPr>
          <w:rStyle w:val="32"/>
          <w:rFonts w:ascii="Times New Roman" w:hAnsi="Times New Roman" w:eastAsia="宋体" w:cs="Times New Roman"/>
          <w:color w:val="auto"/>
          <w:sz w:val="22"/>
          <w:szCs w:val="22"/>
        </w:rPr>
        <w:t xml:space="preserve">2. </w:t>
      </w:r>
      <w:r>
        <w:rPr>
          <w:rStyle w:val="32"/>
          <w:rFonts w:hint="eastAsia" w:ascii="Times New Roman" w:hAnsi="宋体" w:eastAsia="宋体" w:cs="宋体"/>
          <w:color w:val="auto"/>
          <w:sz w:val="22"/>
          <w:szCs w:val="22"/>
        </w:rPr>
        <w:t>工程地点：</w:t>
      </w:r>
      <w:r>
        <w:rPr>
          <w:rStyle w:val="32"/>
          <w:rFonts w:hint="eastAsia" w:ascii="Times New Roman" w:hAnsi="Times New Roman" w:cs="Times New Roman"/>
          <w:color w:val="auto"/>
          <w:sz w:val="22"/>
          <w:szCs w:val="22"/>
          <w:u w:val="single"/>
          <w:lang w:val="en-US" w:eastAsia="zh-CN"/>
        </w:rPr>
        <w:t>玉林市博白县</w:t>
      </w:r>
      <w:r>
        <w:rPr>
          <w:rStyle w:val="32"/>
          <w:rFonts w:hint="eastAsia" w:ascii="Times New Roman" w:hAnsi="Times New Roman" w:eastAsia="宋体" w:cs="Times New Roman"/>
          <w:color w:val="auto"/>
          <w:sz w:val="22"/>
          <w:szCs w:val="22"/>
          <w:u w:val="single"/>
        </w:rPr>
        <w:t xml:space="preserve"> </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w:t>
      </w:r>
    </w:p>
    <w:p w14:paraId="21662206">
      <w:pPr>
        <w:pStyle w:val="75"/>
        <w:spacing w:line="360" w:lineRule="auto"/>
        <w:ind w:firstLine="431" w:firstLineChars="196"/>
        <w:rPr>
          <w:rStyle w:val="32"/>
          <w:rFonts w:ascii="Times New Roman" w:hAnsi="Times New Roman" w:eastAsia="宋体" w:cs="Times New Roman"/>
          <w:color w:val="auto"/>
          <w:sz w:val="22"/>
          <w:szCs w:val="22"/>
        </w:rPr>
      </w:pPr>
      <w:r>
        <w:rPr>
          <w:rStyle w:val="32"/>
          <w:rFonts w:ascii="Times New Roman" w:hAnsi="Times New Roman" w:eastAsia="宋体" w:cs="Times New Roman"/>
          <w:color w:val="auto"/>
          <w:sz w:val="22"/>
          <w:szCs w:val="22"/>
        </w:rPr>
        <w:t xml:space="preserve">3. </w:t>
      </w:r>
      <w:r>
        <w:rPr>
          <w:rStyle w:val="32"/>
          <w:rFonts w:hint="eastAsia" w:ascii="Times New Roman" w:hAnsi="宋体" w:eastAsia="宋体" w:cs="宋体"/>
          <w:color w:val="auto"/>
          <w:sz w:val="22"/>
          <w:szCs w:val="22"/>
        </w:rPr>
        <w:t>工程立项批准文号：</w:t>
      </w:r>
      <w:r>
        <w:rPr>
          <w:rStyle w:val="32"/>
          <w:rFonts w:ascii="Times New Roman" w:hAnsi="Times New Roman" w:eastAsia="宋体" w:cs="Times New Roman"/>
          <w:color w:val="auto"/>
          <w:sz w:val="22"/>
          <w:szCs w:val="22"/>
          <w:u w:val="single"/>
        </w:rPr>
        <w:t xml:space="preserve">   </w:t>
      </w:r>
      <w:r>
        <w:rPr>
          <w:rStyle w:val="32"/>
          <w:rFonts w:hint="eastAsia" w:ascii="Times New Roman" w:hAnsi="Times New Roman" w:eastAsia="宋体" w:cs="Times New Roman"/>
          <w:color w:val="auto"/>
          <w:sz w:val="22"/>
          <w:szCs w:val="22"/>
          <w:u w:val="single"/>
        </w:rPr>
        <w:t xml:space="preserve">        </w:t>
      </w:r>
      <w:r>
        <w:rPr>
          <w:rStyle w:val="32"/>
          <w:rFonts w:hint="eastAsia" w:ascii="Times New Roman" w:hAnsi="Times New Roman" w:cs="Times New Roman"/>
          <w:color w:val="auto"/>
          <w:sz w:val="22"/>
          <w:szCs w:val="22"/>
          <w:u w:val="single"/>
          <w:lang w:val="en-US" w:eastAsia="zh-CN"/>
        </w:rPr>
        <w:t>/</w:t>
      </w:r>
      <w:r>
        <w:rPr>
          <w:rStyle w:val="32"/>
          <w:rFonts w:hint="eastAsia" w:ascii="Times New Roman" w:hAnsi="Times New Roman" w:eastAsia="宋体" w:cs="Times New Roman"/>
          <w:color w:val="auto"/>
          <w:sz w:val="22"/>
          <w:szCs w:val="22"/>
          <w:u w:val="single"/>
        </w:rPr>
        <w:t xml:space="preserve">     </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w:t>
      </w:r>
    </w:p>
    <w:p w14:paraId="1D587A64">
      <w:pPr>
        <w:pStyle w:val="75"/>
        <w:spacing w:line="360" w:lineRule="auto"/>
        <w:ind w:firstLine="431" w:firstLineChars="196"/>
        <w:rPr>
          <w:rStyle w:val="32"/>
          <w:rFonts w:ascii="Times New Roman" w:hAnsi="Times New Roman" w:eastAsia="宋体" w:cs="Times New Roman"/>
          <w:color w:val="auto"/>
          <w:sz w:val="22"/>
          <w:szCs w:val="22"/>
        </w:rPr>
      </w:pPr>
      <w:r>
        <w:rPr>
          <w:rStyle w:val="32"/>
          <w:rFonts w:ascii="Times New Roman" w:hAnsi="Times New Roman" w:eastAsia="宋体" w:cs="Times New Roman"/>
          <w:color w:val="auto"/>
          <w:sz w:val="22"/>
          <w:szCs w:val="22"/>
        </w:rPr>
        <w:t xml:space="preserve">4. </w:t>
      </w:r>
      <w:r>
        <w:rPr>
          <w:rStyle w:val="32"/>
          <w:rFonts w:hint="eastAsia" w:ascii="Times New Roman" w:hAnsi="宋体" w:eastAsia="宋体" w:cs="宋体"/>
          <w:color w:val="auto"/>
          <w:sz w:val="22"/>
          <w:szCs w:val="22"/>
        </w:rPr>
        <w:t>资金来源：</w:t>
      </w:r>
      <w:r>
        <w:rPr>
          <w:rStyle w:val="32"/>
          <w:rFonts w:ascii="Times New Roman" w:hAnsi="Times New Roman" w:eastAsia="宋体" w:cs="Times New Roman"/>
          <w:color w:val="auto"/>
          <w:sz w:val="22"/>
          <w:szCs w:val="22"/>
          <w:u w:val="single"/>
        </w:rPr>
        <w:t xml:space="preserve"> </w:t>
      </w:r>
      <w:r>
        <w:rPr>
          <w:rStyle w:val="32"/>
          <w:rFonts w:hint="eastAsia" w:ascii="Times New Roman" w:hAnsi="Times New Roman" w:eastAsia="宋体" w:cs="Times New Roman"/>
          <w:color w:val="auto"/>
          <w:sz w:val="22"/>
          <w:szCs w:val="22"/>
          <w:u w:val="single"/>
        </w:rPr>
        <w:t xml:space="preserve"> </w:t>
      </w:r>
      <w:r>
        <w:rPr>
          <w:rStyle w:val="32"/>
          <w:rFonts w:hint="eastAsia" w:ascii="Times New Roman" w:hAnsi="Times New Roman" w:eastAsia="宋体" w:cs="Times New Roman"/>
          <w:color w:val="auto"/>
          <w:sz w:val="22"/>
          <w:szCs w:val="22"/>
          <w:u w:val="single"/>
          <w:lang w:val="en-US" w:eastAsia="zh-CN"/>
        </w:rPr>
        <w:t>自有</w:t>
      </w:r>
      <w:r>
        <w:rPr>
          <w:rStyle w:val="32"/>
          <w:rFonts w:hint="eastAsia" w:ascii="Times New Roman" w:hAnsi="Times New Roman" w:eastAsia="宋体" w:cs="Times New Roman"/>
          <w:color w:val="auto"/>
          <w:sz w:val="22"/>
          <w:szCs w:val="22"/>
          <w:u w:val="single"/>
        </w:rPr>
        <w:t xml:space="preserve">资金   </w:t>
      </w:r>
      <w:r>
        <w:rPr>
          <w:rStyle w:val="32"/>
          <w:rFonts w:hint="eastAsia" w:ascii="Times New Roman" w:hAnsi="宋体" w:eastAsia="宋体" w:cs="宋体"/>
          <w:color w:val="auto"/>
          <w:sz w:val="22"/>
          <w:szCs w:val="22"/>
        </w:rPr>
        <w:t>。</w:t>
      </w:r>
    </w:p>
    <w:p w14:paraId="70380512">
      <w:pPr>
        <w:pStyle w:val="75"/>
        <w:spacing w:line="360" w:lineRule="auto"/>
        <w:ind w:firstLine="431" w:firstLineChars="196"/>
        <w:rPr>
          <w:rStyle w:val="32"/>
          <w:rFonts w:ascii="Times New Roman" w:hAnsi="Times New Roman" w:eastAsia="宋体" w:cs="Times New Roman"/>
          <w:color w:val="auto"/>
          <w:sz w:val="22"/>
          <w:szCs w:val="22"/>
        </w:rPr>
      </w:pPr>
      <w:r>
        <w:rPr>
          <w:rStyle w:val="32"/>
          <w:rFonts w:ascii="Times New Roman" w:hAnsi="Times New Roman" w:eastAsia="宋体" w:cs="Times New Roman"/>
          <w:color w:val="auto"/>
          <w:sz w:val="22"/>
          <w:szCs w:val="22"/>
        </w:rPr>
        <w:t xml:space="preserve">5. </w:t>
      </w:r>
      <w:r>
        <w:rPr>
          <w:rStyle w:val="32"/>
          <w:rFonts w:hint="eastAsia" w:ascii="Times New Roman" w:hAnsi="宋体" w:eastAsia="宋体" w:cs="宋体"/>
          <w:color w:val="auto"/>
          <w:sz w:val="22"/>
          <w:szCs w:val="22"/>
        </w:rPr>
        <w:t>工程内容：</w:t>
      </w:r>
      <w:r>
        <w:rPr>
          <w:rStyle w:val="32"/>
          <w:rFonts w:hint="eastAsia" w:ascii="Times New Roman" w:hAnsi="Times New Roman" w:cs="Times New Roman"/>
          <w:color w:val="auto"/>
          <w:sz w:val="22"/>
          <w:szCs w:val="22"/>
          <w:u w:val="single"/>
          <w:lang w:val="en-US" w:eastAsia="zh-CN"/>
        </w:rPr>
        <w:t xml:space="preserve">                  </w:t>
      </w:r>
      <w:r>
        <w:rPr>
          <w:rStyle w:val="32"/>
          <w:rFonts w:hint="eastAsia" w:ascii="Times New Roman" w:hAnsi="宋体" w:eastAsia="宋体" w:cs="宋体"/>
          <w:color w:val="auto"/>
          <w:sz w:val="22"/>
          <w:szCs w:val="22"/>
        </w:rPr>
        <w:t>。</w:t>
      </w:r>
    </w:p>
    <w:p w14:paraId="655DA941">
      <w:pPr>
        <w:pStyle w:val="75"/>
        <w:spacing w:line="360" w:lineRule="auto"/>
        <w:ind w:firstLine="431" w:firstLineChars="196"/>
        <w:rPr>
          <w:rStyle w:val="32"/>
          <w:rFonts w:ascii="Times New Roman" w:hAnsi="宋体" w:eastAsia="宋体" w:cs="Times New Roman"/>
          <w:color w:val="auto"/>
          <w:sz w:val="22"/>
          <w:szCs w:val="22"/>
        </w:rPr>
      </w:pPr>
      <w:r>
        <w:rPr>
          <w:rStyle w:val="32"/>
          <w:rFonts w:ascii="Times New Roman" w:hAnsi="Times New Roman" w:eastAsia="宋体" w:cs="Times New Roman"/>
          <w:color w:val="auto"/>
          <w:sz w:val="22"/>
          <w:szCs w:val="22"/>
        </w:rPr>
        <w:t xml:space="preserve">6. </w:t>
      </w:r>
      <w:r>
        <w:rPr>
          <w:rStyle w:val="32"/>
          <w:rFonts w:hint="eastAsia" w:ascii="Times New Roman" w:hAnsi="宋体" w:eastAsia="宋体" w:cs="宋体"/>
          <w:color w:val="auto"/>
          <w:sz w:val="22"/>
          <w:szCs w:val="22"/>
        </w:rPr>
        <w:t>工程承包范围：</w:t>
      </w:r>
      <w:r>
        <w:rPr>
          <w:rStyle w:val="32"/>
          <w:rFonts w:ascii="Times New Roman" w:hAnsi="Times New Roman" w:eastAsia="宋体" w:cs="Times New Roman"/>
          <w:color w:val="auto"/>
          <w:sz w:val="22"/>
          <w:szCs w:val="22"/>
          <w:u w:val="single"/>
        </w:rPr>
        <w:t>以施工图纸、工程量清单所包含的内容为准</w:t>
      </w:r>
      <w:r>
        <w:rPr>
          <w:rStyle w:val="32"/>
          <w:rFonts w:hint="eastAsia" w:ascii="Times New Roman" w:hAnsi="宋体" w:eastAsia="宋体" w:cs="宋体"/>
          <w:color w:val="auto"/>
          <w:sz w:val="22"/>
          <w:szCs w:val="22"/>
        </w:rPr>
        <w:t>。</w:t>
      </w:r>
    </w:p>
    <w:p w14:paraId="2F737113">
      <w:pPr>
        <w:pStyle w:val="75"/>
        <w:spacing w:line="360" w:lineRule="auto"/>
        <w:ind w:firstLine="426" w:firstLineChars="193"/>
        <w:outlineLvl w:val="0"/>
        <w:rPr>
          <w:rStyle w:val="32"/>
          <w:rFonts w:ascii="Times New Roman" w:hAnsi="Times New Roman" w:eastAsia="宋体" w:cs="Times New Roman"/>
          <w:b/>
          <w:bCs/>
          <w:color w:val="auto"/>
          <w:sz w:val="22"/>
          <w:szCs w:val="22"/>
        </w:rPr>
      </w:pPr>
      <w:bookmarkStart w:id="58" w:name="_Toc351203482"/>
      <w:r>
        <w:rPr>
          <w:rStyle w:val="32"/>
          <w:rFonts w:hint="eastAsia" w:ascii="Times New Roman" w:hAnsi="宋体" w:eastAsia="宋体" w:cs="宋体"/>
          <w:b/>
          <w:bCs/>
          <w:color w:val="auto"/>
          <w:sz w:val="22"/>
          <w:szCs w:val="22"/>
        </w:rPr>
        <w:t>二、合同工期</w:t>
      </w:r>
      <w:bookmarkEnd w:id="58"/>
    </w:p>
    <w:p w14:paraId="2664521D">
      <w:pPr>
        <w:pStyle w:val="75"/>
        <w:spacing w:line="360" w:lineRule="auto"/>
        <w:ind w:firstLine="459"/>
        <w:rPr>
          <w:rStyle w:val="32"/>
          <w:rFonts w:ascii="Times New Roman" w:hAnsi="宋体" w:eastAsia="宋体" w:cs="Times New Roman"/>
          <w:color w:val="auto"/>
          <w:sz w:val="22"/>
          <w:szCs w:val="22"/>
        </w:rPr>
      </w:pPr>
      <w:r>
        <w:rPr>
          <w:rStyle w:val="32"/>
          <w:rFonts w:hint="eastAsia" w:ascii="Times New Roman" w:hAnsi="宋体" w:eastAsia="宋体" w:cs="宋体"/>
          <w:color w:val="auto"/>
          <w:sz w:val="22"/>
          <w:szCs w:val="22"/>
        </w:rPr>
        <w:t>工期总日历天数：</w:t>
      </w:r>
      <w:r>
        <w:rPr>
          <w:rStyle w:val="32"/>
          <w:rFonts w:ascii="Times New Roman" w:hAnsi="宋体" w:eastAsia="宋体" w:cs="宋体"/>
          <w:color w:val="auto"/>
          <w:sz w:val="22"/>
          <w:szCs w:val="22"/>
        </w:rPr>
        <w:t>自合同签订日期起</w:t>
      </w:r>
      <w:r>
        <w:rPr>
          <w:rStyle w:val="32"/>
          <w:rFonts w:hint="eastAsia" w:ascii="Times New Roman" w:hAnsi="宋体" w:eastAsia="宋体" w:cs="宋体"/>
          <w:color w:val="auto"/>
          <w:sz w:val="22"/>
          <w:szCs w:val="22"/>
          <w:u w:val="single"/>
        </w:rPr>
        <w:t xml:space="preserve">   </w:t>
      </w:r>
      <w:r>
        <w:rPr>
          <w:rStyle w:val="32"/>
          <w:rFonts w:hint="eastAsia" w:ascii="Times New Roman" w:hAnsi="宋体" w:cs="宋体"/>
          <w:color w:val="auto"/>
          <w:sz w:val="22"/>
          <w:szCs w:val="22"/>
          <w:u w:val="single"/>
          <w:lang w:val="en-US" w:eastAsia="zh-CN"/>
        </w:rPr>
        <w:t xml:space="preserve">   </w:t>
      </w:r>
      <w:r>
        <w:rPr>
          <w:rStyle w:val="32"/>
          <w:rFonts w:hint="eastAsia" w:ascii="Times New Roman" w:hAnsi="宋体" w:eastAsia="宋体" w:cs="宋体"/>
          <w:color w:val="auto"/>
          <w:sz w:val="22"/>
          <w:szCs w:val="22"/>
          <w:u w:val="single"/>
        </w:rPr>
        <w:t xml:space="preserve">   </w:t>
      </w:r>
      <w:r>
        <w:rPr>
          <w:rStyle w:val="32"/>
          <w:rFonts w:hint="eastAsia" w:ascii="Times New Roman" w:hAnsi="宋体" w:eastAsia="宋体" w:cs="宋体"/>
          <w:color w:val="auto"/>
          <w:sz w:val="22"/>
          <w:szCs w:val="22"/>
        </w:rPr>
        <w:t>天</w:t>
      </w:r>
      <w:r>
        <w:rPr>
          <w:rStyle w:val="32"/>
          <w:rFonts w:hint="eastAsia" w:ascii="Times New Roman" w:hAnsi="宋体" w:cs="宋体"/>
          <w:color w:val="auto"/>
          <w:sz w:val="22"/>
          <w:szCs w:val="22"/>
          <w:lang w:val="en-US" w:eastAsia="zh-CN"/>
        </w:rPr>
        <w:t>内</w:t>
      </w:r>
      <w:r>
        <w:rPr>
          <w:rStyle w:val="32"/>
          <w:rFonts w:hint="eastAsia" w:ascii="Times New Roman" w:hAnsi="宋体" w:eastAsia="宋体" w:cs="宋体"/>
          <w:color w:val="auto"/>
          <w:sz w:val="22"/>
          <w:szCs w:val="22"/>
        </w:rPr>
        <w:t>。</w:t>
      </w:r>
    </w:p>
    <w:p w14:paraId="4D13D86B">
      <w:pPr>
        <w:pStyle w:val="75"/>
        <w:spacing w:line="360" w:lineRule="auto"/>
        <w:ind w:firstLine="459"/>
        <w:outlineLvl w:val="0"/>
        <w:rPr>
          <w:rStyle w:val="32"/>
          <w:rFonts w:ascii="Times New Roman" w:hAnsi="Times New Roman" w:eastAsia="宋体" w:cs="Times New Roman"/>
          <w:b/>
          <w:bCs/>
          <w:color w:val="auto"/>
          <w:sz w:val="22"/>
          <w:szCs w:val="22"/>
        </w:rPr>
      </w:pPr>
      <w:bookmarkStart w:id="59" w:name="_Toc351203483"/>
      <w:r>
        <w:rPr>
          <w:rStyle w:val="32"/>
          <w:rFonts w:hint="eastAsia" w:ascii="Times New Roman" w:hAnsi="宋体" w:eastAsia="宋体" w:cs="宋体"/>
          <w:b/>
          <w:bCs/>
          <w:color w:val="auto"/>
          <w:sz w:val="22"/>
          <w:szCs w:val="22"/>
        </w:rPr>
        <w:t>三、质量标准</w:t>
      </w:r>
      <w:bookmarkEnd w:id="59"/>
    </w:p>
    <w:p w14:paraId="11D64345">
      <w:pPr>
        <w:pStyle w:val="75"/>
        <w:spacing w:line="360" w:lineRule="auto"/>
        <w:ind w:firstLine="459"/>
        <w:rPr>
          <w:rStyle w:val="32"/>
          <w:rFonts w:ascii="Times New Roman" w:hAnsi="宋体" w:eastAsia="宋体" w:cs="Times New Roman"/>
          <w:color w:val="auto"/>
          <w:sz w:val="22"/>
          <w:szCs w:val="22"/>
        </w:rPr>
      </w:pPr>
      <w:r>
        <w:rPr>
          <w:rStyle w:val="32"/>
          <w:rFonts w:hint="eastAsia" w:ascii="Times New Roman" w:hAnsi="宋体" w:eastAsia="宋体" w:cs="宋体"/>
          <w:color w:val="auto"/>
          <w:sz w:val="22"/>
          <w:szCs w:val="22"/>
        </w:rPr>
        <w:t>工程质量符合</w:t>
      </w:r>
      <w:r>
        <w:rPr>
          <w:rStyle w:val="32"/>
          <w:rFonts w:hint="eastAsia" w:ascii="Times New Roman" w:hAnsi="Times New Roman" w:eastAsia="宋体" w:cs="Times New Roman"/>
          <w:color w:val="auto"/>
          <w:sz w:val="22"/>
          <w:szCs w:val="22"/>
          <w:u w:val="single"/>
        </w:rPr>
        <w:t>国家现行施工验收规范合格</w:t>
      </w:r>
      <w:r>
        <w:rPr>
          <w:rStyle w:val="32"/>
          <w:rFonts w:hint="eastAsia" w:ascii="Times New Roman" w:hAnsi="宋体" w:eastAsia="宋体" w:cs="宋体"/>
          <w:color w:val="auto"/>
          <w:sz w:val="22"/>
          <w:szCs w:val="22"/>
        </w:rPr>
        <w:t>标准。</w:t>
      </w:r>
    </w:p>
    <w:p w14:paraId="74AA8BD3">
      <w:pPr>
        <w:pStyle w:val="75"/>
        <w:spacing w:line="360" w:lineRule="auto"/>
        <w:ind w:firstLine="459"/>
        <w:outlineLvl w:val="0"/>
        <w:rPr>
          <w:rStyle w:val="32"/>
          <w:rFonts w:ascii="Times New Roman" w:hAnsi="宋体" w:eastAsia="宋体" w:cs="Times New Roman"/>
          <w:b/>
          <w:bCs/>
          <w:color w:val="auto"/>
          <w:sz w:val="22"/>
          <w:szCs w:val="22"/>
        </w:rPr>
      </w:pPr>
      <w:bookmarkStart w:id="60" w:name="_Toc351203484"/>
      <w:r>
        <w:rPr>
          <w:rStyle w:val="32"/>
          <w:rFonts w:hint="eastAsia" w:ascii="Times New Roman" w:hAnsi="宋体" w:eastAsia="宋体" w:cs="宋体"/>
          <w:b/>
          <w:bCs/>
          <w:color w:val="auto"/>
          <w:sz w:val="22"/>
          <w:szCs w:val="22"/>
        </w:rPr>
        <w:t>四、签约合同价与合同价格形式</w:t>
      </w:r>
      <w:bookmarkEnd w:id="60"/>
    </w:p>
    <w:p w14:paraId="1EF996F9">
      <w:pPr>
        <w:pStyle w:val="75"/>
        <w:spacing w:line="360" w:lineRule="auto"/>
        <w:ind w:firstLine="459"/>
        <w:rPr>
          <w:rStyle w:val="32"/>
          <w:rFonts w:ascii="Times New Roman" w:hAnsi="Times New Roman" w:eastAsia="宋体" w:cs="Times New Roman"/>
          <w:color w:val="auto"/>
          <w:sz w:val="22"/>
          <w:szCs w:val="22"/>
        </w:rPr>
      </w:pPr>
      <w:r>
        <w:rPr>
          <w:rStyle w:val="32"/>
          <w:rFonts w:ascii="Times New Roman" w:hAnsi="Times New Roman" w:eastAsia="宋体" w:cs="Times New Roman"/>
          <w:color w:val="auto"/>
          <w:sz w:val="22"/>
          <w:szCs w:val="22"/>
        </w:rPr>
        <w:t xml:space="preserve">1. </w:t>
      </w:r>
      <w:r>
        <w:rPr>
          <w:rStyle w:val="32"/>
          <w:rFonts w:hint="eastAsia" w:ascii="Times New Roman" w:hAnsi="宋体" w:eastAsia="宋体" w:cs="宋体"/>
          <w:color w:val="auto"/>
          <w:sz w:val="22"/>
          <w:szCs w:val="22"/>
        </w:rPr>
        <w:t>签约合同价为：</w:t>
      </w:r>
    </w:p>
    <w:p w14:paraId="23E08689">
      <w:pPr>
        <w:pStyle w:val="75"/>
        <w:spacing w:line="360" w:lineRule="auto"/>
        <w:ind w:firstLine="550" w:firstLineChars="250"/>
        <w:rPr>
          <w:rStyle w:val="32"/>
          <w:rFonts w:ascii="Times New Roman" w:hAnsi="宋体" w:eastAsia="宋体" w:cs="Times New Roman"/>
          <w:color w:val="auto"/>
          <w:sz w:val="22"/>
          <w:szCs w:val="22"/>
        </w:rPr>
      </w:pPr>
      <w:r>
        <w:rPr>
          <w:rStyle w:val="32"/>
          <w:rFonts w:hint="eastAsia" w:ascii="Times New Roman" w:hAnsi="宋体" w:eastAsia="宋体" w:cs="宋体"/>
          <w:color w:val="auto"/>
          <w:sz w:val="22"/>
          <w:szCs w:val="22"/>
        </w:rPr>
        <w:t>人民币（大写）</w:t>
      </w:r>
      <w:r>
        <w:rPr>
          <w:rStyle w:val="32"/>
          <w:rFonts w:hint="eastAsia" w:ascii="Times New Roman" w:hAnsi="Times New Roman" w:eastAsia="宋体" w:cs="Times New Roman"/>
          <w:color w:val="auto"/>
          <w:sz w:val="22"/>
          <w:szCs w:val="22"/>
          <w:u w:val="single"/>
        </w:rPr>
        <w:t xml:space="preserve"> </w:t>
      </w:r>
      <w:r>
        <w:rPr>
          <w:rStyle w:val="32"/>
          <w:rFonts w:hint="eastAsia" w:ascii="Times New Roman" w:hAnsi="Times New Roman" w:cs="Times New Roman"/>
          <w:color w:val="auto"/>
          <w:sz w:val="22"/>
          <w:szCs w:val="22"/>
          <w:u w:val="single"/>
          <w:lang w:val="en-US" w:eastAsia="zh-CN"/>
        </w:rPr>
        <w:t xml:space="preserve">                        </w:t>
      </w:r>
      <w:r>
        <w:rPr>
          <w:rStyle w:val="32"/>
          <w:rFonts w:hint="eastAsia" w:ascii="Times New Roman" w:hAnsi="Times New Roman" w:eastAsia="宋体" w:cs="Times New Roman"/>
          <w:color w:val="auto"/>
          <w:sz w:val="22"/>
          <w:szCs w:val="22"/>
          <w:u w:val="single"/>
        </w:rPr>
        <w:t xml:space="preserve"> </w:t>
      </w:r>
      <w:r>
        <w:rPr>
          <w:rStyle w:val="32"/>
          <w:rFonts w:hint="eastAsia" w:ascii="Times New Roman" w:hAnsi="Times New Roman" w:eastAsia="宋体" w:cs="宋体"/>
          <w:color w:val="auto"/>
          <w:sz w:val="22"/>
          <w:szCs w:val="22"/>
        </w:rPr>
        <w:t>（</w:t>
      </w:r>
      <w:r>
        <w:rPr>
          <w:rStyle w:val="32"/>
          <w:rFonts w:ascii="Times New Roman" w:hAnsi="Times New Roman" w:eastAsia="宋体" w:cs="Times New Roman"/>
          <w:color w:val="auto"/>
          <w:sz w:val="22"/>
          <w:szCs w:val="22"/>
        </w:rPr>
        <w:t>¥</w:t>
      </w:r>
      <w:r>
        <w:rPr>
          <w:rStyle w:val="32"/>
          <w:rFonts w:ascii="Times New Roman" w:hAnsi="Times New Roman" w:eastAsia="宋体" w:cs="Times New Roman"/>
          <w:color w:val="auto"/>
          <w:sz w:val="22"/>
          <w:szCs w:val="22"/>
          <w:u w:val="single"/>
        </w:rPr>
        <w:t xml:space="preserve"> </w:t>
      </w:r>
      <w:r>
        <w:rPr>
          <w:rStyle w:val="32"/>
          <w:rFonts w:hint="eastAsia" w:ascii="Times New Roman" w:hAnsi="Times New Roman" w:cs="Times New Roman"/>
          <w:color w:val="auto"/>
          <w:sz w:val="22"/>
          <w:szCs w:val="22"/>
          <w:u w:val="single"/>
          <w:lang w:val="en-US" w:eastAsia="zh-CN"/>
        </w:rPr>
        <w:t xml:space="preserve">             </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元</w:t>
      </w:r>
      <w:r>
        <w:rPr>
          <w:rStyle w:val="32"/>
          <w:rFonts w:hint="eastAsia" w:ascii="Times New Roman" w:hAnsi="Times New Roman" w:eastAsia="宋体" w:cs="宋体"/>
          <w:color w:val="auto"/>
          <w:sz w:val="22"/>
          <w:szCs w:val="22"/>
        </w:rPr>
        <w:t>）</w:t>
      </w:r>
      <w:r>
        <w:rPr>
          <w:rStyle w:val="32"/>
          <w:rFonts w:hint="eastAsia" w:ascii="Times New Roman" w:hAnsi="Times New Roman" w:cs="宋体"/>
          <w:color w:val="auto"/>
          <w:sz w:val="22"/>
          <w:szCs w:val="22"/>
          <w:lang w:val="en-US" w:eastAsia="zh-CN"/>
        </w:rPr>
        <w:t>含税</w:t>
      </w:r>
      <w:r>
        <w:rPr>
          <w:rStyle w:val="32"/>
          <w:rFonts w:hint="eastAsia" w:ascii="Times New Roman" w:hAnsi="宋体" w:eastAsia="宋体" w:cs="宋体"/>
          <w:color w:val="auto"/>
          <w:sz w:val="22"/>
          <w:szCs w:val="22"/>
        </w:rPr>
        <w:t>；</w:t>
      </w:r>
    </w:p>
    <w:p w14:paraId="4E933008">
      <w:pPr>
        <w:pStyle w:val="75"/>
        <w:spacing w:line="360" w:lineRule="auto"/>
        <w:ind w:firstLine="440" w:firstLineChars="200"/>
        <w:rPr>
          <w:rStyle w:val="32"/>
          <w:rFonts w:hint="eastAsia" w:ascii="Times New Roman" w:hAnsi="宋体" w:eastAsia="宋体" w:cs="Times New Roman"/>
          <w:color w:val="auto"/>
          <w:sz w:val="22"/>
          <w:szCs w:val="22"/>
        </w:rPr>
      </w:pPr>
      <w:r>
        <w:rPr>
          <w:rStyle w:val="32"/>
          <w:rFonts w:ascii="Times New Roman" w:hAnsi="Times New Roman" w:eastAsia="宋体" w:cs="Times New Roman"/>
          <w:color w:val="auto"/>
          <w:sz w:val="22"/>
          <w:szCs w:val="22"/>
        </w:rPr>
        <w:t xml:space="preserve">2. </w:t>
      </w:r>
      <w:r>
        <w:rPr>
          <w:rStyle w:val="32"/>
          <w:rFonts w:hint="eastAsia" w:ascii="Times New Roman" w:hAnsi="宋体" w:eastAsia="宋体" w:cs="宋体"/>
          <w:color w:val="auto"/>
          <w:sz w:val="22"/>
          <w:szCs w:val="22"/>
        </w:rPr>
        <w:t>合同价格形式：</w:t>
      </w:r>
      <w:r>
        <w:rPr>
          <w:rStyle w:val="32"/>
          <w:rFonts w:ascii="Times New Roman" w:hAnsi="Times New Roman" w:eastAsia="宋体" w:cs="Times New Roman"/>
          <w:color w:val="auto"/>
          <w:sz w:val="22"/>
          <w:szCs w:val="22"/>
          <w:u w:val="single"/>
        </w:rPr>
        <w:t xml:space="preserve">  </w:t>
      </w:r>
      <w:r>
        <w:rPr>
          <w:rStyle w:val="32"/>
          <w:rFonts w:hint="eastAsia" w:ascii="Times New Roman" w:hAnsi="Times New Roman" w:cs="Times New Roman"/>
          <w:color w:val="auto"/>
          <w:sz w:val="22"/>
          <w:szCs w:val="22"/>
          <w:u w:val="single"/>
          <w:lang w:val="en-US" w:eastAsia="zh-CN"/>
        </w:rPr>
        <w:t xml:space="preserve">固定综合单价  </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w:t>
      </w:r>
    </w:p>
    <w:p w14:paraId="4A515DBD">
      <w:pPr>
        <w:pStyle w:val="75"/>
        <w:spacing w:line="360" w:lineRule="auto"/>
        <w:ind w:firstLine="442" w:firstLineChars="200"/>
        <w:outlineLvl w:val="0"/>
        <w:rPr>
          <w:rStyle w:val="32"/>
          <w:rFonts w:ascii="Times New Roman" w:hAnsi="Times New Roman" w:eastAsia="宋体" w:cs="Times New Roman"/>
          <w:b/>
          <w:bCs/>
          <w:color w:val="auto"/>
          <w:sz w:val="22"/>
          <w:szCs w:val="22"/>
        </w:rPr>
      </w:pPr>
      <w:bookmarkStart w:id="61" w:name="_Toc351203485"/>
      <w:r>
        <w:rPr>
          <w:rStyle w:val="32"/>
          <w:rFonts w:hint="eastAsia" w:ascii="Times New Roman" w:hAnsi="宋体" w:eastAsia="宋体" w:cs="宋体"/>
          <w:b/>
          <w:bCs/>
          <w:color w:val="auto"/>
          <w:sz w:val="22"/>
          <w:szCs w:val="22"/>
        </w:rPr>
        <w:t>五、</w:t>
      </w:r>
      <w:bookmarkEnd w:id="61"/>
      <w:r>
        <w:rPr>
          <w:rStyle w:val="32"/>
          <w:rFonts w:hint="eastAsia" w:ascii="Times New Roman" w:hAnsi="宋体" w:eastAsia="宋体" w:cs="宋体"/>
          <w:b/>
          <w:bCs/>
          <w:color w:val="auto"/>
          <w:sz w:val="22"/>
          <w:szCs w:val="22"/>
        </w:rPr>
        <w:t>项目经理</w:t>
      </w:r>
    </w:p>
    <w:p w14:paraId="2BE5E3FD">
      <w:pPr>
        <w:pStyle w:val="75"/>
        <w:spacing w:line="360" w:lineRule="auto"/>
        <w:ind w:firstLine="440" w:firstLineChars="200"/>
        <w:rPr>
          <w:rStyle w:val="32"/>
          <w:rFonts w:ascii="Times New Roman" w:hAnsi="宋体" w:eastAsia="宋体" w:cs="Times New Roman"/>
          <w:color w:val="auto"/>
          <w:sz w:val="22"/>
          <w:szCs w:val="22"/>
        </w:rPr>
      </w:pPr>
      <w:r>
        <w:rPr>
          <w:rStyle w:val="32"/>
          <w:rFonts w:hint="eastAsia" w:ascii="Times New Roman" w:hAnsi="宋体" w:eastAsia="宋体" w:cs="宋体"/>
          <w:color w:val="auto"/>
          <w:sz w:val="22"/>
          <w:szCs w:val="22"/>
        </w:rPr>
        <w:t>承包人项目经理：</w:t>
      </w:r>
      <w:r>
        <w:rPr>
          <w:rStyle w:val="32"/>
          <w:rFonts w:ascii="Times New Roman" w:hAnsi="Times New Roman" w:eastAsia="宋体" w:cs="Times New Roman"/>
          <w:color w:val="auto"/>
          <w:sz w:val="22"/>
          <w:szCs w:val="22"/>
          <w:u w:val="single"/>
        </w:rPr>
        <w:t xml:space="preserve">   </w:t>
      </w:r>
      <w:r>
        <w:rPr>
          <w:rStyle w:val="32"/>
          <w:rFonts w:hint="eastAsia" w:ascii="Times New Roman" w:hAnsi="Times New Roman" w:cs="Times New Roman"/>
          <w:color w:val="auto"/>
          <w:sz w:val="22"/>
          <w:szCs w:val="22"/>
          <w:u w:val="single"/>
          <w:lang w:val="en-US" w:eastAsia="zh-CN"/>
        </w:rPr>
        <w:t xml:space="preserve">   </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w:t>
      </w:r>
    </w:p>
    <w:p w14:paraId="773187FB">
      <w:pPr>
        <w:pStyle w:val="75"/>
        <w:spacing w:line="360" w:lineRule="auto"/>
        <w:ind w:firstLine="442" w:firstLineChars="200"/>
        <w:outlineLvl w:val="0"/>
        <w:rPr>
          <w:rStyle w:val="32"/>
          <w:rFonts w:ascii="Times New Roman" w:hAnsi="Times New Roman" w:eastAsia="宋体" w:cs="Times New Roman"/>
          <w:b/>
          <w:bCs/>
          <w:color w:val="auto"/>
          <w:sz w:val="22"/>
          <w:szCs w:val="22"/>
        </w:rPr>
      </w:pPr>
      <w:bookmarkStart w:id="62" w:name="_Toc351203486"/>
      <w:r>
        <w:rPr>
          <w:rStyle w:val="32"/>
          <w:rFonts w:hint="eastAsia" w:ascii="Times New Roman" w:hAnsi="宋体" w:eastAsia="宋体" w:cs="宋体"/>
          <w:b/>
          <w:bCs/>
          <w:color w:val="auto"/>
          <w:sz w:val="22"/>
          <w:szCs w:val="22"/>
        </w:rPr>
        <w:t>六、合同文件构成</w:t>
      </w:r>
      <w:bookmarkEnd w:id="62"/>
    </w:p>
    <w:p w14:paraId="54174B6E">
      <w:pPr>
        <w:pStyle w:val="75"/>
        <w:spacing w:line="360" w:lineRule="auto"/>
        <w:ind w:firstLine="0" w:firstLineChars="0"/>
        <w:rPr>
          <w:rStyle w:val="32"/>
          <w:rFonts w:ascii="Times New Roman" w:hAnsi="Times New Roman" w:eastAsia="宋体" w:cs="Times New Roman"/>
          <w:color w:val="auto"/>
          <w:sz w:val="22"/>
          <w:szCs w:val="22"/>
        </w:rPr>
      </w:pPr>
      <w:r>
        <w:rPr>
          <w:rStyle w:val="32"/>
          <w:rFonts w:hint="eastAsia" w:ascii="Times New Roman" w:hAnsi="宋体" w:eastAsia="宋体" w:cs="宋体"/>
          <w:color w:val="auto"/>
          <w:sz w:val="22"/>
          <w:szCs w:val="22"/>
        </w:rPr>
        <w:t>本协议书与下列文件一起构成合同文件：（</w:t>
      </w:r>
      <w:r>
        <w:rPr>
          <w:rStyle w:val="32"/>
          <w:rFonts w:ascii="Times New Roman" w:hAnsi="Times New Roman" w:eastAsia="宋体" w:cs="Times New Roman"/>
          <w:color w:val="auto"/>
          <w:sz w:val="22"/>
          <w:szCs w:val="22"/>
        </w:rPr>
        <w:t>1</w:t>
      </w:r>
      <w:r>
        <w:rPr>
          <w:rStyle w:val="32"/>
          <w:rFonts w:hint="eastAsia" w:ascii="Times New Roman" w:hAnsi="宋体" w:eastAsia="宋体" w:cs="宋体"/>
          <w:color w:val="auto"/>
          <w:sz w:val="22"/>
          <w:szCs w:val="22"/>
        </w:rPr>
        <w:t>）中标通知书（如有）；（</w:t>
      </w:r>
      <w:r>
        <w:rPr>
          <w:rStyle w:val="32"/>
          <w:rFonts w:ascii="Times New Roman" w:hAnsi="Times New Roman" w:eastAsia="宋体" w:cs="Times New Roman"/>
          <w:color w:val="auto"/>
          <w:sz w:val="22"/>
          <w:szCs w:val="22"/>
        </w:rPr>
        <w:t>2</w:t>
      </w:r>
      <w:r>
        <w:rPr>
          <w:rStyle w:val="32"/>
          <w:rFonts w:hint="eastAsia" w:ascii="Times New Roman" w:hAnsi="宋体" w:eastAsia="宋体" w:cs="宋体"/>
          <w:color w:val="auto"/>
          <w:sz w:val="22"/>
          <w:szCs w:val="22"/>
        </w:rPr>
        <w:t>）投标函及其附录（如有）；（</w:t>
      </w:r>
      <w:r>
        <w:rPr>
          <w:rStyle w:val="32"/>
          <w:rFonts w:ascii="Times New Roman" w:hAnsi="Times New Roman" w:eastAsia="宋体" w:cs="Times New Roman"/>
          <w:color w:val="auto"/>
          <w:sz w:val="22"/>
          <w:szCs w:val="22"/>
        </w:rPr>
        <w:t>3</w:t>
      </w:r>
      <w:r>
        <w:rPr>
          <w:rStyle w:val="32"/>
          <w:rFonts w:hint="eastAsia" w:ascii="Times New Roman" w:hAnsi="宋体" w:eastAsia="宋体" w:cs="宋体"/>
          <w:color w:val="auto"/>
          <w:sz w:val="22"/>
          <w:szCs w:val="22"/>
        </w:rPr>
        <w:t>）专用合同条款及其附件；（</w:t>
      </w:r>
      <w:r>
        <w:rPr>
          <w:rStyle w:val="32"/>
          <w:rFonts w:ascii="Times New Roman" w:hAnsi="Times New Roman" w:eastAsia="宋体" w:cs="Times New Roman"/>
          <w:color w:val="auto"/>
          <w:sz w:val="22"/>
          <w:szCs w:val="22"/>
        </w:rPr>
        <w:t>4</w:t>
      </w:r>
      <w:r>
        <w:rPr>
          <w:rStyle w:val="32"/>
          <w:rFonts w:hint="eastAsia" w:ascii="Times New Roman" w:hAnsi="宋体" w:eastAsia="宋体" w:cs="宋体"/>
          <w:color w:val="auto"/>
          <w:sz w:val="22"/>
          <w:szCs w:val="22"/>
        </w:rPr>
        <w:t>）通用合同条款；（5）标准、规范及有关技术文件</w:t>
      </w:r>
      <w:r>
        <w:rPr>
          <w:rStyle w:val="32"/>
          <w:rFonts w:hint="eastAsia" w:ascii="Times New Roman" w:hAnsi="宋体" w:eastAsia="宋体" w:cs="宋体"/>
          <w:color w:val="auto"/>
          <w:sz w:val="22"/>
          <w:szCs w:val="22"/>
          <w:lang w:eastAsia="zh-CN"/>
        </w:rPr>
        <w:t>（</w:t>
      </w:r>
      <w:r>
        <w:rPr>
          <w:rStyle w:val="32"/>
          <w:rFonts w:hint="eastAsia" w:ascii="Times New Roman" w:hAnsi="宋体" w:eastAsia="宋体" w:cs="宋体"/>
          <w:color w:val="auto"/>
          <w:sz w:val="22"/>
          <w:szCs w:val="22"/>
          <w:lang w:val="en-US" w:eastAsia="zh-CN"/>
        </w:rPr>
        <w:t>如有</w:t>
      </w:r>
      <w:r>
        <w:rPr>
          <w:rStyle w:val="32"/>
          <w:rFonts w:hint="eastAsia" w:ascii="Times New Roman" w:hAnsi="宋体" w:eastAsia="宋体" w:cs="宋体"/>
          <w:color w:val="auto"/>
          <w:sz w:val="22"/>
          <w:szCs w:val="22"/>
          <w:lang w:eastAsia="zh-CN"/>
        </w:rPr>
        <w:t>）</w:t>
      </w:r>
      <w:r>
        <w:rPr>
          <w:rStyle w:val="32"/>
          <w:rFonts w:hint="eastAsia" w:ascii="Times New Roman" w:hAnsi="宋体" w:eastAsia="宋体" w:cs="宋体"/>
          <w:color w:val="auto"/>
          <w:sz w:val="22"/>
          <w:szCs w:val="22"/>
        </w:rPr>
        <w:t>；（6）图纸</w:t>
      </w:r>
      <w:r>
        <w:rPr>
          <w:rStyle w:val="32"/>
          <w:rFonts w:hint="eastAsia" w:ascii="Times New Roman" w:hAnsi="宋体" w:eastAsia="宋体" w:cs="宋体"/>
          <w:color w:val="auto"/>
          <w:sz w:val="22"/>
          <w:szCs w:val="22"/>
          <w:lang w:eastAsia="zh-CN"/>
        </w:rPr>
        <w:t>（</w:t>
      </w:r>
      <w:r>
        <w:rPr>
          <w:rStyle w:val="32"/>
          <w:rFonts w:hint="eastAsia" w:ascii="Times New Roman" w:hAnsi="宋体" w:eastAsia="宋体" w:cs="宋体"/>
          <w:color w:val="auto"/>
          <w:sz w:val="22"/>
          <w:szCs w:val="22"/>
          <w:lang w:val="en-US" w:eastAsia="zh-CN"/>
        </w:rPr>
        <w:t>如有</w:t>
      </w:r>
      <w:r>
        <w:rPr>
          <w:rStyle w:val="32"/>
          <w:rFonts w:hint="eastAsia" w:ascii="Times New Roman" w:hAnsi="宋体" w:eastAsia="宋体" w:cs="宋体"/>
          <w:color w:val="auto"/>
          <w:sz w:val="22"/>
          <w:szCs w:val="22"/>
          <w:lang w:eastAsia="zh-CN"/>
        </w:rPr>
        <w:t>）</w:t>
      </w:r>
      <w:r>
        <w:rPr>
          <w:rStyle w:val="32"/>
          <w:rFonts w:hint="eastAsia" w:ascii="Times New Roman" w:hAnsi="宋体" w:eastAsia="宋体" w:cs="宋体"/>
          <w:color w:val="auto"/>
          <w:sz w:val="22"/>
          <w:szCs w:val="22"/>
        </w:rPr>
        <w:t>；（7）已标价工程量清单；（</w:t>
      </w:r>
      <w:r>
        <w:rPr>
          <w:rStyle w:val="32"/>
          <w:rFonts w:ascii="Times New Roman" w:hAnsi="Times New Roman" w:eastAsia="宋体" w:cs="Times New Roman"/>
          <w:color w:val="auto"/>
          <w:sz w:val="22"/>
          <w:szCs w:val="22"/>
        </w:rPr>
        <w:t>8</w:t>
      </w:r>
      <w:r>
        <w:rPr>
          <w:rStyle w:val="32"/>
          <w:rFonts w:hint="eastAsia" w:ascii="Times New Roman" w:hAnsi="宋体" w:eastAsia="宋体" w:cs="宋体"/>
          <w:color w:val="auto"/>
          <w:sz w:val="22"/>
          <w:szCs w:val="22"/>
        </w:rPr>
        <w:t>）其他合同文件：</w:t>
      </w:r>
    </w:p>
    <w:p w14:paraId="331175F1">
      <w:pPr>
        <w:pStyle w:val="75"/>
        <w:autoSpaceDE/>
        <w:autoSpaceDN/>
        <w:adjustRightInd w:val="0"/>
        <w:spacing w:line="360" w:lineRule="auto"/>
        <w:ind w:firstLine="440" w:firstLineChars="200"/>
        <w:jc w:val="left"/>
        <w:rPr>
          <w:rStyle w:val="32"/>
          <w:rFonts w:ascii="Times New Roman" w:hAnsi="宋体" w:eastAsia="宋体" w:cs="Times New Roman"/>
          <w:color w:val="auto"/>
          <w:sz w:val="22"/>
          <w:szCs w:val="22"/>
        </w:rPr>
      </w:pPr>
      <w:r>
        <w:rPr>
          <w:rStyle w:val="32"/>
          <w:rFonts w:hint="eastAsia" w:ascii="Times New Roman" w:hAnsi="宋体" w:eastAsia="宋体" w:cs="宋体"/>
          <w:color w:val="auto"/>
          <w:sz w:val="22"/>
          <w:szCs w:val="22"/>
        </w:rPr>
        <w:t>上述各项合同文件包括合同当事人就该项合同文件所作出的补充和修改，属于同一类内容的文件，应以最新签署的为准（违反招标文件</w:t>
      </w:r>
      <w:r>
        <w:rPr>
          <w:rStyle w:val="32"/>
          <w:rFonts w:ascii="Times New Roman" w:hAnsi="宋体" w:eastAsia="宋体" w:cs="宋体"/>
          <w:color w:val="auto"/>
          <w:sz w:val="22"/>
          <w:szCs w:val="22"/>
        </w:rPr>
        <w:t>实质性内容的约定除外</w:t>
      </w:r>
      <w:r>
        <w:rPr>
          <w:rStyle w:val="32"/>
          <w:rFonts w:hint="eastAsia" w:ascii="Times New Roman" w:hAnsi="宋体" w:eastAsia="宋体" w:cs="宋体"/>
          <w:color w:val="auto"/>
          <w:sz w:val="22"/>
          <w:szCs w:val="22"/>
        </w:rPr>
        <w:t>）。专用合同条款及其附件须经合同当事人签字或盖章。</w:t>
      </w:r>
    </w:p>
    <w:p w14:paraId="1AE65946">
      <w:pPr>
        <w:pStyle w:val="75"/>
        <w:autoSpaceDE/>
        <w:autoSpaceDN/>
        <w:adjustRightInd w:val="0"/>
        <w:spacing w:line="360" w:lineRule="auto"/>
        <w:ind w:firstLine="442" w:firstLineChars="200"/>
        <w:jc w:val="left"/>
        <w:outlineLvl w:val="0"/>
        <w:rPr>
          <w:rStyle w:val="32"/>
          <w:rFonts w:ascii="Times New Roman" w:hAnsi="Times New Roman" w:eastAsia="宋体" w:cs="Times New Roman"/>
          <w:b/>
          <w:bCs/>
          <w:color w:val="auto"/>
          <w:sz w:val="22"/>
          <w:szCs w:val="22"/>
        </w:rPr>
      </w:pPr>
      <w:bookmarkStart w:id="63" w:name="_Toc351203487"/>
      <w:r>
        <w:rPr>
          <w:rStyle w:val="32"/>
          <w:rFonts w:hint="eastAsia" w:ascii="Times New Roman" w:hAnsi="宋体" w:eastAsia="宋体" w:cs="宋体"/>
          <w:b/>
          <w:bCs/>
          <w:color w:val="auto"/>
          <w:sz w:val="22"/>
          <w:szCs w:val="22"/>
        </w:rPr>
        <w:t>七、承诺</w:t>
      </w:r>
      <w:bookmarkEnd w:id="63"/>
    </w:p>
    <w:p w14:paraId="6E503FAC">
      <w:pPr>
        <w:pStyle w:val="75"/>
        <w:spacing w:line="360" w:lineRule="auto"/>
        <w:ind w:firstLine="440" w:firstLineChars="200"/>
        <w:rPr>
          <w:rStyle w:val="32"/>
          <w:rFonts w:ascii="Times New Roman" w:hAnsi="Times New Roman" w:eastAsia="宋体" w:cs="Times New Roman"/>
          <w:color w:val="auto"/>
          <w:sz w:val="22"/>
          <w:szCs w:val="22"/>
        </w:rPr>
      </w:pPr>
      <w:r>
        <w:rPr>
          <w:rStyle w:val="32"/>
          <w:rFonts w:ascii="Times New Roman" w:hAnsi="Times New Roman" w:eastAsia="宋体" w:cs="Times New Roman"/>
          <w:color w:val="auto"/>
          <w:sz w:val="22"/>
          <w:szCs w:val="22"/>
        </w:rPr>
        <w:t xml:space="preserve">1. </w:t>
      </w:r>
      <w:r>
        <w:rPr>
          <w:rStyle w:val="32"/>
          <w:rFonts w:hint="eastAsia" w:ascii="Times New Roman" w:hAnsi="宋体" w:eastAsia="宋体" w:cs="宋体"/>
          <w:color w:val="auto"/>
          <w:sz w:val="22"/>
          <w:szCs w:val="22"/>
        </w:rPr>
        <w:t>发包人承诺按照法律规定履行项目审批手续、筹集工程建设资金并按照合同约定的期限和方式支付合同价款。</w:t>
      </w:r>
    </w:p>
    <w:p w14:paraId="4E2EA1B6">
      <w:pPr>
        <w:pStyle w:val="75"/>
        <w:spacing w:line="360" w:lineRule="auto"/>
        <w:ind w:firstLine="440" w:firstLineChars="200"/>
        <w:rPr>
          <w:rStyle w:val="32"/>
          <w:rFonts w:ascii="Times New Roman" w:hAnsi="Times New Roman" w:eastAsia="宋体" w:cs="Times New Roman"/>
          <w:color w:val="auto"/>
          <w:sz w:val="22"/>
          <w:szCs w:val="22"/>
        </w:rPr>
      </w:pPr>
      <w:r>
        <w:rPr>
          <w:rStyle w:val="32"/>
          <w:rFonts w:ascii="Times New Roman" w:hAnsi="Times New Roman" w:eastAsia="宋体" w:cs="Times New Roman"/>
          <w:color w:val="auto"/>
          <w:sz w:val="22"/>
          <w:szCs w:val="22"/>
        </w:rPr>
        <w:t xml:space="preserve">2. </w:t>
      </w:r>
      <w:r>
        <w:rPr>
          <w:rStyle w:val="32"/>
          <w:rFonts w:hint="eastAsia" w:ascii="Times New Roman" w:hAnsi="宋体" w:eastAsia="宋体" w:cs="宋体"/>
          <w:color w:val="auto"/>
          <w:sz w:val="22"/>
          <w:szCs w:val="22"/>
        </w:rPr>
        <w:t>承包人承诺按照法律规定及合同约定组织完成工程施工，确保工程质量和安全，不进行转包及违法分包，并在缺陷责任期及保修期内承担相应的工程维修责任。</w:t>
      </w:r>
    </w:p>
    <w:p w14:paraId="04750378">
      <w:pPr>
        <w:pStyle w:val="75"/>
        <w:spacing w:line="360" w:lineRule="auto"/>
        <w:ind w:firstLine="440" w:firstLineChars="200"/>
        <w:rPr>
          <w:rStyle w:val="32"/>
          <w:rFonts w:ascii="Times New Roman" w:hAnsi="宋体" w:eastAsia="宋体" w:cs="Times New Roman"/>
          <w:color w:val="auto"/>
          <w:sz w:val="22"/>
          <w:szCs w:val="22"/>
        </w:rPr>
      </w:pPr>
      <w:r>
        <w:rPr>
          <w:rStyle w:val="32"/>
          <w:rFonts w:ascii="Times New Roman" w:hAnsi="Times New Roman" w:eastAsia="宋体" w:cs="Times New Roman"/>
          <w:color w:val="auto"/>
          <w:sz w:val="22"/>
          <w:szCs w:val="22"/>
        </w:rPr>
        <w:t xml:space="preserve">3. </w:t>
      </w:r>
      <w:r>
        <w:rPr>
          <w:rStyle w:val="32"/>
          <w:rFonts w:hint="eastAsia" w:ascii="Times New Roman" w:hAnsi="宋体" w:eastAsia="宋体" w:cs="宋体"/>
          <w:color w:val="auto"/>
          <w:sz w:val="22"/>
          <w:szCs w:val="22"/>
        </w:rPr>
        <w:t>发包人和承包人通过招投标形式签订合同的，双方理解并承诺不再就同一工程另行签订与合同实质性内容相背离的协议。</w:t>
      </w:r>
      <w:bookmarkStart w:id="64" w:name="_Toc351203488"/>
    </w:p>
    <w:p w14:paraId="69425F28">
      <w:pPr>
        <w:pStyle w:val="75"/>
        <w:spacing w:line="360" w:lineRule="auto"/>
        <w:ind w:firstLine="442" w:firstLineChars="200"/>
        <w:outlineLvl w:val="0"/>
        <w:rPr>
          <w:rStyle w:val="32"/>
          <w:rFonts w:ascii="Times New Roman" w:hAnsi="Times New Roman" w:eastAsia="宋体" w:cs="Times New Roman"/>
          <w:b/>
          <w:bCs/>
          <w:color w:val="auto"/>
          <w:sz w:val="22"/>
          <w:szCs w:val="22"/>
        </w:rPr>
      </w:pPr>
      <w:r>
        <w:rPr>
          <w:rStyle w:val="32"/>
          <w:rFonts w:hint="eastAsia" w:ascii="Times New Roman" w:hAnsi="宋体" w:eastAsia="宋体" w:cs="宋体"/>
          <w:b/>
          <w:bCs/>
          <w:color w:val="auto"/>
          <w:sz w:val="22"/>
          <w:szCs w:val="22"/>
        </w:rPr>
        <w:t>八、词语含义</w:t>
      </w:r>
    </w:p>
    <w:p w14:paraId="72D3E0B3">
      <w:pPr>
        <w:pStyle w:val="75"/>
        <w:spacing w:line="360" w:lineRule="auto"/>
        <w:ind w:firstLine="440" w:firstLineChars="200"/>
        <w:rPr>
          <w:rStyle w:val="32"/>
          <w:rFonts w:ascii="Times New Roman" w:hAnsi="宋体" w:eastAsia="宋体" w:cs="Times New Roman"/>
          <w:color w:val="auto"/>
          <w:sz w:val="22"/>
          <w:szCs w:val="22"/>
        </w:rPr>
      </w:pPr>
      <w:r>
        <w:rPr>
          <w:rStyle w:val="32"/>
          <w:rFonts w:hint="eastAsia" w:ascii="Times New Roman" w:hAnsi="宋体" w:eastAsia="宋体" w:cs="宋体"/>
          <w:color w:val="auto"/>
          <w:sz w:val="22"/>
          <w:szCs w:val="22"/>
        </w:rPr>
        <w:t>本协议书中词语含义与第二部分通用合同条款中赋予的含义相同。</w:t>
      </w:r>
    </w:p>
    <w:bookmarkEnd w:id="64"/>
    <w:p w14:paraId="352C39C0">
      <w:pPr>
        <w:pStyle w:val="75"/>
        <w:spacing w:line="360" w:lineRule="auto"/>
        <w:ind w:firstLine="442" w:firstLineChars="200"/>
        <w:outlineLvl w:val="0"/>
        <w:rPr>
          <w:rStyle w:val="32"/>
          <w:rFonts w:ascii="Times New Roman" w:hAnsi="Times New Roman" w:eastAsia="宋体" w:cs="Times New Roman"/>
          <w:b/>
          <w:bCs/>
          <w:color w:val="auto"/>
          <w:sz w:val="22"/>
          <w:szCs w:val="22"/>
        </w:rPr>
      </w:pPr>
      <w:bookmarkStart w:id="65" w:name="_Toc351203489"/>
      <w:r>
        <w:rPr>
          <w:rStyle w:val="32"/>
          <w:rFonts w:hint="eastAsia" w:ascii="Times New Roman" w:hAnsi="宋体" w:eastAsia="宋体" w:cs="宋体"/>
          <w:b/>
          <w:bCs/>
          <w:color w:val="auto"/>
          <w:sz w:val="22"/>
          <w:szCs w:val="22"/>
        </w:rPr>
        <w:t>九、签订地点</w:t>
      </w:r>
    </w:p>
    <w:p w14:paraId="727BEB13">
      <w:pPr>
        <w:pStyle w:val="75"/>
        <w:spacing w:line="360" w:lineRule="auto"/>
        <w:ind w:firstLine="440" w:firstLineChars="200"/>
        <w:rPr>
          <w:rStyle w:val="32"/>
          <w:rFonts w:ascii="Times New Roman" w:hAnsi="宋体" w:eastAsia="宋体" w:cs="Times New Roman"/>
          <w:color w:val="auto"/>
          <w:sz w:val="22"/>
          <w:szCs w:val="22"/>
        </w:rPr>
      </w:pPr>
      <w:r>
        <w:rPr>
          <w:rStyle w:val="32"/>
          <w:rFonts w:hint="eastAsia" w:ascii="Times New Roman" w:hAnsi="宋体" w:eastAsia="宋体" w:cs="宋体"/>
          <w:color w:val="auto"/>
          <w:sz w:val="22"/>
          <w:szCs w:val="22"/>
        </w:rPr>
        <w:t>本合同在</w:t>
      </w:r>
      <w:r>
        <w:rPr>
          <w:rStyle w:val="32"/>
          <w:rFonts w:ascii="Times New Roman" w:hAnsi="Times New Roman" w:eastAsia="宋体" w:cs="Times New Roman"/>
          <w:color w:val="auto"/>
          <w:sz w:val="22"/>
          <w:szCs w:val="22"/>
          <w:u w:val="single"/>
        </w:rPr>
        <w:t xml:space="preserve">  </w:t>
      </w:r>
      <w:r>
        <w:rPr>
          <w:rStyle w:val="32"/>
          <w:rFonts w:hint="eastAsia" w:ascii="Times New Roman" w:hAnsi="Times New Roman" w:cs="Times New Roman"/>
          <w:color w:val="auto"/>
          <w:sz w:val="22"/>
          <w:szCs w:val="22"/>
          <w:u w:val="single"/>
          <w:lang w:val="en-US" w:eastAsia="zh-CN"/>
        </w:rPr>
        <w:t>博白县人民医院</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签订。</w:t>
      </w:r>
    </w:p>
    <w:bookmarkEnd w:id="65"/>
    <w:p w14:paraId="4C73F617">
      <w:pPr>
        <w:pStyle w:val="75"/>
        <w:spacing w:line="360" w:lineRule="auto"/>
        <w:ind w:firstLine="442" w:firstLineChars="200"/>
        <w:outlineLvl w:val="0"/>
        <w:rPr>
          <w:rStyle w:val="32"/>
          <w:rFonts w:ascii="Times New Roman" w:hAnsi="Times New Roman" w:eastAsia="宋体" w:cs="Times New Roman"/>
          <w:b/>
          <w:bCs/>
          <w:color w:val="auto"/>
          <w:sz w:val="22"/>
          <w:szCs w:val="22"/>
        </w:rPr>
      </w:pPr>
      <w:bookmarkStart w:id="66" w:name="_Toc351203490"/>
      <w:r>
        <w:rPr>
          <w:rStyle w:val="32"/>
          <w:rFonts w:hint="eastAsia" w:ascii="Times New Roman" w:hAnsi="宋体" w:eastAsia="宋体" w:cs="宋体"/>
          <w:b/>
          <w:bCs/>
          <w:color w:val="auto"/>
          <w:sz w:val="22"/>
          <w:szCs w:val="22"/>
        </w:rPr>
        <w:t>十、补充协议</w:t>
      </w:r>
    </w:p>
    <w:p w14:paraId="0B1FB567">
      <w:pPr>
        <w:pStyle w:val="75"/>
        <w:spacing w:line="360" w:lineRule="auto"/>
        <w:ind w:firstLine="440" w:firstLineChars="200"/>
        <w:rPr>
          <w:rStyle w:val="32"/>
          <w:rFonts w:ascii="Times New Roman" w:hAnsi="宋体" w:eastAsia="宋体" w:cs="Times New Roman"/>
          <w:color w:val="auto"/>
          <w:sz w:val="22"/>
          <w:szCs w:val="22"/>
        </w:rPr>
      </w:pPr>
      <w:r>
        <w:rPr>
          <w:rStyle w:val="32"/>
          <w:rFonts w:hint="eastAsia" w:ascii="Times New Roman" w:hAnsi="宋体" w:eastAsia="宋体" w:cs="宋体"/>
          <w:color w:val="auto"/>
          <w:sz w:val="22"/>
          <w:szCs w:val="22"/>
        </w:rPr>
        <w:t>合同未尽事宜，合同当事人另行签订补充协议，补充协议是合同的组成部分。</w:t>
      </w:r>
    </w:p>
    <w:bookmarkEnd w:id="66"/>
    <w:p w14:paraId="019709B4">
      <w:pPr>
        <w:pStyle w:val="75"/>
        <w:spacing w:line="360" w:lineRule="auto"/>
        <w:ind w:firstLine="442" w:firstLineChars="200"/>
        <w:outlineLvl w:val="0"/>
        <w:rPr>
          <w:rStyle w:val="32"/>
          <w:rFonts w:ascii="Times New Roman" w:hAnsi="Times New Roman" w:eastAsia="宋体" w:cs="Times New Roman"/>
          <w:b/>
          <w:bCs/>
          <w:color w:val="auto"/>
          <w:sz w:val="22"/>
          <w:szCs w:val="22"/>
        </w:rPr>
      </w:pPr>
      <w:bookmarkStart w:id="67" w:name="_Toc351203491"/>
      <w:r>
        <w:rPr>
          <w:rStyle w:val="32"/>
          <w:rFonts w:hint="eastAsia" w:ascii="Times New Roman" w:hAnsi="宋体" w:eastAsia="宋体" w:cs="宋体"/>
          <w:b/>
          <w:bCs/>
          <w:color w:val="auto"/>
          <w:sz w:val="22"/>
          <w:szCs w:val="22"/>
        </w:rPr>
        <w:t>十一、合同生效</w:t>
      </w:r>
    </w:p>
    <w:p w14:paraId="7EBF3061">
      <w:pPr>
        <w:pStyle w:val="75"/>
        <w:ind w:firstLine="440" w:firstLineChars="200"/>
        <w:rPr>
          <w:rStyle w:val="32"/>
          <w:rFonts w:ascii="Times New Roman" w:hAnsi="宋体" w:eastAsia="宋体" w:cs="Times New Roman"/>
          <w:color w:val="auto"/>
          <w:sz w:val="22"/>
          <w:szCs w:val="22"/>
        </w:rPr>
      </w:pPr>
      <w:r>
        <w:rPr>
          <w:rStyle w:val="32"/>
          <w:rFonts w:hint="eastAsia" w:ascii="Times New Roman" w:hAnsi="宋体" w:eastAsia="宋体" w:cs="宋体"/>
          <w:color w:val="auto"/>
          <w:sz w:val="22"/>
          <w:szCs w:val="22"/>
        </w:rPr>
        <w:t>本合同自</w:t>
      </w:r>
      <w:r>
        <w:rPr>
          <w:rStyle w:val="32"/>
          <w:rFonts w:ascii="Times New Roman" w:hAnsi="Times New Roman" w:eastAsia="宋体" w:cs="Times New Roman"/>
          <w:color w:val="auto"/>
          <w:sz w:val="22"/>
          <w:szCs w:val="22"/>
          <w:u w:val="single"/>
        </w:rPr>
        <w:t xml:space="preserve">  </w:t>
      </w:r>
      <w:r>
        <w:rPr>
          <w:rStyle w:val="32"/>
          <w:rFonts w:ascii="Times New Roman" w:hAnsi="Times New Roman" w:eastAsia="宋体" w:cs="Times New Roman"/>
          <w:color w:val="auto"/>
          <w:sz w:val="22"/>
          <w:szCs w:val="22"/>
          <w:u w:val="single"/>
          <w:lang w:val="en-US" w:eastAsia="zh-CN"/>
        </w:rPr>
        <w:t>双方法人或委托代理人签字并加盖单位公章后</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生效。</w:t>
      </w:r>
    </w:p>
    <w:bookmarkEnd w:id="67"/>
    <w:p w14:paraId="58D35876">
      <w:pPr>
        <w:pStyle w:val="75"/>
        <w:spacing w:line="360" w:lineRule="auto"/>
        <w:ind w:firstLine="442" w:firstLineChars="200"/>
        <w:outlineLvl w:val="0"/>
        <w:rPr>
          <w:rStyle w:val="32"/>
          <w:rFonts w:ascii="Times New Roman" w:hAnsi="Times New Roman" w:eastAsia="宋体" w:cs="Times New Roman"/>
          <w:b/>
          <w:bCs/>
          <w:color w:val="auto"/>
          <w:sz w:val="22"/>
          <w:szCs w:val="22"/>
        </w:rPr>
      </w:pPr>
      <w:bookmarkStart w:id="68" w:name="_Toc351203492"/>
      <w:r>
        <w:rPr>
          <w:rStyle w:val="32"/>
          <w:rFonts w:hint="eastAsia" w:ascii="Times New Roman" w:hAnsi="宋体" w:eastAsia="宋体" w:cs="宋体"/>
          <w:b/>
          <w:bCs/>
          <w:color w:val="auto"/>
          <w:sz w:val="22"/>
          <w:szCs w:val="22"/>
        </w:rPr>
        <w:t>十二、合同份数</w:t>
      </w:r>
    </w:p>
    <w:p w14:paraId="083E487D">
      <w:pPr>
        <w:pStyle w:val="75"/>
        <w:spacing w:line="360" w:lineRule="auto"/>
        <w:ind w:firstLine="440" w:firstLineChars="200"/>
        <w:rPr>
          <w:rStyle w:val="32"/>
          <w:rFonts w:hint="eastAsia" w:ascii="Times New Roman" w:hAnsi="宋体" w:eastAsia="宋体" w:cs="宋体"/>
          <w:color w:val="auto"/>
          <w:sz w:val="22"/>
          <w:szCs w:val="22"/>
        </w:rPr>
      </w:pPr>
      <w:r>
        <w:rPr>
          <w:rStyle w:val="32"/>
          <w:rFonts w:hint="eastAsia" w:ascii="Times New Roman" w:hAnsi="宋体" w:eastAsia="宋体" w:cs="宋体"/>
          <w:color w:val="auto"/>
          <w:sz w:val="22"/>
          <w:szCs w:val="22"/>
        </w:rPr>
        <w:t>本合同一式</w:t>
      </w:r>
      <w:r>
        <w:rPr>
          <w:rStyle w:val="32"/>
          <w:rFonts w:ascii="Times New Roman" w:hAnsi="Times New Roman" w:eastAsia="宋体" w:cs="Times New Roman"/>
          <w:color w:val="auto"/>
          <w:sz w:val="22"/>
          <w:szCs w:val="22"/>
          <w:u w:val="single"/>
        </w:rPr>
        <w:t xml:space="preserve">  </w:t>
      </w:r>
      <w:r>
        <w:rPr>
          <w:rStyle w:val="32"/>
          <w:rFonts w:hint="eastAsia" w:ascii="Times New Roman" w:hAnsi="Times New Roman" w:cs="Times New Roman"/>
          <w:color w:val="auto"/>
          <w:sz w:val="22"/>
          <w:szCs w:val="22"/>
          <w:u w:val="single"/>
          <w:lang w:val="en-US" w:eastAsia="zh-CN"/>
        </w:rPr>
        <w:t>伍</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份，均具有同等法律效力，发包人执</w:t>
      </w:r>
      <w:r>
        <w:rPr>
          <w:rStyle w:val="32"/>
          <w:rFonts w:ascii="Times New Roman" w:hAnsi="Times New Roman" w:eastAsia="宋体" w:cs="Times New Roman"/>
          <w:color w:val="auto"/>
          <w:sz w:val="22"/>
          <w:szCs w:val="22"/>
          <w:u w:val="single"/>
        </w:rPr>
        <w:t xml:space="preserve">  </w:t>
      </w:r>
      <w:r>
        <w:rPr>
          <w:rStyle w:val="32"/>
          <w:rFonts w:hint="eastAsia" w:ascii="Times New Roman" w:hAnsi="Times New Roman" w:cs="Times New Roman"/>
          <w:color w:val="auto"/>
          <w:sz w:val="22"/>
          <w:szCs w:val="22"/>
          <w:u w:val="single"/>
          <w:lang w:val="en-US" w:eastAsia="zh-CN"/>
        </w:rPr>
        <w:t>叁</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份，承包人执</w:t>
      </w:r>
      <w:r>
        <w:rPr>
          <w:rStyle w:val="32"/>
          <w:rFonts w:ascii="Times New Roman" w:hAnsi="Times New Roman" w:eastAsia="宋体" w:cs="Times New Roman"/>
          <w:color w:val="auto"/>
          <w:sz w:val="22"/>
          <w:szCs w:val="22"/>
          <w:u w:val="single"/>
        </w:rPr>
        <w:t xml:space="preserve">  </w:t>
      </w:r>
      <w:r>
        <w:rPr>
          <w:rStyle w:val="32"/>
          <w:rFonts w:hint="eastAsia" w:ascii="Times New Roman" w:hAnsi="Times New Roman" w:cs="Times New Roman"/>
          <w:color w:val="auto"/>
          <w:sz w:val="22"/>
          <w:szCs w:val="22"/>
          <w:u w:val="single"/>
          <w:lang w:val="en-US" w:eastAsia="zh-CN"/>
        </w:rPr>
        <w:t xml:space="preserve">贰 </w:t>
      </w:r>
      <w:r>
        <w:rPr>
          <w:rStyle w:val="32"/>
          <w:rFonts w:ascii="Times New Roman" w:hAnsi="Times New Roman" w:eastAsia="宋体" w:cs="Times New Roman"/>
          <w:color w:val="auto"/>
          <w:sz w:val="22"/>
          <w:szCs w:val="22"/>
          <w:u w:val="single"/>
        </w:rPr>
        <w:t xml:space="preserve"> </w:t>
      </w:r>
      <w:r>
        <w:rPr>
          <w:rStyle w:val="32"/>
          <w:rFonts w:hint="eastAsia" w:ascii="Times New Roman" w:hAnsi="宋体" w:eastAsia="宋体" w:cs="宋体"/>
          <w:color w:val="auto"/>
          <w:sz w:val="22"/>
          <w:szCs w:val="22"/>
        </w:rPr>
        <w:t>份。</w:t>
      </w:r>
    </w:p>
    <w:bookmarkEnd w:id="68"/>
    <w:p w14:paraId="1DF5C5E7">
      <w:pPr>
        <w:pStyle w:val="75"/>
        <w:spacing w:line="360" w:lineRule="auto"/>
        <w:rPr>
          <w:rStyle w:val="32"/>
          <w:rFonts w:ascii="Times New Roman" w:hAnsi="Times New Roman" w:eastAsia="宋体" w:cs="Times New Roman"/>
          <w:color w:val="auto"/>
          <w:szCs w:val="21"/>
        </w:rPr>
      </w:pPr>
    </w:p>
    <w:tbl>
      <w:tblPr>
        <w:tblStyle w:val="31"/>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4"/>
        <w:gridCol w:w="4565"/>
      </w:tblGrid>
      <w:tr w14:paraId="399F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594" w:type="dxa"/>
            <w:noWrap w:val="0"/>
            <w:vAlign w:val="top"/>
          </w:tcPr>
          <w:p w14:paraId="5A362D92">
            <w:pPr>
              <w:pStyle w:val="75"/>
              <w:spacing w:line="360" w:lineRule="auto"/>
              <w:ind w:firstLine="0" w:firstLineChars="0"/>
              <w:jc w:val="both"/>
              <w:rPr>
                <w:rStyle w:val="32"/>
                <w:rFonts w:hint="eastAsia" w:ascii="Times New Roman" w:hAnsi="宋体" w:eastAsia="宋体" w:cs="宋体"/>
                <w:color w:val="auto"/>
                <w:sz w:val="24"/>
                <w:szCs w:val="24"/>
              </w:rPr>
            </w:pPr>
            <w:r>
              <w:rPr>
                <w:rStyle w:val="32"/>
                <w:rFonts w:hint="eastAsia" w:ascii="Times New Roman" w:hAnsi="宋体" w:eastAsia="宋体" w:cs="宋体"/>
                <w:color w:val="auto"/>
                <w:sz w:val="24"/>
                <w:szCs w:val="24"/>
                <w:lang w:val="en-US" w:eastAsia="zh-CN"/>
              </w:rPr>
              <w:t>甲方（公章）：博白县人民医院</w:t>
            </w:r>
          </w:p>
        </w:tc>
        <w:tc>
          <w:tcPr>
            <w:tcW w:w="4565" w:type="dxa"/>
            <w:noWrap w:val="0"/>
            <w:vAlign w:val="top"/>
          </w:tcPr>
          <w:p w14:paraId="6D495938">
            <w:pPr>
              <w:pStyle w:val="75"/>
              <w:spacing w:line="360" w:lineRule="auto"/>
              <w:ind w:left="0" w:leftChars="0" w:firstLine="0" w:firstLineChars="0"/>
              <w:jc w:val="both"/>
              <w:rPr>
                <w:rStyle w:val="32"/>
                <w:rFonts w:hint="eastAsia" w:ascii="Times New Roman" w:hAnsi="宋体" w:eastAsia="宋体" w:cs="宋体"/>
                <w:color w:val="auto"/>
                <w:sz w:val="24"/>
                <w:szCs w:val="24"/>
                <w:u w:val="none"/>
                <w:lang w:eastAsia="zh-CN"/>
              </w:rPr>
            </w:pPr>
            <w:r>
              <w:rPr>
                <w:rStyle w:val="32"/>
                <w:rFonts w:hint="eastAsia" w:ascii="Times New Roman" w:hAnsi="宋体" w:eastAsia="宋体" w:cs="宋体"/>
                <w:color w:val="auto"/>
                <w:sz w:val="24"/>
                <w:szCs w:val="24"/>
                <w:u w:val="none"/>
              </w:rPr>
              <w:t>乙方</w:t>
            </w:r>
            <w:r>
              <w:rPr>
                <w:rStyle w:val="32"/>
                <w:rFonts w:hint="eastAsia" w:ascii="Times New Roman" w:hAnsi="宋体" w:eastAsia="宋体" w:cs="宋体"/>
                <w:color w:val="auto"/>
                <w:sz w:val="24"/>
                <w:szCs w:val="24"/>
                <w:lang w:val="en-US" w:eastAsia="zh-CN"/>
              </w:rPr>
              <w:t>（公章）</w:t>
            </w:r>
            <w:r>
              <w:rPr>
                <w:rStyle w:val="32"/>
                <w:rFonts w:hint="eastAsia" w:ascii="Times New Roman" w:hAnsi="宋体" w:eastAsia="宋体" w:cs="宋体"/>
                <w:color w:val="auto"/>
                <w:sz w:val="24"/>
                <w:szCs w:val="24"/>
                <w:u w:val="none"/>
                <w:lang w:eastAsia="zh-CN"/>
              </w:rPr>
              <w:t>：</w:t>
            </w:r>
            <w:r>
              <w:rPr>
                <w:rStyle w:val="32"/>
                <w:rFonts w:hint="eastAsia" w:ascii="Times New Roman" w:hAnsi="宋体" w:cs="宋体"/>
                <w:color w:val="auto"/>
                <w:sz w:val="24"/>
                <w:szCs w:val="24"/>
                <w:u w:val="none"/>
                <w:lang w:eastAsia="zh-CN"/>
              </w:rPr>
              <w:t>xxxx公司</w:t>
            </w:r>
          </w:p>
        </w:tc>
      </w:tr>
      <w:tr w14:paraId="45DB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594" w:type="dxa"/>
            <w:noWrap w:val="0"/>
            <w:vAlign w:val="top"/>
          </w:tcPr>
          <w:p w14:paraId="04B9E3A5">
            <w:pPr>
              <w:pStyle w:val="75"/>
              <w:spacing w:line="360" w:lineRule="auto"/>
              <w:ind w:firstLine="0" w:firstLineChars="0"/>
              <w:jc w:val="both"/>
              <w:rPr>
                <w:rStyle w:val="32"/>
                <w:rFonts w:hint="eastAsia" w:ascii="Times New Roman" w:hAnsi="宋体" w:eastAsia="宋体" w:cs="宋体"/>
                <w:color w:val="auto"/>
                <w:sz w:val="24"/>
                <w:szCs w:val="24"/>
              </w:rPr>
            </w:pPr>
            <w:r>
              <w:rPr>
                <w:rStyle w:val="32"/>
                <w:rFonts w:hint="eastAsia" w:ascii="Times New Roman" w:hAnsi="宋体" w:eastAsia="宋体" w:cs="宋体"/>
                <w:color w:val="auto"/>
                <w:sz w:val="24"/>
                <w:szCs w:val="24"/>
                <w:lang w:val="en-US" w:eastAsia="zh-CN"/>
              </w:rPr>
              <w:t>地  址</w:t>
            </w:r>
            <w:r>
              <w:rPr>
                <w:rStyle w:val="32"/>
                <w:rFonts w:hint="eastAsia" w:ascii="Times New Roman" w:hAnsi="宋体" w:eastAsia="宋体" w:cs="宋体"/>
                <w:color w:val="auto"/>
                <w:sz w:val="24"/>
                <w:szCs w:val="24"/>
              </w:rPr>
              <w:t>：</w:t>
            </w:r>
            <w:r>
              <w:rPr>
                <w:rStyle w:val="32"/>
                <w:rFonts w:hint="eastAsia" w:ascii="Times New Roman" w:hAnsi="宋体" w:eastAsia="宋体" w:cs="宋体"/>
                <w:color w:val="auto"/>
                <w:sz w:val="24"/>
                <w:szCs w:val="24"/>
                <w:lang w:eastAsia="zh-CN"/>
              </w:rPr>
              <w:t>博白县博白镇兴隆东路</w:t>
            </w:r>
            <w:r>
              <w:rPr>
                <w:rStyle w:val="32"/>
                <w:rFonts w:hint="eastAsia" w:ascii="Times New Roman" w:hAnsi="宋体" w:eastAsia="宋体" w:cs="宋体"/>
                <w:color w:val="auto"/>
                <w:sz w:val="24"/>
                <w:szCs w:val="24"/>
                <w:lang w:val="en-US" w:eastAsia="zh-CN"/>
              </w:rPr>
              <w:t>9号</w:t>
            </w:r>
          </w:p>
        </w:tc>
        <w:tc>
          <w:tcPr>
            <w:tcW w:w="4565" w:type="dxa"/>
            <w:noWrap w:val="0"/>
            <w:vAlign w:val="top"/>
          </w:tcPr>
          <w:p w14:paraId="0A77F985">
            <w:pPr>
              <w:pStyle w:val="75"/>
              <w:spacing w:line="360" w:lineRule="auto"/>
              <w:ind w:left="0" w:leftChars="0" w:firstLine="0" w:firstLineChars="0"/>
              <w:jc w:val="both"/>
              <w:rPr>
                <w:rStyle w:val="32"/>
                <w:rFonts w:hint="eastAsia" w:ascii="Times New Roman" w:hAnsi="宋体" w:eastAsia="宋体" w:cs="宋体"/>
                <w:color w:val="auto"/>
                <w:sz w:val="24"/>
                <w:szCs w:val="24"/>
                <w:u w:val="none"/>
              </w:rPr>
            </w:pPr>
            <w:r>
              <w:rPr>
                <w:rStyle w:val="32"/>
                <w:rFonts w:hint="eastAsia" w:ascii="Times New Roman" w:hAnsi="宋体" w:eastAsia="宋体" w:cs="宋体"/>
                <w:color w:val="auto"/>
                <w:sz w:val="24"/>
                <w:szCs w:val="24"/>
                <w:u w:val="none"/>
              </w:rPr>
              <w:t>地址</w:t>
            </w:r>
            <w:r>
              <w:rPr>
                <w:rStyle w:val="32"/>
                <w:rFonts w:hint="eastAsia" w:ascii="Times New Roman" w:hAnsi="宋体" w:eastAsia="宋体" w:cs="宋体"/>
                <w:color w:val="auto"/>
                <w:sz w:val="24"/>
                <w:szCs w:val="24"/>
                <w:u w:val="none"/>
                <w:lang w:eastAsia="zh-CN"/>
              </w:rPr>
              <w:t>：</w:t>
            </w:r>
          </w:p>
        </w:tc>
      </w:tr>
      <w:tr w14:paraId="4611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594" w:type="dxa"/>
            <w:noWrap w:val="0"/>
            <w:vAlign w:val="top"/>
          </w:tcPr>
          <w:p w14:paraId="348303F1">
            <w:pPr>
              <w:pStyle w:val="75"/>
              <w:spacing w:line="360" w:lineRule="auto"/>
              <w:ind w:firstLine="0" w:firstLineChars="0"/>
              <w:jc w:val="both"/>
              <w:rPr>
                <w:rStyle w:val="32"/>
                <w:rFonts w:hint="eastAsia" w:ascii="Times New Roman" w:hAnsi="宋体" w:eastAsia="宋体" w:cs="宋体"/>
                <w:color w:val="auto"/>
                <w:sz w:val="24"/>
                <w:szCs w:val="24"/>
                <w:lang w:eastAsia="zh-CN"/>
              </w:rPr>
            </w:pPr>
            <w:r>
              <w:rPr>
                <w:rStyle w:val="32"/>
                <w:rFonts w:hint="eastAsia" w:ascii="Times New Roman" w:hAnsi="宋体" w:eastAsia="宋体" w:cs="宋体"/>
                <w:color w:val="auto"/>
                <w:sz w:val="24"/>
                <w:szCs w:val="24"/>
                <w:lang w:val="en-US" w:eastAsia="zh-CN"/>
              </w:rPr>
              <w:t>法定</w:t>
            </w:r>
            <w:r>
              <w:rPr>
                <w:rStyle w:val="32"/>
                <w:rFonts w:hint="eastAsia" w:ascii="Times New Roman" w:hAnsi="宋体" w:eastAsia="宋体" w:cs="宋体"/>
                <w:color w:val="auto"/>
                <w:sz w:val="24"/>
                <w:szCs w:val="24"/>
              </w:rPr>
              <w:t>代表人（签</w:t>
            </w:r>
            <w:r>
              <w:rPr>
                <w:rStyle w:val="32"/>
                <w:rFonts w:hint="eastAsia" w:ascii="Times New Roman" w:hAnsi="宋体" w:eastAsia="宋体" w:cs="宋体"/>
                <w:color w:val="auto"/>
                <w:sz w:val="24"/>
                <w:szCs w:val="24"/>
                <w:lang w:val="en-US" w:eastAsia="zh-CN"/>
              </w:rPr>
              <w:t>字</w:t>
            </w:r>
            <w:r>
              <w:rPr>
                <w:rStyle w:val="32"/>
                <w:rFonts w:hint="eastAsia" w:ascii="Times New Roman" w:hAnsi="宋体" w:eastAsia="宋体" w:cs="宋体"/>
                <w:color w:val="auto"/>
                <w:sz w:val="24"/>
                <w:szCs w:val="24"/>
              </w:rPr>
              <w:t>）</w:t>
            </w:r>
            <w:r>
              <w:rPr>
                <w:rStyle w:val="32"/>
                <w:rFonts w:hint="eastAsia" w:ascii="Times New Roman" w:hAnsi="宋体" w:eastAsia="宋体" w:cs="宋体"/>
                <w:color w:val="auto"/>
                <w:sz w:val="24"/>
                <w:szCs w:val="24"/>
                <w:lang w:eastAsia="zh-CN"/>
              </w:rPr>
              <w:t>：</w:t>
            </w:r>
          </w:p>
        </w:tc>
        <w:tc>
          <w:tcPr>
            <w:tcW w:w="4565" w:type="dxa"/>
            <w:noWrap w:val="0"/>
            <w:vAlign w:val="top"/>
          </w:tcPr>
          <w:p w14:paraId="2DAF3B99">
            <w:pPr>
              <w:pStyle w:val="75"/>
              <w:spacing w:line="360" w:lineRule="auto"/>
              <w:ind w:left="0" w:leftChars="0" w:firstLine="0" w:firstLineChars="0"/>
              <w:jc w:val="both"/>
              <w:rPr>
                <w:rStyle w:val="32"/>
                <w:rFonts w:hint="eastAsia" w:ascii="Times New Roman" w:hAnsi="宋体" w:eastAsia="宋体" w:cs="宋体"/>
                <w:color w:val="auto"/>
                <w:sz w:val="24"/>
                <w:szCs w:val="24"/>
                <w:u w:val="none"/>
                <w:lang w:eastAsia="zh-CN"/>
              </w:rPr>
            </w:pPr>
            <w:r>
              <w:rPr>
                <w:rStyle w:val="32"/>
                <w:rFonts w:hint="eastAsia" w:ascii="Times New Roman" w:hAnsi="宋体" w:eastAsia="宋体" w:cs="宋体"/>
                <w:color w:val="auto"/>
                <w:sz w:val="24"/>
                <w:szCs w:val="24"/>
                <w:u w:val="none"/>
              </w:rPr>
              <w:t>法定代表人</w:t>
            </w:r>
            <w:r>
              <w:rPr>
                <w:rStyle w:val="32"/>
                <w:rFonts w:hint="eastAsia" w:ascii="Times New Roman" w:hAnsi="宋体" w:eastAsia="宋体" w:cs="宋体"/>
                <w:color w:val="auto"/>
                <w:sz w:val="24"/>
                <w:szCs w:val="24"/>
              </w:rPr>
              <w:t>（签</w:t>
            </w:r>
            <w:r>
              <w:rPr>
                <w:rStyle w:val="32"/>
                <w:rFonts w:hint="eastAsia" w:ascii="Times New Roman" w:hAnsi="宋体" w:eastAsia="宋体" w:cs="宋体"/>
                <w:color w:val="auto"/>
                <w:sz w:val="24"/>
                <w:szCs w:val="24"/>
                <w:lang w:val="en-US" w:eastAsia="zh-CN"/>
              </w:rPr>
              <w:t>字</w:t>
            </w:r>
            <w:r>
              <w:rPr>
                <w:rStyle w:val="32"/>
                <w:rFonts w:hint="eastAsia" w:ascii="Times New Roman" w:hAnsi="宋体" w:eastAsia="宋体" w:cs="宋体"/>
                <w:color w:val="auto"/>
                <w:sz w:val="24"/>
                <w:szCs w:val="24"/>
              </w:rPr>
              <w:t>）</w:t>
            </w:r>
            <w:r>
              <w:rPr>
                <w:rStyle w:val="32"/>
                <w:rFonts w:hint="eastAsia" w:ascii="Times New Roman" w:hAnsi="宋体" w:eastAsia="宋体" w:cs="宋体"/>
                <w:color w:val="auto"/>
                <w:sz w:val="24"/>
                <w:szCs w:val="24"/>
                <w:u w:val="none"/>
                <w:lang w:eastAsia="zh-CN"/>
              </w:rPr>
              <w:t>：</w:t>
            </w:r>
          </w:p>
        </w:tc>
      </w:tr>
      <w:tr w14:paraId="498C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594" w:type="dxa"/>
            <w:noWrap w:val="0"/>
            <w:vAlign w:val="top"/>
          </w:tcPr>
          <w:p w14:paraId="6DBE8D52">
            <w:pPr>
              <w:pStyle w:val="75"/>
              <w:spacing w:line="360" w:lineRule="auto"/>
              <w:ind w:firstLine="0" w:firstLineChars="0"/>
              <w:jc w:val="both"/>
              <w:rPr>
                <w:rStyle w:val="32"/>
                <w:rFonts w:hint="eastAsia" w:ascii="Times New Roman" w:hAnsi="宋体" w:eastAsia="宋体" w:cs="宋体"/>
                <w:color w:val="auto"/>
                <w:sz w:val="24"/>
                <w:szCs w:val="24"/>
              </w:rPr>
            </w:pPr>
            <w:r>
              <w:rPr>
                <w:rStyle w:val="32"/>
                <w:rFonts w:hint="eastAsia" w:ascii="Times New Roman" w:hAnsi="宋体" w:eastAsia="宋体" w:cs="宋体"/>
                <w:color w:val="auto"/>
                <w:sz w:val="24"/>
                <w:szCs w:val="24"/>
              </w:rPr>
              <w:t>委托</w:t>
            </w:r>
            <w:r>
              <w:rPr>
                <w:rStyle w:val="32"/>
                <w:rFonts w:hint="eastAsia" w:ascii="Times New Roman" w:hAnsi="宋体" w:eastAsia="宋体" w:cs="宋体"/>
                <w:color w:val="auto"/>
                <w:sz w:val="24"/>
                <w:szCs w:val="24"/>
                <w:lang w:val="en-US" w:eastAsia="zh-CN"/>
              </w:rPr>
              <w:t>代理人</w:t>
            </w:r>
            <w:r>
              <w:rPr>
                <w:rStyle w:val="32"/>
                <w:rFonts w:hint="eastAsia" w:ascii="Times New Roman" w:hAnsi="宋体" w:eastAsia="宋体" w:cs="宋体"/>
                <w:color w:val="auto"/>
                <w:sz w:val="24"/>
                <w:szCs w:val="24"/>
              </w:rPr>
              <w:t>：</w:t>
            </w:r>
          </w:p>
        </w:tc>
        <w:tc>
          <w:tcPr>
            <w:tcW w:w="4565" w:type="dxa"/>
            <w:noWrap w:val="0"/>
            <w:vAlign w:val="top"/>
          </w:tcPr>
          <w:p w14:paraId="6C22E761">
            <w:pPr>
              <w:pStyle w:val="75"/>
              <w:spacing w:line="360" w:lineRule="auto"/>
              <w:ind w:left="0" w:leftChars="0" w:firstLine="0" w:firstLineChars="0"/>
              <w:jc w:val="both"/>
              <w:rPr>
                <w:rStyle w:val="32"/>
                <w:rFonts w:hint="eastAsia" w:ascii="Times New Roman" w:hAnsi="宋体" w:eastAsia="宋体" w:cs="宋体"/>
                <w:color w:val="auto"/>
                <w:sz w:val="24"/>
                <w:szCs w:val="24"/>
                <w:u w:val="none"/>
              </w:rPr>
            </w:pPr>
            <w:r>
              <w:rPr>
                <w:rStyle w:val="32"/>
                <w:rFonts w:hint="eastAsia" w:ascii="Times New Roman" w:hAnsi="宋体" w:eastAsia="宋体" w:cs="宋体"/>
                <w:color w:val="auto"/>
                <w:sz w:val="24"/>
                <w:szCs w:val="24"/>
                <w:u w:val="none"/>
              </w:rPr>
              <w:t>委托代理人</w:t>
            </w:r>
            <w:r>
              <w:rPr>
                <w:rStyle w:val="32"/>
                <w:rFonts w:hint="eastAsia" w:ascii="Times New Roman" w:hAnsi="宋体" w:eastAsia="宋体" w:cs="宋体"/>
                <w:color w:val="auto"/>
                <w:sz w:val="24"/>
                <w:szCs w:val="24"/>
                <w:u w:val="none"/>
                <w:lang w:eastAsia="zh-CN"/>
              </w:rPr>
              <w:t>：</w:t>
            </w:r>
          </w:p>
        </w:tc>
      </w:tr>
      <w:tr w14:paraId="28AD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94" w:type="dxa"/>
            <w:noWrap w:val="0"/>
            <w:vAlign w:val="top"/>
          </w:tcPr>
          <w:p w14:paraId="7561C889">
            <w:pPr>
              <w:pStyle w:val="75"/>
              <w:spacing w:line="360" w:lineRule="auto"/>
              <w:ind w:firstLine="0" w:firstLineChars="0"/>
              <w:jc w:val="both"/>
              <w:rPr>
                <w:rStyle w:val="32"/>
                <w:rFonts w:hint="eastAsia" w:ascii="Times New Roman" w:hAnsi="宋体" w:eastAsia="宋体" w:cs="宋体"/>
                <w:color w:val="auto"/>
                <w:sz w:val="24"/>
                <w:szCs w:val="24"/>
              </w:rPr>
            </w:pPr>
            <w:r>
              <w:rPr>
                <w:rStyle w:val="32"/>
                <w:rFonts w:hint="eastAsia" w:ascii="Times New Roman" w:hAnsi="宋体" w:eastAsia="宋体" w:cs="宋体"/>
                <w:color w:val="auto"/>
                <w:sz w:val="24"/>
                <w:szCs w:val="24"/>
              </w:rPr>
              <w:t>账户名称：</w:t>
            </w:r>
            <w:r>
              <w:rPr>
                <w:rStyle w:val="32"/>
                <w:rFonts w:hint="eastAsia" w:ascii="Times New Roman" w:hAnsi="宋体" w:eastAsia="宋体" w:cs="宋体"/>
                <w:color w:val="auto"/>
                <w:sz w:val="24"/>
                <w:szCs w:val="24"/>
                <w:lang w:val="en-US" w:eastAsia="zh-CN"/>
              </w:rPr>
              <w:t>博白县人民医院</w:t>
            </w:r>
          </w:p>
        </w:tc>
        <w:tc>
          <w:tcPr>
            <w:tcW w:w="4565" w:type="dxa"/>
            <w:noWrap w:val="0"/>
            <w:vAlign w:val="top"/>
          </w:tcPr>
          <w:p w14:paraId="01271024">
            <w:pPr>
              <w:pStyle w:val="75"/>
              <w:spacing w:line="360" w:lineRule="auto"/>
              <w:ind w:left="0" w:leftChars="0" w:firstLine="0" w:firstLineChars="0"/>
              <w:jc w:val="both"/>
              <w:rPr>
                <w:rStyle w:val="32"/>
                <w:rFonts w:hint="eastAsia" w:ascii="Times New Roman" w:hAnsi="宋体" w:eastAsia="宋体" w:cs="宋体"/>
                <w:color w:val="auto"/>
                <w:sz w:val="24"/>
                <w:szCs w:val="24"/>
                <w:u w:val="none"/>
              </w:rPr>
            </w:pPr>
            <w:r>
              <w:rPr>
                <w:rStyle w:val="32"/>
                <w:rFonts w:hint="eastAsia" w:ascii="Times New Roman" w:hAnsi="宋体" w:eastAsia="宋体" w:cs="宋体"/>
                <w:color w:val="auto"/>
                <w:sz w:val="24"/>
                <w:szCs w:val="24"/>
                <w:u w:val="none"/>
              </w:rPr>
              <w:t>账户名称</w:t>
            </w:r>
            <w:r>
              <w:rPr>
                <w:rStyle w:val="32"/>
                <w:rFonts w:hint="eastAsia" w:ascii="Times New Roman" w:hAnsi="宋体" w:eastAsia="宋体" w:cs="宋体"/>
                <w:color w:val="auto"/>
                <w:sz w:val="24"/>
                <w:szCs w:val="24"/>
                <w:u w:val="none"/>
                <w:lang w:eastAsia="zh-CN"/>
              </w:rPr>
              <w:t>：</w:t>
            </w:r>
          </w:p>
        </w:tc>
      </w:tr>
      <w:tr w14:paraId="1579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594" w:type="dxa"/>
            <w:noWrap w:val="0"/>
            <w:vAlign w:val="top"/>
          </w:tcPr>
          <w:p w14:paraId="5BD8C7E0">
            <w:pPr>
              <w:pStyle w:val="75"/>
              <w:spacing w:line="360" w:lineRule="auto"/>
              <w:ind w:firstLine="0" w:firstLineChars="0"/>
              <w:jc w:val="both"/>
              <w:rPr>
                <w:rStyle w:val="32"/>
                <w:rFonts w:hint="eastAsia" w:ascii="Times New Roman" w:hAnsi="宋体" w:eastAsia="宋体" w:cs="宋体"/>
                <w:color w:val="auto"/>
                <w:sz w:val="24"/>
                <w:szCs w:val="24"/>
              </w:rPr>
            </w:pPr>
            <w:r>
              <w:rPr>
                <w:rStyle w:val="32"/>
                <w:rFonts w:hint="eastAsia" w:ascii="Times New Roman" w:hAnsi="宋体" w:eastAsia="宋体" w:cs="宋体"/>
                <w:color w:val="auto"/>
                <w:sz w:val="24"/>
                <w:szCs w:val="24"/>
              </w:rPr>
              <w:t>统一社会信用代码</w:t>
            </w:r>
            <w:r>
              <w:rPr>
                <w:rStyle w:val="32"/>
                <w:rFonts w:hint="eastAsia" w:ascii="Times New Roman" w:hAnsi="宋体" w:eastAsia="宋体" w:cs="宋体"/>
                <w:color w:val="auto"/>
                <w:sz w:val="24"/>
                <w:szCs w:val="24"/>
                <w:lang w:eastAsia="zh-CN"/>
              </w:rPr>
              <w:t>：</w:t>
            </w:r>
            <w:r>
              <w:rPr>
                <w:rStyle w:val="32"/>
                <w:rFonts w:hint="eastAsia" w:ascii="Times New Roman" w:hAnsi="宋体" w:eastAsia="宋体" w:cs="宋体"/>
                <w:color w:val="auto"/>
                <w:sz w:val="24"/>
                <w:szCs w:val="24"/>
              </w:rPr>
              <w:t>124509234994285827</w:t>
            </w:r>
          </w:p>
        </w:tc>
        <w:tc>
          <w:tcPr>
            <w:tcW w:w="4565" w:type="dxa"/>
            <w:noWrap w:val="0"/>
            <w:vAlign w:val="top"/>
          </w:tcPr>
          <w:p w14:paraId="2DD572EE">
            <w:pPr>
              <w:pStyle w:val="75"/>
              <w:spacing w:line="360" w:lineRule="auto"/>
              <w:ind w:left="0" w:leftChars="0" w:firstLine="0" w:firstLineChars="0"/>
              <w:jc w:val="both"/>
              <w:rPr>
                <w:rStyle w:val="32"/>
                <w:rFonts w:hint="eastAsia" w:ascii="Times New Roman" w:hAnsi="宋体" w:eastAsia="宋体" w:cs="宋体"/>
                <w:color w:val="auto"/>
                <w:sz w:val="24"/>
                <w:szCs w:val="24"/>
                <w:u w:val="none"/>
              </w:rPr>
            </w:pPr>
            <w:r>
              <w:rPr>
                <w:rStyle w:val="32"/>
                <w:rFonts w:hint="eastAsia" w:ascii="Times New Roman" w:hAnsi="宋体" w:eastAsia="宋体" w:cs="宋体"/>
                <w:color w:val="auto"/>
                <w:sz w:val="24"/>
                <w:szCs w:val="24"/>
                <w:u w:val="none"/>
              </w:rPr>
              <w:t>统一社会信用代码</w:t>
            </w:r>
            <w:r>
              <w:rPr>
                <w:rStyle w:val="32"/>
                <w:rFonts w:hint="eastAsia" w:ascii="Times New Roman" w:hAnsi="宋体" w:eastAsia="宋体" w:cs="宋体"/>
                <w:color w:val="auto"/>
                <w:sz w:val="24"/>
                <w:szCs w:val="24"/>
                <w:u w:val="none"/>
                <w:lang w:eastAsia="zh-CN"/>
              </w:rPr>
              <w:t>：</w:t>
            </w:r>
          </w:p>
        </w:tc>
      </w:tr>
      <w:tr w14:paraId="0AFE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594" w:type="dxa"/>
            <w:noWrap w:val="0"/>
            <w:vAlign w:val="top"/>
          </w:tcPr>
          <w:p w14:paraId="0EBF2E8A">
            <w:pPr>
              <w:pStyle w:val="75"/>
              <w:spacing w:line="360" w:lineRule="auto"/>
              <w:ind w:firstLine="0" w:firstLineChars="0"/>
              <w:jc w:val="both"/>
              <w:rPr>
                <w:rStyle w:val="32"/>
                <w:rFonts w:hint="eastAsia" w:ascii="Times New Roman" w:hAnsi="宋体" w:eastAsia="宋体" w:cs="宋体"/>
                <w:color w:val="auto"/>
                <w:sz w:val="24"/>
                <w:szCs w:val="24"/>
              </w:rPr>
            </w:pPr>
            <w:r>
              <w:rPr>
                <w:rStyle w:val="32"/>
                <w:rFonts w:hint="eastAsia" w:ascii="Times New Roman" w:hAnsi="宋体" w:eastAsia="宋体" w:cs="宋体"/>
                <w:color w:val="auto"/>
                <w:sz w:val="24"/>
                <w:szCs w:val="24"/>
              </w:rPr>
              <w:t>开户银行：中国农业银行博白城南支行</w:t>
            </w:r>
          </w:p>
        </w:tc>
        <w:tc>
          <w:tcPr>
            <w:tcW w:w="4565" w:type="dxa"/>
            <w:noWrap w:val="0"/>
            <w:vAlign w:val="top"/>
          </w:tcPr>
          <w:p w14:paraId="58E2BC68">
            <w:pPr>
              <w:pStyle w:val="75"/>
              <w:spacing w:line="360" w:lineRule="auto"/>
              <w:ind w:left="0" w:leftChars="0" w:firstLine="0" w:firstLineChars="0"/>
              <w:jc w:val="both"/>
              <w:rPr>
                <w:rStyle w:val="32"/>
                <w:rFonts w:hint="eastAsia" w:ascii="Times New Roman" w:hAnsi="宋体" w:eastAsia="宋体" w:cs="宋体"/>
                <w:color w:val="auto"/>
                <w:sz w:val="24"/>
                <w:szCs w:val="24"/>
                <w:u w:val="none"/>
                <w:lang w:val="en-US" w:eastAsia="zh-CN"/>
              </w:rPr>
            </w:pPr>
            <w:r>
              <w:rPr>
                <w:rStyle w:val="32"/>
                <w:rFonts w:hint="eastAsia" w:ascii="Times New Roman" w:hAnsi="宋体" w:eastAsia="宋体" w:cs="宋体"/>
                <w:color w:val="auto"/>
                <w:sz w:val="24"/>
                <w:szCs w:val="24"/>
                <w:u w:val="none"/>
              </w:rPr>
              <w:t>开户银行</w:t>
            </w:r>
            <w:r>
              <w:rPr>
                <w:rStyle w:val="32"/>
                <w:rFonts w:hint="eastAsia" w:ascii="Times New Roman" w:hAnsi="宋体" w:eastAsia="宋体" w:cs="宋体"/>
                <w:color w:val="auto"/>
                <w:sz w:val="24"/>
                <w:szCs w:val="24"/>
                <w:u w:val="none"/>
                <w:lang w:eastAsia="zh-CN"/>
              </w:rPr>
              <w:t>：</w:t>
            </w:r>
          </w:p>
        </w:tc>
      </w:tr>
      <w:tr w14:paraId="3C26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594" w:type="dxa"/>
            <w:noWrap w:val="0"/>
            <w:vAlign w:val="top"/>
          </w:tcPr>
          <w:p w14:paraId="2CCA26EA">
            <w:pPr>
              <w:pStyle w:val="75"/>
              <w:spacing w:line="360" w:lineRule="auto"/>
              <w:ind w:firstLine="0" w:firstLineChars="0"/>
              <w:jc w:val="both"/>
              <w:rPr>
                <w:rStyle w:val="32"/>
                <w:rFonts w:hint="eastAsia" w:ascii="Times New Roman" w:hAnsi="宋体" w:eastAsia="宋体" w:cs="宋体"/>
                <w:color w:val="auto"/>
                <w:sz w:val="24"/>
                <w:szCs w:val="24"/>
              </w:rPr>
            </w:pPr>
            <w:r>
              <w:rPr>
                <w:rStyle w:val="32"/>
                <w:rFonts w:hint="eastAsia" w:ascii="Times New Roman" w:hAnsi="宋体" w:eastAsia="宋体" w:cs="宋体"/>
                <w:color w:val="auto"/>
                <w:sz w:val="24"/>
                <w:szCs w:val="24"/>
              </w:rPr>
              <w:t>账  号：20437801040000188</w:t>
            </w:r>
          </w:p>
        </w:tc>
        <w:tc>
          <w:tcPr>
            <w:tcW w:w="4565" w:type="dxa"/>
            <w:noWrap w:val="0"/>
            <w:vAlign w:val="top"/>
          </w:tcPr>
          <w:p w14:paraId="600E9195">
            <w:pPr>
              <w:pStyle w:val="75"/>
              <w:spacing w:line="360" w:lineRule="auto"/>
              <w:ind w:left="0" w:leftChars="0" w:firstLine="0" w:firstLineChars="0"/>
              <w:jc w:val="both"/>
              <w:rPr>
                <w:rStyle w:val="32"/>
                <w:rFonts w:hint="eastAsia" w:ascii="Times New Roman" w:hAnsi="宋体" w:eastAsia="宋体" w:cs="宋体"/>
                <w:color w:val="auto"/>
                <w:sz w:val="24"/>
                <w:szCs w:val="24"/>
                <w:u w:val="none"/>
                <w:lang w:val="en-US" w:eastAsia="zh-CN"/>
              </w:rPr>
            </w:pPr>
            <w:r>
              <w:rPr>
                <w:rStyle w:val="32"/>
                <w:rFonts w:hint="eastAsia" w:ascii="Times New Roman" w:hAnsi="宋体" w:eastAsia="宋体" w:cs="宋体"/>
                <w:color w:val="auto"/>
                <w:sz w:val="24"/>
                <w:szCs w:val="24"/>
                <w:u w:val="none"/>
              </w:rPr>
              <w:t>账号</w:t>
            </w:r>
            <w:r>
              <w:rPr>
                <w:rStyle w:val="32"/>
                <w:rFonts w:hint="eastAsia" w:ascii="Times New Roman" w:hAnsi="宋体" w:eastAsia="宋体" w:cs="宋体"/>
                <w:color w:val="auto"/>
                <w:sz w:val="24"/>
                <w:szCs w:val="24"/>
                <w:u w:val="none"/>
                <w:lang w:eastAsia="zh-CN"/>
              </w:rPr>
              <w:t>：</w:t>
            </w:r>
          </w:p>
        </w:tc>
      </w:tr>
      <w:tr w14:paraId="3BB6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594" w:type="dxa"/>
            <w:noWrap w:val="0"/>
            <w:vAlign w:val="top"/>
          </w:tcPr>
          <w:p w14:paraId="4B2DDA2C">
            <w:pPr>
              <w:pStyle w:val="75"/>
              <w:spacing w:line="360" w:lineRule="auto"/>
              <w:ind w:firstLine="0" w:firstLineChars="0"/>
              <w:jc w:val="both"/>
              <w:rPr>
                <w:rStyle w:val="32"/>
                <w:rFonts w:hint="eastAsia" w:ascii="Times New Roman" w:hAnsi="宋体" w:eastAsia="宋体" w:cs="宋体"/>
                <w:color w:val="auto"/>
                <w:sz w:val="24"/>
                <w:szCs w:val="24"/>
              </w:rPr>
            </w:pPr>
            <w:r>
              <w:rPr>
                <w:rStyle w:val="32"/>
                <w:rFonts w:hint="eastAsia" w:ascii="Times New Roman" w:hAnsi="宋体" w:eastAsia="宋体" w:cs="宋体"/>
                <w:color w:val="auto"/>
                <w:sz w:val="24"/>
                <w:szCs w:val="24"/>
              </w:rPr>
              <w:t>电  话：</w:t>
            </w:r>
            <w:r>
              <w:rPr>
                <w:rStyle w:val="32"/>
                <w:rFonts w:hint="eastAsia" w:ascii="Times New Roman" w:hAnsi="宋体" w:eastAsia="宋体" w:cs="宋体"/>
                <w:color w:val="auto"/>
                <w:sz w:val="24"/>
                <w:szCs w:val="24"/>
                <w:lang w:val="en-US" w:eastAsia="zh-CN"/>
              </w:rPr>
              <w:t>8332395</w:t>
            </w:r>
          </w:p>
        </w:tc>
        <w:tc>
          <w:tcPr>
            <w:tcW w:w="4565" w:type="dxa"/>
            <w:noWrap w:val="0"/>
            <w:vAlign w:val="top"/>
          </w:tcPr>
          <w:p w14:paraId="76150E7D">
            <w:pPr>
              <w:pStyle w:val="75"/>
              <w:spacing w:line="360" w:lineRule="auto"/>
              <w:ind w:left="0" w:leftChars="0" w:firstLine="0" w:firstLineChars="0"/>
              <w:jc w:val="both"/>
              <w:rPr>
                <w:rStyle w:val="32"/>
                <w:rFonts w:hint="eastAsia" w:ascii="Times New Roman" w:hAnsi="宋体" w:eastAsia="宋体" w:cs="宋体"/>
                <w:color w:val="auto"/>
                <w:sz w:val="24"/>
                <w:szCs w:val="24"/>
                <w:u w:val="none"/>
                <w:lang w:val="en-US" w:eastAsia="zh-CN"/>
              </w:rPr>
            </w:pPr>
            <w:r>
              <w:rPr>
                <w:rStyle w:val="32"/>
                <w:rFonts w:hint="eastAsia" w:ascii="Times New Roman" w:hAnsi="宋体" w:eastAsia="宋体" w:cs="宋体"/>
                <w:color w:val="auto"/>
                <w:sz w:val="24"/>
                <w:szCs w:val="24"/>
                <w:u w:val="none"/>
              </w:rPr>
              <w:t>电话</w:t>
            </w:r>
            <w:r>
              <w:rPr>
                <w:rStyle w:val="32"/>
                <w:rFonts w:hint="eastAsia" w:ascii="Times New Roman" w:hAnsi="宋体" w:eastAsia="宋体" w:cs="宋体"/>
                <w:color w:val="auto"/>
                <w:sz w:val="24"/>
                <w:szCs w:val="24"/>
                <w:u w:val="none"/>
                <w:lang w:eastAsia="zh-CN"/>
              </w:rPr>
              <w:t>：</w:t>
            </w:r>
          </w:p>
        </w:tc>
      </w:tr>
      <w:tr w14:paraId="2EE7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594" w:type="dxa"/>
            <w:noWrap w:val="0"/>
            <w:vAlign w:val="top"/>
          </w:tcPr>
          <w:p w14:paraId="6E1AAC51">
            <w:pPr>
              <w:pStyle w:val="75"/>
              <w:spacing w:line="360" w:lineRule="auto"/>
              <w:ind w:firstLine="0" w:firstLineChars="0"/>
              <w:jc w:val="both"/>
              <w:rPr>
                <w:rStyle w:val="32"/>
                <w:rFonts w:hint="eastAsia" w:ascii="Times New Roman" w:hAnsi="宋体" w:eastAsia="宋体" w:cs="宋体"/>
                <w:color w:val="auto"/>
                <w:sz w:val="24"/>
                <w:szCs w:val="24"/>
              </w:rPr>
            </w:pPr>
            <w:r>
              <w:rPr>
                <w:rStyle w:val="32"/>
                <w:rFonts w:hint="eastAsia" w:ascii="Times New Roman" w:hAnsi="宋体" w:eastAsia="宋体" w:cs="宋体"/>
                <w:color w:val="auto"/>
                <w:sz w:val="24"/>
                <w:szCs w:val="24"/>
                <w:lang w:val="en-US" w:eastAsia="zh-CN"/>
              </w:rPr>
              <w:t>经办人：</w:t>
            </w:r>
          </w:p>
        </w:tc>
        <w:tc>
          <w:tcPr>
            <w:tcW w:w="4565" w:type="dxa"/>
            <w:noWrap w:val="0"/>
            <w:vAlign w:val="top"/>
          </w:tcPr>
          <w:p w14:paraId="347A861E">
            <w:pPr>
              <w:pStyle w:val="75"/>
              <w:spacing w:line="360" w:lineRule="auto"/>
              <w:ind w:left="0" w:leftChars="0" w:firstLine="0" w:firstLineChars="0"/>
              <w:jc w:val="both"/>
              <w:rPr>
                <w:rStyle w:val="32"/>
                <w:rFonts w:hint="eastAsia" w:ascii="Times New Roman" w:hAnsi="宋体" w:eastAsia="宋体" w:cs="宋体"/>
                <w:color w:val="auto"/>
                <w:sz w:val="24"/>
                <w:szCs w:val="24"/>
                <w:u w:val="none"/>
              </w:rPr>
            </w:pPr>
            <w:r>
              <w:rPr>
                <w:rStyle w:val="32"/>
                <w:rFonts w:hint="eastAsia" w:ascii="Times New Roman" w:hAnsi="宋体" w:eastAsia="宋体" w:cs="宋体"/>
                <w:color w:val="auto"/>
                <w:sz w:val="24"/>
                <w:szCs w:val="24"/>
                <w:lang w:val="en-US" w:eastAsia="zh-CN"/>
              </w:rPr>
              <w:t>经办人：</w:t>
            </w:r>
          </w:p>
        </w:tc>
      </w:tr>
      <w:tr w14:paraId="6CC6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159" w:type="dxa"/>
            <w:gridSpan w:val="2"/>
            <w:noWrap w:val="0"/>
            <w:vAlign w:val="center"/>
          </w:tcPr>
          <w:p w14:paraId="41D8D985">
            <w:pPr>
              <w:pStyle w:val="75"/>
              <w:spacing w:line="360" w:lineRule="auto"/>
              <w:ind w:firstLine="480" w:firstLineChars="200"/>
              <w:jc w:val="center"/>
              <w:rPr>
                <w:rStyle w:val="32"/>
                <w:rFonts w:hint="eastAsia" w:ascii="Times New Roman" w:hAnsi="宋体" w:eastAsia="宋体" w:cs="宋体"/>
                <w:color w:val="auto"/>
                <w:sz w:val="24"/>
                <w:szCs w:val="24"/>
              </w:rPr>
            </w:pPr>
            <w:r>
              <w:rPr>
                <w:rStyle w:val="32"/>
                <w:rFonts w:hint="eastAsia" w:ascii="Times New Roman" w:hAnsi="宋体" w:eastAsia="宋体" w:cs="宋体"/>
                <w:color w:val="auto"/>
                <w:sz w:val="24"/>
                <w:szCs w:val="24"/>
              </w:rPr>
              <w:t>签订</w:t>
            </w:r>
            <w:r>
              <w:rPr>
                <w:rStyle w:val="32"/>
                <w:rFonts w:hint="eastAsia" w:ascii="Times New Roman" w:hAnsi="宋体" w:eastAsia="宋体" w:cs="宋体"/>
                <w:color w:val="auto"/>
                <w:sz w:val="24"/>
                <w:szCs w:val="24"/>
                <w:lang w:val="en-US" w:eastAsia="zh-CN"/>
              </w:rPr>
              <w:t>日期</w:t>
            </w:r>
            <w:r>
              <w:rPr>
                <w:rStyle w:val="32"/>
                <w:rFonts w:hint="eastAsia" w:ascii="Times New Roman" w:hAnsi="宋体" w:eastAsia="宋体" w:cs="宋体"/>
                <w:color w:val="auto"/>
                <w:sz w:val="24"/>
                <w:szCs w:val="24"/>
              </w:rPr>
              <w:t xml:space="preserve">：   </w:t>
            </w:r>
            <w:r>
              <w:rPr>
                <w:rStyle w:val="32"/>
                <w:rFonts w:hint="eastAsia" w:ascii="Times New Roman" w:hAnsi="宋体" w:cs="宋体"/>
                <w:color w:val="auto"/>
                <w:sz w:val="24"/>
                <w:szCs w:val="24"/>
                <w:lang w:val="en-US" w:eastAsia="zh-CN"/>
              </w:rPr>
              <w:t xml:space="preserve"> 2026</w:t>
            </w:r>
            <w:r>
              <w:rPr>
                <w:rStyle w:val="32"/>
                <w:rFonts w:hint="eastAsia" w:ascii="Times New Roman" w:hAnsi="宋体" w:eastAsia="宋体" w:cs="宋体"/>
                <w:color w:val="auto"/>
                <w:sz w:val="24"/>
                <w:szCs w:val="24"/>
                <w:lang w:val="en-US" w:eastAsia="zh-CN"/>
              </w:rPr>
              <w:t xml:space="preserve">  </w:t>
            </w:r>
            <w:r>
              <w:rPr>
                <w:rStyle w:val="32"/>
                <w:rFonts w:hint="eastAsia" w:ascii="Times New Roman" w:hAnsi="宋体" w:eastAsia="宋体" w:cs="宋体"/>
                <w:color w:val="auto"/>
                <w:sz w:val="24"/>
                <w:szCs w:val="24"/>
              </w:rPr>
              <w:t xml:space="preserve">  年</w:t>
            </w:r>
            <w:r>
              <w:rPr>
                <w:rStyle w:val="32"/>
                <w:rFonts w:hint="eastAsia" w:ascii="Times New Roman" w:hAnsi="宋体" w:eastAsia="宋体" w:cs="宋体"/>
                <w:color w:val="auto"/>
                <w:sz w:val="24"/>
                <w:szCs w:val="24"/>
                <w:lang w:val="en-US" w:eastAsia="zh-CN"/>
              </w:rPr>
              <w:t xml:space="preserve">  </w:t>
            </w:r>
            <w:r>
              <w:rPr>
                <w:rStyle w:val="32"/>
                <w:rFonts w:hint="eastAsia" w:ascii="Times New Roman" w:hAnsi="宋体" w:cs="宋体"/>
                <w:color w:val="auto"/>
                <w:sz w:val="24"/>
                <w:szCs w:val="24"/>
                <w:lang w:val="en-US" w:eastAsia="zh-CN"/>
              </w:rPr>
              <w:t xml:space="preserve">       </w:t>
            </w:r>
            <w:r>
              <w:rPr>
                <w:rStyle w:val="32"/>
                <w:rFonts w:hint="eastAsia" w:ascii="Times New Roman" w:hAnsi="宋体" w:eastAsia="宋体" w:cs="宋体"/>
                <w:color w:val="auto"/>
                <w:sz w:val="24"/>
                <w:szCs w:val="24"/>
                <w:lang w:val="en-US" w:eastAsia="zh-CN"/>
              </w:rPr>
              <w:t xml:space="preserve">  </w:t>
            </w:r>
            <w:r>
              <w:rPr>
                <w:rStyle w:val="32"/>
                <w:rFonts w:hint="eastAsia" w:ascii="Times New Roman" w:hAnsi="宋体" w:eastAsia="宋体" w:cs="宋体"/>
                <w:color w:val="auto"/>
                <w:sz w:val="24"/>
                <w:szCs w:val="24"/>
              </w:rPr>
              <w:t>月</w:t>
            </w:r>
            <w:r>
              <w:rPr>
                <w:rStyle w:val="32"/>
                <w:rFonts w:hint="eastAsia" w:ascii="Times New Roman" w:hAnsi="宋体" w:eastAsia="宋体" w:cs="宋体"/>
                <w:color w:val="auto"/>
                <w:sz w:val="24"/>
                <w:szCs w:val="24"/>
                <w:lang w:val="en-US" w:eastAsia="zh-CN"/>
              </w:rPr>
              <w:t xml:space="preserve">  </w:t>
            </w:r>
            <w:r>
              <w:rPr>
                <w:rStyle w:val="32"/>
                <w:rFonts w:hint="eastAsia" w:ascii="Times New Roman" w:hAnsi="宋体" w:cs="宋体"/>
                <w:color w:val="auto"/>
                <w:sz w:val="24"/>
                <w:szCs w:val="24"/>
                <w:lang w:val="en-US" w:eastAsia="zh-CN"/>
              </w:rPr>
              <w:t xml:space="preserve">       </w:t>
            </w:r>
            <w:r>
              <w:rPr>
                <w:rStyle w:val="32"/>
                <w:rFonts w:hint="eastAsia" w:ascii="Times New Roman" w:hAnsi="宋体" w:eastAsia="宋体" w:cs="宋体"/>
                <w:color w:val="auto"/>
                <w:sz w:val="24"/>
                <w:szCs w:val="24"/>
                <w:lang w:val="en-US" w:eastAsia="zh-CN"/>
              </w:rPr>
              <w:t xml:space="preserve">  </w:t>
            </w:r>
            <w:r>
              <w:rPr>
                <w:rStyle w:val="32"/>
                <w:rFonts w:hint="eastAsia" w:ascii="Times New Roman" w:hAnsi="宋体" w:eastAsia="宋体" w:cs="宋体"/>
                <w:color w:val="auto"/>
                <w:sz w:val="24"/>
                <w:szCs w:val="24"/>
              </w:rPr>
              <w:t>日</w:t>
            </w:r>
          </w:p>
        </w:tc>
      </w:tr>
    </w:tbl>
    <w:p w14:paraId="470EB443">
      <w:pPr>
        <w:rPr>
          <w:rFonts w:hint="eastAsia"/>
          <w:color w:val="auto"/>
          <w:sz w:val="20"/>
          <w:highlight w:val="white"/>
        </w:rPr>
      </w:pPr>
      <w:r>
        <w:rPr>
          <w:rFonts w:hint="eastAsia"/>
          <w:color w:val="auto"/>
          <w:sz w:val="20"/>
          <w:highlight w:val="white"/>
        </w:rPr>
        <w:t xml:space="preserve"> </w:t>
      </w:r>
      <w:bookmarkEnd w:id="56"/>
    </w:p>
    <w:p w14:paraId="3BDD0569">
      <w:pPr>
        <w:widowControl/>
        <w:jc w:val="left"/>
        <w:rPr>
          <w:color w:val="auto"/>
          <w:u w:val="single"/>
        </w:rPr>
      </w:pPr>
      <w:r>
        <w:rPr>
          <w:color w:val="auto"/>
          <w:highlight w:val="white"/>
        </w:rPr>
        <w:br w:type="page"/>
      </w:r>
    </w:p>
    <w:p w14:paraId="411551DF">
      <w:pPr>
        <w:pStyle w:val="2"/>
        <w:jc w:val="center"/>
        <w:rPr>
          <w:color w:val="auto"/>
          <w:sz w:val="36"/>
          <w:szCs w:val="36"/>
        </w:rPr>
      </w:pPr>
      <w:bookmarkStart w:id="69" w:name="_Toc83895639"/>
      <w:bookmarkStart w:id="70" w:name="_Toc256000128"/>
      <w:bookmarkStart w:id="71" w:name="_Toc389065256"/>
      <w:bookmarkStart w:id="72" w:name="_Toc407135192"/>
      <w:bookmarkStart w:id="73" w:name="_Toc373478338"/>
      <w:bookmarkStart w:id="74" w:name="_Toc373227691"/>
      <w:bookmarkStart w:id="75" w:name="_Toc351203632"/>
      <w:r>
        <w:rPr>
          <w:rFonts w:hint="eastAsia" w:cs="黑体"/>
          <w:color w:val="auto"/>
          <w:sz w:val="36"/>
          <w:szCs w:val="36"/>
          <w:highlight w:val="white"/>
        </w:rPr>
        <w:t>第二部分</w:t>
      </w:r>
      <w:r>
        <w:rPr>
          <w:color w:val="auto"/>
          <w:sz w:val="36"/>
          <w:szCs w:val="36"/>
          <w:highlight w:val="white"/>
        </w:rPr>
        <w:t xml:space="preserve"> </w:t>
      </w:r>
      <w:r>
        <w:rPr>
          <w:rFonts w:hint="eastAsia" w:cs="黑体"/>
          <w:color w:val="auto"/>
          <w:sz w:val="36"/>
          <w:szCs w:val="36"/>
          <w:highlight w:val="white"/>
        </w:rPr>
        <w:t>通用合同条款</w:t>
      </w:r>
      <w:bookmarkEnd w:id="69"/>
      <w:bookmarkEnd w:id="70"/>
      <w:bookmarkEnd w:id="71"/>
      <w:bookmarkEnd w:id="72"/>
    </w:p>
    <w:p w14:paraId="0AE9ACF2">
      <w:pPr>
        <w:spacing w:line="360" w:lineRule="auto"/>
        <w:ind w:firstLine="0" w:firstLineChars="0"/>
        <w:rPr>
          <w:rFonts w:hAnsi="宋体"/>
          <w:color w:val="auto"/>
          <w:kern w:val="0"/>
        </w:rPr>
      </w:pPr>
    </w:p>
    <w:p w14:paraId="7DAC9211">
      <w:pPr>
        <w:spacing w:line="360" w:lineRule="auto"/>
        <w:ind w:firstLine="1265" w:firstLineChars="600"/>
        <w:rPr>
          <w:rFonts w:hint="eastAsia" w:hAnsi="宋体" w:cs="宋体"/>
          <w:b/>
          <w:bCs/>
          <w:color w:val="auto"/>
          <w:kern w:val="0"/>
          <w:highlight w:val="white"/>
        </w:rPr>
      </w:pPr>
      <w:r>
        <w:rPr>
          <w:rFonts w:hint="eastAsia" w:hAnsi="宋体" w:cs="宋体"/>
          <w:b/>
          <w:bCs/>
          <w:color w:val="auto"/>
          <w:kern w:val="0"/>
          <w:highlight w:val="white"/>
        </w:rPr>
        <w:t>采用《建设工程施工合同（示范文本）》（</w:t>
      </w:r>
      <w:r>
        <w:rPr>
          <w:rFonts w:hAnsi="宋体"/>
          <w:b/>
          <w:bCs/>
          <w:color w:val="auto"/>
          <w:kern w:val="0"/>
          <w:highlight w:val="white"/>
        </w:rPr>
        <w:t>GF</w:t>
      </w:r>
      <w:r>
        <w:rPr>
          <w:rFonts w:hAnsi="宋体" w:cs="宋体"/>
          <w:b/>
          <w:bCs/>
          <w:color w:val="auto"/>
          <w:kern w:val="0"/>
          <w:highlight w:val="white"/>
        </w:rPr>
        <w:t>—</w:t>
      </w:r>
      <w:r>
        <w:rPr>
          <w:rFonts w:hAnsi="宋体"/>
          <w:b/>
          <w:bCs/>
          <w:color w:val="auto"/>
          <w:kern w:val="0"/>
          <w:highlight w:val="white"/>
        </w:rPr>
        <w:t>201</w:t>
      </w:r>
      <w:r>
        <w:rPr>
          <w:rFonts w:hint="eastAsia" w:hAnsi="宋体"/>
          <w:b/>
          <w:bCs/>
          <w:color w:val="auto"/>
          <w:kern w:val="0"/>
          <w:highlight w:val="white"/>
        </w:rPr>
        <w:t>7</w:t>
      </w:r>
      <w:r>
        <w:rPr>
          <w:rFonts w:hAnsi="宋体" w:cs="宋体"/>
          <w:b/>
          <w:bCs/>
          <w:color w:val="auto"/>
          <w:kern w:val="0"/>
          <w:highlight w:val="white"/>
        </w:rPr>
        <w:t>—</w:t>
      </w:r>
      <w:r>
        <w:rPr>
          <w:rFonts w:hAnsi="宋体"/>
          <w:b/>
          <w:bCs/>
          <w:color w:val="auto"/>
          <w:kern w:val="0"/>
          <w:highlight w:val="white"/>
        </w:rPr>
        <w:t>0201</w:t>
      </w:r>
      <w:r>
        <w:rPr>
          <w:rFonts w:hint="eastAsia" w:hAnsi="宋体" w:cs="宋体"/>
          <w:b/>
          <w:bCs/>
          <w:color w:val="auto"/>
          <w:kern w:val="0"/>
          <w:highlight w:val="white"/>
        </w:rPr>
        <w:t>）。</w:t>
      </w:r>
    </w:p>
    <w:p w14:paraId="6F20B77E">
      <w:pPr>
        <w:spacing w:line="360" w:lineRule="auto"/>
        <w:ind w:firstLine="0" w:firstLineChars="0"/>
        <w:rPr>
          <w:rFonts w:hint="eastAsia" w:hAnsi="宋体" w:cs="宋体"/>
          <w:b/>
          <w:bCs/>
          <w:color w:val="auto"/>
          <w:kern w:val="0"/>
          <w:highlight w:val="white"/>
        </w:rPr>
      </w:pPr>
    </w:p>
    <w:p w14:paraId="3D862025">
      <w:pPr>
        <w:pStyle w:val="2"/>
        <w:keepNext w:val="0"/>
        <w:keepLines w:val="0"/>
        <w:jc w:val="center"/>
        <w:rPr>
          <w:rFonts w:hAnsi="宋体"/>
          <w:color w:val="auto"/>
          <w:sz w:val="36"/>
          <w:szCs w:val="36"/>
        </w:rPr>
      </w:pPr>
      <w:bookmarkStart w:id="76" w:name="_Toc389065257"/>
      <w:bookmarkStart w:id="77" w:name="_Toc256000129"/>
      <w:bookmarkStart w:id="78" w:name="_Toc407135193"/>
      <w:bookmarkStart w:id="79" w:name="_Toc83895640"/>
      <w:r>
        <w:rPr>
          <w:rFonts w:hint="eastAsia" w:hAnsi="宋体" w:cs="黑体"/>
          <w:color w:val="auto"/>
          <w:sz w:val="36"/>
          <w:szCs w:val="36"/>
          <w:highlight w:val="white"/>
        </w:rPr>
        <w:t>第三部分</w:t>
      </w:r>
      <w:r>
        <w:rPr>
          <w:color w:val="auto"/>
          <w:sz w:val="36"/>
          <w:szCs w:val="36"/>
          <w:highlight w:val="white"/>
        </w:rPr>
        <w:t xml:space="preserve"> </w:t>
      </w:r>
      <w:r>
        <w:rPr>
          <w:rFonts w:hint="eastAsia" w:hAnsi="宋体" w:cs="黑体"/>
          <w:color w:val="auto"/>
          <w:sz w:val="36"/>
          <w:szCs w:val="36"/>
          <w:highlight w:val="white"/>
        </w:rPr>
        <w:t>专用合同条款</w:t>
      </w:r>
      <w:bookmarkEnd w:id="73"/>
      <w:bookmarkEnd w:id="74"/>
      <w:bookmarkEnd w:id="75"/>
      <w:bookmarkEnd w:id="76"/>
      <w:bookmarkEnd w:id="77"/>
      <w:bookmarkEnd w:id="78"/>
      <w:bookmarkEnd w:id="79"/>
    </w:p>
    <w:p w14:paraId="77158B7A">
      <w:pPr>
        <w:spacing w:line="360" w:lineRule="auto"/>
        <w:jc w:val="center"/>
        <w:rPr>
          <w:rFonts w:hAnsi="宋体" w:cs="宋体"/>
          <w:b/>
          <w:bCs/>
          <w:color w:val="auto"/>
          <w:kern w:val="0"/>
        </w:rPr>
      </w:pPr>
      <w:r>
        <w:rPr>
          <w:rFonts w:hint="eastAsia" w:hAnsi="宋体" w:cs="宋体"/>
          <w:b/>
          <w:bCs/>
          <w:color w:val="auto"/>
          <w:kern w:val="0"/>
          <w:highlight w:val="white"/>
        </w:rPr>
        <w:t>（注：专用合同条款每一条均应填写完整！）</w:t>
      </w:r>
    </w:p>
    <w:p w14:paraId="2909BA00">
      <w:pPr>
        <w:pStyle w:val="98"/>
        <w:spacing w:before="0" w:after="0" w:line="360" w:lineRule="auto"/>
        <w:rPr>
          <w:rStyle w:val="32"/>
          <w:rFonts w:cs="Times New Roman"/>
          <w:color w:val="auto"/>
          <w:highlight w:val="none"/>
        </w:rPr>
      </w:pPr>
      <w:bookmarkStart w:id="80" w:name="_Toc1013968286"/>
      <w:bookmarkStart w:id="81" w:name="_Toc1516097295"/>
      <w:bookmarkStart w:id="82" w:name="_Toc373478339"/>
      <w:bookmarkStart w:id="83" w:name="_Toc373227692"/>
      <w:bookmarkStart w:id="84" w:name="_Toc351203633"/>
      <w:bookmarkStart w:id="85" w:name="_Toc407135194"/>
      <w:bookmarkStart w:id="86" w:name="_Toc389065258"/>
      <w:bookmarkStart w:id="87" w:name="_Toc78449780"/>
      <w:r>
        <w:rPr>
          <w:rStyle w:val="32"/>
          <w:rFonts w:cs="Times New Roman"/>
          <w:color w:val="auto"/>
          <w:highlight w:val="none"/>
        </w:rPr>
        <w:t>1</w:t>
      </w:r>
      <w:bookmarkStart w:id="88" w:name="_Toc296944495"/>
      <w:bookmarkStart w:id="89" w:name="_Toc297048342"/>
      <w:bookmarkStart w:id="90" w:name="_Toc292559866"/>
      <w:bookmarkStart w:id="91" w:name="_Toc296346657"/>
      <w:bookmarkStart w:id="92" w:name="_Toc292559361"/>
      <w:bookmarkStart w:id="93" w:name="_Toc296891196"/>
      <w:bookmarkStart w:id="94" w:name="_Toc296347155"/>
      <w:bookmarkStart w:id="95" w:name="_Toc297120456"/>
      <w:bookmarkStart w:id="96" w:name="_Toc296890984"/>
      <w:bookmarkStart w:id="97" w:name="_Toc296503156"/>
      <w:r>
        <w:rPr>
          <w:rStyle w:val="32"/>
          <w:rFonts w:cs="Times New Roman"/>
          <w:color w:val="auto"/>
          <w:highlight w:val="none"/>
        </w:rPr>
        <w:t xml:space="preserve">. </w:t>
      </w:r>
      <w:r>
        <w:rPr>
          <w:rStyle w:val="32"/>
          <w:rFonts w:hint="eastAsia" w:hAnsi="宋体" w:cs="黑体"/>
          <w:color w:val="auto"/>
          <w:sz w:val="28"/>
          <w:szCs w:val="18"/>
          <w:highlight w:val="none"/>
        </w:rPr>
        <w:t>一般约定</w:t>
      </w:r>
      <w:bookmarkEnd w:id="80"/>
      <w:bookmarkEnd w:id="81"/>
      <w:bookmarkEnd w:id="82"/>
      <w:bookmarkEnd w:id="83"/>
      <w:bookmarkEnd w:id="84"/>
      <w:bookmarkEnd w:id="85"/>
      <w:bookmarkEnd w:id="86"/>
      <w:bookmarkEnd w:id="87"/>
    </w:p>
    <w:bookmarkEnd w:id="88"/>
    <w:bookmarkEnd w:id="89"/>
    <w:bookmarkEnd w:id="90"/>
    <w:bookmarkEnd w:id="91"/>
    <w:bookmarkEnd w:id="92"/>
    <w:bookmarkEnd w:id="93"/>
    <w:bookmarkEnd w:id="94"/>
    <w:bookmarkEnd w:id="95"/>
    <w:bookmarkEnd w:id="96"/>
    <w:bookmarkEnd w:id="97"/>
    <w:p w14:paraId="501086BA">
      <w:pPr>
        <w:pStyle w:val="99"/>
        <w:spacing w:before="0" w:after="0" w:line="360" w:lineRule="auto"/>
        <w:rPr>
          <w:rStyle w:val="32"/>
          <w:rFonts w:ascii="Calibri" w:hAnsi="Calibri" w:eastAsia="宋体" w:cs="Times New Roman"/>
          <w:color w:val="auto"/>
          <w:highlight w:val="none"/>
        </w:rPr>
      </w:pPr>
      <w:bookmarkStart w:id="98" w:name="_Toc78449781"/>
      <w:bookmarkStart w:id="99" w:name="_Toc1618220701"/>
      <w:bookmarkStart w:id="100" w:name="_Toc373478340"/>
      <w:bookmarkStart w:id="101" w:name="_Toc407135195"/>
      <w:bookmarkStart w:id="102" w:name="_Toc373227693"/>
      <w:bookmarkStart w:id="103" w:name="_Toc155697041"/>
      <w:bookmarkStart w:id="104" w:name="_Toc389065259"/>
      <w:r>
        <w:rPr>
          <w:rStyle w:val="32"/>
          <w:rFonts w:ascii="Calibri" w:hAnsi="Calibri" w:eastAsia="宋体" w:cs="Times New Roman"/>
          <w:color w:val="auto"/>
          <w:highlight w:val="none"/>
        </w:rPr>
        <w:t xml:space="preserve">1.1 </w:t>
      </w:r>
      <w:r>
        <w:rPr>
          <w:rStyle w:val="32"/>
          <w:rFonts w:hint="eastAsia" w:ascii="Calibri" w:hAnsi="宋体" w:eastAsia="宋体" w:cs="黑体"/>
          <w:color w:val="auto"/>
          <w:sz w:val="28"/>
          <w:szCs w:val="28"/>
          <w:highlight w:val="none"/>
        </w:rPr>
        <w:t>词语定义</w:t>
      </w:r>
      <w:bookmarkEnd w:id="98"/>
      <w:bookmarkEnd w:id="99"/>
      <w:bookmarkEnd w:id="100"/>
      <w:bookmarkEnd w:id="101"/>
      <w:bookmarkEnd w:id="102"/>
      <w:bookmarkEnd w:id="103"/>
      <w:bookmarkEnd w:id="104"/>
    </w:p>
    <w:p w14:paraId="109A183A">
      <w:pPr>
        <w:pStyle w:val="78"/>
        <w:spacing w:line="360" w:lineRule="auto"/>
        <w:ind w:firstLine="420" w:firstLineChars="200"/>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1.1.1 </w:t>
      </w:r>
      <w:r>
        <w:rPr>
          <w:rStyle w:val="32"/>
          <w:rFonts w:hint="eastAsia" w:ascii="Calibri" w:hAnsi="宋体" w:eastAsia="宋体" w:cs="宋体"/>
          <w:color w:val="auto"/>
          <w:kern w:val="0"/>
          <w:highlight w:val="none"/>
        </w:rPr>
        <w:t>合同</w:t>
      </w:r>
    </w:p>
    <w:p w14:paraId="04497BDC">
      <w:pPr>
        <w:pStyle w:val="78"/>
        <w:spacing w:line="360" w:lineRule="auto"/>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1.1.1.10 </w:t>
      </w:r>
      <w:r>
        <w:rPr>
          <w:rStyle w:val="32"/>
          <w:rFonts w:hint="eastAsia" w:ascii="Calibri" w:hAnsi="宋体" w:eastAsia="宋体" w:cs="宋体"/>
          <w:color w:val="auto"/>
          <w:kern w:val="0"/>
          <w:highlight w:val="none"/>
        </w:rPr>
        <w:t>其他合同文件包括：</w:t>
      </w:r>
      <w:r>
        <w:rPr>
          <w:rStyle w:val="32"/>
          <w:rFonts w:hint="eastAsia" w:ascii="Calibri" w:hAnsi="宋体" w:eastAsia="宋体" w:cs="宋体"/>
          <w:color w:val="auto"/>
          <w:kern w:val="0"/>
          <w:highlight w:val="none"/>
          <w:u w:val="single"/>
        </w:rPr>
        <w:t>承包人相关承诺、合同有关的协商文件以及履行合同过程中双方总经理以上管理者（或双方工地代表人）书面确认的对合同内容有实质性影响的会议纪要、签证、设计变更等资料</w:t>
      </w:r>
      <w:r>
        <w:rPr>
          <w:rStyle w:val="32"/>
          <w:rFonts w:hint="eastAsia" w:ascii="Calibri" w:hAnsi="宋体" w:eastAsia="宋体" w:cs="宋体"/>
          <w:color w:val="auto"/>
          <w:highlight w:val="none"/>
        </w:rPr>
        <w:t>。</w:t>
      </w:r>
    </w:p>
    <w:p w14:paraId="02E18853">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1.1.2 </w:t>
      </w:r>
      <w:r>
        <w:rPr>
          <w:rStyle w:val="32"/>
          <w:rFonts w:hint="eastAsia" w:ascii="Calibri" w:hAnsi="宋体" w:eastAsia="宋体" w:cs="宋体"/>
          <w:color w:val="auto"/>
          <w:highlight w:val="none"/>
        </w:rPr>
        <w:t>合同当事人及其他相关方</w:t>
      </w:r>
    </w:p>
    <w:p w14:paraId="4C84AB4A">
      <w:pPr>
        <w:pStyle w:val="78"/>
        <w:spacing w:line="360" w:lineRule="auto"/>
        <w:ind w:firstLine="420" w:firstLineChars="200"/>
        <w:outlineLvl w:val="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1.1.2.4 </w:t>
      </w:r>
      <w:r>
        <w:rPr>
          <w:rStyle w:val="32"/>
          <w:rFonts w:hint="eastAsia" w:ascii="Calibri" w:hAnsi="宋体" w:eastAsia="宋体" w:cs="宋体"/>
          <w:color w:val="auto"/>
          <w:highlight w:val="none"/>
        </w:rPr>
        <w:t>监理人：</w:t>
      </w:r>
    </w:p>
    <w:p w14:paraId="56E45894">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名</w:t>
      </w:r>
      <w:r>
        <w:rPr>
          <w:rStyle w:val="32"/>
          <w:rFonts w:ascii="Calibri" w:hAnsi="Calibri" w:eastAsia="宋体" w:cs="Times New Roman"/>
          <w:color w:val="auto"/>
          <w:highlight w:val="none"/>
        </w:rPr>
        <w:t xml:space="preserve">    </w:t>
      </w:r>
      <w:r>
        <w:rPr>
          <w:rStyle w:val="32"/>
          <w:rFonts w:hint="eastAsia" w:ascii="Calibri" w:hAnsi="宋体" w:eastAsia="宋体" w:cs="宋体"/>
          <w:color w:val="auto"/>
          <w:highlight w:val="none"/>
        </w:rPr>
        <w:t>称：</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69EC12A0">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资质类别和等级：</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4A84C6E9">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联系电话：</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A304494">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电子信箱：</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621E0BDF">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通信地址：</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E4A6073">
      <w:pPr>
        <w:pStyle w:val="78"/>
        <w:spacing w:line="360" w:lineRule="auto"/>
        <w:ind w:firstLine="420" w:firstLineChars="200"/>
        <w:outlineLvl w:val="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1.1.2.5 </w:t>
      </w:r>
      <w:r>
        <w:rPr>
          <w:rStyle w:val="32"/>
          <w:rFonts w:hint="eastAsia" w:ascii="Calibri" w:hAnsi="宋体" w:eastAsia="宋体" w:cs="宋体"/>
          <w:color w:val="auto"/>
          <w:highlight w:val="none"/>
        </w:rPr>
        <w:t>设计人：</w:t>
      </w:r>
    </w:p>
    <w:p w14:paraId="76A518EB">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名</w:t>
      </w:r>
      <w:r>
        <w:rPr>
          <w:rStyle w:val="32"/>
          <w:rFonts w:ascii="Calibri" w:hAnsi="Calibri" w:eastAsia="宋体" w:cs="Times New Roman"/>
          <w:color w:val="auto"/>
          <w:highlight w:val="none"/>
        </w:rPr>
        <w:t xml:space="preserve">    </w:t>
      </w:r>
      <w:r>
        <w:rPr>
          <w:rStyle w:val="32"/>
          <w:rFonts w:hint="eastAsia" w:ascii="Calibri" w:hAnsi="宋体" w:eastAsia="宋体" w:cs="宋体"/>
          <w:color w:val="auto"/>
          <w:highlight w:val="none"/>
        </w:rPr>
        <w:t>称：</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0552BC02">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资质类别和等级：</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B13AD8F">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联系电话：</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D10BB73">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电子信箱：</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D592BDA">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通信地址：</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3504ECEC">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1.1.3 </w:t>
      </w:r>
      <w:r>
        <w:rPr>
          <w:rStyle w:val="32"/>
          <w:rFonts w:hint="eastAsia" w:ascii="Calibri" w:hAnsi="宋体" w:eastAsia="宋体" w:cs="宋体"/>
          <w:color w:val="auto"/>
          <w:highlight w:val="none"/>
        </w:rPr>
        <w:t>工程和设备</w:t>
      </w:r>
    </w:p>
    <w:p w14:paraId="6FCD6ED9">
      <w:pPr>
        <w:pStyle w:val="78"/>
        <w:spacing w:line="360" w:lineRule="auto"/>
        <w:ind w:firstLine="420" w:firstLineChars="200"/>
        <w:outlineLvl w:val="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1.1.3.7 </w:t>
      </w:r>
      <w:r>
        <w:rPr>
          <w:rStyle w:val="32"/>
          <w:rFonts w:hint="eastAsia" w:ascii="Calibri" w:hAnsi="宋体" w:eastAsia="宋体" w:cs="宋体"/>
          <w:color w:val="auto"/>
          <w:highlight w:val="none"/>
        </w:rPr>
        <w:t>作为施工现场组成部分的其他场所包括：</w:t>
      </w:r>
      <w:r>
        <w:rPr>
          <w:rStyle w:val="32"/>
          <w:rFonts w:hint="eastAsia" w:ascii="Calibri" w:hAnsi="宋体" w:eastAsia="宋体" w:cs="宋体"/>
          <w:color w:val="auto"/>
          <w:highlight w:val="none"/>
          <w:u w:val="single"/>
        </w:rPr>
        <w:t>发包人提交的本合同工程所涉地块土地红线范围内所包括的场所</w:t>
      </w:r>
      <w:r>
        <w:rPr>
          <w:rStyle w:val="32"/>
          <w:rFonts w:hint="eastAsia" w:ascii="Calibri" w:hAnsi="宋体" w:eastAsia="宋体" w:cs="宋体"/>
          <w:color w:val="auto"/>
          <w:highlight w:val="none"/>
        </w:rPr>
        <w:t>。</w:t>
      </w:r>
    </w:p>
    <w:p w14:paraId="6496FDC6">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1.1.3.9 </w:t>
      </w:r>
      <w:r>
        <w:rPr>
          <w:rStyle w:val="32"/>
          <w:rFonts w:hint="eastAsia" w:ascii="Calibri" w:hAnsi="宋体" w:eastAsia="宋体" w:cs="宋体"/>
          <w:color w:val="auto"/>
          <w:kern w:val="0"/>
          <w:highlight w:val="none"/>
        </w:rPr>
        <w:t>永久占地包括：</w:t>
      </w:r>
      <w:r>
        <w:rPr>
          <w:rStyle w:val="32"/>
          <w:rFonts w:hint="eastAsia" w:ascii="Calibri" w:hAnsi="宋体" w:eastAsia="宋体" w:cs="宋体"/>
          <w:color w:val="auto"/>
          <w:kern w:val="0"/>
          <w:highlight w:val="none"/>
          <w:u w:val="single"/>
        </w:rPr>
        <w:t>按合同约定建造并移交给发包人（包括工程设备）所占用的土地</w:t>
      </w:r>
      <w:r>
        <w:rPr>
          <w:rStyle w:val="32"/>
          <w:rFonts w:hint="eastAsia" w:ascii="Calibri" w:hAnsi="宋体" w:eastAsia="宋体" w:cs="宋体"/>
          <w:color w:val="auto"/>
          <w:kern w:val="0"/>
          <w:highlight w:val="none"/>
        </w:rPr>
        <w:t>。</w:t>
      </w:r>
    </w:p>
    <w:p w14:paraId="768A097B">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kern w:val="0"/>
          <w:highlight w:val="none"/>
        </w:rPr>
        <w:t xml:space="preserve">1.1.3.10 </w:t>
      </w:r>
      <w:r>
        <w:rPr>
          <w:rStyle w:val="32"/>
          <w:rFonts w:hint="eastAsia" w:ascii="Calibri" w:hAnsi="宋体" w:eastAsia="宋体" w:cs="宋体"/>
          <w:color w:val="auto"/>
          <w:kern w:val="0"/>
          <w:highlight w:val="none"/>
        </w:rPr>
        <w:t>临时占地包括：</w:t>
      </w:r>
      <w:r>
        <w:rPr>
          <w:rStyle w:val="32"/>
          <w:rFonts w:hint="eastAsia" w:hAnsi="宋体" w:cs="宋体"/>
          <w:color w:val="auto"/>
          <w:kern w:val="0"/>
          <w:highlight w:val="none"/>
          <w:u w:val="single"/>
          <w:lang w:val="en-US" w:eastAsia="zh-CN"/>
        </w:rPr>
        <w:t xml:space="preserve">  </w:t>
      </w:r>
      <w:r>
        <w:rPr>
          <w:rStyle w:val="32"/>
          <w:rFonts w:hint="eastAsia" w:ascii="Calibri" w:hAnsi="宋体" w:eastAsia="宋体" w:cs="宋体"/>
          <w:color w:val="auto"/>
          <w:kern w:val="0"/>
          <w:highlight w:val="none"/>
          <w:u w:val="single"/>
        </w:rPr>
        <w:t>需要临时占地的，临时占地方案须上报发包人认可(须满足发包人文明施工要求)，由承包人办理申请手续，发包人给予积极协助，借地费用由承包人承担(涉及临时占地相关单位要求交纳押金、耕占税由承包人承担，押金在工程完工，临时占地恢复原状后通过主管部门的联合验收，由相关单位一次性退还)</w:t>
      </w:r>
      <w:r>
        <w:rPr>
          <w:rStyle w:val="32"/>
          <w:rFonts w:hint="eastAsia" w:hAnsi="宋体" w:cs="宋体"/>
          <w:color w:val="auto"/>
          <w:kern w:val="0"/>
          <w:highlight w:val="none"/>
          <w:u w:val="single"/>
          <w:lang w:val="en-US" w:eastAsia="zh-CN"/>
        </w:rPr>
        <w:t xml:space="preserve">   </w:t>
      </w:r>
      <w:r>
        <w:rPr>
          <w:rStyle w:val="32"/>
          <w:rFonts w:hint="eastAsia" w:ascii="Calibri" w:hAnsi="宋体" w:eastAsia="宋体" w:cs="宋体"/>
          <w:color w:val="auto"/>
          <w:kern w:val="0"/>
          <w:highlight w:val="none"/>
        </w:rPr>
        <w:t>。</w:t>
      </w:r>
    </w:p>
    <w:p w14:paraId="6132BA51">
      <w:pPr>
        <w:pStyle w:val="99"/>
        <w:spacing w:before="0" w:after="0" w:line="360" w:lineRule="auto"/>
        <w:rPr>
          <w:rStyle w:val="32"/>
          <w:rFonts w:ascii="Calibri" w:hAnsi="Calibri" w:eastAsia="宋体" w:cs="Times New Roman"/>
          <w:color w:val="auto"/>
          <w:highlight w:val="none"/>
        </w:rPr>
      </w:pPr>
      <w:bookmarkStart w:id="105" w:name="_Toc78449782"/>
      <w:bookmarkStart w:id="106" w:name="_Toc1182598796"/>
      <w:bookmarkStart w:id="107" w:name="_Toc373478341"/>
      <w:bookmarkStart w:id="108" w:name="_Toc389065260"/>
      <w:bookmarkStart w:id="109" w:name="_Toc407135196"/>
      <w:bookmarkStart w:id="110" w:name="_Toc373227694"/>
      <w:bookmarkStart w:id="111" w:name="_Toc1162259329"/>
      <w:r>
        <w:rPr>
          <w:rStyle w:val="32"/>
          <w:rFonts w:ascii="Calibri" w:hAnsi="Calibri" w:eastAsia="宋体" w:cs="Times New Roman"/>
          <w:color w:val="auto"/>
          <w:highlight w:val="none"/>
        </w:rPr>
        <w:t xml:space="preserve">1.3 </w:t>
      </w:r>
      <w:r>
        <w:rPr>
          <w:rStyle w:val="32"/>
          <w:rFonts w:hint="eastAsia" w:ascii="Calibri" w:hAnsi="宋体" w:eastAsia="宋体" w:cs="黑体"/>
          <w:color w:val="auto"/>
          <w:sz w:val="28"/>
          <w:szCs w:val="28"/>
          <w:highlight w:val="none"/>
        </w:rPr>
        <w:t>法律</w:t>
      </w:r>
      <w:bookmarkEnd w:id="105"/>
      <w:bookmarkEnd w:id="106"/>
      <w:bookmarkEnd w:id="107"/>
      <w:bookmarkEnd w:id="108"/>
      <w:bookmarkEnd w:id="109"/>
      <w:bookmarkEnd w:id="110"/>
      <w:bookmarkEnd w:id="111"/>
    </w:p>
    <w:p w14:paraId="5AD7429D">
      <w:pPr>
        <w:pStyle w:val="78"/>
        <w:autoSpaceDE/>
        <w:autoSpaceDN/>
        <w:adjustRightInd/>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适用于合同的其他规范性文件：需要明示的法律、行政法规：</w:t>
      </w:r>
      <w:r>
        <w:rPr>
          <w:rStyle w:val="32"/>
          <w:rFonts w:hint="eastAsia" w:ascii="Calibri" w:hAnsi="宋体" w:eastAsia="宋体" w:cs="宋体"/>
          <w:color w:val="auto"/>
          <w:highlight w:val="none"/>
          <w:u w:val="single"/>
        </w:rPr>
        <w:t>《中华人民共和国民法典》、《中华人民共和国建筑法》、《中华人民共和国招投标法》、《建设工程质量管理条例》《建设工程安全生产管理条例》等相关法规以及工程所在地政府及主管部门有关建设工程施工、质量、安全方面的法规、条例及本工程相关的政府批文等。上述文件规定若有不一致的，应以最新规定为准</w:t>
      </w:r>
      <w:r>
        <w:rPr>
          <w:rStyle w:val="32"/>
          <w:rFonts w:hint="eastAsia" w:ascii="Calibri" w:hAnsi="宋体" w:eastAsia="宋体" w:cs="宋体"/>
          <w:color w:val="auto"/>
          <w:highlight w:val="none"/>
        </w:rPr>
        <w:t>。</w:t>
      </w:r>
    </w:p>
    <w:p w14:paraId="32D6AE19">
      <w:pPr>
        <w:pStyle w:val="99"/>
        <w:spacing w:before="0" w:after="0" w:line="360" w:lineRule="auto"/>
        <w:rPr>
          <w:rStyle w:val="32"/>
          <w:rFonts w:ascii="Calibri" w:hAnsi="Calibri" w:eastAsia="宋体" w:cs="Times New Roman"/>
          <w:color w:val="auto"/>
          <w:highlight w:val="none"/>
        </w:rPr>
      </w:pPr>
      <w:bookmarkStart w:id="112" w:name="_Toc389065261"/>
      <w:bookmarkStart w:id="113" w:name="_Toc373227695"/>
      <w:bookmarkStart w:id="114" w:name="_Toc1569433547"/>
      <w:bookmarkStart w:id="115" w:name="_Toc407135197"/>
      <w:bookmarkStart w:id="116" w:name="_Toc1694357896"/>
      <w:bookmarkStart w:id="117" w:name="_Toc78449783"/>
      <w:bookmarkStart w:id="118" w:name="_Toc373478342"/>
      <w:r>
        <w:rPr>
          <w:rStyle w:val="32"/>
          <w:rFonts w:ascii="Calibri" w:hAnsi="Calibri" w:eastAsia="宋体" w:cs="Times New Roman"/>
          <w:color w:val="auto"/>
          <w:highlight w:val="none"/>
        </w:rPr>
        <w:t xml:space="preserve">1.4 </w:t>
      </w:r>
      <w:r>
        <w:rPr>
          <w:rStyle w:val="32"/>
          <w:rFonts w:hint="eastAsia" w:ascii="Calibri" w:hAnsi="宋体" w:eastAsia="宋体" w:cs="黑体"/>
          <w:color w:val="auto"/>
          <w:sz w:val="28"/>
          <w:szCs w:val="28"/>
          <w:highlight w:val="none"/>
        </w:rPr>
        <w:t>标准和规范</w:t>
      </w:r>
      <w:bookmarkEnd w:id="112"/>
      <w:bookmarkEnd w:id="113"/>
      <w:bookmarkEnd w:id="114"/>
      <w:bookmarkEnd w:id="115"/>
      <w:bookmarkEnd w:id="116"/>
      <w:bookmarkEnd w:id="117"/>
      <w:bookmarkEnd w:id="118"/>
    </w:p>
    <w:p w14:paraId="55C3EDF2">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1.4.1 </w:t>
      </w:r>
      <w:r>
        <w:rPr>
          <w:rStyle w:val="32"/>
          <w:rFonts w:hint="eastAsia" w:ascii="Calibri" w:hAnsi="宋体" w:eastAsia="宋体" w:cs="宋体"/>
          <w:color w:val="auto"/>
          <w:highlight w:val="none"/>
        </w:rPr>
        <w:t>适用于工程的标准规范包括：</w:t>
      </w:r>
      <w:r>
        <w:rPr>
          <w:rStyle w:val="32"/>
          <w:rFonts w:hint="eastAsia" w:ascii="Calibri" w:hAnsi="宋体" w:eastAsia="宋体" w:cs="宋体"/>
          <w:color w:val="auto"/>
          <w:highlight w:val="none"/>
          <w:u w:val="single"/>
        </w:rPr>
        <w:t>按照现行的国家标准、广西标准、行业标准、规范等及工程施工图纸说明执行。前述标准规范对同一项工程内容规定不一致的，以最</w:t>
      </w:r>
      <w:r>
        <w:rPr>
          <w:rStyle w:val="32"/>
          <w:rFonts w:hint="eastAsia" w:hAnsi="宋体" w:cs="宋体"/>
          <w:color w:val="auto"/>
          <w:highlight w:val="none"/>
          <w:u w:val="single"/>
          <w:lang w:val="en-US" w:eastAsia="zh-CN"/>
        </w:rPr>
        <w:t>高</w:t>
      </w:r>
      <w:r>
        <w:rPr>
          <w:rStyle w:val="32"/>
          <w:rFonts w:hint="eastAsia" w:ascii="Calibri" w:hAnsi="宋体" w:eastAsia="宋体" w:cs="宋体"/>
          <w:color w:val="auto"/>
          <w:highlight w:val="none"/>
          <w:u w:val="single"/>
        </w:rPr>
        <w:t>的标准规范为本工程执行依据</w:t>
      </w:r>
      <w:r>
        <w:rPr>
          <w:rStyle w:val="32"/>
          <w:rFonts w:hint="eastAsia" w:ascii="Calibri" w:hAnsi="宋体" w:eastAsia="宋体" w:cs="宋体"/>
          <w:color w:val="auto"/>
          <w:highlight w:val="none"/>
        </w:rPr>
        <w:t>。</w:t>
      </w:r>
    </w:p>
    <w:p w14:paraId="04DF8B99">
      <w:pPr>
        <w:pStyle w:val="78"/>
        <w:spacing w:line="360" w:lineRule="auto"/>
        <w:ind w:firstLine="420" w:firstLineChars="200"/>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1.4.2 </w:t>
      </w:r>
      <w:r>
        <w:rPr>
          <w:rStyle w:val="32"/>
          <w:rFonts w:hint="eastAsia" w:ascii="Calibri" w:hAnsi="宋体" w:eastAsia="宋体" w:cs="宋体"/>
          <w:color w:val="auto"/>
          <w:kern w:val="0"/>
          <w:highlight w:val="none"/>
        </w:rPr>
        <w:t>发包人提供国外标准、规范的名称：</w:t>
      </w:r>
      <w:r>
        <w:rPr>
          <w:rStyle w:val="32"/>
          <w:rFonts w:ascii="Calibri" w:hAnsi="宋体" w:eastAsia="宋体" w:cs="Times New Roman"/>
          <w:color w:val="auto"/>
          <w:highlight w:val="none"/>
          <w:u w:val="single"/>
        </w:rPr>
        <w:t xml:space="preserve">     </w:t>
      </w:r>
      <w:r>
        <w:rPr>
          <w:rStyle w:val="32"/>
          <w:rFonts w:hint="eastAsia" w:ascii="Calibri" w:hAnsi="宋体" w:eastAsia="宋体" w:cs="Times New Roman"/>
          <w:color w:val="auto"/>
          <w:highlight w:val="none"/>
          <w:u w:val="single"/>
          <w:lang w:val="en-US" w:eastAsia="zh-CN"/>
        </w:rPr>
        <w:t>/</w:t>
      </w:r>
      <w:r>
        <w:rPr>
          <w:rStyle w:val="32"/>
          <w:rFonts w:ascii="Calibri" w:hAnsi="宋体" w:eastAsia="宋体" w:cs="Times New Roman"/>
          <w:color w:val="auto"/>
          <w:highlight w:val="none"/>
          <w:u w:val="single"/>
        </w:rPr>
        <w:t xml:space="preserve">       </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4B849A28">
      <w:pPr>
        <w:pStyle w:val="78"/>
        <w:spacing w:line="360" w:lineRule="auto"/>
        <w:ind w:firstLine="420" w:firstLineChars="200"/>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发包人提供国外标准、规范的份数：</w:t>
      </w:r>
      <w:r>
        <w:rPr>
          <w:rStyle w:val="32"/>
          <w:rFonts w:ascii="Calibri" w:hAnsi="Calibri" w:eastAsia="宋体" w:cs="Times New Roman"/>
          <w:color w:val="auto"/>
          <w:kern w:val="0"/>
          <w:highlight w:val="none"/>
          <w:u w:val="single"/>
        </w:rPr>
        <w:t xml:space="preserve">          </w:t>
      </w:r>
      <w:r>
        <w:rPr>
          <w:rStyle w:val="32"/>
          <w:rFonts w:ascii="Calibri" w:hAnsi="宋体" w:eastAsia="宋体" w:cs="Times New Roman"/>
          <w:color w:val="auto"/>
          <w:highlight w:val="none"/>
          <w:u w:val="single"/>
        </w:rPr>
        <w:t xml:space="preserve"> </w:t>
      </w:r>
      <w:r>
        <w:rPr>
          <w:rStyle w:val="32"/>
          <w:rFonts w:hint="eastAsia" w:ascii="Calibri" w:hAnsi="宋体" w:eastAsia="宋体" w:cs="Times New Roman"/>
          <w:color w:val="auto"/>
          <w:highlight w:val="none"/>
          <w:u w:val="single"/>
          <w:lang w:val="en-US" w:eastAsia="zh-CN"/>
        </w:rPr>
        <w:t>/</w:t>
      </w:r>
      <w:r>
        <w:rPr>
          <w:rStyle w:val="32"/>
          <w:rFonts w:ascii="Calibri" w:hAnsi="宋体" w:eastAsia="宋体" w:cs="Times New Roman"/>
          <w:color w:val="auto"/>
          <w:highlight w:val="none"/>
          <w:u w:val="single"/>
        </w:rPr>
        <w:t xml:space="preserve"> </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53744C1E">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kern w:val="0"/>
          <w:highlight w:val="none"/>
        </w:rPr>
        <w:t>发包人提供国外标准、规范的名称：</w:t>
      </w:r>
      <w:r>
        <w:rPr>
          <w:rStyle w:val="32"/>
          <w:rFonts w:ascii="Calibri" w:hAnsi="Calibri" w:eastAsia="宋体" w:cs="Times New Roman"/>
          <w:color w:val="auto"/>
          <w:kern w:val="0"/>
          <w:highlight w:val="none"/>
          <w:u w:val="single"/>
        </w:rPr>
        <w:t xml:space="preserve">         </w:t>
      </w:r>
      <w:r>
        <w:rPr>
          <w:rStyle w:val="32"/>
          <w:rFonts w:ascii="Calibri" w:hAnsi="宋体" w:eastAsia="宋体" w:cs="Times New Roman"/>
          <w:color w:val="auto"/>
          <w:highlight w:val="none"/>
          <w:u w:val="single"/>
        </w:rPr>
        <w:t xml:space="preserve"> </w:t>
      </w:r>
      <w:r>
        <w:rPr>
          <w:rStyle w:val="32"/>
          <w:rFonts w:hint="eastAsia" w:ascii="Calibri" w:hAnsi="宋体" w:eastAsia="宋体" w:cs="Times New Roman"/>
          <w:color w:val="auto"/>
          <w:highlight w:val="none"/>
          <w:u w:val="single"/>
          <w:lang w:val="en-US" w:eastAsia="zh-CN"/>
        </w:rPr>
        <w:t>/</w:t>
      </w:r>
      <w:r>
        <w:rPr>
          <w:rStyle w:val="32"/>
          <w:rFonts w:ascii="Calibri" w:hAnsi="宋体" w:eastAsia="宋体" w:cs="Times New Roman"/>
          <w:color w:val="auto"/>
          <w:highlight w:val="none"/>
          <w:u w:val="single"/>
        </w:rPr>
        <w:t xml:space="preserve"> </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055D6794">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1.4.3 </w:t>
      </w:r>
      <w:r>
        <w:rPr>
          <w:rStyle w:val="32"/>
          <w:rFonts w:hint="eastAsia" w:ascii="Calibri" w:hAnsi="宋体" w:eastAsia="宋体" w:cs="宋体"/>
          <w:color w:val="auto"/>
          <w:highlight w:val="none"/>
        </w:rPr>
        <w:t>发包人对工程的技术标准和功能要求的特殊要求：</w:t>
      </w:r>
      <w:r>
        <w:rPr>
          <w:rStyle w:val="32"/>
          <w:rFonts w:ascii="Calibri" w:hAnsi="宋体" w:eastAsia="宋体" w:cs="Times New Roman"/>
          <w:color w:val="auto"/>
          <w:highlight w:val="none"/>
          <w:u w:val="single"/>
        </w:rPr>
        <w:t xml:space="preserve"> </w:t>
      </w:r>
      <w:r>
        <w:rPr>
          <w:rStyle w:val="32"/>
          <w:rFonts w:hint="eastAsia" w:ascii="Calibri" w:hAnsi="宋体" w:eastAsia="宋体" w:cs="Times New Roman"/>
          <w:color w:val="auto"/>
          <w:highlight w:val="none"/>
          <w:u w:val="single"/>
          <w:lang w:val="en-US" w:eastAsia="zh-CN"/>
        </w:rPr>
        <w:t>如由承包人采购材料，所有材料必须有质保书、合格证及出厂证明，并且符合施工图纸、规范及产品技术标准要求；《设备、材料要求表》或标底中注明品牌的材料须经发包人及监理人确认后才能使用</w:t>
      </w:r>
      <w:r>
        <w:rPr>
          <w:rStyle w:val="32"/>
          <w:rFonts w:hint="eastAsia" w:ascii="Calibri" w:hAnsi="宋体" w:eastAsia="宋体" w:cs="宋体"/>
          <w:color w:val="auto"/>
          <w:highlight w:val="none"/>
        </w:rPr>
        <w:t>。</w:t>
      </w:r>
    </w:p>
    <w:p w14:paraId="6C12CF24">
      <w:pPr>
        <w:pStyle w:val="99"/>
        <w:spacing w:before="0" w:after="0" w:line="360" w:lineRule="auto"/>
        <w:rPr>
          <w:rStyle w:val="32"/>
          <w:rFonts w:ascii="Calibri" w:hAnsi="Calibri" w:eastAsia="宋体" w:cs="Times New Roman"/>
          <w:color w:val="auto"/>
          <w:highlight w:val="none"/>
        </w:rPr>
      </w:pPr>
      <w:bookmarkStart w:id="119" w:name="_Toc24431861"/>
      <w:bookmarkStart w:id="120" w:name="_Toc373478343"/>
      <w:bookmarkStart w:id="121" w:name="_Toc389065262"/>
      <w:bookmarkStart w:id="122" w:name="_Toc78449784"/>
      <w:bookmarkStart w:id="123" w:name="_Toc188277238"/>
      <w:bookmarkStart w:id="124" w:name="_Toc373227696"/>
      <w:bookmarkStart w:id="125" w:name="_Toc407135198"/>
      <w:r>
        <w:rPr>
          <w:rStyle w:val="32"/>
          <w:rFonts w:ascii="Calibri" w:hAnsi="Calibri" w:eastAsia="宋体" w:cs="Times New Roman"/>
          <w:color w:val="auto"/>
          <w:highlight w:val="none"/>
        </w:rPr>
        <w:t xml:space="preserve">1.5 </w:t>
      </w:r>
      <w:r>
        <w:rPr>
          <w:rStyle w:val="32"/>
          <w:rFonts w:hint="eastAsia" w:ascii="Calibri" w:hAnsi="Calibri" w:eastAsia="宋体" w:cs="黑体"/>
          <w:color w:val="auto"/>
          <w:sz w:val="28"/>
          <w:szCs w:val="28"/>
          <w:highlight w:val="none"/>
        </w:rPr>
        <w:t>合同文件的优先顺序</w:t>
      </w:r>
      <w:bookmarkEnd w:id="119"/>
      <w:bookmarkEnd w:id="120"/>
      <w:bookmarkEnd w:id="121"/>
      <w:bookmarkEnd w:id="122"/>
      <w:bookmarkEnd w:id="123"/>
      <w:bookmarkEnd w:id="124"/>
      <w:bookmarkEnd w:id="125"/>
    </w:p>
    <w:p w14:paraId="6DF4327C">
      <w:pPr>
        <w:pStyle w:val="78"/>
        <w:spacing w:line="360" w:lineRule="auto"/>
        <w:ind w:firstLine="420" w:firstLineChars="200"/>
        <w:rPr>
          <w:rStyle w:val="32"/>
          <w:rFonts w:hint="eastAsia" w:ascii="Times New Roman" w:hAnsi="宋体" w:eastAsia="宋体" w:cs="宋体"/>
          <w:color w:val="auto"/>
          <w:kern w:val="0"/>
          <w:highlight w:val="none"/>
          <w:u w:val="none"/>
        </w:rPr>
      </w:pPr>
      <w:r>
        <w:rPr>
          <w:rStyle w:val="32"/>
          <w:rFonts w:hint="eastAsia" w:ascii="Calibri" w:hAnsi="宋体" w:eastAsia="宋体" w:cs="宋体"/>
          <w:color w:val="auto"/>
          <w:highlight w:val="none"/>
        </w:rPr>
        <w:t>合同文件组成及优先顺序为：</w:t>
      </w:r>
      <w:r>
        <w:rPr>
          <w:rStyle w:val="32"/>
          <w:rFonts w:hint="eastAsia" w:ascii="Times New Roman" w:hAnsi="宋体" w:eastAsia="宋体" w:cs="宋体"/>
          <w:color w:val="auto"/>
          <w:kern w:val="0"/>
          <w:highlight w:val="none"/>
        </w:rPr>
        <w:t>（</w:t>
      </w:r>
      <w:r>
        <w:rPr>
          <w:rStyle w:val="32"/>
          <w:rFonts w:hint="eastAsia" w:ascii="Times New Roman" w:hAnsi="宋体" w:eastAsia="宋体" w:cs="宋体"/>
          <w:color w:val="auto"/>
          <w:kern w:val="0"/>
          <w:highlight w:val="none"/>
          <w:lang w:val="en-US" w:eastAsia="zh-CN"/>
        </w:rPr>
        <w:t>1</w:t>
      </w:r>
      <w:r>
        <w:rPr>
          <w:rStyle w:val="32"/>
          <w:rFonts w:hint="eastAsia" w:ascii="Times New Roman" w:hAnsi="宋体" w:eastAsia="宋体" w:cs="宋体"/>
          <w:color w:val="auto"/>
          <w:kern w:val="0"/>
          <w:highlight w:val="none"/>
        </w:rPr>
        <w:t>）合同协议书；</w:t>
      </w:r>
      <w:bookmarkStart w:id="126" w:name="bookmark916"/>
      <w:bookmarkEnd w:id="126"/>
      <w:r>
        <w:rPr>
          <w:rStyle w:val="32"/>
          <w:rFonts w:hint="eastAsia" w:ascii="Times New Roman" w:hAnsi="宋体" w:eastAsia="宋体" w:cs="宋体"/>
          <w:color w:val="auto"/>
          <w:kern w:val="0"/>
          <w:highlight w:val="none"/>
        </w:rPr>
        <w:t>（</w:t>
      </w:r>
      <w:r>
        <w:rPr>
          <w:rStyle w:val="32"/>
          <w:rFonts w:hint="eastAsia" w:ascii="Times New Roman" w:hAnsi="宋体" w:eastAsia="宋体" w:cs="宋体"/>
          <w:color w:val="auto"/>
          <w:kern w:val="0"/>
          <w:highlight w:val="none"/>
          <w:lang w:val="en-US" w:eastAsia="zh-CN"/>
        </w:rPr>
        <w:t>2</w:t>
      </w:r>
      <w:r>
        <w:rPr>
          <w:rStyle w:val="32"/>
          <w:rFonts w:hint="eastAsia" w:ascii="Times New Roman" w:hAnsi="宋体" w:eastAsia="宋体" w:cs="宋体"/>
          <w:color w:val="auto"/>
          <w:kern w:val="0"/>
          <w:highlight w:val="none"/>
        </w:rPr>
        <w:t>）中标通知书；</w:t>
      </w:r>
      <w:bookmarkStart w:id="127" w:name="bookmark917"/>
      <w:bookmarkEnd w:id="127"/>
      <w:r>
        <w:rPr>
          <w:rStyle w:val="32"/>
          <w:rFonts w:hint="eastAsia" w:ascii="Times New Roman" w:hAnsi="宋体" w:eastAsia="宋体" w:cs="宋体"/>
          <w:color w:val="auto"/>
          <w:kern w:val="0"/>
          <w:highlight w:val="none"/>
        </w:rPr>
        <w:t>（</w:t>
      </w:r>
      <w:r>
        <w:rPr>
          <w:rStyle w:val="32"/>
          <w:rFonts w:hint="eastAsia" w:ascii="Times New Roman" w:hAnsi="宋体" w:eastAsia="宋体" w:cs="宋体"/>
          <w:color w:val="auto"/>
          <w:kern w:val="0"/>
          <w:highlight w:val="none"/>
          <w:lang w:val="en-US" w:eastAsia="zh-CN"/>
        </w:rPr>
        <w:t>3</w:t>
      </w:r>
      <w:r>
        <w:rPr>
          <w:rStyle w:val="32"/>
          <w:rFonts w:hint="eastAsia" w:ascii="Times New Roman" w:hAnsi="宋体" w:eastAsia="宋体" w:cs="宋体"/>
          <w:color w:val="auto"/>
          <w:kern w:val="0"/>
          <w:highlight w:val="none"/>
        </w:rPr>
        <w:t>）投标函及投标函附录；</w:t>
      </w:r>
      <w:bookmarkStart w:id="128" w:name="bookmark918"/>
      <w:bookmarkEnd w:id="128"/>
      <w:r>
        <w:rPr>
          <w:rStyle w:val="32"/>
          <w:rFonts w:hint="eastAsia" w:ascii="Times New Roman" w:hAnsi="宋体" w:eastAsia="宋体" w:cs="宋体"/>
          <w:color w:val="auto"/>
          <w:kern w:val="0"/>
          <w:highlight w:val="none"/>
        </w:rPr>
        <w:t>（</w:t>
      </w:r>
      <w:r>
        <w:rPr>
          <w:rStyle w:val="32"/>
          <w:rFonts w:hint="eastAsia" w:ascii="Times New Roman" w:hAnsi="宋体" w:eastAsia="宋体" w:cs="宋体"/>
          <w:color w:val="auto"/>
          <w:kern w:val="0"/>
          <w:highlight w:val="none"/>
          <w:lang w:val="en-US" w:eastAsia="zh-CN"/>
        </w:rPr>
        <w:t>4</w:t>
      </w:r>
      <w:r>
        <w:rPr>
          <w:rStyle w:val="32"/>
          <w:rFonts w:hint="eastAsia" w:ascii="Times New Roman" w:hAnsi="宋体" w:eastAsia="宋体" w:cs="宋体"/>
          <w:color w:val="auto"/>
          <w:kern w:val="0"/>
          <w:highlight w:val="none"/>
        </w:rPr>
        <w:t>）专用合同条款；</w:t>
      </w:r>
      <w:bookmarkStart w:id="129" w:name="bookmark919"/>
      <w:bookmarkEnd w:id="129"/>
      <w:r>
        <w:rPr>
          <w:rStyle w:val="32"/>
          <w:rFonts w:hint="eastAsia" w:ascii="Times New Roman" w:hAnsi="宋体" w:eastAsia="宋体" w:cs="宋体"/>
          <w:color w:val="auto"/>
          <w:kern w:val="0"/>
          <w:highlight w:val="none"/>
        </w:rPr>
        <w:t>（</w:t>
      </w:r>
      <w:r>
        <w:rPr>
          <w:rStyle w:val="32"/>
          <w:rFonts w:hint="eastAsia" w:ascii="Times New Roman" w:hAnsi="宋体" w:eastAsia="宋体" w:cs="宋体"/>
          <w:color w:val="auto"/>
          <w:kern w:val="0"/>
          <w:highlight w:val="none"/>
          <w:lang w:val="en-US" w:eastAsia="zh-CN"/>
        </w:rPr>
        <w:t>5</w:t>
      </w:r>
      <w:r>
        <w:rPr>
          <w:rStyle w:val="32"/>
          <w:rFonts w:hint="eastAsia" w:ascii="Times New Roman" w:hAnsi="宋体" w:eastAsia="宋体" w:cs="宋体"/>
          <w:color w:val="auto"/>
          <w:kern w:val="0"/>
          <w:highlight w:val="none"/>
        </w:rPr>
        <w:t>）通用合同条款；</w:t>
      </w:r>
      <w:bookmarkStart w:id="130" w:name="bookmark920"/>
      <w:bookmarkEnd w:id="130"/>
      <w:r>
        <w:rPr>
          <w:rStyle w:val="32"/>
          <w:rFonts w:hint="eastAsia" w:ascii="Times New Roman" w:hAnsi="宋体" w:eastAsia="宋体" w:cs="宋体"/>
          <w:color w:val="auto"/>
          <w:kern w:val="0"/>
          <w:highlight w:val="none"/>
        </w:rPr>
        <w:t>（</w:t>
      </w:r>
      <w:r>
        <w:rPr>
          <w:rStyle w:val="32"/>
          <w:rFonts w:hint="eastAsia" w:ascii="Times New Roman" w:hAnsi="宋体" w:eastAsia="宋体" w:cs="宋体"/>
          <w:color w:val="auto"/>
          <w:kern w:val="0"/>
          <w:highlight w:val="none"/>
          <w:lang w:val="en-US" w:eastAsia="zh-CN"/>
        </w:rPr>
        <w:t>6</w:t>
      </w:r>
      <w:r>
        <w:rPr>
          <w:rStyle w:val="32"/>
          <w:rFonts w:hint="eastAsia" w:ascii="Times New Roman" w:hAnsi="宋体" w:eastAsia="宋体" w:cs="宋体"/>
          <w:color w:val="auto"/>
          <w:kern w:val="0"/>
          <w:highlight w:val="none"/>
        </w:rPr>
        <w:t>）技术标准和要求；</w:t>
      </w:r>
      <w:bookmarkStart w:id="131" w:name="bookmark921"/>
      <w:bookmarkEnd w:id="131"/>
      <w:r>
        <w:rPr>
          <w:rStyle w:val="32"/>
          <w:rFonts w:hint="eastAsia" w:ascii="Times New Roman" w:hAnsi="宋体" w:eastAsia="宋体" w:cs="宋体"/>
          <w:color w:val="auto"/>
          <w:kern w:val="0"/>
          <w:highlight w:val="none"/>
        </w:rPr>
        <w:t>（</w:t>
      </w:r>
      <w:r>
        <w:rPr>
          <w:rStyle w:val="32"/>
          <w:rFonts w:hint="eastAsia" w:ascii="Times New Roman" w:hAnsi="宋体" w:eastAsia="宋体" w:cs="宋体"/>
          <w:color w:val="auto"/>
          <w:kern w:val="0"/>
          <w:highlight w:val="none"/>
          <w:lang w:val="en-US" w:eastAsia="zh-CN"/>
        </w:rPr>
        <w:t>7</w:t>
      </w:r>
      <w:r>
        <w:rPr>
          <w:rStyle w:val="32"/>
          <w:rFonts w:hint="eastAsia" w:ascii="Times New Roman" w:hAnsi="宋体" w:eastAsia="宋体" w:cs="宋体"/>
          <w:color w:val="auto"/>
          <w:kern w:val="0"/>
          <w:highlight w:val="none"/>
        </w:rPr>
        <w:t>）图纸；</w:t>
      </w:r>
      <w:bookmarkStart w:id="132" w:name="bookmark922"/>
      <w:bookmarkEnd w:id="132"/>
      <w:r>
        <w:rPr>
          <w:rStyle w:val="32"/>
          <w:rFonts w:hint="eastAsia" w:ascii="Times New Roman" w:hAnsi="宋体" w:eastAsia="宋体" w:cs="宋体"/>
          <w:color w:val="auto"/>
          <w:kern w:val="0"/>
          <w:highlight w:val="none"/>
        </w:rPr>
        <w:t>（</w:t>
      </w:r>
      <w:r>
        <w:rPr>
          <w:rStyle w:val="32"/>
          <w:rFonts w:hint="eastAsia" w:ascii="Times New Roman" w:hAnsi="宋体" w:eastAsia="宋体" w:cs="宋体"/>
          <w:color w:val="auto"/>
          <w:kern w:val="0"/>
          <w:highlight w:val="none"/>
          <w:lang w:val="en-US" w:eastAsia="zh-CN"/>
        </w:rPr>
        <w:t>8</w:t>
      </w:r>
      <w:r>
        <w:rPr>
          <w:rStyle w:val="32"/>
          <w:rFonts w:hint="eastAsia" w:ascii="Times New Roman" w:hAnsi="宋体" w:eastAsia="宋体" w:cs="宋体"/>
          <w:color w:val="auto"/>
          <w:kern w:val="0"/>
          <w:highlight w:val="none"/>
        </w:rPr>
        <w:t>）已标价工程量清单；（</w:t>
      </w:r>
      <w:r>
        <w:rPr>
          <w:rStyle w:val="32"/>
          <w:rFonts w:hint="eastAsia" w:ascii="Times New Roman" w:hAnsi="宋体" w:eastAsia="宋体" w:cs="宋体"/>
          <w:color w:val="auto"/>
          <w:kern w:val="0"/>
          <w:highlight w:val="none"/>
          <w:lang w:val="en-US" w:eastAsia="zh-CN"/>
        </w:rPr>
        <w:t>9</w:t>
      </w:r>
      <w:r>
        <w:rPr>
          <w:rStyle w:val="32"/>
          <w:rFonts w:hint="eastAsia" w:ascii="Times New Roman" w:hAnsi="宋体" w:eastAsia="宋体" w:cs="宋体"/>
          <w:color w:val="auto"/>
          <w:kern w:val="0"/>
          <w:highlight w:val="none"/>
        </w:rPr>
        <w:t>）</w:t>
      </w:r>
      <w:r>
        <w:rPr>
          <w:rStyle w:val="32"/>
          <w:rFonts w:hint="eastAsia" w:ascii="Times New Roman" w:hAnsi="宋体" w:eastAsia="宋体" w:cs="宋体"/>
          <w:color w:val="auto"/>
          <w:kern w:val="0"/>
          <w:highlight w:val="none"/>
          <w:u w:val="none"/>
        </w:rPr>
        <w:t>其他合同文件：</w:t>
      </w:r>
    </w:p>
    <w:p w14:paraId="0B8DEF36">
      <w:pPr>
        <w:pStyle w:val="78"/>
        <w:spacing w:line="360" w:lineRule="auto"/>
        <w:ind w:firstLine="420" w:firstLineChars="200"/>
        <w:rPr>
          <w:rStyle w:val="32"/>
          <w:rFonts w:ascii="Calibri" w:hAnsi="宋体" w:eastAsia="宋体" w:cs="宋体"/>
          <w:color w:val="auto"/>
          <w:kern w:val="0"/>
          <w:highlight w:val="none"/>
        </w:rPr>
      </w:pPr>
      <w:r>
        <w:rPr>
          <w:rStyle w:val="32"/>
          <w:rFonts w:hint="eastAsia" w:ascii="Calibri" w:hAnsi="宋体" w:eastAsia="宋体" w:cs="宋体"/>
          <w:color w:val="auto"/>
          <w:kern w:val="0"/>
          <w:highlight w:val="none"/>
        </w:rPr>
        <w:t>上述各项合同文件包括合同当事人就该项合同文件所作出的补充和修改，属于同一类内容的文件，应以最新签署的为准（违反招标文件</w:t>
      </w:r>
      <w:r>
        <w:rPr>
          <w:rStyle w:val="32"/>
          <w:rFonts w:ascii="Calibri" w:hAnsi="宋体" w:eastAsia="宋体" w:cs="宋体"/>
          <w:color w:val="auto"/>
          <w:kern w:val="0"/>
          <w:highlight w:val="none"/>
        </w:rPr>
        <w:t>实质性内容的约定除外</w:t>
      </w:r>
      <w:r>
        <w:rPr>
          <w:rStyle w:val="32"/>
          <w:rFonts w:hint="eastAsia" w:ascii="Calibri" w:hAnsi="宋体" w:eastAsia="宋体" w:cs="宋体"/>
          <w:color w:val="auto"/>
          <w:kern w:val="0"/>
          <w:highlight w:val="none"/>
        </w:rPr>
        <w:t>）。专用合同条款及其附件须经合同当事人签字或盖章。</w:t>
      </w:r>
    </w:p>
    <w:p w14:paraId="4A0B3741">
      <w:pPr>
        <w:pStyle w:val="99"/>
        <w:spacing w:before="0" w:after="0" w:line="360" w:lineRule="auto"/>
        <w:rPr>
          <w:rStyle w:val="32"/>
          <w:rFonts w:ascii="Calibri" w:hAnsi="Calibri" w:eastAsia="宋体" w:cs="Times New Roman"/>
          <w:color w:val="auto"/>
          <w:highlight w:val="none"/>
        </w:rPr>
      </w:pPr>
      <w:bookmarkStart w:id="133" w:name="_Toc78449785"/>
      <w:bookmarkStart w:id="134" w:name="_Toc389065263"/>
      <w:bookmarkStart w:id="135" w:name="_Toc373227697"/>
      <w:bookmarkStart w:id="136" w:name="_Toc373478344"/>
      <w:bookmarkStart w:id="137" w:name="_Toc1537247101"/>
      <w:bookmarkStart w:id="138" w:name="_Toc1531480704"/>
      <w:bookmarkStart w:id="139" w:name="_Toc407135199"/>
      <w:r>
        <w:rPr>
          <w:rStyle w:val="32"/>
          <w:rFonts w:ascii="Calibri" w:hAnsi="Calibri" w:eastAsia="宋体" w:cs="Times New Roman"/>
          <w:color w:val="auto"/>
          <w:highlight w:val="none"/>
        </w:rPr>
        <w:t xml:space="preserve">1.6 </w:t>
      </w:r>
      <w:r>
        <w:rPr>
          <w:rStyle w:val="32"/>
          <w:rFonts w:hint="eastAsia" w:ascii="Calibri" w:hAnsi="Calibri" w:eastAsia="宋体" w:cs="黑体"/>
          <w:color w:val="auto"/>
          <w:sz w:val="28"/>
          <w:szCs w:val="28"/>
          <w:highlight w:val="none"/>
        </w:rPr>
        <w:t>图纸和承包人文件</w:t>
      </w:r>
      <w:bookmarkEnd w:id="133"/>
      <w:bookmarkEnd w:id="134"/>
      <w:bookmarkEnd w:id="135"/>
      <w:bookmarkEnd w:id="136"/>
      <w:bookmarkEnd w:id="137"/>
      <w:bookmarkEnd w:id="138"/>
      <w:bookmarkEnd w:id="139"/>
      <w:r>
        <w:rPr>
          <w:rStyle w:val="32"/>
          <w:rFonts w:ascii="Calibri" w:hAnsi="Calibri" w:eastAsia="宋体" w:cs="Times New Roman"/>
          <w:color w:val="auto"/>
          <w:highlight w:val="none"/>
        </w:rPr>
        <w:tab/>
      </w:r>
    </w:p>
    <w:p w14:paraId="4867FB92">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1.6.1 </w:t>
      </w:r>
      <w:r>
        <w:rPr>
          <w:rStyle w:val="32"/>
          <w:rFonts w:hint="eastAsia" w:ascii="Calibri" w:hAnsi="宋体" w:eastAsia="宋体" w:cs="宋体"/>
          <w:color w:val="auto"/>
          <w:highlight w:val="none"/>
        </w:rPr>
        <w:t>图纸的提供</w:t>
      </w:r>
    </w:p>
    <w:p w14:paraId="0CFD7233">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发包人向承包人提供图纸的期限：</w:t>
      </w:r>
      <w:r>
        <w:rPr>
          <w:rStyle w:val="32"/>
          <w:rFonts w:hint="eastAsia" w:ascii="Calibri" w:hAnsi="宋体" w:eastAsia="宋体" w:cs="宋体"/>
          <w:color w:val="auto"/>
          <w:highlight w:val="none"/>
          <w:u w:val="single"/>
        </w:rPr>
        <w:t>合同签订之日起7个工作日内提供施工图</w:t>
      </w:r>
      <w:r>
        <w:rPr>
          <w:rStyle w:val="32"/>
          <w:rFonts w:hint="eastAsia" w:ascii="Calibri" w:hAnsi="宋体" w:eastAsia="宋体" w:cs="宋体"/>
          <w:color w:val="auto"/>
          <w:highlight w:val="none"/>
        </w:rPr>
        <w:t>；</w:t>
      </w:r>
    </w:p>
    <w:p w14:paraId="78087C9A">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发包人向承包人提供图纸的数量：</w:t>
      </w:r>
      <w:r>
        <w:rPr>
          <w:rStyle w:val="32"/>
          <w:rFonts w:hint="eastAsia" w:ascii="Calibri" w:hAnsi="Calibri" w:eastAsia="宋体" w:cs="Times New Roman"/>
          <w:color w:val="auto"/>
          <w:highlight w:val="none"/>
          <w:u w:val="single"/>
          <w:lang w:val="en-US" w:eastAsia="zh-CN"/>
        </w:rPr>
        <w:t>一式</w:t>
      </w:r>
      <w:r>
        <w:rPr>
          <w:rStyle w:val="32"/>
          <w:rFonts w:hint="eastAsia" w:cs="Times New Roman"/>
          <w:color w:val="auto"/>
          <w:highlight w:val="none"/>
          <w:u w:val="single"/>
          <w:lang w:val="en-US" w:eastAsia="zh-CN"/>
        </w:rPr>
        <w:t>2</w:t>
      </w:r>
      <w:r>
        <w:rPr>
          <w:rStyle w:val="32"/>
          <w:rFonts w:hint="eastAsia" w:ascii="Calibri" w:hAnsi="Calibri" w:eastAsia="宋体" w:cs="Times New Roman"/>
          <w:color w:val="auto"/>
          <w:highlight w:val="none"/>
          <w:u w:val="single"/>
          <w:lang w:val="en-US" w:eastAsia="zh-CN"/>
        </w:rPr>
        <w:t>套，不足部分承包人可向发包人提请加晒，费用由承包人自理，标准图集由承包人自备</w:t>
      </w:r>
      <w:r>
        <w:rPr>
          <w:rStyle w:val="32"/>
          <w:rFonts w:hint="eastAsia" w:ascii="Calibri" w:hAnsi="宋体" w:eastAsia="宋体" w:cs="宋体"/>
          <w:color w:val="auto"/>
          <w:highlight w:val="none"/>
        </w:rPr>
        <w:t>；</w:t>
      </w:r>
    </w:p>
    <w:p w14:paraId="00286289">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发包人向承包人提供图纸的内容：</w:t>
      </w:r>
      <w:r>
        <w:rPr>
          <w:rStyle w:val="32"/>
          <w:rFonts w:hint="eastAsia" w:ascii="Calibri" w:hAnsi="宋体" w:eastAsia="宋体" w:cs="宋体"/>
          <w:color w:val="auto"/>
          <w:highlight w:val="none"/>
          <w:u w:val="single"/>
        </w:rPr>
        <w:t>以</w:t>
      </w:r>
      <w:r>
        <w:rPr>
          <w:rStyle w:val="32"/>
          <w:rFonts w:hint="eastAsia" w:ascii="Calibri" w:hAnsi="宋体" w:eastAsia="宋体" w:cs="宋体"/>
          <w:color w:val="auto"/>
          <w:highlight w:val="none"/>
          <w:u w:val="single"/>
          <w:lang w:val="en-US" w:eastAsia="zh-CN"/>
        </w:rPr>
        <w:t>经评审的</w:t>
      </w:r>
      <w:r>
        <w:rPr>
          <w:rStyle w:val="32"/>
          <w:rFonts w:hint="eastAsia" w:ascii="Calibri" w:hAnsi="宋体" w:eastAsia="宋体" w:cs="宋体"/>
          <w:color w:val="auto"/>
          <w:highlight w:val="none"/>
          <w:u w:val="single"/>
        </w:rPr>
        <w:t xml:space="preserve">设计单位的设计图纸为准 </w:t>
      </w:r>
      <w:r>
        <w:rPr>
          <w:rStyle w:val="32"/>
          <w:rFonts w:hint="eastAsia" w:ascii="Calibri" w:hAnsi="宋体" w:eastAsia="宋体" w:cs="宋体"/>
          <w:color w:val="auto"/>
          <w:highlight w:val="none"/>
        </w:rPr>
        <w:t>。</w:t>
      </w:r>
    </w:p>
    <w:p w14:paraId="3D2D9237">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1.6.4 </w:t>
      </w:r>
      <w:r>
        <w:rPr>
          <w:rStyle w:val="32"/>
          <w:rFonts w:hint="eastAsia" w:ascii="Calibri" w:hAnsi="宋体" w:eastAsia="宋体" w:cs="宋体"/>
          <w:color w:val="auto"/>
          <w:highlight w:val="none"/>
        </w:rPr>
        <w:t>承包人文件</w:t>
      </w:r>
    </w:p>
    <w:p w14:paraId="346E8E04">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需要由承包人提供的文件，包括：</w:t>
      </w:r>
      <w:r>
        <w:rPr>
          <w:rStyle w:val="32"/>
          <w:rFonts w:hint="eastAsia" w:ascii="Calibri" w:hAnsi="宋体" w:eastAsia="宋体" w:cs="宋体"/>
          <w:color w:val="auto"/>
          <w:highlight w:val="none"/>
          <w:u w:val="single"/>
        </w:rPr>
        <w:t>建设行政主管部门和发包人需要与工程有关的相关文件资料等</w:t>
      </w:r>
      <w:r>
        <w:rPr>
          <w:rStyle w:val="32"/>
          <w:rFonts w:hint="eastAsia" w:ascii="Calibri" w:hAnsi="宋体" w:eastAsia="宋体" w:cs="宋体"/>
          <w:color w:val="auto"/>
          <w:highlight w:val="none"/>
        </w:rPr>
        <w:t>；</w:t>
      </w:r>
    </w:p>
    <w:p w14:paraId="7B43791F">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承包人提供的文件的期限为：</w:t>
      </w:r>
      <w:r>
        <w:rPr>
          <w:rStyle w:val="32"/>
          <w:rFonts w:hint="eastAsia" w:ascii="Calibri" w:hAnsi="宋体" w:eastAsia="宋体" w:cs="宋体"/>
          <w:color w:val="auto"/>
          <w:highlight w:val="none"/>
          <w:u w:val="single"/>
        </w:rPr>
        <w:t>按现场监理工程师根据工程进度提出的时间要求</w:t>
      </w:r>
      <w:r>
        <w:rPr>
          <w:rStyle w:val="32"/>
          <w:rFonts w:hint="eastAsia" w:ascii="Calibri" w:hAnsi="宋体" w:eastAsia="宋体" w:cs="宋体"/>
          <w:color w:val="auto"/>
          <w:highlight w:val="none"/>
        </w:rPr>
        <w:t>；</w:t>
      </w:r>
    </w:p>
    <w:p w14:paraId="4360CDCD">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承包人提供的文件的数量为：</w:t>
      </w:r>
      <w:r>
        <w:rPr>
          <w:rStyle w:val="32"/>
          <w:rFonts w:hint="eastAsia" w:cs="Times New Roman"/>
          <w:color w:val="auto"/>
          <w:highlight w:val="none"/>
          <w:u w:val="single"/>
          <w:lang w:val="en-US" w:eastAsia="zh-CN"/>
        </w:rPr>
        <w:t>肆份</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03FAFEEB">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承包人提供的文件的形式为：</w:t>
      </w:r>
      <w:r>
        <w:rPr>
          <w:rStyle w:val="32"/>
          <w:rFonts w:hint="eastAsia" w:ascii="Calibri" w:hAnsi="宋体" w:eastAsia="宋体" w:cs="宋体"/>
          <w:color w:val="auto"/>
          <w:highlight w:val="none"/>
          <w:u w:val="single"/>
        </w:rPr>
        <w:t>符合发包人要求签章齐全的正式书面文件</w:t>
      </w:r>
      <w:r>
        <w:rPr>
          <w:rStyle w:val="32"/>
          <w:rFonts w:hint="eastAsia" w:hAnsi="宋体" w:cs="宋体"/>
          <w:color w:val="auto"/>
          <w:highlight w:val="none"/>
          <w:u w:val="single"/>
          <w:lang w:val="en-US" w:eastAsia="zh-CN"/>
        </w:rPr>
        <w:t>及电子文档</w:t>
      </w:r>
      <w:r>
        <w:rPr>
          <w:rStyle w:val="32"/>
          <w:rFonts w:ascii="Calibri" w:hAnsi="宋体" w:eastAsia="宋体" w:cs="Times New Roman"/>
          <w:color w:val="auto"/>
          <w:highlight w:val="none"/>
          <w:u w:val="single"/>
        </w:rPr>
        <w:t xml:space="preserve"> </w:t>
      </w:r>
      <w:r>
        <w:rPr>
          <w:rStyle w:val="32"/>
          <w:rFonts w:hint="eastAsia" w:ascii="Calibri" w:hAnsi="宋体" w:eastAsia="宋体" w:cs="宋体"/>
          <w:color w:val="auto"/>
          <w:highlight w:val="none"/>
        </w:rPr>
        <w:t>；</w:t>
      </w:r>
    </w:p>
    <w:p w14:paraId="416E5028">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发包人审批承包人文件的期限：</w:t>
      </w:r>
      <w:r>
        <w:rPr>
          <w:rStyle w:val="32"/>
          <w:rFonts w:hint="eastAsia" w:ascii="Calibri" w:hAnsi="宋体" w:eastAsia="宋体" w:cs="宋体"/>
          <w:color w:val="auto"/>
          <w:highlight w:val="none"/>
          <w:u w:val="single"/>
        </w:rPr>
        <w:t>发包人收到监理人审查无异议的文件后 7 天内审查完毕</w:t>
      </w:r>
      <w:r>
        <w:rPr>
          <w:rStyle w:val="32"/>
          <w:rFonts w:hint="eastAsia" w:ascii="Calibri" w:hAnsi="宋体" w:eastAsia="宋体" w:cs="宋体"/>
          <w:color w:val="auto"/>
          <w:highlight w:val="none"/>
        </w:rPr>
        <w:t>。</w:t>
      </w:r>
    </w:p>
    <w:p w14:paraId="4771111C">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1.6.5 </w:t>
      </w:r>
      <w:r>
        <w:rPr>
          <w:rStyle w:val="32"/>
          <w:rFonts w:hint="eastAsia" w:ascii="Calibri" w:hAnsi="宋体" w:eastAsia="宋体" w:cs="宋体"/>
          <w:color w:val="auto"/>
          <w:highlight w:val="none"/>
        </w:rPr>
        <w:t>现场图纸准备</w:t>
      </w:r>
    </w:p>
    <w:p w14:paraId="0AC1CAEA">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关于现场图纸准备的约定：</w:t>
      </w:r>
      <w:r>
        <w:rPr>
          <w:rStyle w:val="32"/>
          <w:rFonts w:hint="eastAsia" w:ascii="Calibri" w:hAnsi="宋体" w:eastAsia="宋体" w:cs="宋体"/>
          <w:color w:val="auto"/>
          <w:highlight w:val="none"/>
          <w:u w:val="single"/>
        </w:rPr>
        <w:t>承包人应在施工现场另外保存一套完整的图纸和承包人文件，供发包人、监理人及有关人员进行工程检查时使用</w:t>
      </w:r>
      <w:r>
        <w:rPr>
          <w:rStyle w:val="32"/>
          <w:rFonts w:ascii="Calibri" w:hAnsi="宋体" w:eastAsia="宋体" w:cs="Times New Roman"/>
          <w:color w:val="auto"/>
          <w:highlight w:val="none"/>
          <w:u w:val="single"/>
        </w:rPr>
        <w:t xml:space="preserve"> </w:t>
      </w:r>
      <w:r>
        <w:rPr>
          <w:rStyle w:val="32"/>
          <w:rFonts w:hint="eastAsia" w:ascii="Calibri" w:hAnsi="宋体" w:eastAsia="宋体" w:cs="宋体"/>
          <w:color w:val="auto"/>
          <w:highlight w:val="none"/>
        </w:rPr>
        <w:t>。</w:t>
      </w:r>
    </w:p>
    <w:p w14:paraId="6A2CF3B1">
      <w:pPr>
        <w:pStyle w:val="99"/>
        <w:spacing w:before="0" w:after="0" w:line="360" w:lineRule="auto"/>
        <w:rPr>
          <w:rStyle w:val="32"/>
          <w:rFonts w:ascii="Calibri" w:hAnsi="Calibri" w:eastAsia="宋体" w:cs="Times New Roman"/>
          <w:color w:val="auto"/>
          <w:highlight w:val="none"/>
        </w:rPr>
      </w:pPr>
      <w:bookmarkStart w:id="140" w:name="_Toc373227698"/>
      <w:bookmarkStart w:id="141" w:name="_Toc407135200"/>
      <w:bookmarkStart w:id="142" w:name="_Toc389065264"/>
      <w:bookmarkStart w:id="143" w:name="_Toc78449786"/>
      <w:bookmarkStart w:id="144" w:name="_Toc110523719"/>
      <w:bookmarkStart w:id="145" w:name="_Toc1944260835"/>
      <w:bookmarkStart w:id="146" w:name="_Toc373478345"/>
      <w:r>
        <w:rPr>
          <w:rStyle w:val="32"/>
          <w:rFonts w:ascii="Calibri" w:hAnsi="Calibri" w:eastAsia="宋体" w:cs="Times New Roman"/>
          <w:color w:val="auto"/>
          <w:highlight w:val="none"/>
        </w:rPr>
        <w:t xml:space="preserve">1.7 </w:t>
      </w:r>
      <w:r>
        <w:rPr>
          <w:rStyle w:val="32"/>
          <w:rFonts w:hint="eastAsia" w:ascii="Calibri" w:hAnsi="宋体" w:eastAsia="宋体" w:cs="黑体"/>
          <w:color w:val="auto"/>
          <w:sz w:val="28"/>
          <w:szCs w:val="28"/>
          <w:highlight w:val="none"/>
        </w:rPr>
        <w:t>联络</w:t>
      </w:r>
      <w:bookmarkEnd w:id="140"/>
      <w:bookmarkEnd w:id="141"/>
      <w:bookmarkEnd w:id="142"/>
      <w:bookmarkEnd w:id="143"/>
      <w:bookmarkEnd w:id="144"/>
      <w:bookmarkEnd w:id="145"/>
      <w:bookmarkEnd w:id="146"/>
    </w:p>
    <w:p w14:paraId="278EFF35">
      <w:pPr>
        <w:pStyle w:val="78"/>
        <w:spacing w:line="360" w:lineRule="auto"/>
        <w:ind w:firstLine="420" w:firstLineChars="200"/>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1.7.1</w:t>
      </w:r>
      <w:r>
        <w:rPr>
          <w:rStyle w:val="32"/>
          <w:rFonts w:hint="eastAsia" w:ascii="Calibri" w:hAnsi="宋体" w:eastAsia="宋体" w:cs="宋体"/>
          <w:color w:val="auto"/>
          <w:kern w:val="0"/>
          <w:highlight w:val="none"/>
        </w:rPr>
        <w:t>发包人和承包人应当在</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7</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kern w:val="0"/>
          <w:highlight w:val="none"/>
        </w:rPr>
        <w:t>天内将与合同有关的通知、批准、证明、证书、指示、指令、要求、请求、同意、意见、确定和决定等书面函件送达对方当事人。</w:t>
      </w:r>
    </w:p>
    <w:p w14:paraId="2C8D14E7">
      <w:pPr>
        <w:pStyle w:val="78"/>
        <w:spacing w:line="360" w:lineRule="auto"/>
        <w:ind w:firstLine="420" w:firstLineChars="200"/>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1.7.2 </w:t>
      </w:r>
      <w:r>
        <w:rPr>
          <w:rStyle w:val="32"/>
          <w:rFonts w:hint="eastAsia" w:ascii="Calibri" w:hAnsi="宋体" w:eastAsia="宋体" w:cs="宋体"/>
          <w:color w:val="auto"/>
          <w:kern w:val="0"/>
          <w:highlight w:val="none"/>
        </w:rPr>
        <w:t>发包人接收文件的地点：</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项目施工项目部或发包人办公地点</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kern w:val="0"/>
          <w:highlight w:val="none"/>
        </w:rPr>
        <w:t>；</w:t>
      </w:r>
    </w:p>
    <w:p w14:paraId="4941D290">
      <w:pPr>
        <w:pStyle w:val="78"/>
        <w:spacing w:line="360" w:lineRule="auto"/>
        <w:ind w:firstLine="420" w:firstLineChars="200"/>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发包人指定的接收人为：</w:t>
      </w:r>
      <w:r>
        <w:rPr>
          <w:rStyle w:val="32"/>
          <w:rFonts w:hint="eastAsia" w:ascii="Calibri" w:hAnsi="Calibri" w:eastAsia="宋体" w:cs="Times New Roman"/>
          <w:color w:val="auto"/>
          <w:highlight w:val="none"/>
          <w:u w:val="single"/>
        </w:rPr>
        <w:t xml:space="preserve">建设单位现场代表 </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kern w:val="0"/>
          <w:highlight w:val="none"/>
        </w:rPr>
        <w:t>。</w:t>
      </w:r>
    </w:p>
    <w:p w14:paraId="4EB89BAB">
      <w:pPr>
        <w:pStyle w:val="78"/>
        <w:spacing w:line="360" w:lineRule="auto"/>
        <w:ind w:firstLine="420" w:firstLineChars="200"/>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承包人接收文件的地点：</w:t>
      </w:r>
      <w:r>
        <w:rPr>
          <w:rStyle w:val="32"/>
          <w:rFonts w:hint="eastAsia" w:ascii="Calibri" w:hAnsi="Calibri" w:eastAsia="宋体" w:cs="Times New Roman"/>
          <w:color w:val="auto"/>
          <w:highlight w:val="none"/>
          <w:u w:val="single"/>
        </w:rPr>
        <w:t>承包人施工现场管理机构的办公地点</w:t>
      </w:r>
      <w:r>
        <w:rPr>
          <w:rStyle w:val="32"/>
          <w:rFonts w:hint="eastAsia" w:ascii="Calibri" w:hAnsi="宋体" w:eastAsia="宋体" w:cs="宋体"/>
          <w:color w:val="auto"/>
          <w:kern w:val="0"/>
          <w:highlight w:val="none"/>
        </w:rPr>
        <w:t>；</w:t>
      </w:r>
    </w:p>
    <w:p w14:paraId="16F9D08D">
      <w:pPr>
        <w:pStyle w:val="78"/>
        <w:spacing w:line="360" w:lineRule="auto"/>
        <w:ind w:firstLine="420" w:firstLineChars="200"/>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承包人指定的接收人为：</w:t>
      </w:r>
      <w:r>
        <w:rPr>
          <w:rStyle w:val="32"/>
          <w:rFonts w:hint="eastAsia" w:ascii="Calibri" w:hAnsi="Calibri" w:eastAsia="宋体" w:cs="Times New Roman"/>
          <w:color w:val="auto"/>
          <w:highlight w:val="none"/>
          <w:u w:val="single"/>
        </w:rPr>
        <w:t>合同协议书中载明的承包人项目经理本人或者项目经理的授权代表</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kern w:val="0"/>
          <w:highlight w:val="none"/>
        </w:rPr>
        <w:t>。</w:t>
      </w:r>
    </w:p>
    <w:p w14:paraId="583FB3FB">
      <w:pPr>
        <w:pStyle w:val="78"/>
        <w:spacing w:line="360" w:lineRule="auto"/>
        <w:ind w:firstLine="420" w:firstLineChars="200"/>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监理人接收文件的地点：</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 xml:space="preserve">项目监理部 </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kern w:val="0"/>
          <w:highlight w:val="none"/>
        </w:rPr>
        <w:t>；</w:t>
      </w:r>
    </w:p>
    <w:p w14:paraId="7AB5FD1F">
      <w:pPr>
        <w:pStyle w:val="78"/>
        <w:spacing w:line="360" w:lineRule="auto"/>
        <w:ind w:firstLine="420" w:firstLineChars="200"/>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监理人指定的接收人为：</w:t>
      </w:r>
      <w:r>
        <w:rPr>
          <w:rStyle w:val="32"/>
          <w:rFonts w:hint="eastAsia" w:ascii="Calibri" w:hAnsi="Calibri" w:eastAsia="宋体" w:cs="Times New Roman"/>
          <w:color w:val="auto"/>
          <w:highlight w:val="none"/>
          <w:u w:val="single"/>
        </w:rPr>
        <w:t>现场监理工程师</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kern w:val="0"/>
          <w:highlight w:val="none"/>
        </w:rPr>
        <w:t>。</w:t>
      </w:r>
    </w:p>
    <w:p w14:paraId="2BF3643A">
      <w:pPr>
        <w:pStyle w:val="99"/>
        <w:spacing w:before="0" w:after="0" w:line="360" w:lineRule="auto"/>
        <w:rPr>
          <w:rStyle w:val="32"/>
          <w:rFonts w:ascii="Calibri" w:hAnsi="Calibri" w:eastAsia="宋体" w:cs="Times New Roman"/>
          <w:color w:val="auto"/>
          <w:highlight w:val="none"/>
        </w:rPr>
      </w:pPr>
      <w:bookmarkStart w:id="147" w:name="_Toc373478346"/>
      <w:bookmarkStart w:id="148" w:name="_Toc373227699"/>
      <w:bookmarkStart w:id="149" w:name="_Toc78449787"/>
      <w:bookmarkStart w:id="150" w:name="_Toc389065265"/>
      <w:bookmarkStart w:id="151" w:name="_Toc407135201"/>
      <w:bookmarkStart w:id="152" w:name="_Toc224348539"/>
      <w:bookmarkStart w:id="153" w:name="_Toc1387231545"/>
      <w:r>
        <w:rPr>
          <w:rStyle w:val="32"/>
          <w:rFonts w:ascii="Calibri" w:hAnsi="Calibri" w:eastAsia="宋体" w:cs="Times New Roman"/>
          <w:color w:val="auto"/>
          <w:highlight w:val="none"/>
        </w:rPr>
        <w:t xml:space="preserve">1.10 </w:t>
      </w:r>
      <w:r>
        <w:rPr>
          <w:rStyle w:val="32"/>
          <w:rFonts w:hint="eastAsia" w:ascii="Calibri" w:hAnsi="宋体" w:eastAsia="宋体" w:cs="黑体"/>
          <w:color w:val="auto"/>
          <w:sz w:val="28"/>
          <w:szCs w:val="28"/>
          <w:highlight w:val="none"/>
        </w:rPr>
        <w:t>交通运输</w:t>
      </w:r>
      <w:bookmarkEnd w:id="147"/>
      <w:bookmarkEnd w:id="148"/>
      <w:bookmarkEnd w:id="149"/>
      <w:bookmarkEnd w:id="150"/>
      <w:bookmarkEnd w:id="151"/>
      <w:bookmarkEnd w:id="152"/>
      <w:bookmarkEnd w:id="153"/>
    </w:p>
    <w:p w14:paraId="11AA497F">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1</w:t>
      </w:r>
      <w:bookmarkStart w:id="154" w:name="_Toc318581155"/>
      <w:bookmarkStart w:id="155" w:name="_Toc304295521"/>
      <w:bookmarkStart w:id="156" w:name="_Toc300934943"/>
      <w:bookmarkStart w:id="157" w:name="_Toc312677986"/>
      <w:bookmarkStart w:id="158" w:name="_Toc303539100"/>
      <w:r>
        <w:rPr>
          <w:rStyle w:val="32"/>
          <w:rFonts w:ascii="Calibri" w:hAnsi="Calibri" w:eastAsia="宋体" w:cs="Times New Roman"/>
          <w:color w:val="auto"/>
          <w:highlight w:val="none"/>
        </w:rPr>
        <w:t xml:space="preserve">.10.1 </w:t>
      </w:r>
      <w:r>
        <w:rPr>
          <w:rStyle w:val="32"/>
          <w:rFonts w:hint="eastAsia" w:ascii="Calibri" w:hAnsi="宋体" w:eastAsia="宋体" w:cs="宋体"/>
          <w:color w:val="auto"/>
          <w:highlight w:val="none"/>
        </w:rPr>
        <w:t>出入现场的权利</w:t>
      </w:r>
    </w:p>
    <w:p w14:paraId="31A91AE3">
      <w:pPr>
        <w:pStyle w:val="78"/>
        <w:spacing w:line="360" w:lineRule="auto"/>
        <w:ind w:firstLine="420" w:firstLineChars="200"/>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关于出入现场的权利的约定：</w:t>
      </w:r>
      <w:r>
        <w:rPr>
          <w:rStyle w:val="32"/>
          <w:rFonts w:hint="eastAsia" w:hAnsi="宋体" w:cs="宋体"/>
          <w:color w:val="auto"/>
          <w:highlight w:val="none"/>
          <w:u w:val="single"/>
          <w:lang w:val="en-US" w:eastAsia="zh-CN"/>
        </w:rPr>
        <w:t>承包人应在投标</w:t>
      </w:r>
      <w:r>
        <w:rPr>
          <w:rStyle w:val="32"/>
          <w:rFonts w:hint="eastAsia" w:ascii="Calibri" w:hAnsi="宋体" w:eastAsia="宋体" w:cs="宋体"/>
          <w:color w:val="auto"/>
          <w:highlight w:val="none"/>
          <w:u w:val="single"/>
        </w:rPr>
        <w:t>前自行实地查勘施工现场，并合理预见本项目施工所需进出现场的方式、手段、路径、所需要的行政审批手续等。由此产生的相关费用、对工期的影响等事项承包人签约时均已予以考虑在投标报价内</w:t>
      </w:r>
      <w:r>
        <w:rPr>
          <w:rStyle w:val="32"/>
          <w:rFonts w:hint="eastAsia" w:hAnsi="宋体" w:cs="宋体"/>
          <w:color w:val="auto"/>
          <w:highlight w:val="none"/>
          <w:u w:val="single"/>
          <w:lang w:eastAsia="zh-CN"/>
        </w:rPr>
        <w:t>，发包人和监理人有权无偿使用承包人修建的临时道路和交通设施，不需要交纳任何费用</w:t>
      </w:r>
      <w:r>
        <w:rPr>
          <w:rStyle w:val="32"/>
          <w:rFonts w:hint="eastAsia" w:ascii="Calibri" w:hAnsi="宋体" w:eastAsia="宋体" w:cs="宋体"/>
          <w:color w:val="auto"/>
          <w:highlight w:val="none"/>
        </w:rPr>
        <w:t>。</w:t>
      </w:r>
    </w:p>
    <w:bookmarkEnd w:id="154"/>
    <w:bookmarkEnd w:id="155"/>
    <w:bookmarkEnd w:id="156"/>
    <w:bookmarkEnd w:id="157"/>
    <w:bookmarkEnd w:id="158"/>
    <w:p w14:paraId="4E13AEB3">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1</w:t>
      </w:r>
      <w:bookmarkStart w:id="159" w:name="_Toc318581156"/>
      <w:bookmarkStart w:id="160" w:name="_Toc312677987"/>
      <w:bookmarkStart w:id="161" w:name="_Toc300934944"/>
      <w:bookmarkStart w:id="162" w:name="_Toc304295522"/>
      <w:bookmarkStart w:id="163" w:name="_Toc303539101"/>
      <w:r>
        <w:rPr>
          <w:rStyle w:val="32"/>
          <w:rFonts w:ascii="Calibri" w:hAnsi="Calibri" w:eastAsia="宋体" w:cs="Times New Roman"/>
          <w:color w:val="auto"/>
          <w:highlight w:val="none"/>
        </w:rPr>
        <w:t xml:space="preserve">.10.3 </w:t>
      </w:r>
      <w:r>
        <w:rPr>
          <w:rStyle w:val="32"/>
          <w:rFonts w:hint="eastAsia" w:ascii="Calibri" w:hAnsi="宋体" w:eastAsia="宋体" w:cs="宋体"/>
          <w:color w:val="auto"/>
          <w:highlight w:val="none"/>
        </w:rPr>
        <w:t>场内交通</w:t>
      </w:r>
    </w:p>
    <w:p w14:paraId="17CAE79D">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关于场外交通和场内交通的边界的约定：</w:t>
      </w:r>
      <w:r>
        <w:rPr>
          <w:rStyle w:val="32"/>
          <w:rFonts w:hint="eastAsia" w:ascii="Calibri" w:hAnsi="宋体" w:eastAsia="宋体" w:cs="宋体"/>
          <w:color w:val="auto"/>
          <w:kern w:val="0"/>
          <w:highlight w:val="none"/>
          <w:u w:val="single"/>
        </w:rPr>
        <w:t>以工程项目规划红线图的边界为准</w:t>
      </w:r>
      <w:r>
        <w:rPr>
          <w:rStyle w:val="32"/>
          <w:rFonts w:hint="eastAsia" w:ascii="Calibri" w:hAnsi="宋体" w:eastAsia="宋体" w:cs="宋体"/>
          <w:color w:val="auto"/>
          <w:highlight w:val="none"/>
        </w:rPr>
        <w:t>。</w:t>
      </w:r>
    </w:p>
    <w:p w14:paraId="72696957">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宋体" w:eastAsia="宋体" w:cs="Times New Roman"/>
          <w:color w:val="auto"/>
          <w:highlight w:val="none"/>
        </w:rPr>
        <w:t>关于发包人向承包人免费提供满足工程施工需要的场内道路和交通设施的约定：</w:t>
      </w:r>
      <w:r>
        <w:rPr>
          <w:rStyle w:val="32"/>
          <w:rFonts w:hint="eastAsia" w:ascii="Calibri" w:hAnsi="宋体" w:eastAsia="宋体" w:cs="Times New Roman"/>
          <w:color w:val="auto"/>
          <w:highlight w:val="none"/>
          <w:u w:val="single"/>
        </w:rPr>
        <w:t>场内道路及交通设施由承包人负责修建，相关费用已经包含在工程价款中，承包人在报价的时候已经予以考虑</w:t>
      </w:r>
      <w:r>
        <w:rPr>
          <w:rStyle w:val="32"/>
          <w:rFonts w:ascii="Calibri" w:hAnsi="宋体" w:eastAsia="宋体" w:cs="Times New Roman"/>
          <w:color w:val="auto"/>
          <w:highlight w:val="none"/>
        </w:rPr>
        <w:t>。</w:t>
      </w:r>
    </w:p>
    <w:bookmarkEnd w:id="159"/>
    <w:bookmarkEnd w:id="160"/>
    <w:bookmarkEnd w:id="161"/>
    <w:bookmarkEnd w:id="162"/>
    <w:bookmarkEnd w:id="163"/>
    <w:p w14:paraId="045F841C">
      <w:pPr>
        <w:pStyle w:val="78"/>
        <w:spacing w:line="360" w:lineRule="auto"/>
        <w:ind w:firstLine="420" w:firstLineChars="200"/>
        <w:jc w:val="left"/>
        <w:rPr>
          <w:rStyle w:val="32"/>
          <w:rFonts w:ascii="Calibri" w:hAnsi="Calibri" w:eastAsia="宋体" w:cs="Times New Roman"/>
          <w:color w:val="auto"/>
          <w:highlight w:val="none"/>
        </w:rPr>
      </w:pPr>
      <w:bookmarkStart w:id="164" w:name="_Toc318581157"/>
      <w:r>
        <w:rPr>
          <w:rStyle w:val="32"/>
          <w:rFonts w:ascii="Calibri" w:hAnsi="Calibri" w:eastAsia="宋体" w:cs="Times New Roman"/>
          <w:color w:val="auto"/>
          <w:highlight w:val="none"/>
        </w:rPr>
        <w:t xml:space="preserve">1.10.4 </w:t>
      </w:r>
      <w:r>
        <w:rPr>
          <w:rStyle w:val="32"/>
          <w:rFonts w:hint="eastAsia" w:ascii="Calibri" w:hAnsi="宋体" w:eastAsia="宋体" w:cs="宋体"/>
          <w:color w:val="auto"/>
          <w:highlight w:val="none"/>
        </w:rPr>
        <w:t>超大件和超重件的运输</w:t>
      </w:r>
    </w:p>
    <w:p w14:paraId="4A226C73">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运输超大件或超重件所需的道路和桥梁临时加固改造费用和其他有关费用由</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承包人</w:t>
      </w:r>
      <w:r>
        <w:rPr>
          <w:rStyle w:val="32"/>
          <w:rFonts w:hint="eastAsia" w:ascii="Calibri" w:hAnsi="宋体" w:eastAsia="宋体" w:cs="宋体"/>
          <w:color w:val="auto"/>
          <w:highlight w:val="none"/>
        </w:rPr>
        <w:t>承担。</w:t>
      </w:r>
    </w:p>
    <w:bookmarkEnd w:id="164"/>
    <w:p w14:paraId="3448A971">
      <w:pPr>
        <w:pStyle w:val="99"/>
        <w:spacing w:before="0" w:after="0" w:line="360" w:lineRule="auto"/>
        <w:rPr>
          <w:rStyle w:val="32"/>
          <w:rFonts w:ascii="Calibri" w:hAnsi="Calibri" w:eastAsia="宋体" w:cs="Times New Roman"/>
          <w:color w:val="auto"/>
          <w:highlight w:val="none"/>
        </w:rPr>
      </w:pPr>
      <w:bookmarkStart w:id="165" w:name="_Toc78449788"/>
      <w:bookmarkStart w:id="166" w:name="_Toc373478347"/>
      <w:bookmarkStart w:id="167" w:name="_Toc389065266"/>
      <w:bookmarkStart w:id="168" w:name="_Toc407135202"/>
      <w:bookmarkStart w:id="169" w:name="_Toc373227700"/>
      <w:bookmarkStart w:id="170" w:name="_Toc1495098807"/>
      <w:bookmarkStart w:id="171" w:name="_Toc512841653"/>
      <w:r>
        <w:rPr>
          <w:rStyle w:val="32"/>
          <w:rFonts w:ascii="Calibri" w:hAnsi="Calibri" w:eastAsia="宋体" w:cs="Times New Roman"/>
          <w:color w:val="auto"/>
          <w:highlight w:val="none"/>
        </w:rPr>
        <w:t xml:space="preserve">1.11 </w:t>
      </w:r>
      <w:r>
        <w:rPr>
          <w:rStyle w:val="32"/>
          <w:rFonts w:hint="eastAsia" w:ascii="Calibri" w:hAnsi="宋体" w:eastAsia="宋体" w:cs="黑体"/>
          <w:color w:val="auto"/>
          <w:sz w:val="28"/>
          <w:szCs w:val="28"/>
          <w:highlight w:val="none"/>
        </w:rPr>
        <w:t>知识产权</w:t>
      </w:r>
      <w:bookmarkEnd w:id="165"/>
      <w:bookmarkEnd w:id="166"/>
      <w:bookmarkEnd w:id="167"/>
      <w:bookmarkEnd w:id="168"/>
      <w:bookmarkEnd w:id="169"/>
      <w:bookmarkEnd w:id="170"/>
      <w:bookmarkEnd w:id="171"/>
    </w:p>
    <w:p w14:paraId="2C3DBDE2">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1.11.1 </w:t>
      </w:r>
      <w:r>
        <w:rPr>
          <w:rStyle w:val="32"/>
          <w:rFonts w:hint="eastAsia" w:ascii="Calibri" w:hAnsi="宋体" w:eastAsia="宋体" w:cs="宋体"/>
          <w:color w:val="auto"/>
          <w:highlight w:val="none"/>
        </w:rPr>
        <w:t>关于发包人提供给承包人的图纸、发包人为实施工程自行编制或委托编制的技术规范以及反映发包人关于合同要求或其他类似性质的文件的著作权的归属：</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发包人</w:t>
      </w:r>
      <w:r>
        <w:rPr>
          <w:rStyle w:val="32"/>
          <w:rFonts w:hint="eastAsia" w:ascii="Calibri" w:hAnsi="Calibri" w:eastAsia="宋体" w:cs="Times New Roman"/>
          <w:color w:val="auto"/>
          <w:highlight w:val="none"/>
          <w:u w:val="single"/>
        </w:rPr>
        <w:t xml:space="preserve">       </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20F82BA">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关于发包人提供的上述文件的使用限制的要求：</w:t>
      </w:r>
      <w:r>
        <w:rPr>
          <w:rStyle w:val="32"/>
          <w:rFonts w:hint="eastAsia" w:ascii="Calibri" w:hAnsi="宋体" w:eastAsia="宋体" w:cs="宋体"/>
          <w:color w:val="auto"/>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rStyle w:val="32"/>
          <w:rFonts w:hint="eastAsia" w:ascii="Calibri" w:hAnsi="宋体" w:eastAsia="宋体" w:cs="宋体"/>
          <w:color w:val="auto"/>
          <w:highlight w:val="none"/>
        </w:rPr>
        <w:t>。</w:t>
      </w:r>
    </w:p>
    <w:p w14:paraId="53A4B058">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1.11.2 </w:t>
      </w:r>
      <w:r>
        <w:rPr>
          <w:rStyle w:val="32"/>
          <w:rFonts w:hint="eastAsia" w:ascii="Calibri" w:hAnsi="宋体" w:eastAsia="宋体" w:cs="宋体"/>
          <w:color w:val="auto"/>
          <w:highlight w:val="none"/>
        </w:rPr>
        <w:t>关于承包人为实施工程所编制文件的著作权的归属：</w:t>
      </w:r>
      <w:r>
        <w:rPr>
          <w:rStyle w:val="32"/>
          <w:rFonts w:hint="eastAsia" w:ascii="Calibri" w:hAnsi="Calibri" w:eastAsia="宋体" w:cs="Times New Roman"/>
          <w:color w:val="auto"/>
          <w:highlight w:val="none"/>
          <w:u w:val="single"/>
        </w:rPr>
        <w:t>承包人</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6FDEA8BD">
      <w:pPr>
        <w:pStyle w:val="78"/>
        <w:spacing w:line="360" w:lineRule="auto"/>
        <w:ind w:firstLine="420" w:firstLineChars="200"/>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关于承包人提供的上述文件的使用限制的要求：</w:t>
      </w:r>
      <w:r>
        <w:rPr>
          <w:rStyle w:val="32"/>
          <w:rFonts w:hint="eastAsia" w:ascii="Calibri" w:hAnsi="Calibri" w:eastAsia="宋体" w:cs="Times New Roman"/>
          <w:color w:val="auto"/>
          <w:highlight w:val="none"/>
          <w:u w:val="single"/>
        </w:rPr>
        <w:t>承包人可因本工程的运行、调试、维修、改造等目的而复制、使用此类文件，但不能用于与合同无关的其他事项。未经发包人书面同意，承包人不能为了合同以外的目的而复制、使用上述文件或将之提供给任何第三方</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39944EBC">
      <w:pPr>
        <w:pStyle w:val="78"/>
        <w:spacing w:line="360" w:lineRule="auto"/>
        <w:ind w:firstLine="420" w:firstLineChars="200"/>
        <w:rPr>
          <w:rStyle w:val="32"/>
          <w:rFonts w:ascii="Calibri" w:hAnsi="宋体" w:eastAsia="宋体" w:cs="Times New Roman"/>
          <w:color w:val="auto"/>
          <w:highlight w:val="none"/>
          <w:u w:val="single"/>
        </w:rPr>
      </w:pPr>
      <w:r>
        <w:rPr>
          <w:rStyle w:val="32"/>
          <w:rFonts w:ascii="Calibri" w:hAnsi="Calibri" w:eastAsia="宋体" w:cs="Times New Roman"/>
          <w:color w:val="auto"/>
          <w:highlight w:val="none"/>
        </w:rPr>
        <w:t xml:space="preserve">1.11.4 </w:t>
      </w:r>
      <w:r>
        <w:rPr>
          <w:rStyle w:val="32"/>
          <w:rFonts w:hint="eastAsia" w:ascii="Calibri" w:hAnsi="宋体" w:eastAsia="宋体" w:cs="宋体"/>
          <w:color w:val="auto"/>
          <w:highlight w:val="none"/>
        </w:rPr>
        <w:t>承包人在施工过程中所采用的专利、专有技术、技术秘密的使用费的承担方式：</w:t>
      </w:r>
    </w:p>
    <w:p w14:paraId="08B5AE16">
      <w:pPr>
        <w:pStyle w:val="78"/>
        <w:spacing w:line="360" w:lineRule="auto"/>
        <w:rPr>
          <w:rStyle w:val="32"/>
          <w:rFonts w:ascii="Calibri" w:hAnsi="Calibri" w:eastAsia="宋体" w:cs="Times New Roman"/>
          <w:color w:val="auto"/>
          <w:kern w:val="0"/>
          <w:highlight w:val="none"/>
        </w:rPr>
      </w:pP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费用已经包含在工程价款之中，承包人在报价时已经予以考虑</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kern w:val="0"/>
          <w:highlight w:val="none"/>
        </w:rPr>
        <w:t>。</w:t>
      </w:r>
    </w:p>
    <w:p w14:paraId="02B5BD19">
      <w:pPr>
        <w:pStyle w:val="99"/>
        <w:spacing w:before="0" w:after="0" w:line="360" w:lineRule="auto"/>
        <w:rPr>
          <w:rStyle w:val="32"/>
          <w:rFonts w:ascii="Calibri" w:hAnsi="Calibri" w:eastAsia="宋体" w:cs="Times New Roman"/>
          <w:color w:val="auto"/>
          <w:highlight w:val="none"/>
        </w:rPr>
      </w:pPr>
      <w:bookmarkStart w:id="172" w:name="_Toc373227701"/>
      <w:bookmarkStart w:id="173" w:name="_Toc267680563"/>
      <w:bookmarkStart w:id="174" w:name="_Toc389065267"/>
      <w:bookmarkStart w:id="175" w:name="_Toc373478348"/>
      <w:bookmarkStart w:id="176" w:name="_Toc1194977599"/>
      <w:bookmarkStart w:id="177" w:name="_Toc78449789"/>
      <w:bookmarkStart w:id="178" w:name="_Toc407135203"/>
      <w:r>
        <w:rPr>
          <w:rStyle w:val="32"/>
          <w:rFonts w:ascii="Calibri" w:hAnsi="Calibri" w:eastAsia="宋体" w:cs="Times New Roman"/>
          <w:color w:val="auto"/>
          <w:highlight w:val="none"/>
        </w:rPr>
        <w:t>1.13</w:t>
      </w:r>
      <w:r>
        <w:rPr>
          <w:rStyle w:val="32"/>
          <w:rFonts w:hint="eastAsia" w:ascii="Calibri" w:hAnsi="Calibri" w:eastAsia="宋体" w:cs="黑体"/>
          <w:color w:val="auto"/>
          <w:sz w:val="28"/>
          <w:szCs w:val="28"/>
          <w:highlight w:val="none"/>
        </w:rPr>
        <w:t>工程量清单错误的修正</w:t>
      </w:r>
      <w:bookmarkEnd w:id="172"/>
      <w:bookmarkEnd w:id="173"/>
      <w:bookmarkEnd w:id="174"/>
      <w:bookmarkEnd w:id="175"/>
      <w:bookmarkEnd w:id="176"/>
      <w:bookmarkEnd w:id="177"/>
      <w:bookmarkEnd w:id="178"/>
    </w:p>
    <w:p w14:paraId="47215A7A">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出现工程量清单工程量偏差时，是否调整合同价格：</w:t>
      </w:r>
      <w:r>
        <w:rPr>
          <w:rStyle w:val="32"/>
          <w:rFonts w:hint="eastAsia" w:ascii="宋体" w:hAnsi="宋体" w:eastAsia="宋体" w:cs="宋体"/>
          <w:color w:val="auto"/>
          <w:highlight w:val="none"/>
          <w:u w:val="single"/>
          <w:lang w:eastAsia="zh-CN"/>
        </w:rPr>
        <w:t>☑</w:t>
      </w:r>
      <w:r>
        <w:rPr>
          <w:rStyle w:val="32"/>
          <w:rFonts w:hint="eastAsia" w:ascii="Calibri" w:hAnsi="宋体" w:eastAsia="宋体" w:cs="宋体"/>
          <w:color w:val="auto"/>
          <w:highlight w:val="none"/>
          <w:u w:val="single"/>
        </w:rPr>
        <w:t>是</w:t>
      </w:r>
      <w:r>
        <w:rPr>
          <w:rStyle w:val="32"/>
          <w:rFonts w:hint="eastAsia" w:hAnsi="宋体" w:cs="宋体"/>
          <w:color w:val="auto"/>
          <w:highlight w:val="none"/>
          <w:u w:val="single"/>
          <w:lang w:eastAsia="zh-CN"/>
        </w:rPr>
        <w:t>（经发包人和相关主管部门同意后可以调整合同价格）</w:t>
      </w:r>
      <w:r>
        <w:rPr>
          <w:rStyle w:val="32"/>
          <w:rFonts w:hint="eastAsia" w:ascii="Calibri" w:hAnsi="宋体" w:eastAsia="宋体" w:cs="宋体"/>
          <w:color w:val="auto"/>
          <w:highlight w:val="none"/>
          <w:u w:val="single"/>
        </w:rPr>
        <w:t xml:space="preserve">  </w:t>
      </w:r>
      <w:r>
        <w:rPr>
          <w:rStyle w:val="32"/>
          <w:rFonts w:hint="eastAsia" w:ascii="宋体" w:hAnsi="宋体" w:eastAsia="宋体" w:cs="宋体"/>
          <w:color w:val="auto"/>
          <w:highlight w:val="none"/>
          <w:u w:val="single"/>
        </w:rPr>
        <w:t>□</w:t>
      </w:r>
      <w:r>
        <w:rPr>
          <w:rStyle w:val="32"/>
          <w:rFonts w:hint="eastAsia" w:ascii="Calibri" w:hAnsi="宋体" w:eastAsia="宋体" w:cs="宋体"/>
          <w:color w:val="auto"/>
          <w:highlight w:val="none"/>
          <w:u w:val="single"/>
        </w:rPr>
        <w:t>否</w:t>
      </w:r>
      <w:r>
        <w:rPr>
          <w:rStyle w:val="32"/>
          <w:rFonts w:hint="eastAsia" w:ascii="Calibri" w:hAnsi="宋体" w:eastAsia="宋体" w:cs="宋体"/>
          <w:color w:val="auto"/>
          <w:kern w:val="0"/>
          <w:highlight w:val="none"/>
        </w:rPr>
        <w:t>。</w:t>
      </w:r>
    </w:p>
    <w:p w14:paraId="27F598E7">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允许调整合同价格的工程量偏差范围及其调整办法：</w:t>
      </w:r>
    </w:p>
    <w:p w14:paraId="548735E2">
      <w:pPr>
        <w:pStyle w:val="78"/>
        <w:spacing w:line="360" w:lineRule="auto"/>
        <w:ind w:firstLine="420" w:firstLineChars="200"/>
        <w:rPr>
          <w:rStyle w:val="32"/>
          <w:rFonts w:ascii="Calibri" w:hAnsi="Calibri" w:eastAsia="宋体" w:cs="Times New Roman"/>
          <w:color w:val="auto"/>
          <w:kern w:val="0"/>
          <w:highlight w:val="none"/>
        </w:rPr>
      </w:pPr>
      <w:r>
        <w:rPr>
          <w:rStyle w:val="32"/>
          <w:rFonts w:hint="eastAsia" w:ascii="宋体" w:hAnsi="宋体" w:cs="宋体"/>
          <w:color w:val="auto"/>
          <w:highlight w:val="none"/>
          <w:lang w:eastAsia="zh-CN"/>
        </w:rPr>
        <w:t>□</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除严重不平衡报价外，无论分部分项工程量清单项目中的工程量变化多少均不调整</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kern w:val="0"/>
          <w:highlight w:val="none"/>
        </w:rPr>
        <w:t>。</w:t>
      </w:r>
    </w:p>
    <w:p w14:paraId="47B3EF8D">
      <w:pPr>
        <w:pStyle w:val="78"/>
        <w:spacing w:line="360" w:lineRule="auto"/>
        <w:ind w:firstLine="420" w:firstLineChars="200"/>
        <w:rPr>
          <w:rStyle w:val="32"/>
          <w:rFonts w:hint="eastAsia" w:ascii="Calibri" w:hAnsi="Calibri" w:eastAsia="宋体" w:cs="Times New Roman"/>
          <w:snapToGrid/>
          <w:color w:val="auto"/>
          <w:kern w:val="2"/>
          <w:sz w:val="21"/>
          <w:szCs w:val="22"/>
          <w:highlight w:val="none"/>
          <w:u w:val="single"/>
          <w:lang w:val="en-US" w:eastAsia="zh-CN" w:bidi="ar-SA"/>
        </w:rPr>
      </w:pPr>
      <w:r>
        <w:rPr>
          <w:rStyle w:val="32"/>
          <w:rFonts w:hint="eastAsia" w:ascii="宋体" w:hAnsi="宋体" w:eastAsia="宋体" w:cs="宋体"/>
          <w:color w:val="auto"/>
          <w:highlight w:val="none"/>
          <w:lang w:eastAsia="zh-CN"/>
        </w:rPr>
        <w:t>☑</w:t>
      </w:r>
      <w:r>
        <w:rPr>
          <w:rStyle w:val="32"/>
          <w:rFonts w:hint="eastAsia" w:hAnsi="宋体" w:cs="宋体"/>
          <w:color w:val="auto"/>
          <w:highlight w:val="none"/>
          <w:u w:val="single"/>
          <w:lang w:val="en-US" w:eastAsia="zh-CN"/>
        </w:rPr>
        <w:t xml:space="preserve"> </w:t>
      </w:r>
      <w:r>
        <w:rPr>
          <w:rStyle w:val="32"/>
          <w:rFonts w:hint="eastAsia" w:ascii="Calibri" w:hAnsi="Calibri" w:eastAsia="宋体" w:cs="Times New Roman"/>
          <w:snapToGrid/>
          <w:color w:val="auto"/>
          <w:kern w:val="2"/>
          <w:sz w:val="21"/>
          <w:szCs w:val="22"/>
          <w:highlight w:val="none"/>
          <w:u w:val="single"/>
          <w:lang w:val="en-US" w:eastAsia="zh-CN" w:bidi="ar-SA"/>
        </w:rPr>
        <w:t>合同履行期间，由于招标工程量清单缺项、漏项，新增分部分项工程清单项目的，按照以下规定确定单价，并调整合同价格：</w:t>
      </w:r>
      <w:r>
        <w:rPr>
          <w:rStyle w:val="32"/>
          <w:rFonts w:hint="eastAsia" w:ascii="Times New Roman" w:hAnsi="宋体" w:eastAsia="宋体" w:cs="Times New Roman"/>
          <w:bCs/>
          <w:color w:val="auto"/>
          <w:szCs w:val="21"/>
          <w:highlight w:val="none"/>
          <w:u w:val="single"/>
        </w:rPr>
        <w:t>（</w:t>
      </w:r>
      <w:r>
        <w:rPr>
          <w:rStyle w:val="32"/>
          <w:rFonts w:hint="eastAsia" w:ascii="Times New Roman" w:hAnsi="宋体" w:eastAsia="宋体" w:cs="宋体"/>
          <w:bCs w:val="0"/>
          <w:color w:val="auto"/>
          <w:szCs w:val="22"/>
          <w:highlight w:val="none"/>
          <w:u w:val="single"/>
        </w:rPr>
        <w:t>1）合同中已有相同清单项目的，按合同该清单项目价格进行计算；（2）合同中只有类似清单项目的，参照该类似清单项目价格进行计算；（3）合同中没有适用或类似清单项目的价格计算方法：有定额的套定额，并（</w:t>
      </w:r>
      <w:r>
        <w:rPr>
          <w:rStyle w:val="32"/>
          <w:rFonts w:hint="eastAsia" w:ascii="Times New Roman" w:hAnsi="宋体" w:cs="宋体"/>
          <w:b w:val="0"/>
          <w:bCs w:val="0"/>
          <w:color w:val="auto"/>
          <w:szCs w:val="22"/>
          <w:highlight w:val="none"/>
          <w:u w:val="single"/>
          <w:lang w:eastAsia="zh-CN"/>
        </w:rPr>
        <w:t>☑</w:t>
      </w:r>
      <w:r>
        <w:rPr>
          <w:rStyle w:val="32"/>
          <w:rFonts w:hint="eastAsia" w:ascii="Times New Roman" w:hAnsi="宋体" w:eastAsia="宋体" w:cs="宋体"/>
          <w:bCs w:val="0"/>
          <w:color w:val="auto"/>
          <w:szCs w:val="22"/>
          <w:highlight w:val="none"/>
          <w:u w:val="single"/>
        </w:rPr>
        <w:t>乘以下浮系数</w:t>
      </w:r>
      <w:r>
        <w:rPr>
          <w:rStyle w:val="32"/>
          <w:rFonts w:hint="eastAsia" w:ascii="Times New Roman" w:hAnsi="宋体" w:eastAsia="宋体" w:cs="宋体"/>
          <w:bCs w:val="0"/>
          <w:color w:val="auto"/>
          <w:szCs w:val="22"/>
          <w:highlight w:val="none"/>
          <w:u w:val="single"/>
          <w:lang w:eastAsia="zh-CN"/>
        </w:rPr>
        <w:t>（</w:t>
      </w:r>
      <w:r>
        <w:rPr>
          <w:rStyle w:val="32"/>
          <w:rFonts w:hint="eastAsia" w:ascii="Times New Roman" w:hAnsi="宋体" w:eastAsia="宋体" w:cs="宋体"/>
          <w:bCs w:val="0"/>
          <w:color w:val="auto"/>
          <w:szCs w:val="22"/>
          <w:highlight w:val="none"/>
          <w:u w:val="single"/>
          <w:lang w:val="en-US" w:eastAsia="zh-CN"/>
        </w:rPr>
        <w:t>下浮系数=中标价/招标控制价</w:t>
      </w:r>
      <w:r>
        <w:rPr>
          <w:rStyle w:val="32"/>
          <w:rFonts w:hint="eastAsia" w:ascii="Times New Roman" w:hAnsi="宋体" w:cs="宋体"/>
          <w:bCs w:val="0"/>
          <w:color w:val="auto"/>
          <w:szCs w:val="22"/>
          <w:highlight w:val="none"/>
          <w:u w:val="single"/>
          <w:lang w:eastAsia="zh-CN"/>
        </w:rPr>
        <w:t>）</w:t>
      </w:r>
      <w:r>
        <w:rPr>
          <w:rStyle w:val="32"/>
          <w:rFonts w:hint="eastAsia" w:ascii="Times New Roman" w:hAnsi="宋体" w:eastAsia="宋体" w:cs="宋体"/>
          <w:bCs w:val="0"/>
          <w:color w:val="auto"/>
          <w:szCs w:val="22"/>
          <w:highlight w:val="none"/>
          <w:u w:val="single"/>
        </w:rPr>
        <w:t>，</w:t>
      </w:r>
      <w:r>
        <w:rPr>
          <w:rStyle w:val="32"/>
          <w:rFonts w:hint="eastAsia" w:ascii="Times New Roman" w:hAnsi="宋体" w:cs="宋体"/>
          <w:b w:val="0"/>
          <w:bCs w:val="0"/>
          <w:color w:val="auto"/>
          <w:szCs w:val="22"/>
          <w:highlight w:val="none"/>
          <w:u w:val="single"/>
          <w:lang w:eastAsia="zh-CN"/>
        </w:rPr>
        <w:t>□</w:t>
      </w:r>
      <w:r>
        <w:rPr>
          <w:rStyle w:val="32"/>
          <w:rFonts w:hint="eastAsia" w:ascii="Times New Roman" w:hAnsi="宋体" w:eastAsia="宋体" w:cs="宋体"/>
          <w:bCs w:val="0"/>
          <w:color w:val="auto"/>
          <w:szCs w:val="22"/>
          <w:highlight w:val="none"/>
          <w:u w:val="single"/>
        </w:rPr>
        <w:t>不乘下浮系数）计算，其中：材料设备价格按施工期间的《</w:t>
      </w:r>
      <w:r>
        <w:rPr>
          <w:rStyle w:val="32"/>
          <w:rFonts w:hint="eastAsia" w:ascii="Times New Roman" w:hAnsi="宋体" w:eastAsia="宋体" w:cs="宋体"/>
          <w:bCs w:val="0"/>
          <w:color w:val="auto"/>
          <w:szCs w:val="22"/>
          <w:highlight w:val="none"/>
          <w:u w:val="single"/>
          <w:lang w:val="en-US" w:eastAsia="zh-CN"/>
        </w:rPr>
        <w:t>玉林</w:t>
      </w:r>
      <w:r>
        <w:rPr>
          <w:rStyle w:val="32"/>
          <w:rFonts w:hint="eastAsia" w:ascii="Times New Roman" w:hAnsi="宋体" w:eastAsia="宋体" w:cs="宋体"/>
          <w:bCs w:val="0"/>
          <w:color w:val="auto"/>
          <w:szCs w:val="22"/>
          <w:highlight w:val="none"/>
          <w:u w:val="single"/>
        </w:rPr>
        <w:t>市建设工程造价信息》相应信息价的加权平均值计算，《</w:t>
      </w:r>
      <w:r>
        <w:rPr>
          <w:rStyle w:val="32"/>
          <w:rFonts w:hint="eastAsia" w:ascii="Times New Roman" w:hAnsi="宋体" w:eastAsia="宋体" w:cs="宋体"/>
          <w:bCs w:val="0"/>
          <w:color w:val="auto"/>
          <w:szCs w:val="22"/>
          <w:highlight w:val="none"/>
          <w:u w:val="single"/>
          <w:lang w:val="en-US" w:eastAsia="zh-CN"/>
        </w:rPr>
        <w:t>玉林</w:t>
      </w:r>
      <w:r>
        <w:rPr>
          <w:rStyle w:val="32"/>
          <w:rFonts w:hint="eastAsia" w:ascii="Times New Roman" w:hAnsi="宋体" w:eastAsia="宋体" w:cs="宋体"/>
          <w:bCs w:val="0"/>
          <w:color w:val="auto"/>
          <w:szCs w:val="22"/>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Style w:val="32"/>
          <w:rFonts w:hint="eastAsia" w:ascii="Times New Roman" w:hAnsi="宋体" w:cs="宋体"/>
          <w:bCs w:val="0"/>
          <w:color w:val="auto"/>
          <w:szCs w:val="22"/>
          <w:highlight w:val="none"/>
          <w:u w:val="single"/>
          <w:lang w:eastAsia="zh-CN"/>
        </w:rPr>
        <w:t>（</w:t>
      </w:r>
      <w:r>
        <w:rPr>
          <w:rStyle w:val="32"/>
          <w:rFonts w:hint="eastAsia" w:ascii="Times New Roman" w:hAnsi="宋体" w:cs="宋体"/>
          <w:bCs w:val="0"/>
          <w:color w:val="auto"/>
          <w:szCs w:val="22"/>
          <w:highlight w:val="none"/>
          <w:u w:val="single"/>
          <w:lang w:val="en-US" w:eastAsia="zh-CN"/>
        </w:rPr>
        <w:t>4</w:t>
      </w:r>
      <w:r>
        <w:rPr>
          <w:rStyle w:val="32"/>
          <w:rFonts w:hint="eastAsia" w:ascii="Times New Roman" w:hAnsi="宋体" w:cs="宋体"/>
          <w:bCs w:val="0"/>
          <w:color w:val="auto"/>
          <w:szCs w:val="22"/>
          <w:highlight w:val="none"/>
          <w:u w:val="single"/>
          <w:lang w:eastAsia="zh-CN"/>
        </w:rPr>
        <w:t>）</w:t>
      </w:r>
      <w:r>
        <w:rPr>
          <w:rStyle w:val="32"/>
          <w:rFonts w:hint="eastAsia" w:ascii="Times New Roman" w:hAnsi="宋体" w:eastAsia="宋体" w:cs="宋体"/>
          <w:snapToGrid/>
          <w:color w:val="auto"/>
          <w:kern w:val="2"/>
          <w:sz w:val="21"/>
          <w:szCs w:val="22"/>
          <w:highlight w:val="none"/>
          <w:u w:val="single"/>
          <w:lang w:val="en-US" w:eastAsia="zh-CN" w:bidi="ar-SA"/>
        </w:rPr>
        <w:t>由于招标工程量清单项目多列或重复列项的，按实际完成工程量</w:t>
      </w:r>
      <w:r>
        <w:rPr>
          <w:rStyle w:val="32"/>
          <w:rFonts w:hint="eastAsia" w:ascii="Times New Roman" w:hAnsi="宋体" w:cs="宋体"/>
          <w:snapToGrid/>
          <w:color w:val="auto"/>
          <w:kern w:val="2"/>
          <w:sz w:val="21"/>
          <w:szCs w:val="22"/>
          <w:highlight w:val="none"/>
          <w:u w:val="single"/>
          <w:lang w:val="en-US" w:eastAsia="zh-CN" w:bidi="ar-SA"/>
        </w:rPr>
        <w:t>及</w:t>
      </w:r>
      <w:r>
        <w:rPr>
          <w:rStyle w:val="32"/>
          <w:rFonts w:hint="eastAsia" w:ascii="Times New Roman" w:hAnsi="宋体" w:eastAsia="宋体" w:cs="宋体"/>
          <w:snapToGrid/>
          <w:color w:val="auto"/>
          <w:kern w:val="2"/>
          <w:sz w:val="21"/>
          <w:szCs w:val="22"/>
          <w:highlight w:val="none"/>
          <w:u w:val="single"/>
          <w:lang w:val="en-US" w:eastAsia="zh-CN" w:bidi="ar-SA"/>
        </w:rPr>
        <w:t>合同中已有的综合单价，调整合同价格。除以上情况之外出现工程量清单错误的，不</w:t>
      </w:r>
      <w:r>
        <w:rPr>
          <w:rStyle w:val="32"/>
          <w:rFonts w:hint="eastAsia" w:ascii="Calibri" w:hAnsi="Calibri" w:eastAsia="宋体" w:cs="Times New Roman"/>
          <w:snapToGrid/>
          <w:color w:val="auto"/>
          <w:kern w:val="2"/>
          <w:sz w:val="21"/>
          <w:szCs w:val="22"/>
          <w:highlight w:val="none"/>
          <w:u w:val="single"/>
          <w:lang w:val="en-US" w:eastAsia="zh-CN" w:bidi="ar-SA"/>
        </w:rPr>
        <w:t>调整合同价格</w:t>
      </w:r>
      <w:r>
        <w:rPr>
          <w:rStyle w:val="32"/>
          <w:rFonts w:hint="default" w:ascii="Calibri" w:hAnsi="Calibri" w:eastAsia="宋体" w:cs="Times New Roman"/>
          <w:snapToGrid/>
          <w:color w:val="auto"/>
          <w:kern w:val="2"/>
          <w:sz w:val="21"/>
          <w:szCs w:val="22"/>
          <w:highlight w:val="none"/>
          <w:u w:val="single"/>
          <w:lang w:val="en-US" w:eastAsia="zh-CN" w:bidi="ar-SA"/>
        </w:rPr>
        <w:t xml:space="preserve"> </w:t>
      </w:r>
      <w:r>
        <w:rPr>
          <w:rStyle w:val="32"/>
          <w:rFonts w:hint="eastAsia" w:ascii="Calibri" w:hAnsi="Calibri" w:eastAsia="宋体" w:cs="Times New Roman"/>
          <w:snapToGrid/>
          <w:color w:val="auto"/>
          <w:kern w:val="2"/>
          <w:sz w:val="21"/>
          <w:szCs w:val="22"/>
          <w:highlight w:val="none"/>
          <w:u w:val="single"/>
          <w:lang w:val="en-US" w:eastAsia="zh-CN" w:bidi="ar-SA"/>
        </w:rPr>
        <w:t>。</w:t>
      </w:r>
    </w:p>
    <w:p w14:paraId="3BFE607E">
      <w:pPr>
        <w:pStyle w:val="98"/>
        <w:spacing w:before="0" w:after="0" w:line="360" w:lineRule="auto"/>
        <w:rPr>
          <w:rStyle w:val="32"/>
          <w:rFonts w:cs="Times New Roman"/>
          <w:color w:val="auto"/>
          <w:highlight w:val="none"/>
        </w:rPr>
      </w:pPr>
      <w:bookmarkStart w:id="179" w:name="_Toc407135204"/>
      <w:bookmarkStart w:id="180" w:name="_Toc78449790"/>
      <w:bookmarkStart w:id="181" w:name="_Toc143780453"/>
      <w:bookmarkStart w:id="182" w:name="_Toc389065268"/>
      <w:bookmarkStart w:id="183" w:name="_Toc373478349"/>
      <w:bookmarkStart w:id="184" w:name="_Toc373227702"/>
      <w:bookmarkStart w:id="185" w:name="_Toc351203634"/>
      <w:bookmarkStart w:id="186" w:name="_Toc1415467590"/>
      <w:r>
        <w:rPr>
          <w:rStyle w:val="32"/>
          <w:rFonts w:cs="Times New Roman"/>
          <w:color w:val="auto"/>
          <w:highlight w:val="none"/>
        </w:rPr>
        <w:t>2</w:t>
      </w:r>
      <w:bookmarkStart w:id="187" w:name="_Toc296890985"/>
      <w:bookmarkStart w:id="188" w:name="_Toc297120457"/>
      <w:bookmarkStart w:id="189" w:name="_Toc296347156"/>
      <w:bookmarkStart w:id="190" w:name="_Toc296346658"/>
      <w:bookmarkStart w:id="191" w:name="_Toc297048343"/>
      <w:bookmarkStart w:id="192" w:name="_Toc292559867"/>
      <w:bookmarkStart w:id="193" w:name="_Toc296944496"/>
      <w:bookmarkStart w:id="194" w:name="_Toc296891197"/>
      <w:bookmarkStart w:id="195" w:name="_Toc296503157"/>
      <w:bookmarkStart w:id="196" w:name="_Toc292559362"/>
      <w:r>
        <w:rPr>
          <w:rStyle w:val="32"/>
          <w:rFonts w:cs="Times New Roman"/>
          <w:color w:val="auto"/>
          <w:highlight w:val="none"/>
        </w:rPr>
        <w:t xml:space="preserve">. </w:t>
      </w:r>
      <w:r>
        <w:rPr>
          <w:rStyle w:val="32"/>
          <w:rFonts w:hint="eastAsia" w:hAnsi="宋体" w:cs="黑体"/>
          <w:color w:val="auto"/>
          <w:sz w:val="28"/>
          <w:szCs w:val="18"/>
          <w:highlight w:val="none"/>
        </w:rPr>
        <w:t>发包人</w:t>
      </w:r>
      <w:bookmarkEnd w:id="179"/>
      <w:bookmarkEnd w:id="180"/>
      <w:bookmarkEnd w:id="181"/>
      <w:bookmarkEnd w:id="182"/>
      <w:bookmarkEnd w:id="183"/>
      <w:bookmarkEnd w:id="184"/>
      <w:bookmarkEnd w:id="185"/>
      <w:bookmarkEnd w:id="186"/>
    </w:p>
    <w:bookmarkEnd w:id="187"/>
    <w:bookmarkEnd w:id="188"/>
    <w:bookmarkEnd w:id="189"/>
    <w:bookmarkEnd w:id="190"/>
    <w:bookmarkEnd w:id="191"/>
    <w:bookmarkEnd w:id="192"/>
    <w:bookmarkEnd w:id="193"/>
    <w:bookmarkEnd w:id="194"/>
    <w:bookmarkEnd w:id="195"/>
    <w:bookmarkEnd w:id="196"/>
    <w:p w14:paraId="58D982F2">
      <w:pPr>
        <w:pStyle w:val="99"/>
        <w:spacing w:before="0" w:after="0" w:line="360" w:lineRule="auto"/>
        <w:rPr>
          <w:rStyle w:val="32"/>
          <w:rFonts w:ascii="Calibri" w:hAnsi="Calibri" w:eastAsia="宋体" w:cs="Times New Roman"/>
          <w:color w:val="auto"/>
          <w:highlight w:val="none"/>
        </w:rPr>
      </w:pPr>
      <w:bookmarkStart w:id="197" w:name="_Toc78449791"/>
      <w:bookmarkStart w:id="198" w:name="_Toc389065269"/>
      <w:bookmarkStart w:id="199" w:name="_Toc971240048"/>
      <w:bookmarkStart w:id="200" w:name="_Toc373478350"/>
      <w:bookmarkStart w:id="201" w:name="_Toc407135205"/>
      <w:bookmarkStart w:id="202" w:name="_Toc373227703"/>
      <w:bookmarkStart w:id="203" w:name="_Toc547644210"/>
      <w:r>
        <w:rPr>
          <w:rStyle w:val="32"/>
          <w:rFonts w:ascii="Calibri" w:hAnsi="Calibri" w:eastAsia="宋体" w:cs="Times New Roman"/>
          <w:color w:val="auto"/>
          <w:highlight w:val="none"/>
        </w:rPr>
        <w:t xml:space="preserve">2.2 </w:t>
      </w:r>
      <w:r>
        <w:rPr>
          <w:rStyle w:val="32"/>
          <w:rFonts w:hint="eastAsia" w:ascii="Calibri" w:hAnsi="宋体" w:eastAsia="宋体" w:cs="黑体"/>
          <w:color w:val="auto"/>
          <w:sz w:val="28"/>
          <w:szCs w:val="28"/>
          <w:highlight w:val="none"/>
        </w:rPr>
        <w:t>发包人代表</w:t>
      </w:r>
      <w:bookmarkEnd w:id="197"/>
      <w:bookmarkEnd w:id="198"/>
      <w:bookmarkEnd w:id="199"/>
      <w:bookmarkEnd w:id="200"/>
      <w:bookmarkEnd w:id="201"/>
      <w:bookmarkEnd w:id="202"/>
      <w:bookmarkEnd w:id="203"/>
    </w:p>
    <w:p w14:paraId="6040662D">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发包人代表：</w:t>
      </w:r>
    </w:p>
    <w:p w14:paraId="444F44C9">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姓</w:t>
      </w:r>
      <w:r>
        <w:rPr>
          <w:rStyle w:val="32"/>
          <w:rFonts w:ascii="Calibri" w:hAnsi="Calibri" w:eastAsia="宋体" w:cs="Times New Roman"/>
          <w:color w:val="auto"/>
          <w:highlight w:val="none"/>
        </w:rPr>
        <w:t xml:space="preserve">    </w:t>
      </w:r>
      <w:r>
        <w:rPr>
          <w:rStyle w:val="32"/>
          <w:rFonts w:ascii="Calibri" w:hAnsi="宋体" w:eastAsia="宋体" w:cs="Times New Roman"/>
          <w:color w:val="auto"/>
          <w:highlight w:val="none"/>
        </w:rPr>
        <w:t>名：</w:t>
      </w:r>
      <w:r>
        <w:rPr>
          <w:rStyle w:val="32"/>
          <w:rFonts w:hint="eastAsia" w:ascii="Times New Roman" w:hAnsi="Times New Roman" w:eastAsia="宋体" w:cs="Times New Roman"/>
          <w:color w:val="auto"/>
          <w:highlight w:val="none"/>
          <w:u w:val="single"/>
        </w:rPr>
        <w:t xml:space="preserve"> </w:t>
      </w:r>
      <w:r>
        <w:rPr>
          <w:rStyle w:val="32"/>
          <w:rFonts w:hint="eastAsia" w:ascii="Times New Roman" w:hAnsi="Times New Roman" w:cs="Times New Roman"/>
          <w:color w:val="auto"/>
          <w:highlight w:val="none"/>
          <w:u w:val="single"/>
          <w:lang w:val="en-US" w:eastAsia="zh-CN"/>
        </w:rPr>
        <w:t xml:space="preserve">     李英龙                          </w:t>
      </w:r>
      <w:r>
        <w:rPr>
          <w:rStyle w:val="32"/>
          <w:rFonts w:ascii="Calibri" w:hAnsi="宋体" w:eastAsia="宋体" w:cs="Times New Roman"/>
          <w:color w:val="auto"/>
          <w:highlight w:val="none"/>
        </w:rPr>
        <w:t>；</w:t>
      </w:r>
    </w:p>
    <w:p w14:paraId="210FCD59">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联系电话：</w:t>
      </w:r>
      <w:r>
        <w:rPr>
          <w:rStyle w:val="32"/>
          <w:rFonts w:hint="eastAsia" w:ascii="Times New Roman" w:hAnsi="Times New Roman" w:cs="Times New Roman"/>
          <w:color w:val="auto"/>
          <w:highlight w:val="none"/>
          <w:u w:val="single"/>
          <w:lang w:val="en-US" w:eastAsia="zh-CN"/>
        </w:rPr>
        <w:t xml:space="preserve">     </w:t>
      </w:r>
      <w:r>
        <w:rPr>
          <w:rStyle w:val="32"/>
          <w:rFonts w:ascii="Times New Roman" w:hAnsi="Times New Roman" w:cs="Times New Roman"/>
          <w:color w:val="auto"/>
          <w:highlight w:val="none"/>
          <w:u w:val="single"/>
        </w:rPr>
        <w:t>19986092645</w:t>
      </w:r>
      <w:r>
        <w:rPr>
          <w:rStyle w:val="32"/>
          <w:rFonts w:hint="eastAsia" w:ascii="Times New Roman" w:hAnsi="Times New Roman" w:cs="Times New Roman"/>
          <w:color w:val="auto"/>
          <w:highlight w:val="none"/>
          <w:u w:val="single"/>
          <w:lang w:val="en-US" w:eastAsia="zh-CN"/>
        </w:rPr>
        <w:t xml:space="preserve">        </w:t>
      </w:r>
      <w:r>
        <w:rPr>
          <w:rStyle w:val="32"/>
          <w:rFonts w:ascii="Calibri" w:hAnsi="宋体" w:eastAsia="宋体" w:cs="Times New Roman"/>
          <w:color w:val="auto"/>
          <w:highlight w:val="none"/>
        </w:rPr>
        <w:t>；</w:t>
      </w:r>
    </w:p>
    <w:p w14:paraId="28A5EA2F">
      <w:pPr>
        <w:pStyle w:val="78"/>
        <w:spacing w:line="360" w:lineRule="auto"/>
        <w:ind w:firstLine="420" w:firstLineChars="200"/>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u w:val="none"/>
        </w:rPr>
        <w:t>发包人对发包人代表的授权范围如下：</w:t>
      </w:r>
      <w:r>
        <w:rPr>
          <w:rStyle w:val="32"/>
          <w:rFonts w:hint="eastAsia" w:ascii="Calibri" w:hAnsi="宋体" w:eastAsia="宋体" w:cs="宋体"/>
          <w:color w:val="auto"/>
          <w:highlight w:val="none"/>
          <w:u w:val="single"/>
        </w:rPr>
        <w:t>代表发包方处理工程所涉及的全部事项，包括工程质量、工期进度、安全行为的管理、监督和协调，签发工程变更联系单和设计联系单等事项</w:t>
      </w:r>
      <w:r>
        <w:rPr>
          <w:rStyle w:val="32"/>
          <w:rFonts w:hint="eastAsia" w:ascii="Calibri" w:hAnsi="宋体" w:eastAsia="宋体" w:cs="宋体"/>
          <w:color w:val="auto"/>
          <w:highlight w:val="none"/>
        </w:rPr>
        <w:t>。</w:t>
      </w:r>
    </w:p>
    <w:p w14:paraId="7772752C">
      <w:pPr>
        <w:pStyle w:val="99"/>
        <w:spacing w:before="0" w:after="0" w:line="360" w:lineRule="auto"/>
        <w:rPr>
          <w:rStyle w:val="32"/>
          <w:rFonts w:ascii="Calibri" w:hAnsi="Calibri" w:eastAsia="宋体" w:cs="Times New Roman"/>
          <w:color w:val="auto"/>
          <w:highlight w:val="none"/>
        </w:rPr>
      </w:pPr>
      <w:bookmarkStart w:id="204" w:name="_Toc389065270"/>
      <w:bookmarkStart w:id="205" w:name="_Toc2077499244"/>
      <w:bookmarkStart w:id="206" w:name="_Toc78449792"/>
      <w:bookmarkStart w:id="207" w:name="_Toc2066513957"/>
      <w:bookmarkStart w:id="208" w:name="_Toc373478351"/>
      <w:bookmarkStart w:id="209" w:name="_Toc407135206"/>
      <w:bookmarkStart w:id="210" w:name="_Toc373227704"/>
      <w:r>
        <w:rPr>
          <w:rStyle w:val="32"/>
          <w:rFonts w:ascii="Calibri" w:hAnsi="Calibri" w:eastAsia="宋体" w:cs="Times New Roman"/>
          <w:color w:val="auto"/>
          <w:highlight w:val="none"/>
        </w:rPr>
        <w:t xml:space="preserve">2.4 </w:t>
      </w:r>
      <w:r>
        <w:rPr>
          <w:rStyle w:val="32"/>
          <w:rFonts w:hint="eastAsia" w:ascii="Calibri" w:hAnsi="Calibri" w:eastAsia="宋体" w:cs="黑体"/>
          <w:color w:val="auto"/>
          <w:sz w:val="28"/>
          <w:szCs w:val="28"/>
          <w:highlight w:val="none"/>
        </w:rPr>
        <w:t>施工现场、施工条件和基础资料的提供</w:t>
      </w:r>
      <w:bookmarkEnd w:id="204"/>
      <w:bookmarkEnd w:id="205"/>
      <w:bookmarkEnd w:id="206"/>
      <w:bookmarkEnd w:id="207"/>
      <w:bookmarkEnd w:id="208"/>
      <w:bookmarkEnd w:id="209"/>
      <w:bookmarkEnd w:id="210"/>
    </w:p>
    <w:p w14:paraId="622D0504">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2.4.1 </w:t>
      </w:r>
      <w:r>
        <w:rPr>
          <w:rStyle w:val="32"/>
          <w:rFonts w:hint="eastAsia" w:ascii="Calibri" w:hAnsi="宋体" w:eastAsia="宋体" w:cs="宋体"/>
          <w:color w:val="auto"/>
          <w:highlight w:val="none"/>
        </w:rPr>
        <w:t>提供施工现场</w:t>
      </w:r>
    </w:p>
    <w:p w14:paraId="036A1EF1">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关于发包人移交施工现场的期限要求：</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开工日期 7 天前移交</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4134FE80">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2.4.2 </w:t>
      </w:r>
      <w:r>
        <w:rPr>
          <w:rStyle w:val="32"/>
          <w:rFonts w:hint="eastAsia" w:ascii="Calibri" w:hAnsi="宋体" w:eastAsia="宋体" w:cs="宋体"/>
          <w:color w:val="auto"/>
          <w:highlight w:val="none"/>
        </w:rPr>
        <w:t>提供施工条件</w:t>
      </w:r>
    </w:p>
    <w:p w14:paraId="6734B546">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（1）将施工所需用的水、电接至施工场地的要求：</w:t>
      </w:r>
      <w:r>
        <w:rPr>
          <w:rStyle w:val="32"/>
          <w:rFonts w:hint="eastAsia" w:ascii="Calibri" w:hAnsi="宋体" w:eastAsia="宋体" w:cs="宋体"/>
          <w:color w:val="auto"/>
          <w:highlight w:val="none"/>
          <w:u w:val="single"/>
        </w:rPr>
        <w:t>开工前七天发包人将施工所需用的水、电接至施工现场，保证水电供应满足施工期间的需要，承包人配合水、电引接相关工作，水、电引接的费用由发包人承担。施工水电的使用费用由承包人承担</w:t>
      </w:r>
      <w:r>
        <w:rPr>
          <w:rStyle w:val="32"/>
          <w:rFonts w:hint="eastAsia" w:ascii="Calibri" w:hAnsi="宋体" w:eastAsia="宋体" w:cs="宋体"/>
          <w:color w:val="auto"/>
          <w:highlight w:val="none"/>
        </w:rPr>
        <w:t>。</w:t>
      </w:r>
    </w:p>
    <w:p w14:paraId="3F0B4D3A">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（2）施工场地与公共道路的通道开通时间和要求：</w:t>
      </w:r>
      <w:r>
        <w:rPr>
          <w:rStyle w:val="32"/>
          <w:rFonts w:hint="eastAsia" w:ascii="Calibri" w:hAnsi="宋体" w:eastAsia="宋体" w:cs="宋体"/>
          <w:color w:val="auto"/>
          <w:highlight w:val="none"/>
          <w:u w:val="single"/>
        </w:rPr>
        <w:t>工程开工前 7 天开通，施工中出现非承包方原因的阻障，由承包方告知发包方，由发包方负责协调解决，满足施工运输的需要，保证施工期间的畅通</w:t>
      </w:r>
      <w:r>
        <w:rPr>
          <w:rStyle w:val="32"/>
          <w:rFonts w:hint="eastAsia" w:ascii="Calibri" w:hAnsi="宋体" w:eastAsia="宋体" w:cs="宋体"/>
          <w:color w:val="auto"/>
          <w:highlight w:val="none"/>
        </w:rPr>
        <w:t>。</w:t>
      </w:r>
    </w:p>
    <w:p w14:paraId="4ACFBECF">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（3）工程地质和地下管线资料的提供时间：</w:t>
      </w:r>
      <w:r>
        <w:rPr>
          <w:rStyle w:val="32"/>
          <w:rFonts w:hint="eastAsia" w:ascii="Calibri" w:hAnsi="宋体" w:eastAsia="宋体" w:cs="宋体"/>
          <w:color w:val="auto"/>
          <w:highlight w:val="none"/>
          <w:u w:val="single"/>
        </w:rPr>
        <w:t>开工前 7 天</w:t>
      </w:r>
      <w:r>
        <w:rPr>
          <w:rStyle w:val="32"/>
          <w:rFonts w:hint="eastAsia" w:ascii="Calibri" w:hAnsi="宋体" w:eastAsia="宋体" w:cs="宋体"/>
          <w:color w:val="auto"/>
          <w:highlight w:val="none"/>
          <w:u w:val="single"/>
          <w:lang w:eastAsia="zh-CN"/>
        </w:rPr>
        <w:t>，发包人按约定向承包人提供工程地质和地下管线资料，并保证其真实、真确、完整、有效</w:t>
      </w:r>
      <w:r>
        <w:rPr>
          <w:rStyle w:val="32"/>
          <w:rFonts w:hint="eastAsia" w:ascii="Calibri" w:hAnsi="宋体" w:eastAsia="宋体" w:cs="宋体"/>
          <w:color w:val="auto"/>
          <w:highlight w:val="none"/>
        </w:rPr>
        <w:t>。</w:t>
      </w:r>
    </w:p>
    <w:p w14:paraId="21273DFB">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（4）由发包人办理的施工所需证件、批件的名称和完成时间：</w:t>
      </w:r>
      <w:r>
        <w:rPr>
          <w:rStyle w:val="32"/>
          <w:rFonts w:hint="eastAsia" w:ascii="Calibri" w:hAnsi="宋体" w:eastAsia="宋体" w:cs="宋体"/>
          <w:color w:val="auto"/>
          <w:highlight w:val="none"/>
          <w:u w:val="single"/>
        </w:rPr>
        <w:t>开工前 7 天办好施工许可证及环保、消防等其它施工所需证件、批件</w:t>
      </w:r>
      <w:r>
        <w:rPr>
          <w:rStyle w:val="32"/>
          <w:rFonts w:hint="eastAsia" w:ascii="Calibri" w:hAnsi="宋体" w:eastAsia="宋体" w:cs="宋体"/>
          <w:color w:val="auto"/>
          <w:highlight w:val="none"/>
        </w:rPr>
        <w:t>。</w:t>
      </w:r>
    </w:p>
    <w:p w14:paraId="2835AEAA">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（5）水准点与坐标控制点交验要求：</w:t>
      </w:r>
      <w:r>
        <w:rPr>
          <w:rStyle w:val="32"/>
          <w:rFonts w:hint="eastAsia" w:ascii="Calibri" w:hAnsi="宋体" w:eastAsia="宋体" w:cs="宋体"/>
          <w:color w:val="auto"/>
          <w:highlight w:val="none"/>
          <w:u w:val="single"/>
        </w:rPr>
        <w:t>开工前 7 天，双方在现场进行交验，同时做好交验记录</w:t>
      </w:r>
      <w:r>
        <w:rPr>
          <w:rStyle w:val="32"/>
          <w:rFonts w:hint="eastAsia" w:ascii="Calibri" w:hAnsi="宋体" w:eastAsia="宋体" w:cs="宋体"/>
          <w:color w:val="auto"/>
          <w:highlight w:val="none"/>
        </w:rPr>
        <w:t>。</w:t>
      </w:r>
    </w:p>
    <w:p w14:paraId="110F747B">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（6）图纸会审和设计交底时间：</w:t>
      </w:r>
      <w:r>
        <w:rPr>
          <w:rStyle w:val="32"/>
          <w:rFonts w:hint="eastAsia" w:ascii="Calibri" w:hAnsi="宋体" w:eastAsia="宋体" w:cs="宋体"/>
          <w:color w:val="auto"/>
          <w:highlight w:val="none"/>
          <w:u w:val="single"/>
        </w:rPr>
        <w:t>开工前 7 天，由发包人组织承包人和设计单位进行图纸会审和设计交底</w:t>
      </w:r>
      <w:r>
        <w:rPr>
          <w:rStyle w:val="32"/>
          <w:rFonts w:hint="eastAsia" w:ascii="Calibri" w:hAnsi="宋体" w:eastAsia="宋体" w:cs="宋体"/>
          <w:color w:val="auto"/>
          <w:highlight w:val="none"/>
        </w:rPr>
        <w:t>。</w:t>
      </w:r>
    </w:p>
    <w:p w14:paraId="2FE12AD5">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（7）协调处理施工场地周围地下管线和邻近建筑物、构筑物（含文物保护建筑）、古树名木的保护工作：</w:t>
      </w:r>
      <w:r>
        <w:rPr>
          <w:rStyle w:val="32"/>
          <w:rFonts w:hint="eastAsia" w:ascii="Calibri" w:hAnsi="宋体" w:eastAsia="宋体" w:cs="宋体"/>
          <w:color w:val="auto"/>
          <w:highlight w:val="none"/>
          <w:u w:val="single"/>
        </w:rPr>
        <w:t>由发包人根据现场实际情况协调处理，相关费用由责任方承担</w:t>
      </w:r>
      <w:r>
        <w:rPr>
          <w:rStyle w:val="32"/>
          <w:rFonts w:hint="eastAsia" w:ascii="Calibri" w:hAnsi="宋体" w:eastAsia="宋体" w:cs="宋体"/>
          <w:color w:val="auto"/>
          <w:highlight w:val="none"/>
        </w:rPr>
        <w:t>。</w:t>
      </w:r>
    </w:p>
    <w:p w14:paraId="0E7316B2">
      <w:pPr>
        <w:pStyle w:val="78"/>
        <w:spacing w:line="360" w:lineRule="auto"/>
        <w:ind w:firstLine="420" w:firstLineChars="2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（8）双方约定发包人应做的其他工作：</w:t>
      </w:r>
      <w:r>
        <w:rPr>
          <w:rStyle w:val="32"/>
          <w:rFonts w:hint="eastAsia" w:ascii="Calibri" w:hAnsi="宋体" w:eastAsia="宋体" w:cs="宋体"/>
          <w:color w:val="auto"/>
          <w:highlight w:val="none"/>
          <w:u w:val="single"/>
        </w:rPr>
        <w:t>在施工期间，负责理顺施工现场周围单位和个人之间的土地纠纷、财产纠纷等关系</w:t>
      </w:r>
      <w:r>
        <w:rPr>
          <w:rStyle w:val="32"/>
          <w:rFonts w:hint="eastAsia" w:ascii="Calibri" w:hAnsi="宋体" w:eastAsia="宋体" w:cs="宋体"/>
          <w:color w:val="auto"/>
          <w:highlight w:val="none"/>
        </w:rPr>
        <w:t>。</w:t>
      </w:r>
    </w:p>
    <w:p w14:paraId="23AC3919">
      <w:pPr>
        <w:pStyle w:val="78"/>
        <w:spacing w:line="360" w:lineRule="auto"/>
        <w:ind w:firstLine="210" w:firstLineChars="10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（9）发包人委托承包人办理的工作：</w:t>
      </w:r>
      <w:r>
        <w:rPr>
          <w:rStyle w:val="32"/>
          <w:rFonts w:hint="eastAsia" w:ascii="Calibri" w:hAnsi="宋体" w:eastAsia="宋体" w:cs="宋体"/>
          <w:color w:val="auto"/>
          <w:highlight w:val="none"/>
          <w:u w:val="single"/>
        </w:rPr>
        <w:t>配合、协助办理项目施工所需相关手续，各付相关费用</w:t>
      </w:r>
      <w:r>
        <w:rPr>
          <w:rStyle w:val="32"/>
          <w:rFonts w:hint="eastAsia" w:ascii="Calibri" w:hAnsi="宋体" w:eastAsia="宋体" w:cs="宋体"/>
          <w:color w:val="auto"/>
          <w:highlight w:val="none"/>
        </w:rPr>
        <w:t>。</w:t>
      </w:r>
    </w:p>
    <w:p w14:paraId="43F1E47F">
      <w:pPr>
        <w:pStyle w:val="99"/>
        <w:spacing w:before="0" w:after="0" w:line="360" w:lineRule="auto"/>
        <w:rPr>
          <w:rStyle w:val="32"/>
          <w:rFonts w:ascii="Calibri" w:hAnsi="Calibri" w:eastAsia="宋体" w:cs="Times New Roman"/>
          <w:color w:val="auto"/>
          <w:highlight w:val="none"/>
        </w:rPr>
      </w:pPr>
      <w:bookmarkStart w:id="211" w:name="_Toc1238195908"/>
      <w:bookmarkStart w:id="212" w:name="_Toc672429943"/>
      <w:bookmarkStart w:id="213" w:name="_Toc407135207"/>
      <w:bookmarkStart w:id="214" w:name="_Toc389065271"/>
      <w:bookmarkStart w:id="215" w:name="_Toc78449793"/>
      <w:bookmarkStart w:id="216" w:name="_Toc373478352"/>
      <w:bookmarkStart w:id="217" w:name="_Toc373227705"/>
      <w:r>
        <w:rPr>
          <w:rStyle w:val="32"/>
          <w:rFonts w:ascii="Calibri" w:hAnsi="Calibri" w:eastAsia="宋体" w:cs="Times New Roman"/>
          <w:color w:val="auto"/>
          <w:highlight w:val="none"/>
        </w:rPr>
        <w:t xml:space="preserve">2.5 </w:t>
      </w:r>
      <w:r>
        <w:rPr>
          <w:rStyle w:val="32"/>
          <w:rFonts w:hint="eastAsia" w:ascii="Calibri" w:hAnsi="Calibri" w:eastAsia="宋体" w:cs="黑体"/>
          <w:color w:val="auto"/>
          <w:sz w:val="28"/>
          <w:szCs w:val="28"/>
          <w:highlight w:val="none"/>
        </w:rPr>
        <w:t>资金来源证明及支付担保</w:t>
      </w:r>
      <w:bookmarkEnd w:id="211"/>
      <w:bookmarkEnd w:id="212"/>
      <w:bookmarkEnd w:id="213"/>
      <w:bookmarkEnd w:id="214"/>
      <w:bookmarkEnd w:id="215"/>
      <w:bookmarkEnd w:id="216"/>
      <w:bookmarkEnd w:id="217"/>
    </w:p>
    <w:p w14:paraId="6110BDC3">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发包人提供资金来源证明的期限要求：</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3B4A16B">
      <w:pPr>
        <w:pStyle w:val="78"/>
        <w:spacing w:line="360" w:lineRule="auto"/>
        <w:ind w:firstLine="420" w:firstLineChars="200"/>
        <w:rPr>
          <w:rStyle w:val="32"/>
          <w:rFonts w:hint="eastAsia" w:ascii="Calibri" w:hAnsi="宋体" w:eastAsia="宋体" w:cs="宋体"/>
          <w:color w:val="auto"/>
          <w:highlight w:val="none"/>
          <w:lang w:val="en" w:eastAsia="zh-CN"/>
        </w:rPr>
      </w:pPr>
      <w:r>
        <w:rPr>
          <w:rStyle w:val="32"/>
          <w:rFonts w:hint="eastAsia" w:ascii="Calibri" w:hAnsi="宋体" w:eastAsia="宋体" w:cs="宋体"/>
          <w:color w:val="auto"/>
          <w:highlight w:val="none"/>
        </w:rPr>
        <w:t>发包人是否提供支付担保：</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否</w:t>
      </w:r>
      <w:r>
        <w:rPr>
          <w:rStyle w:val="32"/>
          <w:rFonts w:ascii="Calibri" w:hAnsi="Calibri" w:eastAsia="宋体" w:cs="Times New Roman"/>
          <w:color w:val="auto"/>
          <w:highlight w:val="none"/>
          <w:u w:val="single"/>
        </w:rPr>
        <w:t xml:space="preserve">  </w:t>
      </w:r>
      <w:r>
        <w:rPr>
          <w:rStyle w:val="32"/>
          <w:rFonts w:hint="eastAsia" w:ascii="Times New Roman" w:hAnsi="宋体" w:eastAsia="宋体" w:cs="宋体"/>
          <w:color w:val="auto"/>
          <w:highlight w:val="none"/>
          <w:u w:val="none"/>
        </w:rPr>
        <w:t xml:space="preserve"> </w:t>
      </w:r>
      <w:r>
        <w:rPr>
          <w:rStyle w:val="32"/>
          <w:rFonts w:hint="eastAsia" w:ascii="Times New Roman" w:hAnsi="宋体" w:eastAsia="宋体" w:cs="宋体"/>
          <w:color w:val="auto"/>
          <w:highlight w:val="none"/>
        </w:rPr>
        <w:t>。</w:t>
      </w:r>
    </w:p>
    <w:p w14:paraId="6FCDA6D2">
      <w:pPr>
        <w:pStyle w:val="98"/>
        <w:spacing w:before="0" w:after="0" w:line="360" w:lineRule="auto"/>
        <w:rPr>
          <w:rStyle w:val="32"/>
          <w:rFonts w:cs="Times New Roman"/>
          <w:color w:val="auto"/>
          <w:highlight w:val="none"/>
        </w:rPr>
      </w:pPr>
      <w:bookmarkStart w:id="218" w:name="_Toc729657770"/>
      <w:bookmarkStart w:id="219" w:name="_Toc1181400362"/>
      <w:bookmarkStart w:id="220" w:name="_Toc407135208"/>
      <w:bookmarkStart w:id="221" w:name="_Toc78449794"/>
      <w:bookmarkStart w:id="222" w:name="_Toc351203635"/>
      <w:bookmarkStart w:id="223" w:name="_Toc373227706"/>
      <w:bookmarkStart w:id="224" w:name="_Toc389065272"/>
      <w:bookmarkStart w:id="225" w:name="_Toc373478353"/>
      <w:r>
        <w:rPr>
          <w:rStyle w:val="32"/>
          <w:rFonts w:cs="Times New Roman"/>
          <w:color w:val="auto"/>
          <w:highlight w:val="none"/>
        </w:rPr>
        <w:t>3</w:t>
      </w:r>
      <w:bookmarkStart w:id="226" w:name="_Toc296503158"/>
      <w:bookmarkStart w:id="227" w:name="_Toc296347157"/>
      <w:bookmarkStart w:id="228" w:name="_Toc292559363"/>
      <w:bookmarkStart w:id="229" w:name="_Toc297048344"/>
      <w:bookmarkStart w:id="230" w:name="_Toc296346659"/>
      <w:bookmarkStart w:id="231" w:name="_Toc296891198"/>
      <w:bookmarkStart w:id="232" w:name="_Toc296890986"/>
      <w:bookmarkStart w:id="233" w:name="_Toc296944497"/>
      <w:bookmarkStart w:id="234" w:name="_Toc292559868"/>
      <w:bookmarkStart w:id="235" w:name="_Toc297120458"/>
      <w:r>
        <w:rPr>
          <w:rStyle w:val="32"/>
          <w:rFonts w:cs="Times New Roman"/>
          <w:color w:val="auto"/>
          <w:highlight w:val="none"/>
        </w:rPr>
        <w:t xml:space="preserve">. </w:t>
      </w:r>
      <w:r>
        <w:rPr>
          <w:rStyle w:val="32"/>
          <w:rFonts w:hint="eastAsia" w:hAnsi="宋体" w:cs="黑体"/>
          <w:color w:val="auto"/>
          <w:sz w:val="28"/>
          <w:szCs w:val="18"/>
          <w:highlight w:val="none"/>
        </w:rPr>
        <w:t>承包人</w:t>
      </w:r>
      <w:bookmarkEnd w:id="218"/>
      <w:bookmarkEnd w:id="219"/>
      <w:bookmarkEnd w:id="220"/>
      <w:bookmarkEnd w:id="221"/>
      <w:bookmarkEnd w:id="222"/>
      <w:bookmarkEnd w:id="223"/>
      <w:bookmarkEnd w:id="224"/>
      <w:bookmarkEnd w:id="225"/>
    </w:p>
    <w:bookmarkEnd w:id="226"/>
    <w:bookmarkEnd w:id="227"/>
    <w:bookmarkEnd w:id="228"/>
    <w:bookmarkEnd w:id="229"/>
    <w:bookmarkEnd w:id="230"/>
    <w:bookmarkEnd w:id="231"/>
    <w:bookmarkEnd w:id="232"/>
    <w:bookmarkEnd w:id="233"/>
    <w:bookmarkEnd w:id="234"/>
    <w:bookmarkEnd w:id="235"/>
    <w:p w14:paraId="0854FCE5">
      <w:pPr>
        <w:pStyle w:val="99"/>
        <w:spacing w:before="0" w:after="0" w:line="360" w:lineRule="auto"/>
        <w:rPr>
          <w:rStyle w:val="32"/>
          <w:rFonts w:ascii="Calibri" w:hAnsi="Calibri" w:eastAsia="宋体" w:cs="Times New Roman"/>
          <w:color w:val="auto"/>
          <w:highlight w:val="none"/>
        </w:rPr>
      </w:pPr>
      <w:bookmarkStart w:id="236" w:name="_Toc389065273"/>
      <w:bookmarkStart w:id="237" w:name="_Toc373227707"/>
      <w:bookmarkStart w:id="238" w:name="_Toc962678435"/>
      <w:bookmarkStart w:id="239" w:name="_Toc1642190822"/>
      <w:bookmarkStart w:id="240" w:name="_Toc78449795"/>
      <w:bookmarkStart w:id="241" w:name="_Toc407135209"/>
      <w:bookmarkStart w:id="242" w:name="_Toc373478354"/>
      <w:r>
        <w:rPr>
          <w:rStyle w:val="32"/>
          <w:rFonts w:ascii="Calibri" w:hAnsi="Calibri" w:eastAsia="宋体" w:cs="Times New Roman"/>
          <w:color w:val="auto"/>
          <w:highlight w:val="none"/>
        </w:rPr>
        <w:t xml:space="preserve">3.1 </w:t>
      </w:r>
      <w:r>
        <w:rPr>
          <w:rStyle w:val="32"/>
          <w:rFonts w:hint="eastAsia" w:ascii="Calibri" w:hAnsi="Calibri" w:eastAsia="宋体" w:cs="黑体"/>
          <w:color w:val="auto"/>
          <w:sz w:val="28"/>
          <w:szCs w:val="28"/>
          <w:highlight w:val="none"/>
        </w:rPr>
        <w:t>承包人的一般义务</w:t>
      </w:r>
      <w:bookmarkEnd w:id="236"/>
      <w:bookmarkEnd w:id="237"/>
      <w:bookmarkEnd w:id="238"/>
      <w:bookmarkEnd w:id="239"/>
      <w:bookmarkEnd w:id="240"/>
      <w:bookmarkEnd w:id="241"/>
      <w:bookmarkEnd w:id="242"/>
    </w:p>
    <w:p w14:paraId="753ED660">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9</w:t>
      </w:r>
      <w:r>
        <w:rPr>
          <w:rStyle w:val="32"/>
          <w:rFonts w:hint="eastAsia" w:ascii="Calibri" w:hAnsi="宋体" w:eastAsia="宋体" w:cs="宋体"/>
          <w:color w:val="auto"/>
          <w:kern w:val="0"/>
          <w:highlight w:val="none"/>
        </w:rPr>
        <w:t>）</w:t>
      </w:r>
      <w:r>
        <w:rPr>
          <w:rStyle w:val="32"/>
          <w:rFonts w:hint="eastAsia" w:ascii="Calibri" w:hAnsi="宋体" w:eastAsia="宋体" w:cs="宋体"/>
          <w:color w:val="auto"/>
          <w:highlight w:val="none"/>
        </w:rPr>
        <w:t>承包人提交的竣工资料的内容：</w:t>
      </w:r>
    </w:p>
    <w:p w14:paraId="5163B769">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u w:val="single"/>
        </w:rPr>
        <w:t>工程具备竣工验收条件后，承包人按工程竣工验收的标准、规范等规定，向发包人提交符合城建档案馆归档要求内容装订成册的完整竣工资料及竣工验收报告、工程竣工图</w:t>
      </w:r>
      <w:r>
        <w:rPr>
          <w:rStyle w:val="32"/>
          <w:rFonts w:hint="eastAsia" w:ascii="Calibri" w:hAnsi="宋体" w:eastAsia="宋体" w:cs="宋体"/>
          <w:color w:val="auto"/>
          <w:highlight w:val="none"/>
        </w:rPr>
        <w:t>。</w:t>
      </w:r>
    </w:p>
    <w:p w14:paraId="6F0BED28">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承包人需要提交的竣工资料套数：</w:t>
      </w:r>
      <w:r>
        <w:rPr>
          <w:rFonts w:hint="eastAsia" w:hAnsi="宋体" w:cs="宋体"/>
          <w:color w:val="auto"/>
          <w:u w:val="single"/>
        </w:rPr>
        <w:t>纸质版竣工图</w:t>
      </w:r>
      <w:r>
        <w:rPr>
          <w:rFonts w:hAnsi="宋体" w:cs="宋体"/>
          <w:color w:val="auto"/>
          <w:u w:val="single"/>
        </w:rPr>
        <w:t xml:space="preserve"> 6 </w:t>
      </w:r>
      <w:r>
        <w:rPr>
          <w:rFonts w:hint="eastAsia" w:hAnsi="宋体" w:cs="宋体"/>
          <w:color w:val="auto"/>
          <w:u w:val="single"/>
        </w:rPr>
        <w:t>套（附</w:t>
      </w:r>
      <w:r>
        <w:rPr>
          <w:rFonts w:hAnsi="宋体" w:cs="宋体"/>
          <w:color w:val="auto"/>
          <w:u w:val="single"/>
        </w:rPr>
        <w:t xml:space="preserve"> CAD </w:t>
      </w:r>
      <w:r>
        <w:rPr>
          <w:rFonts w:hint="eastAsia" w:hAnsi="宋体" w:cs="宋体"/>
          <w:color w:val="auto"/>
          <w:u w:val="single"/>
        </w:rPr>
        <w:t>电子版</w:t>
      </w:r>
      <w:r>
        <w:rPr>
          <w:rFonts w:hAnsi="宋体" w:cs="宋体"/>
          <w:color w:val="auto"/>
          <w:u w:val="single"/>
        </w:rPr>
        <w:t xml:space="preserve"> 1 </w:t>
      </w:r>
      <w:r>
        <w:rPr>
          <w:rFonts w:hint="eastAsia" w:hAnsi="宋体" w:cs="宋体"/>
          <w:color w:val="auto"/>
          <w:u w:val="single"/>
        </w:rPr>
        <w:t>份）</w:t>
      </w:r>
      <w:r>
        <w:rPr>
          <w:rFonts w:hint="eastAsia" w:hAnsi="宋体" w:cs="宋体"/>
          <w:color w:val="auto"/>
          <w:u w:val="single"/>
          <w:lang w:eastAsia="zh-CN"/>
        </w:rPr>
        <w:t>、</w:t>
      </w:r>
      <w:r>
        <w:rPr>
          <w:rFonts w:hint="eastAsia" w:hAnsi="宋体" w:cs="宋体"/>
          <w:color w:val="auto"/>
          <w:u w:val="single"/>
        </w:rPr>
        <w:t>纸质版竣工资料</w:t>
      </w:r>
      <w:r>
        <w:rPr>
          <w:rFonts w:hAnsi="宋体" w:cs="宋体"/>
          <w:color w:val="auto"/>
          <w:u w:val="single"/>
        </w:rPr>
        <w:t xml:space="preserve"> 6 </w:t>
      </w:r>
      <w:r>
        <w:rPr>
          <w:rFonts w:hint="eastAsia" w:hAnsi="宋体" w:cs="宋体"/>
          <w:color w:val="auto"/>
          <w:u w:val="single"/>
        </w:rPr>
        <w:t>套</w:t>
      </w:r>
      <w:r>
        <w:rPr>
          <w:rStyle w:val="32"/>
          <w:rFonts w:hint="eastAsia" w:ascii="Calibri" w:hAnsi="宋体" w:eastAsia="宋体" w:cs="宋体"/>
          <w:color w:val="auto"/>
          <w:highlight w:val="none"/>
        </w:rPr>
        <w:t>。</w:t>
      </w:r>
    </w:p>
    <w:p w14:paraId="2EDC8858">
      <w:pPr>
        <w:pStyle w:val="78"/>
        <w:spacing w:line="360" w:lineRule="auto"/>
        <w:ind w:left="424" w:leftChars="202"/>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承包人提交的竣工资料的费用承担：</w:t>
      </w:r>
      <w:r>
        <w:rPr>
          <w:rStyle w:val="32"/>
          <w:rFonts w:ascii="Calibri" w:hAnsi="Calibri" w:eastAsia="宋体" w:cs="Times New Roman"/>
          <w:color w:val="auto"/>
          <w:highlight w:val="none"/>
          <w:u w:val="single"/>
        </w:rPr>
        <w:t xml:space="preserve">   </w:t>
      </w:r>
      <w:r>
        <w:rPr>
          <w:rFonts w:hint="eastAsia"/>
          <w:color w:val="auto"/>
          <w:u w:val="single"/>
        </w:rPr>
        <w:t>全部费用</w:t>
      </w:r>
      <w:r>
        <w:rPr>
          <w:rStyle w:val="32"/>
          <w:rFonts w:hint="eastAsia" w:ascii="Calibri" w:hAnsi="Calibri" w:eastAsia="宋体" w:cs="Times New Roman"/>
          <w:color w:val="auto"/>
          <w:highlight w:val="none"/>
          <w:u w:val="single"/>
        </w:rPr>
        <w:t>由承包人承担</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B7A57E0">
      <w:pPr>
        <w:pStyle w:val="78"/>
        <w:spacing w:line="360" w:lineRule="auto"/>
        <w:ind w:left="424" w:leftChars="202"/>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承包人提交的竣工资料移交时间：</w:t>
      </w:r>
      <w:r>
        <w:rPr>
          <w:rStyle w:val="32"/>
          <w:rFonts w:ascii="Calibri" w:hAnsi="Calibri" w:eastAsia="宋体" w:cs="Times New Roman"/>
          <w:color w:val="auto"/>
          <w:highlight w:val="none"/>
          <w:u w:val="single"/>
        </w:rPr>
        <w:t xml:space="preserve"> </w:t>
      </w:r>
      <w:r>
        <w:rPr>
          <w:rFonts w:hint="eastAsia"/>
          <w:color w:val="auto"/>
          <w:u w:val="single"/>
        </w:rPr>
        <w:t>工程竣工验收合格后</w:t>
      </w:r>
      <w:r>
        <w:rPr>
          <w:color w:val="auto"/>
          <w:u w:val="single"/>
        </w:rPr>
        <w:t xml:space="preserve"> 28 </w:t>
      </w:r>
      <w:r>
        <w:rPr>
          <w:rFonts w:hint="eastAsia"/>
          <w:color w:val="auto"/>
          <w:u w:val="single"/>
        </w:rPr>
        <w:t>日内完成移交</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304D4EEA">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承包人提交的竣工资料形式要求：</w:t>
      </w:r>
      <w:r>
        <w:rPr>
          <w:rStyle w:val="32"/>
          <w:rFonts w:hint="eastAsia" w:ascii="Calibri" w:hAnsi="Calibri" w:eastAsia="宋体" w:cs="Times New Roman"/>
          <w:color w:val="auto"/>
          <w:highlight w:val="none"/>
          <w:u w:val="single"/>
        </w:rPr>
        <w:t>书面材料且应当符合工程所在地建设行政主管部门和城市建设档案管理机构有关施工资料的要求</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6D8056A">
      <w:pPr>
        <w:pStyle w:val="78"/>
        <w:numPr>
          <w:ilvl w:val="0"/>
          <w:numId w:val="0"/>
        </w:numPr>
        <w:spacing w:line="360" w:lineRule="auto"/>
        <w:ind w:firstLine="420" w:firstLineChars="200"/>
        <w:rPr>
          <w:rStyle w:val="32"/>
          <w:rFonts w:hint="default" w:ascii="Calibri" w:hAnsi="宋体" w:eastAsia="宋体" w:cs="宋体"/>
          <w:color w:val="auto"/>
          <w:kern w:val="0"/>
          <w:highlight w:val="none"/>
          <w:u w:val="single"/>
          <w:lang w:val="en-US" w:eastAsia="zh-CN"/>
        </w:rPr>
      </w:pPr>
      <w:r>
        <w:rPr>
          <w:rFonts w:hint="eastAsia" w:ascii="Calibri" w:hAnsi="宋体" w:eastAsia="宋体" w:cs="宋体"/>
          <w:color w:val="auto"/>
          <w:kern w:val="0"/>
          <w:sz w:val="21"/>
          <w:szCs w:val="22"/>
          <w:lang w:val="en-US" w:eastAsia="zh-CN" w:bidi="ar-SA"/>
        </w:rPr>
        <w:t>（10）</w:t>
      </w:r>
      <w:r>
        <w:rPr>
          <w:rStyle w:val="32"/>
          <w:rFonts w:hint="eastAsia" w:ascii="Calibri" w:hAnsi="宋体" w:eastAsia="宋体" w:cs="宋体"/>
          <w:color w:val="auto"/>
          <w:highlight w:val="none"/>
        </w:rPr>
        <w:t>承包人应履行的其他义务</w:t>
      </w:r>
      <w:r>
        <w:rPr>
          <w:rStyle w:val="32"/>
          <w:rFonts w:hint="eastAsia" w:ascii="Calibri" w:hAnsi="宋体" w:eastAsia="宋体" w:cs="宋体"/>
          <w:color w:val="auto"/>
          <w:kern w:val="0"/>
          <w:highlight w:val="none"/>
        </w:rPr>
        <w:t>：</w:t>
      </w:r>
      <w:r>
        <w:rPr>
          <w:rStyle w:val="32"/>
          <w:rFonts w:hint="eastAsia" w:ascii="Calibri" w:hAnsi="宋体" w:eastAsia="宋体" w:cs="宋体"/>
          <w:color w:val="auto"/>
          <w:kern w:val="0"/>
          <w:highlight w:val="none"/>
          <w:u w:val="single"/>
        </w:rPr>
        <w:t>对开工的项目，须组建项目工会。</w:t>
      </w:r>
      <w:r>
        <w:rPr>
          <w:rStyle w:val="32"/>
          <w:rFonts w:hint="eastAsia" w:hAnsi="宋体" w:cs="宋体"/>
          <w:color w:val="auto"/>
          <w:kern w:val="0"/>
          <w:highlight w:val="none"/>
          <w:u w:val="single"/>
          <w:lang w:val="en-US" w:eastAsia="zh-CN"/>
        </w:rPr>
        <w:t>1.</w:t>
      </w:r>
      <w:r>
        <w:rPr>
          <w:rStyle w:val="32"/>
          <w:rFonts w:hint="eastAsia" w:ascii="Calibri" w:hAnsi="宋体" w:eastAsia="宋体" w:cs="宋体"/>
          <w:color w:val="auto"/>
          <w:kern w:val="0"/>
          <w:highlight w:val="none"/>
          <w:u w:val="single"/>
        </w:rPr>
        <w:t>施工场地周围地下管线和邻近建筑物、构筑物（含文物保护建筑）、古树名木的保护要求及费用承担：承包人施工时应探明并负责保护且标物，施工时如损坏地下管线、邻近建筑物、构筑物，</w:t>
      </w:r>
      <w:r>
        <w:rPr>
          <w:rFonts w:hint="eastAsia" w:hAnsi="宋体" w:cs="宋体"/>
          <w:color w:val="auto"/>
          <w:kern w:val="0"/>
          <w:u w:val="single"/>
        </w:rPr>
        <w:t>所有修复费用、赔偿费用及一切经济损失均由承包人全额承担</w:t>
      </w:r>
      <w:r>
        <w:rPr>
          <w:rStyle w:val="32"/>
          <w:rFonts w:hint="eastAsia" w:ascii="Calibri" w:hAnsi="宋体" w:eastAsia="宋体" w:cs="宋体"/>
          <w:color w:val="auto"/>
          <w:kern w:val="0"/>
          <w:highlight w:val="none"/>
          <w:u w:val="single"/>
        </w:rPr>
        <w:t>。</w:t>
      </w:r>
      <w:r>
        <w:rPr>
          <w:rStyle w:val="32"/>
          <w:rFonts w:hint="eastAsia" w:hAnsi="宋体" w:cs="宋体"/>
          <w:color w:val="auto"/>
          <w:kern w:val="0"/>
          <w:highlight w:val="none"/>
          <w:u w:val="single"/>
          <w:lang w:val="en-US" w:eastAsia="zh-CN"/>
        </w:rPr>
        <w:t>2.</w:t>
      </w:r>
      <w:r>
        <w:rPr>
          <w:rStyle w:val="32"/>
          <w:rFonts w:hint="eastAsia" w:ascii="Calibri" w:hAnsi="宋体" w:eastAsia="宋体" w:cs="宋体"/>
          <w:color w:val="auto"/>
          <w:kern w:val="0"/>
          <w:highlight w:val="none"/>
          <w:u w:val="single"/>
        </w:rPr>
        <w:t>取土场及弃土场由承包人自行解决，但不得违反相关管理规定，</w:t>
      </w:r>
      <w:r>
        <w:rPr>
          <w:rFonts w:hint="eastAsia" w:hAnsi="宋体" w:cs="宋体"/>
          <w:color w:val="auto"/>
          <w:kern w:val="0"/>
          <w:u w:val="single"/>
        </w:rPr>
        <w:t>相关场地租赁、清运、处置、合规办理等全部费用由承包人承担</w:t>
      </w:r>
      <w:r>
        <w:rPr>
          <w:rStyle w:val="32"/>
          <w:rFonts w:hint="eastAsia" w:ascii="Calibri" w:hAnsi="宋体" w:eastAsia="宋体" w:cs="宋体"/>
          <w:color w:val="auto"/>
          <w:kern w:val="0"/>
          <w:highlight w:val="none"/>
          <w:u w:val="single"/>
        </w:rPr>
        <w:t>。</w:t>
      </w:r>
      <w:r>
        <w:rPr>
          <w:rStyle w:val="32"/>
          <w:rFonts w:hint="eastAsia" w:hAnsi="宋体" w:cs="宋体"/>
          <w:color w:val="auto"/>
          <w:kern w:val="0"/>
          <w:highlight w:val="none"/>
          <w:u w:val="single"/>
          <w:lang w:val="en-US" w:eastAsia="zh-CN"/>
        </w:rPr>
        <w:t>3.</w:t>
      </w:r>
      <w:r>
        <w:rPr>
          <w:rStyle w:val="32"/>
          <w:rFonts w:hint="eastAsia" w:ascii="Calibri" w:hAnsi="宋体" w:eastAsia="宋体" w:cs="宋体"/>
          <w:color w:val="auto"/>
          <w:kern w:val="0"/>
          <w:highlight w:val="none"/>
          <w:u w:val="single"/>
        </w:rPr>
        <w:t>需承包人办理的有关报监、报审、备案等手续 。承包人应负责提供完成合同工作所需的劳务、材料、施工设备、工程设备和其他物品，并按合同约定负责临时设施的设计、建造、运行、维护、管理和拆除。</w:t>
      </w:r>
      <w:r>
        <w:rPr>
          <w:rStyle w:val="32"/>
          <w:rFonts w:hint="eastAsia" w:hAnsi="宋体" w:cs="宋体"/>
          <w:color w:val="auto"/>
          <w:kern w:val="0"/>
          <w:highlight w:val="none"/>
          <w:u w:val="single"/>
          <w:lang w:val="en-US" w:eastAsia="zh-CN"/>
        </w:rPr>
        <w:t>4.</w:t>
      </w:r>
      <w:r>
        <w:rPr>
          <w:rStyle w:val="32"/>
          <w:rFonts w:hint="eastAsia" w:ascii="Calibri" w:hAnsi="宋体" w:eastAsia="宋体" w:cs="宋体"/>
          <w:color w:val="auto"/>
          <w:kern w:val="0"/>
          <w:highlight w:val="none"/>
          <w:u w:val="single"/>
        </w:rPr>
        <w:t>承包人在办理施工许可手续前，向银行开设农民工工资支付专用账户，通过银行转账方式，确保按月足额发放农民工工资</w:t>
      </w:r>
      <w:r>
        <w:rPr>
          <w:rStyle w:val="32"/>
          <w:rFonts w:hint="eastAsia" w:hAnsi="宋体" w:cs="宋体"/>
          <w:color w:val="auto"/>
          <w:kern w:val="0"/>
          <w:highlight w:val="none"/>
          <w:u w:val="single"/>
          <w:lang w:val="en-US" w:eastAsia="zh-CN"/>
        </w:rPr>
        <w:t>5.</w:t>
      </w:r>
      <w:r>
        <w:rPr>
          <w:rStyle w:val="32"/>
          <w:rFonts w:hint="eastAsia" w:ascii="Calibri" w:hAnsi="宋体" w:eastAsia="宋体" w:cs="宋体"/>
          <w:color w:val="auto"/>
          <w:kern w:val="0"/>
          <w:highlight w:val="none"/>
          <w:u w:val="single"/>
        </w:rPr>
        <w:t>因施工问题涉及交通、公路等部门的，承包人有义务与发包人一起协调。</w:t>
      </w:r>
      <w:r>
        <w:rPr>
          <w:rStyle w:val="32"/>
          <w:rFonts w:hint="eastAsia" w:hAnsi="宋体" w:cs="宋体"/>
          <w:color w:val="auto"/>
          <w:kern w:val="0"/>
          <w:highlight w:val="none"/>
          <w:u w:val="single"/>
          <w:lang w:val="en-US" w:eastAsia="zh-CN"/>
        </w:rPr>
        <w:t>6.</w:t>
      </w:r>
      <w:r>
        <w:rPr>
          <w:rFonts w:hint="eastAsia" w:hAnsi="宋体" w:cs="宋体"/>
          <w:color w:val="auto"/>
          <w:kern w:val="0"/>
          <w:u w:val="single"/>
        </w:rPr>
        <w:t>承包人须严格按消防设计及现行规范施工，确保本项目消防工程顺利通过消防主管部门验收或完成合规备案；全力配合发包人办理消防相关合格证明文件，保障项目按期具备投用条件；因施工质量、资料缺失等承包人原因导致消防验收延误、整改产生的一切费用及工期损失，均由承包人承担</w:t>
      </w:r>
      <w:r>
        <w:rPr>
          <w:rStyle w:val="32"/>
          <w:rFonts w:hint="eastAsia" w:hAnsi="宋体" w:cs="宋体"/>
          <w:color w:val="auto"/>
          <w:kern w:val="0"/>
          <w:highlight w:val="none"/>
          <w:u w:val="single"/>
          <w:lang w:val="en-US" w:eastAsia="zh-CN"/>
        </w:rPr>
        <w:t>。</w:t>
      </w:r>
      <w:r>
        <w:rPr>
          <w:rFonts w:hint="eastAsia" w:hAnsi="宋体" w:cs="宋体"/>
          <w:color w:val="auto"/>
          <w:kern w:val="0"/>
          <w:u w:val="single"/>
        </w:rPr>
        <w:t>7.承包人所有自行办理手续、现场防护、外部协调产生的费用，均已包含在合同综合单价及总价内，发包人不再另行计价支付。</w:t>
      </w:r>
    </w:p>
    <w:p w14:paraId="2F2DA8BE">
      <w:pPr>
        <w:pStyle w:val="99"/>
        <w:spacing w:before="0" w:after="0" w:line="360" w:lineRule="auto"/>
        <w:rPr>
          <w:rStyle w:val="32"/>
          <w:rFonts w:ascii="Calibri" w:hAnsi="Calibri" w:eastAsia="宋体" w:cs="Times New Roman"/>
          <w:color w:val="auto"/>
          <w:highlight w:val="none"/>
        </w:rPr>
      </w:pPr>
      <w:bookmarkStart w:id="243" w:name="_Toc373227708"/>
      <w:bookmarkStart w:id="244" w:name="_Toc407135210"/>
      <w:bookmarkStart w:id="245" w:name="_Toc501741485"/>
      <w:bookmarkStart w:id="246" w:name="_Toc1659520837"/>
      <w:bookmarkStart w:id="247" w:name="_Toc389065274"/>
      <w:bookmarkStart w:id="248" w:name="_Toc78449796"/>
      <w:bookmarkStart w:id="249" w:name="_Toc373478355"/>
      <w:r>
        <w:rPr>
          <w:rStyle w:val="32"/>
          <w:rFonts w:ascii="Calibri" w:hAnsi="Calibri" w:eastAsia="宋体" w:cs="Times New Roman"/>
          <w:color w:val="auto"/>
          <w:highlight w:val="none"/>
        </w:rPr>
        <w:t xml:space="preserve">3.2 </w:t>
      </w:r>
      <w:r>
        <w:rPr>
          <w:rStyle w:val="32"/>
          <w:rFonts w:hint="eastAsia" w:ascii="Calibri" w:hAnsi="宋体" w:eastAsia="宋体" w:cs="黑体"/>
          <w:color w:val="auto"/>
          <w:sz w:val="28"/>
          <w:szCs w:val="28"/>
          <w:highlight w:val="none"/>
        </w:rPr>
        <w:t>项目经理</w:t>
      </w:r>
      <w:bookmarkEnd w:id="243"/>
      <w:bookmarkEnd w:id="244"/>
      <w:bookmarkEnd w:id="245"/>
      <w:bookmarkEnd w:id="246"/>
      <w:bookmarkEnd w:id="247"/>
      <w:bookmarkEnd w:id="248"/>
      <w:bookmarkEnd w:id="249"/>
    </w:p>
    <w:p w14:paraId="451A5221">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kern w:val="0"/>
          <w:highlight w:val="none"/>
        </w:rPr>
        <w:t xml:space="preserve">3.2.1 </w:t>
      </w:r>
      <w:r>
        <w:rPr>
          <w:rStyle w:val="32"/>
          <w:rFonts w:hint="eastAsia" w:ascii="Calibri" w:hAnsi="宋体" w:eastAsia="宋体" w:cs="宋体"/>
          <w:color w:val="auto"/>
          <w:highlight w:val="none"/>
        </w:rPr>
        <w:t>项目经理：</w:t>
      </w:r>
    </w:p>
    <w:p w14:paraId="72CAAFB2">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姓</w:t>
      </w:r>
      <w:r>
        <w:rPr>
          <w:rStyle w:val="32"/>
          <w:rFonts w:ascii="Calibri" w:hAnsi="Calibri" w:eastAsia="宋体" w:cs="Times New Roman"/>
          <w:color w:val="auto"/>
          <w:highlight w:val="none"/>
        </w:rPr>
        <w:t xml:space="preserve">    </w:t>
      </w:r>
      <w:r>
        <w:rPr>
          <w:rStyle w:val="32"/>
          <w:rFonts w:ascii="Calibri" w:hAnsi="宋体" w:eastAsia="宋体" w:cs="Times New Roman"/>
          <w:color w:val="auto"/>
          <w:highlight w:val="none"/>
        </w:rPr>
        <w:t>名：</w:t>
      </w:r>
      <w:r>
        <w:rPr>
          <w:rStyle w:val="32"/>
          <w:rFonts w:ascii="Calibri" w:hAnsi="Calibri" w:eastAsia="宋体" w:cs="Times New Roman"/>
          <w:color w:val="auto"/>
          <w:highlight w:val="none"/>
          <w:u w:val="single"/>
        </w:rPr>
        <w:t xml:space="preserve">     </w:t>
      </w:r>
      <w:r>
        <w:rPr>
          <w:rStyle w:val="32"/>
          <w:rFonts w:hint="eastAsia" w:hAnsi="宋体" w:cs="Times New Roman"/>
          <w:color w:val="auto"/>
          <w:highlight w:val="none"/>
          <w:u w:val="single"/>
          <w:lang w:val="en-US" w:eastAsia="zh-CN"/>
        </w:rPr>
        <w:t xml:space="preserve">                              </w:t>
      </w:r>
      <w:r>
        <w:rPr>
          <w:rStyle w:val="32"/>
          <w:rFonts w:ascii="Calibri" w:hAnsi="宋体" w:eastAsia="宋体" w:cs="Times New Roman"/>
          <w:color w:val="auto"/>
          <w:highlight w:val="none"/>
        </w:rPr>
        <w:t>；</w:t>
      </w:r>
    </w:p>
    <w:p w14:paraId="39053228">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身份证号：</w:t>
      </w:r>
      <w:r>
        <w:rPr>
          <w:rStyle w:val="32"/>
          <w:rFonts w:ascii="Calibri" w:hAnsi="Calibri" w:eastAsia="宋体" w:cs="Times New Roman"/>
          <w:color w:val="auto"/>
          <w:highlight w:val="none"/>
          <w:u w:val="single"/>
        </w:rPr>
        <w:t xml:space="preserve">     </w:t>
      </w:r>
      <w:r>
        <w:rPr>
          <w:rStyle w:val="32"/>
          <w:rFonts w:hint="eastAsia" w:hAnsi="宋体" w:cs="Times New Roman"/>
          <w:color w:val="auto"/>
          <w:highlight w:val="none"/>
          <w:u w:val="single"/>
          <w:lang w:val="en-US" w:eastAsia="zh-CN"/>
        </w:rPr>
        <w:t xml:space="preserve">                              </w:t>
      </w:r>
      <w:r>
        <w:rPr>
          <w:rStyle w:val="32"/>
          <w:rFonts w:ascii="Calibri" w:hAnsi="宋体" w:eastAsia="宋体" w:cs="Times New Roman"/>
          <w:color w:val="auto"/>
          <w:highlight w:val="none"/>
        </w:rPr>
        <w:t>；</w:t>
      </w:r>
    </w:p>
    <w:p w14:paraId="775708EF">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建造师执业资格等级：</w:t>
      </w:r>
      <w:r>
        <w:rPr>
          <w:rStyle w:val="32"/>
          <w:rFonts w:ascii="Calibri" w:hAnsi="Calibri" w:eastAsia="宋体" w:cs="Times New Roman"/>
          <w:color w:val="auto"/>
          <w:highlight w:val="none"/>
          <w:u w:val="single"/>
        </w:rPr>
        <w:t xml:space="preserve">     </w:t>
      </w:r>
      <w:r>
        <w:rPr>
          <w:rStyle w:val="32"/>
          <w:rFonts w:hint="eastAsia" w:hAnsi="宋体" w:cs="Times New Roman"/>
          <w:color w:val="auto"/>
          <w:highlight w:val="none"/>
          <w:u w:val="single"/>
          <w:lang w:val="en-US" w:eastAsia="zh-CN"/>
        </w:rPr>
        <w:t xml:space="preserve">                              </w:t>
      </w:r>
      <w:r>
        <w:rPr>
          <w:rStyle w:val="32"/>
          <w:rFonts w:ascii="Calibri" w:hAnsi="宋体" w:eastAsia="宋体" w:cs="Times New Roman"/>
          <w:color w:val="auto"/>
          <w:highlight w:val="none"/>
        </w:rPr>
        <w:t>；</w:t>
      </w:r>
    </w:p>
    <w:p w14:paraId="4E441719">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建造师注册证书号：</w:t>
      </w:r>
      <w:r>
        <w:rPr>
          <w:rStyle w:val="32"/>
          <w:rFonts w:ascii="Calibri" w:hAnsi="Calibri" w:eastAsia="宋体" w:cs="Times New Roman"/>
          <w:color w:val="auto"/>
          <w:highlight w:val="none"/>
          <w:u w:val="single"/>
        </w:rPr>
        <w:t xml:space="preserve">     </w:t>
      </w:r>
      <w:r>
        <w:rPr>
          <w:rStyle w:val="32"/>
          <w:rFonts w:hint="eastAsia" w:hAnsi="宋体" w:cs="Times New Roman"/>
          <w:color w:val="auto"/>
          <w:highlight w:val="none"/>
          <w:u w:val="single"/>
          <w:lang w:val="en-US" w:eastAsia="zh-CN"/>
        </w:rPr>
        <w:t xml:space="preserve">                              </w:t>
      </w:r>
      <w:r>
        <w:rPr>
          <w:rStyle w:val="32"/>
          <w:rFonts w:ascii="Calibri" w:hAnsi="宋体" w:eastAsia="宋体" w:cs="Times New Roman"/>
          <w:color w:val="auto"/>
          <w:highlight w:val="none"/>
        </w:rPr>
        <w:t>；</w:t>
      </w:r>
    </w:p>
    <w:p w14:paraId="5EA6064B">
      <w:pPr>
        <w:pStyle w:val="78"/>
        <w:spacing w:line="360" w:lineRule="auto"/>
        <w:ind w:firstLine="420" w:firstLineChars="200"/>
        <w:rPr>
          <w:rStyle w:val="32"/>
          <w:rFonts w:ascii="Calibri" w:hAnsi="宋体" w:eastAsia="宋体" w:cs="Times New Roman"/>
          <w:color w:val="auto"/>
          <w:highlight w:val="none"/>
        </w:rPr>
      </w:pPr>
      <w:r>
        <w:rPr>
          <w:rStyle w:val="32"/>
          <w:rFonts w:ascii="Calibri" w:hAnsi="宋体" w:eastAsia="宋体" w:cs="Times New Roman"/>
          <w:color w:val="auto"/>
          <w:highlight w:val="none"/>
        </w:rPr>
        <w:t>安全生产考核合格证书号：</w:t>
      </w:r>
      <w:r>
        <w:rPr>
          <w:rStyle w:val="32"/>
          <w:rFonts w:ascii="Calibri" w:hAnsi="Calibri" w:eastAsia="宋体" w:cs="Times New Roman"/>
          <w:color w:val="auto"/>
          <w:highlight w:val="none"/>
          <w:u w:val="single"/>
        </w:rPr>
        <w:t xml:space="preserve">     </w:t>
      </w:r>
      <w:r>
        <w:rPr>
          <w:rStyle w:val="32"/>
          <w:rFonts w:hint="eastAsia" w:hAnsi="宋体" w:cs="Times New Roman"/>
          <w:color w:val="auto"/>
          <w:highlight w:val="none"/>
          <w:u w:val="single"/>
          <w:lang w:val="en-US" w:eastAsia="zh-CN"/>
        </w:rPr>
        <w:t xml:space="preserve">                              </w:t>
      </w:r>
      <w:r>
        <w:rPr>
          <w:rStyle w:val="32"/>
          <w:rFonts w:ascii="Calibri" w:hAnsi="宋体" w:eastAsia="宋体" w:cs="Times New Roman"/>
          <w:color w:val="auto"/>
          <w:highlight w:val="none"/>
        </w:rPr>
        <w:t>；</w:t>
      </w:r>
    </w:p>
    <w:p w14:paraId="15DB87CC">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联系电话：</w:t>
      </w:r>
      <w:r>
        <w:rPr>
          <w:rStyle w:val="32"/>
          <w:rFonts w:ascii="Calibri" w:hAnsi="Calibri" w:eastAsia="宋体" w:cs="Times New Roman"/>
          <w:color w:val="auto"/>
          <w:highlight w:val="none"/>
          <w:u w:val="single"/>
        </w:rPr>
        <w:t xml:space="preserve">     </w:t>
      </w:r>
      <w:r>
        <w:rPr>
          <w:rStyle w:val="32"/>
          <w:rFonts w:hint="eastAsia" w:hAnsi="宋体" w:cs="Times New Roman"/>
          <w:color w:val="auto"/>
          <w:highlight w:val="none"/>
          <w:u w:val="single"/>
          <w:lang w:val="en-US" w:eastAsia="zh-CN"/>
        </w:rPr>
        <w:t xml:space="preserve">                              </w:t>
      </w:r>
      <w:r>
        <w:rPr>
          <w:rStyle w:val="32"/>
          <w:rFonts w:ascii="Calibri" w:hAnsi="宋体" w:eastAsia="宋体" w:cs="Times New Roman"/>
          <w:color w:val="auto"/>
          <w:highlight w:val="none"/>
        </w:rPr>
        <w:t>；</w:t>
      </w:r>
    </w:p>
    <w:p w14:paraId="02C818CE">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承包人对项目经理的授权范围如下：</w:t>
      </w:r>
      <w:r>
        <w:rPr>
          <w:rStyle w:val="32"/>
          <w:rFonts w:hint="eastAsia" w:ascii="宋体" w:hAnsi="宋体" w:eastAsia="宋体" w:cs="Times New Roman"/>
          <w:color w:val="auto"/>
          <w:szCs w:val="21"/>
          <w:highlight w:val="none"/>
          <w:u w:val="single"/>
        </w:rPr>
        <w:t>项目经理的职权仅限于施工管理，未经承包人书面授权或盖章同意不得代表承包人或者以承包人名义向外采购材料设备、租用周转材等、雇佣劳动力、签订各种合同或协议，以及一切为承包人设定义务与承担责任的行为</w:t>
      </w:r>
      <w:r>
        <w:rPr>
          <w:rStyle w:val="32"/>
          <w:rFonts w:hint="eastAsia" w:ascii="Calibri" w:hAnsi="宋体" w:eastAsia="宋体" w:cs="宋体"/>
          <w:color w:val="auto"/>
          <w:highlight w:val="none"/>
        </w:rPr>
        <w:t>。</w:t>
      </w:r>
    </w:p>
    <w:p w14:paraId="65DB2B47">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关于项目经理每月在施工现场的时间要求：</w:t>
      </w:r>
      <w:r>
        <w:rPr>
          <w:rStyle w:val="32"/>
          <w:rFonts w:hint="eastAsia" w:ascii="Calibri" w:hAnsi="宋体" w:eastAsia="宋体" w:cs="宋体"/>
          <w:color w:val="auto"/>
          <w:kern w:val="0"/>
          <w:highlight w:val="none"/>
          <w:u w:val="single"/>
        </w:rPr>
        <w:t>每月带班生产时间不得少于本月施工时间的80%</w:t>
      </w:r>
      <w:r>
        <w:rPr>
          <w:rStyle w:val="32"/>
          <w:rFonts w:hint="eastAsia" w:ascii="Calibri" w:hAnsi="宋体" w:eastAsia="宋体" w:cs="宋体"/>
          <w:color w:val="auto"/>
          <w:highlight w:val="none"/>
        </w:rPr>
        <w:t>。</w:t>
      </w:r>
    </w:p>
    <w:p w14:paraId="5F4444E6">
      <w:pPr>
        <w:pStyle w:val="78"/>
        <w:spacing w:line="360" w:lineRule="auto"/>
        <w:ind w:firstLine="420" w:firstLineChars="200"/>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承包人未提交劳动合同，以及没有为项目经理缴纳社会保险证明的违约责任：</w:t>
      </w:r>
      <w:r>
        <w:rPr>
          <w:rStyle w:val="32"/>
          <w:rFonts w:hint="eastAsia" w:ascii="Calibri" w:hAnsi="宋体" w:eastAsia="宋体" w:cs="宋体"/>
          <w:color w:val="auto"/>
          <w:highlight w:val="none"/>
          <w:u w:val="single"/>
        </w:rPr>
        <w:t>视为违约，除必须更换与投标承诺资质相符合的项目经理外，还必须向发包人交纳处罚金5000.00 元(人民币)，且发包人有权因此而解除合同，并有权没收承包人的全部履约保证金，由此造成的一切责任均由承包人负责</w:t>
      </w:r>
      <w:r>
        <w:rPr>
          <w:rStyle w:val="32"/>
          <w:rFonts w:hint="eastAsia" w:ascii="Calibri" w:hAnsi="宋体" w:eastAsia="宋体" w:cs="宋体"/>
          <w:color w:val="auto"/>
          <w:highlight w:val="none"/>
        </w:rPr>
        <w:t>。</w:t>
      </w:r>
    </w:p>
    <w:p w14:paraId="6D142FC2">
      <w:pPr>
        <w:pStyle w:val="78"/>
        <w:spacing w:line="360" w:lineRule="auto"/>
        <w:ind w:firstLine="420" w:firstLineChars="200"/>
        <w:rPr>
          <w:rStyle w:val="32"/>
          <w:rFonts w:ascii="Calibri" w:hAnsi="Calibri" w:eastAsia="宋体" w:cs="Times New Roman"/>
          <w:color w:val="auto"/>
          <w:highlight w:val="none"/>
          <w:u w:val="single"/>
        </w:rPr>
      </w:pPr>
      <w:r>
        <w:rPr>
          <w:rStyle w:val="32"/>
          <w:rFonts w:hint="eastAsia" w:ascii="Calibri" w:hAnsi="宋体" w:eastAsia="宋体" w:cs="宋体"/>
          <w:color w:val="auto"/>
          <w:kern w:val="0"/>
          <w:highlight w:val="none"/>
        </w:rPr>
        <w:t>项目经理未经批准，擅自离开施工现场的违约责任：</w:t>
      </w:r>
      <w:r>
        <w:rPr>
          <w:rStyle w:val="32"/>
          <w:rFonts w:hint="eastAsia" w:ascii="Calibri" w:hAnsi="宋体" w:eastAsia="宋体" w:cs="宋体"/>
          <w:color w:val="auto"/>
          <w:highlight w:val="none"/>
          <w:u w:val="single"/>
        </w:rPr>
        <w:t>项目经理每月在岗带班时间不得少于当月施工时间的</w:t>
      </w:r>
      <w:r>
        <w:rPr>
          <w:rStyle w:val="32"/>
          <w:rFonts w:ascii="Calibri" w:hAnsi="宋体" w:eastAsia="宋体" w:cs="Times New Roman"/>
          <w:color w:val="auto"/>
          <w:highlight w:val="none"/>
          <w:u w:val="single"/>
        </w:rPr>
        <w:t>80%</w:t>
      </w:r>
      <w:r>
        <w:rPr>
          <w:rStyle w:val="32"/>
          <w:rFonts w:hint="eastAsia" w:ascii="Calibri" w:hAnsi="宋体" w:eastAsia="宋体" w:cs="宋体"/>
          <w:color w:val="auto"/>
          <w:highlight w:val="none"/>
          <w:u w:val="single"/>
        </w:rPr>
        <w:t>。未经发包人同意或正当理由，项目经理每月在岗带班时间少于当月施工时间</w:t>
      </w:r>
      <w:r>
        <w:rPr>
          <w:rStyle w:val="32"/>
          <w:rFonts w:ascii="Calibri" w:hAnsi="宋体" w:eastAsia="宋体" w:cs="Times New Roman"/>
          <w:color w:val="auto"/>
          <w:highlight w:val="none"/>
          <w:u w:val="single"/>
        </w:rPr>
        <w:t>80%</w:t>
      </w:r>
      <w:r>
        <w:rPr>
          <w:rStyle w:val="32"/>
          <w:rFonts w:hint="eastAsia" w:ascii="Calibri" w:hAnsi="宋体" w:eastAsia="宋体" w:cs="宋体"/>
          <w:color w:val="auto"/>
          <w:highlight w:val="none"/>
          <w:u w:val="single"/>
        </w:rPr>
        <w:t>的，少在岗带班一天，发包人有权处违约金</w:t>
      </w:r>
      <w:r>
        <w:rPr>
          <w:rStyle w:val="32"/>
          <w:rFonts w:hint="eastAsia" w:ascii="Calibri" w:hAnsi="Calibri" w:eastAsia="宋体" w:cs="Times New Roman"/>
          <w:color w:val="auto"/>
          <w:highlight w:val="none"/>
          <w:u w:val="single"/>
          <w:lang w:val="en-US" w:eastAsia="zh-CN"/>
        </w:rPr>
        <w:t>500</w:t>
      </w:r>
      <w:r>
        <w:rPr>
          <w:rStyle w:val="32"/>
          <w:rFonts w:hint="eastAsia" w:ascii="Calibri" w:hAnsi="宋体" w:eastAsia="宋体" w:cs="宋体"/>
          <w:color w:val="auto"/>
          <w:highlight w:val="none"/>
          <w:u w:val="single"/>
        </w:rPr>
        <w:t>元</w:t>
      </w:r>
      <w:r>
        <w:rPr>
          <w:rStyle w:val="32"/>
          <w:rFonts w:ascii="Calibri" w:hAnsi="Calibri" w:eastAsia="宋体" w:cs="Times New Roman"/>
          <w:color w:val="auto"/>
          <w:highlight w:val="none"/>
          <w:u w:val="single"/>
        </w:rPr>
        <w:t>/</w:t>
      </w:r>
      <w:r>
        <w:rPr>
          <w:rStyle w:val="32"/>
          <w:rFonts w:hint="eastAsia" w:ascii="Calibri" w:hAnsi="Calibri" w:eastAsia="宋体" w:cs="宋体"/>
          <w:color w:val="auto"/>
          <w:highlight w:val="none"/>
          <w:u w:val="single"/>
        </w:rPr>
        <w:t>日（</w:t>
      </w:r>
      <w:r>
        <w:rPr>
          <w:rStyle w:val="32"/>
          <w:rFonts w:hint="eastAsia" w:ascii="Calibri" w:hAnsi="宋体" w:eastAsia="宋体" w:cs="宋体"/>
          <w:color w:val="auto"/>
          <w:highlight w:val="none"/>
          <w:u w:val="single"/>
        </w:rPr>
        <w:t>人民币</w:t>
      </w:r>
      <w:r>
        <w:rPr>
          <w:rStyle w:val="32"/>
          <w:rFonts w:hint="eastAsia" w:ascii="Calibri" w:hAnsi="Calibri" w:eastAsia="宋体" w:cs="宋体"/>
          <w:color w:val="auto"/>
          <w:highlight w:val="none"/>
          <w:u w:val="single"/>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74E2D3D">
      <w:pPr>
        <w:pStyle w:val="78"/>
        <w:adjustRightInd w:val="0"/>
        <w:snapToGrid w:val="0"/>
        <w:spacing w:line="460" w:lineRule="exact"/>
        <w:ind w:firstLine="420" w:firstLineChars="200"/>
        <w:jc w:val="left"/>
        <w:rPr>
          <w:rStyle w:val="32"/>
          <w:rFonts w:ascii="Times New Roman" w:hAnsi="Times New Roman" w:eastAsia="宋体" w:cs="Times New Roman"/>
          <w:color w:val="auto"/>
          <w:highlight w:val="none"/>
        </w:rPr>
      </w:pPr>
      <w:r>
        <w:rPr>
          <w:rStyle w:val="32"/>
          <w:rFonts w:ascii="Calibri" w:hAnsi="Calibri" w:eastAsia="宋体" w:cs="Times New Roman"/>
          <w:color w:val="auto"/>
          <w:highlight w:val="none"/>
        </w:rPr>
        <w:t xml:space="preserve">3.2.3 </w:t>
      </w:r>
      <w:r>
        <w:rPr>
          <w:rStyle w:val="32"/>
          <w:rFonts w:hint="eastAsia" w:ascii="Calibri" w:hAnsi="宋体" w:eastAsia="宋体" w:cs="宋体"/>
          <w:color w:val="auto"/>
          <w:highlight w:val="none"/>
        </w:rPr>
        <w:t>承包人擅自更换项目经理的违约责任：</w:t>
      </w:r>
      <w:r>
        <w:rPr>
          <w:rStyle w:val="32"/>
          <w:rFonts w:hint="eastAsia" w:ascii="Calibri" w:hAnsi="宋体" w:eastAsia="宋体" w:cs="宋体"/>
          <w:color w:val="auto"/>
          <w:highlight w:val="none"/>
          <w:u w:val="single"/>
        </w:rPr>
        <w:t>承包人项目经理必须与承包人投标时所承诺的人员一致，并在（开工日期）前到</w:t>
      </w:r>
      <w:r>
        <w:rPr>
          <w:rStyle w:val="32"/>
          <w:rFonts w:hint="default" w:ascii="Times New Roman" w:hAnsi="Times New Roman" w:eastAsia="宋体" w:cs="Times New Roman"/>
          <w:color w:val="auto"/>
          <w:highlight w:val="none"/>
          <w:u w:val="none"/>
        </w:rPr>
        <w:t>任。在监理人向承包人颁发</w:t>
      </w:r>
      <w:r>
        <w:rPr>
          <w:rStyle w:val="32"/>
          <w:rFonts w:hint="default" w:ascii="Times New Roman" w:hAnsi="Times New Roman" w:eastAsia="宋体" w:cs="Times New Roman"/>
          <w:color w:val="auto"/>
          <w:highlight w:val="none"/>
          <w:u w:val="single"/>
        </w:rPr>
        <w:t>（竣工证明材料名称）</w:t>
      </w:r>
      <w:r>
        <w:rPr>
          <w:rStyle w:val="32"/>
          <w:rFonts w:hint="default" w:ascii="Times New Roman" w:hAnsi="Times New Roman" w:eastAsia="宋体" w:cs="Times New Roman"/>
          <w:color w:val="auto"/>
          <w:highlight w:val="none"/>
          <w:u w:val="none"/>
        </w:rPr>
        <w:t>前，项目经理不得同时兼任其他任何项目的项目经理</w:t>
      </w:r>
      <w:r>
        <w:rPr>
          <w:rStyle w:val="32"/>
          <w:rFonts w:hint="default" w:ascii="Times New Roman" w:hAnsi="Times New Roman" w:eastAsia="宋体" w:cs="Times New Roman"/>
          <w:color w:val="auto"/>
          <w:kern w:val="2"/>
          <w:highlight w:val="none"/>
          <w:u w:val="none"/>
        </w:rPr>
        <w:t>（</w:t>
      </w:r>
      <w:r>
        <w:rPr>
          <w:rStyle w:val="32"/>
          <w:rFonts w:hint="default" w:ascii="Times New Roman" w:hAnsi="Times New Roman" w:eastAsia="宋体" w:cs="Times New Roman"/>
          <w:color w:val="auto"/>
          <w:kern w:val="2"/>
          <w:highlight w:val="none"/>
          <w:u w:val="none"/>
          <w:lang w:eastAsia="zh-CN"/>
        </w:rPr>
        <w:t>符合</w:t>
      </w:r>
      <w:r>
        <w:rPr>
          <w:rStyle w:val="32"/>
          <w:rFonts w:hint="default" w:ascii="Times New Roman" w:hAnsi="Times New Roman" w:eastAsia="宋体" w:cs="Times New Roman"/>
          <w:color w:val="auto"/>
          <w:highlight w:val="none"/>
        </w:rPr>
        <w:t>《广西壮族自治区建筑市场诚信卡管理暂行办法》第十六条第一款及桂建管</w:t>
      </w:r>
      <w:r>
        <w:rPr>
          <w:rStyle w:val="32"/>
          <w:rFonts w:ascii="Times New Roman" w:hAnsi="Times New Roman" w:eastAsia="宋体" w:cs="Times New Roman"/>
          <w:color w:val="auto"/>
          <w:highlight w:val="none"/>
        </w:rPr>
        <w:t>﹝</w:t>
      </w:r>
      <w:r>
        <w:rPr>
          <w:rStyle w:val="32"/>
          <w:rFonts w:hint="default" w:ascii="Times New Roman" w:hAnsi="Times New Roman" w:eastAsia="宋体" w:cs="Times New Roman"/>
          <w:color w:val="auto"/>
          <w:kern w:val="2"/>
          <w:highlight w:val="none"/>
        </w:rPr>
        <w:t>2016</w:t>
      </w:r>
      <w:r>
        <w:rPr>
          <w:rStyle w:val="32"/>
          <w:rFonts w:ascii="Times New Roman" w:hAnsi="Times New Roman" w:eastAsia="宋体" w:cs="Times New Roman"/>
          <w:color w:val="auto"/>
          <w:highlight w:val="none"/>
        </w:rPr>
        <w:t>﹞</w:t>
      </w:r>
      <w:r>
        <w:rPr>
          <w:rStyle w:val="32"/>
          <w:rFonts w:hint="default" w:ascii="Times New Roman" w:hAnsi="Times New Roman" w:eastAsia="宋体" w:cs="Times New Roman"/>
          <w:color w:val="auto"/>
          <w:highlight w:val="none"/>
        </w:rPr>
        <w:t>70号</w:t>
      </w:r>
      <w:r>
        <w:rPr>
          <w:rStyle w:val="32"/>
          <w:rFonts w:hint="default" w:ascii="Times New Roman" w:hAnsi="Times New Roman" w:eastAsia="宋体" w:cs="Times New Roman"/>
          <w:color w:val="auto"/>
          <w:highlight w:val="none"/>
          <w:u w:val="none"/>
          <w:lang w:eastAsia="zh-CN"/>
        </w:rPr>
        <w:t>、</w:t>
      </w:r>
      <w:r>
        <w:rPr>
          <w:rStyle w:val="32"/>
          <w:rFonts w:hint="default" w:ascii="Times New Roman" w:hAnsi="Times New Roman" w:eastAsia="宋体" w:cs="Times New Roman"/>
          <w:color w:val="auto"/>
          <w:sz w:val="21"/>
          <w:szCs w:val="21"/>
          <w:highlight w:val="none"/>
          <w:u w:val="none"/>
        </w:rPr>
        <w:t>桂建管〔2020〕11号</w:t>
      </w:r>
      <w:r>
        <w:rPr>
          <w:rStyle w:val="32"/>
          <w:rFonts w:hint="default" w:ascii="Times New Roman" w:hAnsi="Times New Roman" w:eastAsia="宋体" w:cs="Times New Roman"/>
          <w:color w:val="auto"/>
          <w:kern w:val="2"/>
          <w:highlight w:val="none"/>
          <w:u w:val="none"/>
        </w:rPr>
        <w:t>文除外）</w:t>
      </w:r>
      <w:r>
        <w:rPr>
          <w:rStyle w:val="32"/>
          <w:rFonts w:hint="default" w:ascii="Times New Roman" w:hAnsi="Times New Roman" w:eastAsia="宋体" w:cs="Times New Roman"/>
          <w:color w:val="auto"/>
          <w:highlight w:val="none"/>
          <w:u w:val="none"/>
        </w:rPr>
        <w:t>。未经发包人书面同意，承包人擅自更换项目经理的视为违约，违约金处</w:t>
      </w:r>
      <w:r>
        <w:rPr>
          <w:rStyle w:val="32"/>
          <w:rFonts w:ascii="Times New Roman" w:hAnsi="Times New Roman" w:eastAsia="宋体" w:cs="Times New Roman"/>
          <w:color w:val="auto"/>
          <w:highlight w:val="none"/>
          <w:u w:val="single"/>
        </w:rPr>
        <w:t xml:space="preserve"> </w:t>
      </w:r>
      <w:r>
        <w:rPr>
          <w:rStyle w:val="32"/>
          <w:rFonts w:hint="eastAsia" w:ascii="Times New Roman" w:hAnsi="Times New Roman" w:eastAsia="宋体" w:cs="Times New Roman"/>
          <w:color w:val="auto"/>
          <w:highlight w:val="none"/>
          <w:u w:val="single"/>
          <w:lang w:val="en-US" w:eastAsia="zh-CN"/>
        </w:rPr>
        <w:t>500</w:t>
      </w:r>
      <w:r>
        <w:rPr>
          <w:rStyle w:val="32"/>
          <w:rFonts w:ascii="Times New Roman" w:hAnsi="Times New Roman" w:eastAsia="宋体" w:cs="Times New Roman"/>
          <w:color w:val="auto"/>
          <w:highlight w:val="none"/>
          <w:u w:val="single"/>
        </w:rPr>
        <w:t xml:space="preserve">  </w:t>
      </w:r>
      <w:r>
        <w:rPr>
          <w:rStyle w:val="32"/>
          <w:rFonts w:hint="default" w:ascii="Times New Roman" w:hAnsi="Times New Roman" w:eastAsia="宋体" w:cs="Times New Roman"/>
          <w:color w:val="auto"/>
          <w:highlight w:val="none"/>
          <w:u w:val="none"/>
        </w:rPr>
        <w:t>元</w:t>
      </w:r>
      <w:r>
        <w:rPr>
          <w:rStyle w:val="32"/>
          <w:rFonts w:ascii="Times New Roman" w:hAnsi="Times New Roman" w:eastAsia="宋体" w:cs="Times New Roman"/>
          <w:color w:val="auto"/>
          <w:highlight w:val="none"/>
          <w:u w:val="none"/>
        </w:rPr>
        <w:t>/</w:t>
      </w:r>
      <w:r>
        <w:rPr>
          <w:rStyle w:val="32"/>
          <w:rFonts w:hint="default" w:ascii="Times New Roman" w:hAnsi="Times New Roman" w:eastAsia="宋体" w:cs="Times New Roman"/>
          <w:color w:val="auto"/>
          <w:highlight w:val="none"/>
          <w:u w:val="none"/>
        </w:rPr>
        <w:t>人</w:t>
      </w:r>
      <w:r>
        <w:rPr>
          <w:rStyle w:val="32"/>
          <w:rFonts w:ascii="Times New Roman" w:hAnsi="Times New Roman" w:eastAsia="宋体" w:cs="Times New Roman"/>
          <w:color w:val="auto"/>
          <w:highlight w:val="none"/>
          <w:u w:val="none"/>
        </w:rPr>
        <w:t>•</w:t>
      </w:r>
      <w:r>
        <w:rPr>
          <w:rStyle w:val="32"/>
          <w:rFonts w:hint="default" w:ascii="Times New Roman" w:hAnsi="Times New Roman" w:eastAsia="宋体" w:cs="Times New Roman"/>
          <w:color w:val="auto"/>
          <w:highlight w:val="none"/>
          <w:u w:val="none"/>
        </w:rPr>
        <w:t>次（人民币）</w:t>
      </w:r>
      <w:r>
        <w:rPr>
          <w:rStyle w:val="32"/>
          <w:rFonts w:hint="default" w:ascii="Times New Roman" w:hAnsi="Times New Roman" w:eastAsia="宋体" w:cs="Times New Roman"/>
          <w:color w:val="auto"/>
          <w:highlight w:val="none"/>
        </w:rPr>
        <w:t>。</w:t>
      </w:r>
    </w:p>
    <w:p w14:paraId="679A6967">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3.2.4 </w:t>
      </w:r>
      <w:r>
        <w:rPr>
          <w:rStyle w:val="32"/>
          <w:rFonts w:hint="eastAsia" w:ascii="Calibri" w:hAnsi="宋体" w:eastAsia="宋体" w:cs="宋体"/>
          <w:color w:val="auto"/>
          <w:highlight w:val="none"/>
        </w:rPr>
        <w:t>承包人无正当理由拒绝更换项目经理的违约责任：</w:t>
      </w:r>
      <w:r>
        <w:rPr>
          <w:rStyle w:val="32"/>
          <w:rFonts w:hint="eastAsia" w:ascii="Calibri" w:hAnsi="宋体" w:eastAsia="宋体" w:cs="宋体"/>
          <w:color w:val="auto"/>
          <w:highlight w:val="none"/>
          <w:u w:val="single"/>
        </w:rPr>
        <w:t>因承包人项目经理不称职，发包人要求调换而未及时调换的，视为承包人违约，必须向发包人交纳处罚金</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500</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u w:val="single"/>
        </w:rPr>
        <w:t>元</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人</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次</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人民币</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rPr>
        <w:t>。</w:t>
      </w:r>
    </w:p>
    <w:p w14:paraId="3EA73740">
      <w:pPr>
        <w:pStyle w:val="99"/>
        <w:spacing w:before="0" w:after="0" w:line="360" w:lineRule="auto"/>
        <w:rPr>
          <w:rStyle w:val="32"/>
          <w:rFonts w:ascii="Calibri" w:hAnsi="Calibri" w:eastAsia="宋体" w:cs="Times New Roman"/>
          <w:color w:val="auto"/>
          <w:highlight w:val="none"/>
        </w:rPr>
      </w:pPr>
      <w:bookmarkStart w:id="250" w:name="_Toc373227709"/>
      <w:bookmarkStart w:id="251" w:name="_Toc389065275"/>
      <w:bookmarkStart w:id="252" w:name="_Toc1443830486"/>
      <w:bookmarkStart w:id="253" w:name="_Toc78449797"/>
      <w:bookmarkStart w:id="254" w:name="_Toc373478356"/>
      <w:bookmarkStart w:id="255" w:name="_Toc747710271"/>
      <w:bookmarkStart w:id="256" w:name="_Toc407135211"/>
      <w:r>
        <w:rPr>
          <w:rStyle w:val="32"/>
          <w:rFonts w:ascii="Calibri" w:hAnsi="Calibri" w:eastAsia="宋体" w:cs="Times New Roman"/>
          <w:color w:val="auto"/>
          <w:highlight w:val="none"/>
        </w:rPr>
        <w:t xml:space="preserve">3.3 </w:t>
      </w:r>
      <w:r>
        <w:rPr>
          <w:rStyle w:val="32"/>
          <w:rFonts w:hint="eastAsia" w:ascii="Calibri" w:hAnsi="宋体" w:eastAsia="宋体" w:cs="黑体"/>
          <w:color w:val="auto"/>
          <w:sz w:val="28"/>
          <w:szCs w:val="28"/>
          <w:highlight w:val="none"/>
        </w:rPr>
        <w:t>承包人人员</w:t>
      </w:r>
      <w:bookmarkEnd w:id="250"/>
      <w:bookmarkEnd w:id="251"/>
      <w:bookmarkEnd w:id="252"/>
      <w:bookmarkEnd w:id="253"/>
      <w:bookmarkEnd w:id="254"/>
      <w:bookmarkEnd w:id="255"/>
      <w:bookmarkEnd w:id="256"/>
    </w:p>
    <w:p w14:paraId="681DF350">
      <w:pPr>
        <w:pStyle w:val="78"/>
        <w:spacing w:line="360" w:lineRule="auto"/>
        <w:ind w:firstLine="420" w:firstLineChars="200"/>
        <w:rPr>
          <w:rStyle w:val="32"/>
          <w:rFonts w:ascii="Calibri" w:hAnsi="宋体" w:eastAsia="宋体" w:cs="Times New Roman"/>
          <w:color w:val="auto"/>
          <w:highlight w:val="none"/>
        </w:rPr>
      </w:pPr>
      <w:r>
        <w:rPr>
          <w:rStyle w:val="32"/>
          <w:rFonts w:ascii="Calibri" w:hAnsi="Calibri" w:eastAsia="宋体" w:cs="Times New Roman"/>
          <w:color w:val="auto"/>
          <w:highlight w:val="none"/>
        </w:rPr>
        <w:t xml:space="preserve">3.3.1 </w:t>
      </w:r>
      <w:r>
        <w:rPr>
          <w:rStyle w:val="32"/>
          <w:rFonts w:hint="eastAsia" w:ascii="Calibri" w:hAnsi="宋体" w:eastAsia="宋体" w:cs="宋体"/>
          <w:color w:val="auto"/>
          <w:highlight w:val="none"/>
        </w:rPr>
        <w:t>承包人提交项目管理机构及施工现场管理人员安排报告（格式见合同附件</w:t>
      </w:r>
      <w:r>
        <w:rPr>
          <w:rStyle w:val="32"/>
          <w:rFonts w:hint="eastAsia" w:ascii="Calibri" w:hAnsi="宋体" w:eastAsia="宋体" w:cs="Times New Roman"/>
          <w:color w:val="auto"/>
          <w:highlight w:val="none"/>
        </w:rPr>
        <w:t>5</w:t>
      </w:r>
      <w:r>
        <w:rPr>
          <w:rStyle w:val="32"/>
          <w:rFonts w:hint="eastAsia" w:ascii="Calibri" w:hAnsi="宋体" w:eastAsia="宋体" w:cs="宋体"/>
          <w:color w:val="auto"/>
          <w:highlight w:val="none"/>
        </w:rPr>
        <w:t>）的期限：</w:t>
      </w:r>
    </w:p>
    <w:p w14:paraId="454C69BA">
      <w:pPr>
        <w:pStyle w:val="78"/>
        <w:spacing w:line="360" w:lineRule="auto"/>
        <w:rPr>
          <w:rStyle w:val="32"/>
          <w:rFonts w:ascii="Calibri" w:hAnsi="Calibri" w:eastAsia="宋体" w:cs="Times New Roman"/>
          <w:color w:val="auto"/>
          <w:highlight w:val="none"/>
        </w:rPr>
      </w:pP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接到开工通知之日起 7 天内</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0DDF9D2">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3.3.3 </w:t>
      </w:r>
      <w:r>
        <w:rPr>
          <w:rStyle w:val="32"/>
          <w:rFonts w:hint="eastAsia" w:ascii="Calibri" w:hAnsi="宋体" w:eastAsia="宋体" w:cs="宋体"/>
          <w:color w:val="auto"/>
          <w:highlight w:val="none"/>
        </w:rPr>
        <w:t>承包人无正当理由拒绝撤换主要施工管理人员的违约责任：</w:t>
      </w:r>
      <w:r>
        <w:rPr>
          <w:rStyle w:val="32"/>
          <w:rFonts w:hint="eastAsia" w:ascii="Calibri" w:hAnsi="宋体" w:eastAsia="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300</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u w:val="single"/>
        </w:rPr>
        <w:t>元</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人</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次</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人民币</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；专业工程师</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200</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u w:val="single"/>
        </w:rPr>
        <w:t>元</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人</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次</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人民币</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rPr>
        <w:t>。</w:t>
      </w:r>
    </w:p>
    <w:p w14:paraId="5816D3EB">
      <w:pPr>
        <w:pStyle w:val="78"/>
        <w:spacing w:line="360" w:lineRule="auto"/>
        <w:ind w:firstLine="420" w:firstLineChars="200"/>
        <w:rPr>
          <w:rStyle w:val="32"/>
          <w:rFonts w:ascii="Calibri" w:hAnsi="Calibri" w:eastAsia="宋体" w:cs="Times New Roman"/>
          <w:color w:val="auto"/>
          <w:highlight w:val="none"/>
          <w:u w:val="single"/>
        </w:rPr>
      </w:pPr>
      <w:r>
        <w:rPr>
          <w:rStyle w:val="32"/>
          <w:rFonts w:ascii="Calibri" w:hAnsi="Calibri" w:eastAsia="宋体" w:cs="Times New Roman"/>
          <w:color w:val="auto"/>
          <w:highlight w:val="none"/>
        </w:rPr>
        <w:t xml:space="preserve">3.3.4 </w:t>
      </w:r>
      <w:r>
        <w:rPr>
          <w:rStyle w:val="32"/>
          <w:rFonts w:hint="eastAsia" w:ascii="Calibri" w:hAnsi="宋体" w:eastAsia="宋体" w:cs="宋体"/>
          <w:color w:val="auto"/>
          <w:highlight w:val="none"/>
        </w:rPr>
        <w:t>承包人主要施工管理人员离开施工现场的批准要求：</w:t>
      </w:r>
      <w:r>
        <w:rPr>
          <w:rStyle w:val="32"/>
          <w:rFonts w:hint="eastAsia" w:ascii="Calibri" w:hAnsi="宋体" w:eastAsia="宋体" w:cs="宋体"/>
          <w:color w:val="auto"/>
          <w:highlight w:val="none"/>
          <w:u w:val="single"/>
        </w:rPr>
        <w:t>1 天以内需监理人书面同意并报备发包人，1 天以上须得到发包人的书面同意，并且在离开期间应将其工作内容及职责书面交接给具备相应能力的管理人员，并按规定时间回到施工现场</w:t>
      </w:r>
      <w:r>
        <w:rPr>
          <w:rStyle w:val="32"/>
          <w:rFonts w:hint="eastAsia" w:ascii="Calibri" w:hAnsi="宋体" w:eastAsia="宋体" w:cs="宋体"/>
          <w:color w:val="auto"/>
          <w:highlight w:val="none"/>
        </w:rPr>
        <w:t>。</w:t>
      </w:r>
    </w:p>
    <w:p w14:paraId="6380C74A">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3.3.5 </w:t>
      </w:r>
      <w:r>
        <w:rPr>
          <w:rStyle w:val="32"/>
          <w:rFonts w:hint="eastAsia" w:ascii="Calibri" w:hAnsi="宋体" w:eastAsia="宋体" w:cs="宋体"/>
          <w:color w:val="auto"/>
          <w:highlight w:val="none"/>
        </w:rPr>
        <w:t>承包人擅自更换主要施工管理人员的违约责任：</w:t>
      </w:r>
      <w:r>
        <w:rPr>
          <w:rStyle w:val="32"/>
          <w:rFonts w:hint="eastAsia" w:ascii="Calibri" w:hAnsi="宋体" w:eastAsia="宋体" w:cs="宋体"/>
          <w:color w:val="auto"/>
          <w:highlight w:val="none"/>
          <w:u w:val="single"/>
        </w:rPr>
        <w:t>项目技术负责人、专职安全生产管理人员及其承诺的其它在场管理人员未经发包人书面同意不准擅自更换，擅自更换项目技术负责人处</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500</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u w:val="single"/>
        </w:rPr>
        <w:t>元</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人</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次</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人民币</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违约金；擅自更换专职安全生产管理人员处</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300</w:t>
      </w:r>
      <w:r>
        <w:rPr>
          <w:rStyle w:val="32"/>
          <w:rFonts w:hint="eastAsia" w:ascii="Calibri" w:hAnsi="宋体" w:eastAsia="宋体" w:cs="宋体"/>
          <w:color w:val="auto"/>
          <w:highlight w:val="none"/>
          <w:u w:val="single"/>
        </w:rPr>
        <w:t>元</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人</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次</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人民币</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违约金；擅自更换其它在场管理人员处</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200</w:t>
      </w:r>
      <w:r>
        <w:rPr>
          <w:rStyle w:val="32"/>
          <w:rFonts w:hint="eastAsia" w:ascii="Calibri" w:hAnsi="宋体" w:eastAsia="宋体" w:cs="宋体"/>
          <w:color w:val="auto"/>
          <w:highlight w:val="none"/>
          <w:u w:val="single"/>
        </w:rPr>
        <w:t>元</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人</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次</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人民币</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违约金</w:t>
      </w:r>
      <w:r>
        <w:rPr>
          <w:rStyle w:val="32"/>
          <w:rFonts w:hint="eastAsia" w:ascii="Calibri" w:hAnsi="宋体" w:eastAsia="宋体" w:cs="宋体"/>
          <w:color w:val="auto"/>
          <w:highlight w:val="none"/>
        </w:rPr>
        <w:t>。</w:t>
      </w:r>
    </w:p>
    <w:p w14:paraId="108C9866">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承包人主要施工管理人员擅自离开施工现场的违约责任：</w:t>
      </w:r>
      <w:r>
        <w:rPr>
          <w:rStyle w:val="32"/>
          <w:rFonts w:hint="eastAsia" w:ascii="Calibri" w:hAnsi="宋体" w:eastAsia="宋体" w:cs="宋体"/>
          <w:color w:val="auto"/>
          <w:highlight w:val="none"/>
          <w:u w:val="single"/>
        </w:rPr>
        <w:t>未经发包人同意，项目技术负责人擅自离岗的，视为承包人违约，发包人有权处违约金</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500</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u w:val="single"/>
        </w:rPr>
        <w:t>元</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人</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次</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人民币</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；未经发包人同意，专职安全生产管理人员擅自离岗的，视为承包人违约，发包人有权处违约金</w:t>
      </w:r>
      <w:r>
        <w:rPr>
          <w:rStyle w:val="32"/>
          <w:rFonts w:hint="eastAsia" w:ascii="Calibri" w:hAnsi="Calibri" w:eastAsia="宋体" w:cs="Times New Roman"/>
          <w:color w:val="auto"/>
          <w:highlight w:val="none"/>
          <w:u w:val="single"/>
          <w:lang w:val="en-US" w:eastAsia="zh-CN"/>
        </w:rPr>
        <w:t>300</w:t>
      </w:r>
      <w:r>
        <w:rPr>
          <w:rStyle w:val="32"/>
          <w:rFonts w:hint="eastAsia" w:ascii="Calibri" w:hAnsi="宋体" w:eastAsia="宋体" w:cs="宋体"/>
          <w:color w:val="auto"/>
          <w:highlight w:val="none"/>
          <w:u w:val="single"/>
        </w:rPr>
        <w:t>元</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人</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次</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人民币</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；其它在场管理人员擅自离岗的，视为承包人违约，发包人有权处违约金</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200</w:t>
      </w:r>
      <w:r>
        <w:rPr>
          <w:rStyle w:val="32"/>
          <w:rFonts w:hint="eastAsia" w:ascii="Calibri" w:hAnsi="宋体" w:eastAsia="宋体" w:cs="宋体"/>
          <w:color w:val="auto"/>
          <w:highlight w:val="none"/>
          <w:u w:val="single"/>
        </w:rPr>
        <w:t>元</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人</w:t>
      </w:r>
      <w:r>
        <w:rPr>
          <w:rStyle w:val="32"/>
          <w:rFonts w:ascii="Calibri" w:hAnsi="Calibri" w:eastAsia="宋体" w:cs="Times New Roman"/>
          <w:color w:val="auto"/>
          <w:highlight w:val="none"/>
          <w:u w:val="single"/>
        </w:rPr>
        <w:t>•</w:t>
      </w:r>
      <w:r>
        <w:rPr>
          <w:rStyle w:val="32"/>
          <w:rFonts w:hint="eastAsia" w:ascii="Calibri" w:hAnsi="宋体" w:eastAsia="宋体" w:cs="宋体"/>
          <w:color w:val="auto"/>
          <w:highlight w:val="none"/>
          <w:u w:val="single"/>
        </w:rPr>
        <w:t>次</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u w:val="single"/>
        </w:rPr>
        <w:t>人民币</w:t>
      </w:r>
      <w:r>
        <w:rPr>
          <w:rStyle w:val="32"/>
          <w:rFonts w:hint="eastAsia" w:ascii="Calibri" w:hAnsi="Calibri" w:eastAsia="宋体" w:cs="宋体"/>
          <w:color w:val="auto"/>
          <w:highlight w:val="none"/>
          <w:u w:val="single"/>
        </w:rPr>
        <w:t>）</w:t>
      </w:r>
      <w:r>
        <w:rPr>
          <w:rStyle w:val="32"/>
          <w:rFonts w:hint="eastAsia" w:ascii="Calibri" w:hAnsi="宋体" w:eastAsia="宋体" w:cs="宋体"/>
          <w:color w:val="auto"/>
          <w:highlight w:val="none"/>
        </w:rPr>
        <w:t>。</w:t>
      </w:r>
    </w:p>
    <w:p w14:paraId="598B5F7B">
      <w:pPr>
        <w:pStyle w:val="99"/>
        <w:spacing w:before="0" w:after="0" w:line="360" w:lineRule="auto"/>
        <w:rPr>
          <w:rStyle w:val="32"/>
          <w:rFonts w:ascii="Calibri" w:hAnsi="Calibri" w:eastAsia="宋体" w:cs="Times New Roman"/>
          <w:color w:val="auto"/>
          <w:highlight w:val="none"/>
        </w:rPr>
      </w:pPr>
      <w:bookmarkStart w:id="257" w:name="_Toc373478357"/>
      <w:bookmarkStart w:id="258" w:name="_Toc389065276"/>
      <w:bookmarkStart w:id="259" w:name="_Toc78449798"/>
      <w:bookmarkStart w:id="260" w:name="_Toc2066279184"/>
      <w:bookmarkStart w:id="261" w:name="_Toc407135212"/>
      <w:bookmarkStart w:id="262" w:name="_Toc373227710"/>
      <w:bookmarkStart w:id="263" w:name="_Toc2025600126"/>
      <w:r>
        <w:rPr>
          <w:rStyle w:val="32"/>
          <w:rFonts w:ascii="Calibri" w:hAnsi="Calibri" w:eastAsia="宋体" w:cs="Times New Roman"/>
          <w:color w:val="auto"/>
          <w:highlight w:val="none"/>
        </w:rPr>
        <w:t>3</w:t>
      </w:r>
      <w:bookmarkStart w:id="264" w:name="_Toc292559364"/>
      <w:bookmarkStart w:id="265" w:name="_Toc297216151"/>
      <w:bookmarkStart w:id="266" w:name="_Toc312677988"/>
      <w:bookmarkStart w:id="267" w:name="_Toc296347158"/>
      <w:bookmarkStart w:id="268" w:name="_Toc296346660"/>
      <w:bookmarkStart w:id="269" w:name="_Toc296891199"/>
      <w:bookmarkStart w:id="270" w:name="_Toc296890987"/>
      <w:bookmarkStart w:id="271" w:name="_Toc296503159"/>
      <w:bookmarkStart w:id="272" w:name="_Toc304295523"/>
      <w:bookmarkStart w:id="273" w:name="_Toc300934945"/>
      <w:bookmarkStart w:id="274" w:name="_Toc297120459"/>
      <w:bookmarkStart w:id="275" w:name="_Toc296944498"/>
      <w:bookmarkStart w:id="276" w:name="_Toc297048345"/>
      <w:bookmarkStart w:id="277" w:name="_Toc297123492"/>
      <w:bookmarkStart w:id="278" w:name="_Toc292559869"/>
      <w:bookmarkStart w:id="279" w:name="_Toc303539102"/>
      <w:r>
        <w:rPr>
          <w:rStyle w:val="32"/>
          <w:rFonts w:ascii="Calibri" w:hAnsi="Calibri" w:eastAsia="宋体" w:cs="Times New Roman"/>
          <w:color w:val="auto"/>
          <w:highlight w:val="none"/>
        </w:rPr>
        <w:t xml:space="preserve">.5 </w:t>
      </w:r>
      <w:r>
        <w:rPr>
          <w:rStyle w:val="32"/>
          <w:rFonts w:hint="eastAsia" w:ascii="Calibri" w:hAnsi="宋体" w:eastAsia="宋体" w:cs="黑体"/>
          <w:color w:val="auto"/>
          <w:sz w:val="28"/>
          <w:szCs w:val="28"/>
          <w:highlight w:val="none"/>
        </w:rPr>
        <w:t>分包</w:t>
      </w:r>
      <w:bookmarkEnd w:id="257"/>
      <w:bookmarkEnd w:id="258"/>
      <w:bookmarkEnd w:id="259"/>
      <w:bookmarkEnd w:id="260"/>
      <w:bookmarkEnd w:id="261"/>
      <w:bookmarkEnd w:id="262"/>
      <w:bookmarkEnd w:id="263"/>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14:paraId="40B77B70">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3</w:t>
      </w:r>
      <w:bookmarkStart w:id="280" w:name="_Toc296944499"/>
      <w:bookmarkStart w:id="281" w:name="_Toc296347159"/>
      <w:bookmarkStart w:id="282" w:name="_Toc318581158"/>
      <w:bookmarkStart w:id="283" w:name="_Toc296890988"/>
      <w:bookmarkStart w:id="284" w:name="_Toc297123493"/>
      <w:bookmarkStart w:id="285" w:name="_Toc292559365"/>
      <w:bookmarkStart w:id="286" w:name="_Toc297216152"/>
      <w:bookmarkStart w:id="287" w:name="_Toc296891200"/>
      <w:bookmarkStart w:id="288" w:name="_Toc297120460"/>
      <w:bookmarkStart w:id="289" w:name="_Toc297048346"/>
      <w:bookmarkStart w:id="290" w:name="_Toc292559870"/>
      <w:bookmarkStart w:id="291" w:name="_Toc304295524"/>
      <w:bookmarkStart w:id="292" w:name="_Toc296346661"/>
      <w:bookmarkStart w:id="293" w:name="_Toc312677989"/>
      <w:bookmarkStart w:id="294" w:name="_Toc300934946"/>
      <w:bookmarkStart w:id="295" w:name="_Toc303539103"/>
      <w:bookmarkStart w:id="296" w:name="_Toc296503160"/>
      <w:r>
        <w:rPr>
          <w:rStyle w:val="32"/>
          <w:rFonts w:ascii="Calibri" w:hAnsi="Calibri" w:eastAsia="宋体" w:cs="Times New Roman"/>
          <w:color w:val="auto"/>
          <w:highlight w:val="none"/>
        </w:rPr>
        <w:t xml:space="preserve">.5.1 </w:t>
      </w:r>
      <w:r>
        <w:rPr>
          <w:rStyle w:val="32"/>
          <w:rFonts w:hint="eastAsia" w:ascii="Calibri" w:hAnsi="宋体" w:eastAsia="宋体" w:cs="宋体"/>
          <w:color w:val="auto"/>
          <w:highlight w:val="none"/>
        </w:rPr>
        <w:t>分包的一般约定</w:t>
      </w:r>
    </w:p>
    <w:p w14:paraId="0C913146">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禁止分包的工程包括：</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本</w:t>
      </w:r>
      <w:r>
        <w:rPr>
          <w:rStyle w:val="32"/>
          <w:rFonts w:hint="eastAsia" w:ascii="Calibri" w:hAnsi="Calibri" w:eastAsia="宋体" w:cs="Times New Roman"/>
          <w:color w:val="auto"/>
          <w:highlight w:val="none"/>
          <w:u w:val="single"/>
        </w:rPr>
        <w:t xml:space="preserve">工程禁止分包   </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092398D">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主体结构、关键性工作的范围：</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合同承包范围内所有工程的钢筋混凝土主体结构工程</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4B940EE0">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3</w:t>
      </w:r>
      <w:bookmarkStart w:id="297" w:name="_Toc318581159"/>
      <w:bookmarkStart w:id="298" w:name="_Toc312677990"/>
      <w:r>
        <w:rPr>
          <w:rStyle w:val="32"/>
          <w:rFonts w:ascii="Calibri" w:hAnsi="Calibri" w:eastAsia="宋体" w:cs="Times New Roman"/>
          <w:color w:val="auto"/>
          <w:highlight w:val="none"/>
        </w:rPr>
        <w:t xml:space="preserve">.5.2 </w:t>
      </w:r>
      <w:r>
        <w:rPr>
          <w:rStyle w:val="32"/>
          <w:rFonts w:hint="eastAsia" w:ascii="Calibri" w:hAnsi="宋体" w:eastAsia="宋体" w:cs="宋体"/>
          <w:color w:val="auto"/>
          <w:highlight w:val="none"/>
        </w:rPr>
        <w:t>分包的确定</w:t>
      </w:r>
    </w:p>
    <w:p w14:paraId="7B5DDFF3">
      <w:pPr>
        <w:pStyle w:val="78"/>
        <w:spacing w:line="360" w:lineRule="auto"/>
        <w:ind w:firstLine="420" w:firstLineChars="200"/>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允许分包的专业工程包括：</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本</w:t>
      </w:r>
      <w:r>
        <w:rPr>
          <w:rStyle w:val="32"/>
          <w:rFonts w:hint="eastAsia" w:ascii="Calibri" w:hAnsi="Calibri" w:eastAsia="宋体" w:cs="Times New Roman"/>
          <w:color w:val="auto"/>
          <w:highlight w:val="none"/>
          <w:u w:val="single"/>
        </w:rPr>
        <w:t xml:space="preserve">工程禁止分包   </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A00D55F">
      <w:pPr>
        <w:pStyle w:val="78"/>
        <w:spacing w:line="360" w:lineRule="auto"/>
        <w:ind w:firstLine="420" w:firstLineChars="200"/>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其他关于分包的约定：</w:t>
      </w:r>
      <w:r>
        <w:rPr>
          <w:rStyle w:val="32"/>
          <w:rFonts w:hint="eastAsia" w:hAnsi="宋体" w:cs="宋体"/>
          <w:color w:val="auto"/>
          <w:highlight w:val="none"/>
          <w:u w:val="single"/>
          <w:lang w:val="en-US" w:eastAsia="zh-CN"/>
        </w:rPr>
        <w:t xml:space="preserve">       /        </w:t>
      </w:r>
      <w:r>
        <w:rPr>
          <w:rStyle w:val="32"/>
          <w:rFonts w:hint="eastAsia" w:ascii="Calibri" w:hAnsi="宋体" w:eastAsia="宋体" w:cs="宋体"/>
          <w:color w:val="auto"/>
          <w:kern w:val="0"/>
          <w:highlight w:val="none"/>
        </w:rPr>
        <w:t>。</w:t>
      </w:r>
    </w:p>
    <w:p w14:paraId="0A84A4CA">
      <w:pPr>
        <w:pStyle w:val="78"/>
        <w:spacing w:line="360" w:lineRule="auto"/>
        <w:ind w:firstLine="420" w:firstLineChars="20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3.5.4 </w:t>
      </w:r>
      <w:r>
        <w:rPr>
          <w:rStyle w:val="32"/>
          <w:rFonts w:hint="eastAsia" w:ascii="Calibri" w:hAnsi="宋体" w:eastAsia="宋体" w:cs="宋体"/>
          <w:color w:val="auto"/>
          <w:highlight w:val="none"/>
        </w:rPr>
        <w:t>分包合同价款</w:t>
      </w:r>
    </w:p>
    <w:bookmarkEnd w:id="297"/>
    <w:bookmarkEnd w:id="298"/>
    <w:p w14:paraId="7A544EF6">
      <w:pPr>
        <w:pStyle w:val="78"/>
        <w:spacing w:line="360" w:lineRule="auto"/>
        <w:ind w:firstLine="420" w:firstLineChars="200"/>
        <w:rPr>
          <w:rStyle w:val="32"/>
          <w:rFonts w:hint="default" w:ascii="Calibri" w:hAnsi="Calibri" w:eastAsia="宋体" w:cs="Times New Roman"/>
          <w:color w:val="auto"/>
          <w:highlight w:val="none"/>
          <w:lang w:val="en-US" w:eastAsia="zh-CN"/>
        </w:rPr>
      </w:pPr>
      <w:bookmarkStart w:id="299" w:name="_Toc389065277"/>
      <w:bookmarkStart w:id="300" w:name="_Toc373227711"/>
      <w:bookmarkStart w:id="301" w:name="_Toc373478358"/>
      <w:r>
        <w:rPr>
          <w:rStyle w:val="32"/>
          <w:rFonts w:hint="eastAsia" w:ascii="Calibri" w:hAnsi="宋体" w:eastAsia="宋体" w:cs="宋体"/>
          <w:color w:val="auto"/>
          <w:highlight w:val="none"/>
        </w:rPr>
        <w:t>关于分包合同价款支付的约定：</w:t>
      </w:r>
      <w:r>
        <w:rPr>
          <w:rStyle w:val="32"/>
          <w:rFonts w:hint="eastAsia" w:hAnsi="宋体" w:cs="宋体"/>
          <w:color w:val="auto"/>
          <w:highlight w:val="none"/>
          <w:u w:val="single"/>
          <w:lang w:val="en-US" w:eastAsia="zh-CN"/>
        </w:rPr>
        <w:t xml:space="preserve">       /        </w:t>
      </w:r>
      <w:r>
        <w:rPr>
          <w:rStyle w:val="32"/>
          <w:rFonts w:hint="eastAsia" w:ascii="Calibri" w:hAnsi="宋体" w:eastAsia="宋体" w:cs="宋体"/>
          <w:color w:val="auto"/>
          <w:kern w:val="0"/>
          <w:highlight w:val="none"/>
        </w:rPr>
        <w:t>。</w:t>
      </w:r>
    </w:p>
    <w:p w14:paraId="11356380">
      <w:pPr>
        <w:pStyle w:val="99"/>
        <w:spacing w:before="0" w:after="0" w:line="360" w:lineRule="auto"/>
        <w:rPr>
          <w:rStyle w:val="32"/>
          <w:rFonts w:ascii="Calibri" w:hAnsi="Calibri" w:eastAsia="宋体" w:cs="Times New Roman"/>
          <w:color w:val="auto"/>
          <w:highlight w:val="none"/>
        </w:rPr>
      </w:pPr>
      <w:bookmarkStart w:id="302" w:name="_Toc78449799"/>
      <w:bookmarkStart w:id="303" w:name="_Toc407135213"/>
      <w:bookmarkStart w:id="304" w:name="_Toc101808609"/>
      <w:bookmarkStart w:id="305" w:name="_Toc57329529"/>
      <w:r>
        <w:rPr>
          <w:rStyle w:val="32"/>
          <w:rFonts w:ascii="Calibri" w:hAnsi="Calibri" w:eastAsia="宋体" w:cs="Times New Roman"/>
          <w:color w:val="auto"/>
          <w:highlight w:val="none"/>
        </w:rPr>
        <w:t xml:space="preserve">3.6 </w:t>
      </w:r>
      <w:r>
        <w:rPr>
          <w:rStyle w:val="32"/>
          <w:rFonts w:hint="eastAsia" w:ascii="Calibri" w:hAnsi="Calibri" w:eastAsia="宋体" w:cs="黑体"/>
          <w:color w:val="auto"/>
          <w:sz w:val="28"/>
          <w:szCs w:val="28"/>
          <w:highlight w:val="none"/>
        </w:rPr>
        <w:t>工程照管与成品、半成品保护</w:t>
      </w:r>
      <w:bookmarkEnd w:id="299"/>
      <w:bookmarkEnd w:id="300"/>
      <w:bookmarkEnd w:id="301"/>
      <w:bookmarkEnd w:id="302"/>
      <w:bookmarkEnd w:id="303"/>
      <w:bookmarkEnd w:id="304"/>
      <w:bookmarkEnd w:id="305"/>
    </w:p>
    <w:p w14:paraId="1DCC019A">
      <w:pPr>
        <w:pStyle w:val="78"/>
        <w:spacing w:line="360" w:lineRule="auto"/>
        <w:ind w:firstLine="420" w:firstLineChars="200"/>
        <w:rPr>
          <w:rStyle w:val="32"/>
          <w:rFonts w:ascii="Calibri" w:hAnsi="Calibri" w:eastAsia="宋体" w:cs="Times New Roman"/>
          <w:color w:val="auto"/>
          <w:kern w:val="0"/>
          <w:highlight w:val="none"/>
          <w:u w:val="single"/>
        </w:rPr>
      </w:pPr>
      <w:r>
        <w:rPr>
          <w:rStyle w:val="32"/>
          <w:rFonts w:hint="eastAsia" w:ascii="Calibri" w:hAnsi="宋体" w:eastAsia="宋体" w:cs="宋体"/>
          <w:color w:val="auto"/>
          <w:kern w:val="0"/>
          <w:highlight w:val="none"/>
        </w:rPr>
        <w:t>承包人负责照管工程及工程相关的材料、工程设备的起始时间：</w:t>
      </w:r>
      <w:r>
        <w:rPr>
          <w:rStyle w:val="32"/>
          <w:rFonts w:hint="eastAsia" w:ascii="Calibri" w:hAnsi="宋体" w:eastAsia="宋体" w:cs="宋体"/>
          <w:color w:val="auto"/>
          <w:kern w:val="0"/>
          <w:highlight w:val="none"/>
          <w:u w:val="single"/>
        </w:rPr>
        <w:t>发包人向承包人移交施工现场之日起，至竣工验收</w:t>
      </w:r>
      <w:r>
        <w:rPr>
          <w:rStyle w:val="32"/>
          <w:rFonts w:hint="eastAsia" w:hAnsi="宋体" w:cs="宋体"/>
          <w:color w:val="auto"/>
          <w:kern w:val="0"/>
          <w:highlight w:val="none"/>
          <w:u w:val="single"/>
          <w:lang w:val="en-US" w:eastAsia="zh-CN"/>
        </w:rPr>
        <w:t>合格</w:t>
      </w:r>
      <w:r>
        <w:rPr>
          <w:rStyle w:val="32"/>
          <w:rFonts w:hint="eastAsia" w:ascii="Calibri" w:hAnsi="宋体" w:eastAsia="宋体" w:cs="宋体"/>
          <w:color w:val="auto"/>
          <w:kern w:val="0"/>
          <w:highlight w:val="none"/>
          <w:u w:val="single"/>
        </w:rPr>
        <w:t>后承包人向发包人移交之日止</w:t>
      </w:r>
      <w:r>
        <w:rPr>
          <w:rStyle w:val="32"/>
          <w:rFonts w:hint="eastAsia" w:ascii="Calibri" w:hAnsi="宋体" w:eastAsia="宋体" w:cs="宋体"/>
          <w:color w:val="auto"/>
          <w:kern w:val="0"/>
          <w:highlight w:val="none"/>
        </w:rPr>
        <w:t>。</w:t>
      </w:r>
    </w:p>
    <w:p w14:paraId="6F2E8557">
      <w:pPr>
        <w:pStyle w:val="99"/>
        <w:spacing w:before="0" w:after="0" w:line="360" w:lineRule="auto"/>
        <w:rPr>
          <w:rStyle w:val="32"/>
          <w:rFonts w:ascii="Calibri" w:hAnsi="Calibri" w:eastAsia="宋体" w:cs="Times New Roman"/>
          <w:color w:val="auto"/>
          <w:highlight w:val="none"/>
        </w:rPr>
      </w:pPr>
      <w:bookmarkStart w:id="306" w:name="_Toc373227712"/>
      <w:bookmarkStart w:id="307" w:name="_Toc389065278"/>
      <w:bookmarkStart w:id="308" w:name="_Toc373478359"/>
      <w:bookmarkStart w:id="309" w:name="_Toc1042049436"/>
      <w:bookmarkStart w:id="310" w:name="_Toc1649716734"/>
      <w:bookmarkStart w:id="311" w:name="_Toc78449800"/>
      <w:bookmarkStart w:id="312" w:name="_Toc407135214"/>
      <w:r>
        <w:rPr>
          <w:rStyle w:val="32"/>
          <w:rFonts w:ascii="Calibri" w:hAnsi="Calibri" w:eastAsia="宋体" w:cs="Times New Roman"/>
          <w:color w:val="auto"/>
          <w:highlight w:val="none"/>
        </w:rPr>
        <w:t xml:space="preserve">3.7 </w:t>
      </w:r>
      <w:r>
        <w:rPr>
          <w:rStyle w:val="32"/>
          <w:rFonts w:hint="eastAsia" w:ascii="Calibri" w:hAnsi="宋体" w:eastAsia="宋体" w:cs="黑体"/>
          <w:color w:val="auto"/>
          <w:sz w:val="28"/>
          <w:szCs w:val="28"/>
          <w:highlight w:val="none"/>
        </w:rPr>
        <w:t>履约</w:t>
      </w:r>
      <w:bookmarkEnd w:id="306"/>
      <w:bookmarkEnd w:id="307"/>
      <w:bookmarkEnd w:id="308"/>
      <w:r>
        <w:rPr>
          <w:rStyle w:val="32"/>
          <w:rFonts w:hint="eastAsia" w:ascii="Calibri" w:hAnsi="宋体" w:eastAsia="宋体" w:cs="黑体"/>
          <w:color w:val="auto"/>
          <w:sz w:val="28"/>
          <w:szCs w:val="28"/>
          <w:highlight w:val="none"/>
        </w:rPr>
        <w:t>保证金</w:t>
      </w:r>
      <w:bookmarkEnd w:id="309"/>
      <w:bookmarkEnd w:id="310"/>
      <w:bookmarkEnd w:id="311"/>
      <w:bookmarkEnd w:id="312"/>
    </w:p>
    <w:p w14:paraId="0980D1A5">
      <w:pPr>
        <w:pStyle w:val="78"/>
        <w:spacing w:line="360" w:lineRule="auto"/>
        <w:ind w:firstLine="420" w:firstLineChars="200"/>
        <w:jc w:val="left"/>
        <w:rPr>
          <w:rStyle w:val="32"/>
          <w:rFonts w:hint="eastAsia" w:ascii="Calibri" w:hAnsi="宋体" w:eastAsia="宋体" w:cs="宋体"/>
          <w:color w:val="auto"/>
          <w:highlight w:val="none"/>
          <w:u w:val="single"/>
        </w:rPr>
      </w:pPr>
      <w:bookmarkStart w:id="313" w:name="_Toc389065279"/>
      <w:bookmarkStart w:id="314" w:name="_Toc373227713"/>
      <w:bookmarkStart w:id="315" w:name="_Toc373478360"/>
      <w:bookmarkStart w:id="316" w:name="_Toc351203636"/>
      <w:r>
        <w:rPr>
          <w:rStyle w:val="32"/>
          <w:rFonts w:hint="eastAsia" w:ascii="Calibri" w:hAnsi="宋体" w:eastAsia="宋体" w:cs="宋体"/>
          <w:color w:val="auto"/>
          <w:highlight w:val="none"/>
        </w:rPr>
        <w:t>承包人提供履约担保的形式、金额及期限的：</w:t>
      </w:r>
      <w:r>
        <w:rPr>
          <w:rStyle w:val="32"/>
          <w:rFonts w:hint="eastAsia" w:hAnsi="宋体" w:cs="宋体"/>
          <w:color w:val="auto"/>
          <w:highlight w:val="none"/>
          <w:u w:val="single"/>
          <w:lang w:val="en-US" w:eastAsia="zh-CN"/>
        </w:rPr>
        <w:t xml:space="preserve">       /        </w:t>
      </w:r>
      <w:r>
        <w:rPr>
          <w:rStyle w:val="32"/>
          <w:rFonts w:hint="eastAsia" w:ascii="Calibri" w:hAnsi="宋体" w:eastAsia="宋体" w:cs="宋体"/>
          <w:color w:val="auto"/>
          <w:kern w:val="0"/>
          <w:highlight w:val="none"/>
        </w:rPr>
        <w:t>。</w:t>
      </w:r>
    </w:p>
    <w:p w14:paraId="162910BC">
      <w:pPr>
        <w:pStyle w:val="78"/>
        <w:spacing w:line="360" w:lineRule="auto"/>
        <w:ind w:firstLine="420" w:firstLineChars="200"/>
        <w:jc w:val="left"/>
        <w:rPr>
          <w:rStyle w:val="32"/>
          <w:rFonts w:hint="eastAsia" w:ascii="Calibri" w:hAnsi="宋体" w:eastAsia="宋体" w:cs="宋体"/>
          <w:color w:val="auto"/>
          <w:highlight w:val="none"/>
          <w:u w:val="single"/>
          <w:lang w:eastAsia="zh-CN"/>
        </w:rPr>
      </w:pPr>
      <w:r>
        <w:rPr>
          <w:rStyle w:val="32"/>
          <w:rFonts w:hint="eastAsia" w:ascii="Calibri" w:hAnsi="宋体" w:eastAsia="宋体" w:cs="宋体"/>
          <w:color w:val="auto"/>
          <w:highlight w:val="none"/>
          <w:lang w:eastAsia="zh-CN"/>
        </w:rPr>
        <w:t>承包人</w:t>
      </w:r>
      <w:r>
        <w:rPr>
          <w:rStyle w:val="32"/>
          <w:rFonts w:hint="eastAsia" w:ascii="Calibri" w:hAnsi="宋体" w:eastAsia="宋体" w:cs="宋体"/>
          <w:color w:val="auto"/>
          <w:highlight w:val="none"/>
        </w:rPr>
        <w:t>提供</w:t>
      </w:r>
      <w:r>
        <w:rPr>
          <w:rStyle w:val="32"/>
          <w:rFonts w:hint="eastAsia" w:ascii="Calibri" w:hAnsi="宋体" w:eastAsia="宋体" w:cs="宋体"/>
          <w:color w:val="auto"/>
          <w:highlight w:val="none"/>
          <w:lang w:eastAsia="zh-CN"/>
        </w:rPr>
        <w:t>履约</w:t>
      </w:r>
      <w:r>
        <w:rPr>
          <w:rStyle w:val="32"/>
          <w:rFonts w:hint="eastAsia" w:ascii="Calibri" w:hAnsi="宋体" w:eastAsia="宋体" w:cs="宋体"/>
          <w:color w:val="auto"/>
          <w:highlight w:val="none"/>
        </w:rPr>
        <w:t>担保的形式：</w:t>
      </w:r>
      <w:r>
        <w:rPr>
          <w:rStyle w:val="32"/>
          <w:rFonts w:hint="eastAsia" w:hAnsi="宋体" w:cs="宋体"/>
          <w:color w:val="auto"/>
          <w:highlight w:val="none"/>
          <w:u w:val="single"/>
          <w:lang w:val="en-US" w:eastAsia="zh-CN"/>
        </w:rPr>
        <w:t xml:space="preserve">       /        </w:t>
      </w:r>
      <w:r>
        <w:rPr>
          <w:rStyle w:val="32"/>
          <w:rFonts w:hint="eastAsia" w:ascii="Calibri" w:hAnsi="宋体" w:eastAsia="宋体" w:cs="宋体"/>
          <w:color w:val="auto"/>
          <w:kern w:val="0"/>
          <w:highlight w:val="none"/>
        </w:rPr>
        <w:t>。</w:t>
      </w:r>
    </w:p>
    <w:p w14:paraId="739AD314">
      <w:pPr>
        <w:pStyle w:val="98"/>
        <w:spacing w:before="0" w:after="0" w:line="360" w:lineRule="auto"/>
        <w:rPr>
          <w:rStyle w:val="32"/>
          <w:rFonts w:cs="Times New Roman"/>
          <w:color w:val="auto"/>
          <w:highlight w:val="none"/>
        </w:rPr>
      </w:pPr>
      <w:bookmarkStart w:id="317" w:name="_Toc931514330"/>
      <w:bookmarkStart w:id="318" w:name="_Toc407135215"/>
      <w:bookmarkStart w:id="319" w:name="_Toc907912356"/>
      <w:bookmarkStart w:id="320" w:name="_Toc78449801"/>
      <w:r>
        <w:rPr>
          <w:rStyle w:val="32"/>
          <w:rFonts w:cs="Times New Roman"/>
          <w:color w:val="auto"/>
          <w:highlight w:val="none"/>
        </w:rPr>
        <w:t>4</w:t>
      </w:r>
      <w:bookmarkStart w:id="321" w:name="_Toc296503162"/>
      <w:bookmarkStart w:id="322" w:name="_Toc292559366"/>
      <w:bookmarkStart w:id="323" w:name="_Toc292559871"/>
      <w:bookmarkStart w:id="324" w:name="_Toc296346663"/>
      <w:bookmarkStart w:id="325" w:name="_Toc296891202"/>
      <w:bookmarkStart w:id="326" w:name="_Toc267251413"/>
      <w:bookmarkStart w:id="327" w:name="_Toc297120462"/>
      <w:bookmarkStart w:id="328" w:name="_Toc297048348"/>
      <w:bookmarkStart w:id="329" w:name="_Toc296347161"/>
      <w:bookmarkStart w:id="330" w:name="_Toc296944501"/>
      <w:bookmarkStart w:id="331" w:name="_Toc296890990"/>
      <w:r>
        <w:rPr>
          <w:rStyle w:val="32"/>
          <w:rFonts w:cs="Times New Roman"/>
          <w:color w:val="auto"/>
          <w:highlight w:val="none"/>
        </w:rPr>
        <w:t xml:space="preserve">. </w:t>
      </w:r>
      <w:r>
        <w:rPr>
          <w:rStyle w:val="32"/>
          <w:rFonts w:hint="eastAsia" w:hAnsi="宋体" w:cs="黑体"/>
          <w:color w:val="auto"/>
          <w:sz w:val="28"/>
          <w:szCs w:val="18"/>
          <w:highlight w:val="none"/>
        </w:rPr>
        <w:t>监</w:t>
      </w:r>
      <w:bookmarkEnd w:id="321"/>
      <w:bookmarkEnd w:id="322"/>
      <w:bookmarkEnd w:id="323"/>
      <w:bookmarkEnd w:id="324"/>
      <w:bookmarkEnd w:id="325"/>
      <w:bookmarkEnd w:id="326"/>
      <w:bookmarkEnd w:id="327"/>
      <w:bookmarkEnd w:id="328"/>
      <w:bookmarkEnd w:id="329"/>
      <w:bookmarkEnd w:id="330"/>
      <w:bookmarkEnd w:id="331"/>
      <w:r>
        <w:rPr>
          <w:rStyle w:val="32"/>
          <w:rFonts w:hint="eastAsia" w:hAnsi="宋体" w:cs="黑体"/>
          <w:color w:val="auto"/>
          <w:sz w:val="28"/>
          <w:szCs w:val="18"/>
          <w:highlight w:val="none"/>
        </w:rPr>
        <w:t>理人</w:t>
      </w:r>
      <w:bookmarkEnd w:id="313"/>
      <w:bookmarkEnd w:id="314"/>
      <w:bookmarkEnd w:id="315"/>
      <w:bookmarkEnd w:id="316"/>
      <w:bookmarkEnd w:id="317"/>
      <w:bookmarkEnd w:id="318"/>
      <w:bookmarkEnd w:id="319"/>
      <w:bookmarkEnd w:id="320"/>
    </w:p>
    <w:p w14:paraId="635B23EB">
      <w:pPr>
        <w:pStyle w:val="99"/>
        <w:spacing w:before="0" w:after="0" w:line="360" w:lineRule="auto"/>
        <w:rPr>
          <w:rStyle w:val="32"/>
          <w:rFonts w:ascii="Calibri" w:hAnsi="Calibri" w:eastAsia="宋体" w:cs="Times New Roman"/>
          <w:color w:val="auto"/>
          <w:highlight w:val="none"/>
        </w:rPr>
      </w:pPr>
      <w:bookmarkStart w:id="332" w:name="_Toc78449802"/>
      <w:bookmarkStart w:id="333" w:name="_Toc389065280"/>
      <w:bookmarkStart w:id="334" w:name="_Toc1008304989"/>
      <w:bookmarkStart w:id="335" w:name="_Toc1595043148"/>
      <w:bookmarkStart w:id="336" w:name="_Toc407135216"/>
      <w:bookmarkStart w:id="337" w:name="_Toc373227714"/>
      <w:bookmarkStart w:id="338" w:name="_Toc373478361"/>
      <w:r>
        <w:rPr>
          <w:rStyle w:val="32"/>
          <w:rFonts w:ascii="Calibri" w:hAnsi="Calibri" w:eastAsia="宋体" w:cs="Times New Roman"/>
          <w:color w:val="auto"/>
          <w:highlight w:val="none"/>
        </w:rPr>
        <w:t xml:space="preserve">4.1 </w:t>
      </w:r>
      <w:r>
        <w:rPr>
          <w:rStyle w:val="32"/>
          <w:rFonts w:hint="eastAsia" w:ascii="Calibri" w:hAnsi="Calibri" w:eastAsia="宋体" w:cs="黑体"/>
          <w:color w:val="auto"/>
          <w:sz w:val="28"/>
          <w:szCs w:val="28"/>
          <w:highlight w:val="none"/>
        </w:rPr>
        <w:t>监理人的一般规定</w:t>
      </w:r>
      <w:bookmarkEnd w:id="332"/>
      <w:bookmarkEnd w:id="333"/>
      <w:bookmarkEnd w:id="334"/>
      <w:bookmarkEnd w:id="335"/>
      <w:bookmarkEnd w:id="336"/>
      <w:bookmarkEnd w:id="337"/>
      <w:bookmarkEnd w:id="338"/>
    </w:p>
    <w:p w14:paraId="40A93AB9">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关于监理人的监理内容：</w:t>
      </w:r>
      <w:r>
        <w:rPr>
          <w:rStyle w:val="32"/>
          <w:rFonts w:hint="eastAsia" w:ascii="Calibri" w:hAnsi="宋体" w:eastAsia="宋体" w:cs="宋体"/>
          <w:snapToGrid/>
          <w:color w:val="auto"/>
          <w:kern w:val="2"/>
          <w:sz w:val="21"/>
          <w:szCs w:val="22"/>
          <w:highlight w:val="none"/>
          <w:u w:val="single"/>
          <w:lang w:val="en-US" w:eastAsia="zh-CN" w:bidi="ar-SA"/>
        </w:rPr>
        <w:t>按监理合同约定</w:t>
      </w:r>
      <w:r>
        <w:rPr>
          <w:rStyle w:val="32"/>
          <w:rFonts w:hint="eastAsia" w:ascii="Calibri" w:hAnsi="宋体" w:eastAsia="宋体" w:cs="宋体"/>
          <w:color w:val="auto"/>
          <w:highlight w:val="none"/>
        </w:rPr>
        <w:t>。</w:t>
      </w:r>
    </w:p>
    <w:p w14:paraId="758FD908">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关于监理人的监理权限：</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0BAA2444">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关于监理人在施工现场的办公场所、生活场所的提供和费用承担的约定：</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0027167">
      <w:pPr>
        <w:pStyle w:val="99"/>
        <w:spacing w:before="0" w:after="0" w:line="360" w:lineRule="auto"/>
        <w:rPr>
          <w:rStyle w:val="32"/>
          <w:rFonts w:ascii="Calibri" w:hAnsi="Calibri" w:eastAsia="宋体" w:cs="Times New Roman"/>
          <w:color w:val="auto"/>
          <w:highlight w:val="none"/>
        </w:rPr>
      </w:pPr>
      <w:bookmarkStart w:id="339" w:name="_Toc373478362"/>
      <w:bookmarkStart w:id="340" w:name="_Toc78449803"/>
      <w:bookmarkStart w:id="341" w:name="_Toc373227715"/>
      <w:bookmarkStart w:id="342" w:name="_Toc1350458461"/>
      <w:bookmarkStart w:id="343" w:name="_Toc389065281"/>
      <w:bookmarkStart w:id="344" w:name="_Toc407135217"/>
      <w:bookmarkStart w:id="345" w:name="_Toc386397261"/>
      <w:r>
        <w:rPr>
          <w:rStyle w:val="32"/>
          <w:rFonts w:ascii="Calibri" w:hAnsi="Calibri" w:eastAsia="宋体" w:cs="Times New Roman"/>
          <w:color w:val="auto"/>
          <w:highlight w:val="none"/>
        </w:rPr>
        <w:t xml:space="preserve">4.2 </w:t>
      </w:r>
      <w:r>
        <w:rPr>
          <w:rStyle w:val="32"/>
          <w:rFonts w:hint="eastAsia" w:ascii="Calibri" w:hAnsi="宋体" w:eastAsia="宋体" w:cs="黑体"/>
          <w:color w:val="auto"/>
          <w:sz w:val="28"/>
          <w:szCs w:val="28"/>
          <w:highlight w:val="none"/>
        </w:rPr>
        <w:t>监理人员</w:t>
      </w:r>
      <w:bookmarkEnd w:id="339"/>
      <w:bookmarkEnd w:id="340"/>
      <w:bookmarkEnd w:id="341"/>
      <w:bookmarkEnd w:id="342"/>
      <w:bookmarkEnd w:id="343"/>
      <w:bookmarkEnd w:id="344"/>
      <w:bookmarkEnd w:id="345"/>
    </w:p>
    <w:p w14:paraId="4E26D5B8">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总监理工程师：</w:t>
      </w:r>
    </w:p>
    <w:p w14:paraId="3F262720">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姓</w:t>
      </w:r>
      <w:r>
        <w:rPr>
          <w:rStyle w:val="32"/>
          <w:rFonts w:ascii="Calibri" w:hAnsi="Calibri" w:eastAsia="宋体" w:cs="Times New Roman"/>
          <w:color w:val="auto"/>
          <w:highlight w:val="none"/>
        </w:rPr>
        <w:t xml:space="preserve">    </w:t>
      </w:r>
      <w:r>
        <w:rPr>
          <w:rStyle w:val="32"/>
          <w:rFonts w:ascii="Calibri" w:hAnsi="宋体" w:eastAsia="宋体" w:cs="Times New Roman"/>
          <w:color w:val="auto"/>
          <w:highlight w:val="none"/>
        </w:rPr>
        <w:t>名：</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w:t>
      </w:r>
      <w:r>
        <w:rPr>
          <w:rStyle w:val="32"/>
          <w:rFonts w:ascii="Calibri" w:hAnsi="Calibri" w:eastAsia="宋体" w:cs="Times New Roman"/>
          <w:color w:val="auto"/>
          <w:highlight w:val="none"/>
          <w:u w:val="single"/>
        </w:rPr>
        <w:t xml:space="preserve">         </w:t>
      </w:r>
      <w:r>
        <w:rPr>
          <w:rStyle w:val="32"/>
          <w:rFonts w:ascii="Calibri" w:hAnsi="宋体" w:eastAsia="宋体" w:cs="Times New Roman"/>
          <w:color w:val="auto"/>
          <w:highlight w:val="none"/>
        </w:rPr>
        <w:t>；</w:t>
      </w:r>
    </w:p>
    <w:p w14:paraId="5B381304">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职</w:t>
      </w:r>
      <w:r>
        <w:rPr>
          <w:rStyle w:val="32"/>
          <w:rFonts w:ascii="Calibri" w:hAnsi="Calibri" w:eastAsia="宋体" w:cs="Times New Roman"/>
          <w:color w:val="auto"/>
          <w:highlight w:val="none"/>
        </w:rPr>
        <w:t xml:space="preserve">    </w:t>
      </w:r>
      <w:r>
        <w:rPr>
          <w:rStyle w:val="32"/>
          <w:rFonts w:ascii="Calibri" w:hAnsi="宋体" w:eastAsia="宋体" w:cs="Times New Roman"/>
          <w:color w:val="auto"/>
          <w:highlight w:val="none"/>
        </w:rPr>
        <w:t>务：</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hAnsi="宋体" w:cs="Times New Roman"/>
          <w:color w:val="auto"/>
          <w:highlight w:val="none"/>
          <w:u w:val="single"/>
          <w:lang w:val="en-US" w:eastAsia="zh-CN"/>
        </w:rPr>
        <w:t xml:space="preserve">             </w:t>
      </w:r>
      <w:r>
        <w:rPr>
          <w:rStyle w:val="32"/>
          <w:rFonts w:ascii="Calibri" w:hAnsi="宋体" w:eastAsia="宋体" w:cs="Times New Roman"/>
          <w:color w:val="auto"/>
          <w:highlight w:val="none"/>
        </w:rPr>
        <w:t>；</w:t>
      </w:r>
    </w:p>
    <w:p w14:paraId="4EF9C629">
      <w:pPr>
        <w:pStyle w:val="78"/>
        <w:spacing w:line="360" w:lineRule="auto"/>
        <w:ind w:firstLine="420" w:firstLineChars="200"/>
        <w:rPr>
          <w:rStyle w:val="32"/>
          <w:rFonts w:ascii="Calibri" w:hAnsi="宋体" w:eastAsia="宋体" w:cs="Times New Roman"/>
          <w:color w:val="auto"/>
          <w:highlight w:val="none"/>
        </w:rPr>
      </w:pPr>
      <w:r>
        <w:rPr>
          <w:rStyle w:val="32"/>
          <w:rFonts w:ascii="Calibri" w:hAnsi="宋体" w:eastAsia="宋体" w:cs="Times New Roman"/>
          <w:color w:val="auto"/>
          <w:highlight w:val="none"/>
        </w:rPr>
        <w:t>监理工程师注册证书号：</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w:t>
      </w:r>
      <w:r>
        <w:rPr>
          <w:rStyle w:val="32"/>
          <w:rFonts w:ascii="Calibri" w:hAnsi="Calibri" w:eastAsia="宋体" w:cs="Times New Roman"/>
          <w:color w:val="auto"/>
          <w:highlight w:val="none"/>
          <w:u w:val="single"/>
        </w:rPr>
        <w:t xml:space="preserve">         </w:t>
      </w:r>
      <w:r>
        <w:rPr>
          <w:rStyle w:val="32"/>
          <w:rFonts w:ascii="Calibri" w:hAnsi="宋体" w:eastAsia="宋体" w:cs="Times New Roman"/>
          <w:color w:val="auto"/>
          <w:highlight w:val="none"/>
        </w:rPr>
        <w:t>；</w:t>
      </w:r>
    </w:p>
    <w:p w14:paraId="47470FB4">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联系电话：</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             </w:t>
      </w:r>
      <w:r>
        <w:rPr>
          <w:rStyle w:val="32"/>
          <w:rFonts w:ascii="Calibri" w:hAnsi="Calibri" w:eastAsia="宋体" w:cs="Times New Roman"/>
          <w:color w:val="auto"/>
          <w:highlight w:val="none"/>
          <w:u w:val="single"/>
        </w:rPr>
        <w:t xml:space="preserve">     </w:t>
      </w:r>
      <w:r>
        <w:rPr>
          <w:rStyle w:val="32"/>
          <w:rFonts w:ascii="Calibri" w:hAnsi="宋体" w:eastAsia="宋体" w:cs="Times New Roman"/>
          <w:color w:val="auto"/>
          <w:highlight w:val="none"/>
        </w:rPr>
        <w:t>；</w:t>
      </w:r>
    </w:p>
    <w:p w14:paraId="7F41741D">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电子信箱：</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             </w:t>
      </w:r>
      <w:r>
        <w:rPr>
          <w:rStyle w:val="32"/>
          <w:rFonts w:ascii="Calibri" w:hAnsi="Calibri" w:eastAsia="宋体" w:cs="Times New Roman"/>
          <w:color w:val="auto"/>
          <w:highlight w:val="none"/>
          <w:u w:val="single"/>
        </w:rPr>
        <w:t xml:space="preserve">     </w:t>
      </w:r>
      <w:r>
        <w:rPr>
          <w:rStyle w:val="32"/>
          <w:rFonts w:ascii="Calibri" w:hAnsi="宋体" w:eastAsia="宋体" w:cs="Times New Roman"/>
          <w:color w:val="auto"/>
          <w:highlight w:val="none"/>
        </w:rPr>
        <w:t>；</w:t>
      </w:r>
    </w:p>
    <w:p w14:paraId="3A24BF1B">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通信地址：</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             </w:t>
      </w:r>
      <w:r>
        <w:rPr>
          <w:rStyle w:val="32"/>
          <w:rFonts w:ascii="Calibri" w:hAnsi="Calibri" w:eastAsia="宋体" w:cs="Times New Roman"/>
          <w:color w:val="auto"/>
          <w:highlight w:val="none"/>
          <w:u w:val="single"/>
        </w:rPr>
        <w:t xml:space="preserve">     </w:t>
      </w:r>
      <w:r>
        <w:rPr>
          <w:rStyle w:val="32"/>
          <w:rFonts w:ascii="Calibri" w:hAnsi="宋体" w:eastAsia="宋体" w:cs="Times New Roman"/>
          <w:color w:val="auto"/>
          <w:highlight w:val="none"/>
        </w:rPr>
        <w:t>；</w:t>
      </w:r>
    </w:p>
    <w:p w14:paraId="22563680">
      <w:pPr>
        <w:pStyle w:val="78"/>
        <w:spacing w:line="360" w:lineRule="auto"/>
        <w:ind w:firstLine="420" w:firstLineChars="200"/>
        <w:rPr>
          <w:rStyle w:val="32"/>
          <w:rFonts w:ascii="Calibri" w:hAnsi="Calibri" w:eastAsia="宋体" w:cs="Times New Roman"/>
          <w:color w:val="auto"/>
          <w:highlight w:val="none"/>
        </w:rPr>
      </w:pPr>
      <w:r>
        <w:rPr>
          <w:rStyle w:val="32"/>
          <w:rFonts w:ascii="Calibri" w:hAnsi="宋体" w:eastAsia="宋体" w:cs="Times New Roman"/>
          <w:color w:val="auto"/>
          <w:highlight w:val="none"/>
        </w:rPr>
        <w:t>关于监理人的其他约定：</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             </w:t>
      </w:r>
      <w:r>
        <w:rPr>
          <w:rStyle w:val="32"/>
          <w:rFonts w:ascii="Calibri" w:hAnsi="Calibri" w:eastAsia="宋体" w:cs="Times New Roman"/>
          <w:color w:val="auto"/>
          <w:highlight w:val="none"/>
          <w:u w:val="single"/>
        </w:rPr>
        <w:t xml:space="preserve">     </w:t>
      </w:r>
      <w:r>
        <w:rPr>
          <w:rStyle w:val="32"/>
          <w:rFonts w:ascii="Calibri" w:hAnsi="宋体" w:eastAsia="宋体" w:cs="Times New Roman"/>
          <w:color w:val="auto"/>
          <w:highlight w:val="none"/>
        </w:rPr>
        <w:t>。</w:t>
      </w:r>
    </w:p>
    <w:p w14:paraId="691683CC">
      <w:pPr>
        <w:pStyle w:val="99"/>
        <w:spacing w:before="0" w:after="0" w:line="360" w:lineRule="auto"/>
        <w:rPr>
          <w:rStyle w:val="32"/>
          <w:rFonts w:ascii="Calibri" w:hAnsi="Calibri" w:eastAsia="宋体" w:cs="Times New Roman"/>
          <w:color w:val="auto"/>
          <w:highlight w:val="none"/>
        </w:rPr>
      </w:pPr>
      <w:bookmarkStart w:id="346" w:name="_Toc941562442"/>
      <w:bookmarkStart w:id="347" w:name="_Toc539923186"/>
      <w:bookmarkStart w:id="348" w:name="_Toc407135218"/>
      <w:bookmarkStart w:id="349" w:name="_Toc78449804"/>
      <w:bookmarkStart w:id="350" w:name="_Toc373478363"/>
      <w:bookmarkStart w:id="351" w:name="_Toc373227716"/>
      <w:bookmarkStart w:id="352" w:name="_Toc389065282"/>
      <w:r>
        <w:rPr>
          <w:rStyle w:val="32"/>
          <w:rFonts w:ascii="Calibri" w:hAnsi="Calibri" w:eastAsia="宋体" w:cs="Times New Roman"/>
          <w:color w:val="auto"/>
          <w:highlight w:val="none"/>
        </w:rPr>
        <w:t xml:space="preserve">4.4 </w:t>
      </w:r>
      <w:r>
        <w:rPr>
          <w:rStyle w:val="32"/>
          <w:rFonts w:hint="eastAsia" w:ascii="Calibri" w:hAnsi="宋体" w:eastAsia="宋体" w:cs="黑体"/>
          <w:color w:val="auto"/>
          <w:sz w:val="28"/>
          <w:szCs w:val="28"/>
          <w:highlight w:val="none"/>
        </w:rPr>
        <w:t>商定或确定</w:t>
      </w:r>
      <w:bookmarkEnd w:id="346"/>
      <w:bookmarkEnd w:id="347"/>
      <w:bookmarkEnd w:id="348"/>
      <w:bookmarkEnd w:id="349"/>
      <w:bookmarkEnd w:id="350"/>
      <w:bookmarkEnd w:id="351"/>
      <w:bookmarkEnd w:id="352"/>
    </w:p>
    <w:p w14:paraId="00ACA649">
      <w:pPr>
        <w:pStyle w:val="78"/>
        <w:spacing w:line="360" w:lineRule="auto"/>
        <w:ind w:firstLine="420" w:firstLineChars="200"/>
        <w:rPr>
          <w:rStyle w:val="32"/>
          <w:rFonts w:ascii="Calibri" w:hAnsi="Calibri" w:eastAsia="宋体" w:cs="Times New Roman"/>
          <w:color w:val="auto"/>
          <w:highlight w:val="none"/>
        </w:rPr>
      </w:pPr>
      <w:bookmarkStart w:id="353" w:name="_Toc267251418"/>
      <w:r>
        <w:rPr>
          <w:rStyle w:val="32"/>
          <w:rFonts w:hint="eastAsia" w:ascii="Calibri" w:hAnsi="宋体" w:eastAsia="宋体" w:cs="宋体"/>
          <w:color w:val="auto"/>
          <w:highlight w:val="none"/>
        </w:rPr>
        <w:t>在发包人和承包人不能通过协商达成一致意见时，发包人授权监理人对以下事项进行确定：</w:t>
      </w:r>
    </w:p>
    <w:p w14:paraId="775784F2">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1</w:t>
      </w:r>
      <w:r>
        <w:rPr>
          <w:rStyle w:val="32"/>
          <w:rFonts w:hint="eastAsia" w:ascii="Calibri" w:hAnsi="宋体" w:eastAsia="宋体" w:cs="宋体"/>
          <w:color w:val="auto"/>
          <w:kern w:val="0"/>
          <w:highlight w:val="none"/>
        </w:rPr>
        <w:t>）</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8F6F26A">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2</w:t>
      </w:r>
      <w:r>
        <w:rPr>
          <w:rStyle w:val="32"/>
          <w:rFonts w:hint="eastAsia" w:ascii="Calibri" w:hAnsi="宋体" w:eastAsia="宋体" w:cs="宋体"/>
          <w:color w:val="auto"/>
          <w:kern w:val="0"/>
          <w:highlight w:val="none"/>
        </w:rPr>
        <w:t>）</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4D74D61">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3</w:t>
      </w:r>
      <w:r>
        <w:rPr>
          <w:rStyle w:val="32"/>
          <w:rFonts w:hint="eastAsia" w:ascii="Calibri" w:hAnsi="宋体" w:eastAsia="宋体" w:cs="宋体"/>
          <w:color w:val="auto"/>
          <w:kern w:val="0"/>
          <w:highlight w:val="none"/>
        </w:rPr>
        <w:t>）</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75D6D08">
      <w:pPr>
        <w:pStyle w:val="98"/>
        <w:spacing w:before="0" w:after="0" w:line="360" w:lineRule="auto"/>
        <w:rPr>
          <w:rStyle w:val="32"/>
          <w:rFonts w:cs="Times New Roman"/>
          <w:color w:val="auto"/>
          <w:highlight w:val="none"/>
        </w:rPr>
      </w:pPr>
      <w:bookmarkStart w:id="354" w:name="_Toc407135219"/>
      <w:bookmarkStart w:id="355" w:name="_Toc373227717"/>
      <w:bookmarkStart w:id="356" w:name="_Toc389065283"/>
      <w:bookmarkStart w:id="357" w:name="_Toc351203637"/>
      <w:bookmarkStart w:id="358" w:name="_Toc78449805"/>
      <w:bookmarkStart w:id="359" w:name="_Toc373478364"/>
      <w:bookmarkStart w:id="360" w:name="_Toc1687297496"/>
      <w:bookmarkStart w:id="361" w:name="_Toc1603077308"/>
      <w:r>
        <w:rPr>
          <w:rStyle w:val="32"/>
          <w:rFonts w:cs="Times New Roman"/>
          <w:color w:val="auto"/>
          <w:highlight w:val="none"/>
        </w:rPr>
        <w:t>5</w:t>
      </w:r>
      <w:bookmarkEnd w:id="353"/>
      <w:bookmarkStart w:id="362" w:name="_Toc292559367"/>
      <w:bookmarkStart w:id="363" w:name="_Toc297048349"/>
      <w:bookmarkStart w:id="364" w:name="_Toc296890991"/>
      <w:bookmarkStart w:id="365" w:name="_Toc292559872"/>
      <w:bookmarkStart w:id="366" w:name="_Toc296346664"/>
      <w:bookmarkStart w:id="367" w:name="_Toc296347162"/>
      <w:bookmarkStart w:id="368" w:name="_Toc297120463"/>
      <w:bookmarkStart w:id="369" w:name="_Toc296503163"/>
      <w:bookmarkStart w:id="370" w:name="_Toc296891203"/>
      <w:bookmarkStart w:id="371" w:name="_Toc296944502"/>
      <w:r>
        <w:rPr>
          <w:rStyle w:val="32"/>
          <w:rFonts w:cs="Times New Roman"/>
          <w:color w:val="auto"/>
          <w:highlight w:val="none"/>
        </w:rPr>
        <w:t xml:space="preserve">. </w:t>
      </w:r>
      <w:r>
        <w:rPr>
          <w:rStyle w:val="32"/>
          <w:rFonts w:hint="eastAsia" w:hAnsi="宋体" w:cs="黑体"/>
          <w:color w:val="auto"/>
          <w:sz w:val="28"/>
          <w:szCs w:val="18"/>
          <w:highlight w:val="none"/>
        </w:rPr>
        <w:t>工程质量</w:t>
      </w:r>
      <w:bookmarkEnd w:id="354"/>
      <w:bookmarkEnd w:id="355"/>
      <w:bookmarkEnd w:id="356"/>
      <w:bookmarkEnd w:id="357"/>
      <w:bookmarkEnd w:id="358"/>
      <w:bookmarkEnd w:id="359"/>
      <w:bookmarkEnd w:id="360"/>
      <w:bookmarkEnd w:id="361"/>
    </w:p>
    <w:p w14:paraId="1C36EA6E">
      <w:pPr>
        <w:pStyle w:val="99"/>
        <w:spacing w:before="0" w:after="0" w:line="360" w:lineRule="auto"/>
        <w:rPr>
          <w:rStyle w:val="32"/>
          <w:rFonts w:ascii="Calibri" w:hAnsi="Calibri" w:eastAsia="宋体" w:cs="Times New Roman"/>
          <w:color w:val="auto"/>
          <w:highlight w:val="none"/>
        </w:rPr>
      </w:pPr>
      <w:bookmarkStart w:id="372" w:name="_Toc373227718"/>
      <w:bookmarkStart w:id="373" w:name="_Toc407135220"/>
      <w:bookmarkStart w:id="374" w:name="_Toc78449806"/>
      <w:bookmarkStart w:id="375" w:name="_Toc373478365"/>
      <w:bookmarkStart w:id="376" w:name="_Toc389065284"/>
      <w:bookmarkStart w:id="377" w:name="_Toc1835421345"/>
      <w:bookmarkStart w:id="378" w:name="_Toc1952042622"/>
      <w:r>
        <w:rPr>
          <w:rStyle w:val="32"/>
          <w:rFonts w:ascii="Calibri" w:hAnsi="Calibri" w:eastAsia="宋体" w:cs="Times New Roman"/>
          <w:color w:val="auto"/>
          <w:highlight w:val="none"/>
        </w:rPr>
        <w:t xml:space="preserve">5.1 </w:t>
      </w:r>
      <w:r>
        <w:rPr>
          <w:rStyle w:val="32"/>
          <w:rFonts w:hint="eastAsia" w:ascii="Calibri" w:hAnsi="宋体" w:eastAsia="宋体" w:cs="黑体"/>
          <w:color w:val="auto"/>
          <w:sz w:val="28"/>
          <w:szCs w:val="28"/>
          <w:highlight w:val="none"/>
        </w:rPr>
        <w:t>质量要求</w:t>
      </w:r>
      <w:bookmarkEnd w:id="372"/>
      <w:bookmarkEnd w:id="373"/>
      <w:bookmarkEnd w:id="374"/>
      <w:bookmarkEnd w:id="375"/>
      <w:bookmarkEnd w:id="376"/>
      <w:bookmarkEnd w:id="377"/>
      <w:bookmarkEnd w:id="378"/>
    </w:p>
    <w:p w14:paraId="1C1B1807">
      <w:pPr>
        <w:pStyle w:val="78"/>
        <w:spacing w:line="360" w:lineRule="auto"/>
        <w:ind w:firstLine="420" w:firstLineChars="200"/>
        <w:jc w:val="left"/>
        <w:rPr>
          <w:rStyle w:val="32"/>
          <w:rFonts w:hint="eastAsia" w:ascii="Calibri" w:hAnsi="宋体" w:eastAsia="宋体" w:cs="宋体"/>
          <w:color w:val="auto"/>
          <w:highlight w:val="none"/>
          <w:u w:val="single"/>
        </w:rPr>
      </w:pPr>
      <w:r>
        <w:rPr>
          <w:rStyle w:val="32"/>
          <w:rFonts w:ascii="Calibri" w:hAnsi="Calibri" w:eastAsia="宋体" w:cs="Times New Roman"/>
          <w:color w:val="auto"/>
          <w:highlight w:val="none"/>
        </w:rPr>
        <w:t>5</w:t>
      </w:r>
      <w:bookmarkStart w:id="379" w:name="_Toc297216155"/>
      <w:bookmarkStart w:id="380" w:name="_Toc318581164"/>
      <w:bookmarkStart w:id="381" w:name="_Toc312677997"/>
      <w:bookmarkStart w:id="382" w:name="_Toc303539106"/>
      <w:bookmarkStart w:id="383" w:name="_Toc297123496"/>
      <w:bookmarkStart w:id="384" w:name="_Toc304295527"/>
      <w:bookmarkStart w:id="385" w:name="_Toc300934949"/>
      <w:r>
        <w:rPr>
          <w:rStyle w:val="32"/>
          <w:rFonts w:ascii="Calibri" w:hAnsi="Calibri" w:eastAsia="宋体" w:cs="Times New Roman"/>
          <w:color w:val="auto"/>
          <w:highlight w:val="none"/>
        </w:rPr>
        <w:t xml:space="preserve">.1.1 </w:t>
      </w:r>
      <w:r>
        <w:rPr>
          <w:rStyle w:val="32"/>
          <w:rFonts w:hint="eastAsia" w:ascii="Calibri" w:hAnsi="宋体" w:eastAsia="宋体" w:cs="宋体"/>
          <w:color w:val="auto"/>
          <w:highlight w:val="none"/>
        </w:rPr>
        <w:t>特殊质量标准和要求：</w:t>
      </w:r>
      <w:r>
        <w:rPr>
          <w:rStyle w:val="32"/>
          <w:rFonts w:hint="eastAsia" w:ascii="Calibri" w:hAnsi="宋体" w:eastAsia="宋体" w:cs="宋体"/>
          <w:color w:val="auto"/>
          <w:highlight w:val="none"/>
          <w:u w:val="single"/>
          <w:lang w:val="en-US" w:eastAsia="zh-CN"/>
        </w:rPr>
        <w:t>符合现行国家有关工程施工质量验收规范和标准的合格要求</w:t>
      </w:r>
      <w:r>
        <w:rPr>
          <w:rStyle w:val="32"/>
          <w:rFonts w:hint="eastAsia" w:hAnsi="宋体" w:cs="宋体"/>
          <w:color w:val="auto"/>
          <w:highlight w:val="none"/>
          <w:u w:val="single"/>
          <w:lang w:eastAsia="zh-CN"/>
        </w:rPr>
        <w:t>，</w:t>
      </w:r>
      <w:r>
        <w:rPr>
          <w:rStyle w:val="32"/>
          <w:rFonts w:hint="eastAsia" w:hAnsi="宋体" w:cs="宋体"/>
          <w:color w:val="auto"/>
          <w:highlight w:val="none"/>
          <w:u w:val="single"/>
          <w:lang w:val="en-US" w:eastAsia="zh-CN"/>
        </w:rPr>
        <w:t>严格执行广西壮族自治区住房和城乡建设厅《关于严格实行房屋建筑和市政基础设施工程质量终身责任承诺、永久性质量责任标牌、终身责任信息档案等制度的通知》(桂建管[2014]96号)和南宁市城乡建设委员会《关于落实建设工程质量终身责任，加强工程质量管理的通知》(南建质安[2014]155号)要求，落实建设工程质量终身责任</w:t>
      </w:r>
      <w:r>
        <w:rPr>
          <w:rStyle w:val="32"/>
          <w:rFonts w:hint="eastAsia" w:ascii="Calibri" w:hAnsi="宋体" w:eastAsia="宋体" w:cs="宋体"/>
          <w:color w:val="auto"/>
          <w:highlight w:val="none"/>
          <w:u w:val="single"/>
        </w:rPr>
        <w:t>。</w:t>
      </w:r>
    </w:p>
    <w:p w14:paraId="6B3FEED1">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5.1.</w:t>
      </w:r>
      <w:r>
        <w:rPr>
          <w:rStyle w:val="32"/>
          <w:rFonts w:hint="eastAsia" w:hAnsi="宋体" w:cs="宋体"/>
          <w:color w:val="auto"/>
          <w:highlight w:val="none"/>
          <w:lang w:val="en-US" w:eastAsia="zh-CN"/>
        </w:rPr>
        <w:t>2</w:t>
      </w:r>
      <w:r>
        <w:rPr>
          <w:rStyle w:val="32"/>
          <w:rFonts w:hint="eastAsia" w:ascii="Calibri" w:hAnsi="宋体" w:eastAsia="宋体" w:cs="宋体"/>
          <w:color w:val="auto"/>
          <w:highlight w:val="none"/>
        </w:rPr>
        <w:t xml:space="preserve"> 发包人、监理人、质量安全监督部门或相关行政管理部门对承包人工程实施过程中提出的质量、安全隐患均须限时完成整改，否则视为承包人违约，每逾期1天承包人向发包人支付违约金1000元，逾期7个日历天以上(含7个日历天)或整改不合格的属于承包人严重违约。每严重违约一次，违约金按5万元/次·处的标准支付给发包人，发包人有权从履约保证金或支付给承包人的款项中扣除，承包人承担上述违约给发包人造成的一切损失。严重违约3次，发包人有权解除合同。</w:t>
      </w:r>
    </w:p>
    <w:p w14:paraId="2C51ADF6">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5.1.</w:t>
      </w:r>
      <w:r>
        <w:rPr>
          <w:rStyle w:val="32"/>
          <w:rFonts w:hint="eastAsia" w:hAnsi="宋体" w:cs="宋体"/>
          <w:color w:val="auto"/>
          <w:highlight w:val="none"/>
          <w:lang w:val="en-US" w:eastAsia="zh-CN"/>
        </w:rPr>
        <w:t xml:space="preserve">3 </w:t>
      </w:r>
      <w:r>
        <w:rPr>
          <w:rStyle w:val="32"/>
          <w:rFonts w:hint="eastAsia" w:ascii="Calibri" w:hAnsi="宋体" w:eastAsia="宋体" w:cs="宋体"/>
          <w:color w:val="auto"/>
          <w:highlight w:val="none"/>
        </w:rPr>
        <w:t>发包人、监理人、质量安全监督部门或相关行政管理部门对出现的质量、安全隐患下达书面整改通知的，视为承包人违约，违约金按1万元/次·处的标准支付给发包人，发包人有权从履约保证金或支付给承包人的款项中扣除。承包人未能按书面整改通知确定的时间及时整改的，或明确表示不愿整改的，或明确表示无力整改的，或未能在整改通知确定的合理期限或双方约定的期限内整改完毕的，发包人有权委托第三方代为整改并自行审定第三方的整改费用，所有整改费用均由承包人承担，且发包人有权从履约保证金或支付给承包人的款项中扣除，同时承包人仍需承担全部工程的保修责任，承包人承担上述违约给发包人造成的一切损失。如果出现上述严重违约情况达3次，发包人有权解除合同。</w:t>
      </w:r>
    </w:p>
    <w:p w14:paraId="2E1C971C">
      <w:pPr>
        <w:pStyle w:val="78"/>
        <w:spacing w:line="360" w:lineRule="auto"/>
        <w:ind w:firstLine="420" w:firstLineChars="200"/>
        <w:jc w:val="left"/>
        <w:rPr>
          <w:rStyle w:val="32"/>
          <w:rFonts w:hint="default" w:ascii="Calibri" w:hAnsi="Calibri" w:eastAsia="宋体" w:cs="Times New Roman"/>
          <w:color w:val="auto"/>
          <w:highlight w:val="none"/>
          <w:lang w:val="en-US"/>
        </w:rPr>
      </w:pPr>
      <w:r>
        <w:rPr>
          <w:rStyle w:val="32"/>
          <w:rFonts w:hint="eastAsia" w:ascii="Calibri" w:hAnsi="宋体" w:eastAsia="宋体" w:cs="宋体"/>
          <w:color w:val="auto"/>
          <w:highlight w:val="none"/>
        </w:rPr>
        <w:t>关于工程奖项的约定：</w:t>
      </w:r>
      <w:r>
        <w:rPr>
          <w:rStyle w:val="32"/>
          <w:rFonts w:hint="eastAsia" w:cs="Times New Roman"/>
          <w:color w:val="auto"/>
          <w:highlight w:val="none"/>
          <w:u w:val="single"/>
          <w:lang w:val="en-US" w:eastAsia="zh-CN"/>
        </w:rPr>
        <w:t xml:space="preserve">        /             </w:t>
      </w:r>
    </w:p>
    <w:p w14:paraId="7F920084">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5.3 </w:t>
      </w:r>
      <w:r>
        <w:rPr>
          <w:rStyle w:val="32"/>
          <w:rFonts w:hint="eastAsia" w:ascii="Calibri" w:hAnsi="宋体" w:eastAsia="宋体" w:cs="宋体"/>
          <w:color w:val="auto"/>
          <w:highlight w:val="none"/>
        </w:rPr>
        <w:t>隐蔽工程检查</w:t>
      </w:r>
    </w:p>
    <w:p w14:paraId="0D0C0F27">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ascii="Calibri" w:hAnsi="Calibri" w:eastAsia="宋体" w:cs="Times New Roman"/>
          <w:color w:val="auto"/>
          <w:highlight w:val="none"/>
        </w:rPr>
        <w:t>5.3.2</w:t>
      </w:r>
      <w:r>
        <w:rPr>
          <w:rStyle w:val="32"/>
          <w:rFonts w:hint="eastAsia" w:ascii="Calibri" w:hAnsi="宋体" w:eastAsia="宋体" w:cs="宋体"/>
          <w:color w:val="auto"/>
          <w:highlight w:val="none"/>
        </w:rPr>
        <w:t>承包人提前通知监理人隐蔽工程检查的期限的约定：</w:t>
      </w:r>
      <w:r>
        <w:rPr>
          <w:rStyle w:val="32"/>
          <w:rFonts w:hint="eastAsia" w:ascii="Calibri" w:hAnsi="宋体" w:eastAsia="宋体" w:cs="宋体"/>
          <w:color w:val="auto"/>
          <w:highlight w:val="none"/>
          <w:u w:val="single"/>
        </w:rPr>
        <w:t>工程隐蔽或中间验收前</w:t>
      </w:r>
      <w:r>
        <w:rPr>
          <w:rStyle w:val="32"/>
          <w:rFonts w:ascii="Calibri" w:hAnsi="Calibri" w:eastAsia="宋体" w:cs="Times New Roman"/>
          <w:color w:val="auto"/>
          <w:highlight w:val="none"/>
          <w:u w:val="single"/>
        </w:rPr>
        <w:t>12</w:t>
      </w:r>
      <w:r>
        <w:rPr>
          <w:rStyle w:val="32"/>
          <w:rFonts w:hint="eastAsia" w:ascii="Calibri" w:hAnsi="宋体" w:eastAsia="宋体" w:cs="宋体"/>
          <w:color w:val="auto"/>
          <w:highlight w:val="none"/>
          <w:u w:val="singl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312E13">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监理人不能按时进行检查时，应提前</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24</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小时提交书面延期要求。</w:t>
      </w:r>
    </w:p>
    <w:p w14:paraId="5359E59E">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关于延期最长不得超过：</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48</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小时。</w:t>
      </w:r>
    </w:p>
    <w:p w14:paraId="38BEDBC9">
      <w:pPr>
        <w:pStyle w:val="78"/>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5.3.</w:t>
      </w:r>
      <w:r>
        <w:rPr>
          <w:rStyle w:val="32"/>
          <w:rFonts w:hint="eastAsia" w:cs="Times New Roman"/>
          <w:color w:val="auto"/>
          <w:highlight w:val="none"/>
          <w:lang w:val="en-US" w:eastAsia="zh-CN"/>
        </w:rPr>
        <w:t>3</w:t>
      </w:r>
      <w:r>
        <w:rPr>
          <w:rStyle w:val="32"/>
          <w:rFonts w:hint="eastAsia" w:ascii="Calibri" w:hAnsi="Calibri" w:eastAsia="宋体" w:cs="Times New Roman"/>
          <w:color w:val="auto"/>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发包人只承担由此增加的费用和(或)延误的工期;经检查证明工程质量不符合合同要求的，由此增加的费用和(或)延误的工期由承包人承担。</w:t>
      </w:r>
    </w:p>
    <w:p w14:paraId="6CD0C57B">
      <w:pPr>
        <w:pStyle w:val="78"/>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5.3.</w:t>
      </w:r>
      <w:r>
        <w:rPr>
          <w:rStyle w:val="32"/>
          <w:rFonts w:hint="eastAsia" w:cs="Times New Roman"/>
          <w:color w:val="auto"/>
          <w:highlight w:val="none"/>
          <w:lang w:val="en-US" w:eastAsia="zh-CN"/>
        </w:rPr>
        <w:t>4</w:t>
      </w:r>
      <w:r>
        <w:rPr>
          <w:rStyle w:val="32"/>
          <w:rFonts w:hint="eastAsia" w:ascii="Calibri" w:hAnsi="Calibri" w:eastAsia="宋体" w:cs="Times New Roman"/>
          <w:color w:val="auto"/>
          <w:highlight w:val="none"/>
        </w:rPr>
        <w:t>承包人未按约定通知发包人或监理人进行隐蔽工程验收或中间验收，擅自进入下一道工序的，视为承包人违约，违约金按1万元/次·处的标准支付给发包人，发包人有权从履约保证金或支付给承包人的款项中扣除。承包人未能及时完成隐蔽工程验收或中间验收问题整改的，或明确表示不愿整改的，或明确表示无力整改的，或未能在整改通知确定的合理期限或双方约定的期限内整改完毕的，发包人有权委托第三方代为整改直至隐蔽工程验收合格并自行审定第三方的整改费用，所有整改费用均由承包人承担，且发包人有权从履约保证金或支付给承包人的款项中扣除，同时承包人仍需承担全部工程的保修责任，承包人承担上述违约给发包人造成的一切损失。</w:t>
      </w:r>
    </w:p>
    <w:p w14:paraId="68E13F17">
      <w:pPr>
        <w:pStyle w:val="78"/>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5.3.</w:t>
      </w:r>
      <w:r>
        <w:rPr>
          <w:rStyle w:val="32"/>
          <w:rFonts w:hint="eastAsia" w:cs="Times New Roman"/>
          <w:color w:val="auto"/>
          <w:highlight w:val="none"/>
          <w:lang w:val="en-US" w:eastAsia="zh-CN"/>
        </w:rPr>
        <w:t>5</w:t>
      </w:r>
      <w:r>
        <w:rPr>
          <w:rStyle w:val="32"/>
          <w:rFonts w:hint="eastAsia" w:ascii="Calibri" w:hAnsi="Calibri" w:eastAsia="宋体" w:cs="Times New Roman"/>
          <w:color w:val="auto"/>
          <w:highlight w:val="none"/>
        </w:rPr>
        <w:t>承包人必须严格按照本工程项目设计文件和设计图纸施工，经发包人或监理人检查发现承包人未按本工程项目设计文件和设计图纸施工的，视为承包人违约，违约金按5万元/次·处的标准支付给发包人，发包人有权从履约保证金或支付给承包人的款项中扣除。</w:t>
      </w:r>
    </w:p>
    <w:p w14:paraId="4DC25E7A">
      <w:pPr>
        <w:pStyle w:val="78"/>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5.5质量事故</w:t>
      </w:r>
    </w:p>
    <w:p w14:paraId="5FF0EF6C">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Calibri" w:eastAsia="宋体" w:cs="Times New Roman"/>
          <w:color w:val="auto"/>
          <w:highlight w:val="none"/>
        </w:rPr>
        <w:t>本工程质量事故控制目标:杜绝质量事故。</w:t>
      </w:r>
    </w:p>
    <w:p w14:paraId="049AF9B0">
      <w:pPr>
        <w:pStyle w:val="78"/>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5.5.1本工程项目事故报告、调查、处理的程序应遵循《建设工程质量管理条例》及其他国家和地方政府相关规定执行，承包人在接到质量事故报告后，应在半个小时内速报发包人。</w:t>
      </w:r>
    </w:p>
    <w:p w14:paraId="0785A779">
      <w:pPr>
        <w:pStyle w:val="78"/>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5.5.2本工程发生质量事故的，视为承包人严重违约，发生一般质量事故的违约金按合同签约价的1%·次的标准支付给发包人，发生较大及以上质量事故的违约金按合同签约价的5%·次的标准支付给发包人，发包人均有权从履约保证金/保函/质量保证金或支付给承包人的款项中扣除。同时发包人有权解除合同，并要求承包人承担由此给发包人造成的所有损失。</w:t>
      </w:r>
    </w:p>
    <w:p w14:paraId="456E25E9">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Calibri" w:eastAsia="宋体" w:cs="Times New Roman"/>
          <w:color w:val="auto"/>
          <w:highlight w:val="none"/>
        </w:rPr>
        <w:t>5.5.3承包人对发生质量事故隐瞒不报，或歪曲、掩盖事故真相，一经发包人或监理人查证落实，将按国家的有关规定，对承包人给予严肃处理。</w:t>
      </w:r>
    </w:p>
    <w:p w14:paraId="4D02C91F">
      <w:pPr>
        <w:pStyle w:val="98"/>
        <w:spacing w:before="0" w:after="0" w:line="360" w:lineRule="auto"/>
        <w:rPr>
          <w:rStyle w:val="32"/>
          <w:rFonts w:cs="Times New Roman"/>
          <w:color w:val="auto"/>
          <w:highlight w:val="none"/>
        </w:rPr>
      </w:pPr>
      <w:bookmarkStart w:id="386" w:name="_Toc373227719"/>
      <w:bookmarkStart w:id="387" w:name="_Toc407135221"/>
      <w:bookmarkStart w:id="388" w:name="_Toc373478366"/>
      <w:bookmarkStart w:id="389" w:name="_Toc351203638"/>
      <w:bookmarkStart w:id="390" w:name="_Toc389065285"/>
      <w:bookmarkStart w:id="391" w:name="_Toc78449807"/>
      <w:bookmarkStart w:id="392" w:name="_Toc703841976"/>
      <w:bookmarkStart w:id="393" w:name="_Toc1259019817"/>
      <w:r>
        <w:rPr>
          <w:rStyle w:val="32"/>
          <w:rFonts w:cs="Times New Roman"/>
          <w:color w:val="auto"/>
          <w:highlight w:val="none"/>
        </w:rPr>
        <w:t xml:space="preserve">6. </w:t>
      </w:r>
      <w:r>
        <w:rPr>
          <w:rStyle w:val="32"/>
          <w:rFonts w:hint="eastAsia" w:cs="黑体"/>
          <w:color w:val="auto"/>
          <w:sz w:val="28"/>
          <w:szCs w:val="18"/>
          <w:highlight w:val="none"/>
        </w:rPr>
        <w:t>安全文明施工与环境保护</w:t>
      </w:r>
      <w:bookmarkEnd w:id="386"/>
      <w:bookmarkEnd w:id="387"/>
      <w:bookmarkEnd w:id="388"/>
      <w:bookmarkEnd w:id="389"/>
      <w:bookmarkEnd w:id="390"/>
      <w:bookmarkEnd w:id="391"/>
      <w:bookmarkEnd w:id="392"/>
      <w:bookmarkEnd w:id="393"/>
    </w:p>
    <w:p w14:paraId="0F5EACE9">
      <w:pPr>
        <w:pStyle w:val="99"/>
        <w:spacing w:before="0" w:after="0" w:line="360" w:lineRule="auto"/>
        <w:rPr>
          <w:rStyle w:val="32"/>
          <w:rFonts w:ascii="Calibri" w:hAnsi="Calibri" w:eastAsia="宋体" w:cs="Times New Roman"/>
          <w:color w:val="auto"/>
          <w:highlight w:val="none"/>
        </w:rPr>
      </w:pPr>
      <w:bookmarkStart w:id="394" w:name="_Toc78449808"/>
      <w:bookmarkStart w:id="395" w:name="_Toc373227720"/>
      <w:bookmarkStart w:id="396" w:name="_Toc1296292062"/>
      <w:bookmarkStart w:id="397" w:name="_Toc180514231"/>
      <w:bookmarkStart w:id="398" w:name="_Toc389065286"/>
      <w:bookmarkStart w:id="399" w:name="_Toc373478367"/>
      <w:bookmarkStart w:id="400" w:name="_Toc407135222"/>
      <w:r>
        <w:rPr>
          <w:rStyle w:val="32"/>
          <w:rFonts w:ascii="Calibri" w:hAnsi="Calibri" w:eastAsia="宋体" w:cs="Times New Roman"/>
          <w:color w:val="auto"/>
          <w:highlight w:val="none"/>
        </w:rPr>
        <w:t xml:space="preserve">6.1 </w:t>
      </w:r>
      <w:r>
        <w:rPr>
          <w:rStyle w:val="32"/>
          <w:rFonts w:hint="eastAsia" w:ascii="Calibri" w:hAnsi="Calibri" w:eastAsia="宋体" w:cs="黑体"/>
          <w:color w:val="auto"/>
          <w:sz w:val="28"/>
          <w:szCs w:val="28"/>
          <w:highlight w:val="none"/>
        </w:rPr>
        <w:t>安全文明施工</w:t>
      </w:r>
      <w:bookmarkEnd w:id="394"/>
      <w:bookmarkEnd w:id="395"/>
      <w:bookmarkEnd w:id="396"/>
      <w:bookmarkEnd w:id="397"/>
      <w:bookmarkEnd w:id="398"/>
      <w:bookmarkEnd w:id="399"/>
      <w:bookmarkEnd w:id="400"/>
    </w:p>
    <w:p w14:paraId="459B2CE1">
      <w:pPr>
        <w:pStyle w:val="78"/>
        <w:spacing w:line="360" w:lineRule="auto"/>
        <w:ind w:firstLine="420" w:firstLineChars="200"/>
        <w:jc w:val="left"/>
        <w:rPr>
          <w:rStyle w:val="32"/>
          <w:rFonts w:hint="eastAsia" w:ascii="Calibri" w:hAnsi="宋体" w:eastAsia="宋体" w:cs="宋体"/>
          <w:color w:val="auto"/>
          <w:highlight w:val="none"/>
        </w:rPr>
      </w:pPr>
      <w:r>
        <w:rPr>
          <w:rStyle w:val="32"/>
          <w:rFonts w:ascii="Calibri" w:hAnsi="Calibri" w:eastAsia="宋体" w:cs="Times New Roman"/>
          <w:color w:val="auto"/>
          <w:highlight w:val="none"/>
        </w:rPr>
        <w:t xml:space="preserve">6.1.1 </w:t>
      </w:r>
      <w:r>
        <w:rPr>
          <w:rStyle w:val="32"/>
          <w:rFonts w:hint="eastAsia" w:ascii="Calibri" w:hAnsi="宋体" w:eastAsia="宋体" w:cs="宋体"/>
          <w:color w:val="auto"/>
          <w:highlight w:val="none"/>
        </w:rPr>
        <w:t>项目安全生产的达标目标及相应事项的约定：</w:t>
      </w:r>
      <w:r>
        <w:rPr>
          <w:rStyle w:val="32"/>
          <w:rFonts w:hint="eastAsia" w:ascii="Calibri" w:hAnsi="宋体" w:eastAsia="宋体" w:cs="宋体"/>
          <w:color w:val="auto"/>
          <w:highlight w:val="none"/>
          <w:u w:val="single"/>
        </w:rPr>
        <w:t>按通用条款执行</w:t>
      </w:r>
      <w:r>
        <w:rPr>
          <w:rStyle w:val="32"/>
          <w:rFonts w:hint="eastAsia" w:ascii="Calibri" w:hAnsi="宋体" w:eastAsia="宋体" w:cs="宋体"/>
          <w:color w:val="auto"/>
          <w:highlight w:val="none"/>
        </w:rPr>
        <w:t>。</w:t>
      </w:r>
    </w:p>
    <w:p w14:paraId="6E41C1D2">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关于安全文明施工奖项的约定：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334B328D">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ascii="Calibri" w:hAnsi="Calibri" w:eastAsia="宋体" w:cs="Times New Roman"/>
          <w:color w:val="auto"/>
          <w:highlight w:val="none"/>
        </w:rPr>
        <w:t xml:space="preserve">6.1.4 </w:t>
      </w:r>
      <w:r>
        <w:rPr>
          <w:rStyle w:val="32"/>
          <w:rFonts w:hint="eastAsia" w:ascii="Calibri" w:hAnsi="宋体" w:eastAsia="宋体" w:cs="宋体"/>
          <w:color w:val="auto"/>
          <w:highlight w:val="none"/>
        </w:rPr>
        <w:t>关于治安保卫的特别约定：</w:t>
      </w:r>
      <w:r>
        <w:rPr>
          <w:rStyle w:val="32"/>
          <w:rFonts w:hint="eastAsia" w:ascii="Calibri" w:hAnsi="宋体" w:eastAsia="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C0EAB69">
      <w:pPr>
        <w:pStyle w:val="78"/>
        <w:spacing w:line="360" w:lineRule="auto"/>
        <w:ind w:firstLine="420" w:firstLineChars="200"/>
        <w:jc w:val="left"/>
        <w:rPr>
          <w:rStyle w:val="32"/>
          <w:rFonts w:hint="eastAsia" w:ascii="Calibri" w:hAnsi="Calibri" w:eastAsia="宋体" w:cs="Times New Roman"/>
          <w:color w:val="auto"/>
          <w:highlight w:val="none"/>
          <w:u w:val="single"/>
        </w:rPr>
      </w:pPr>
      <w:r>
        <w:rPr>
          <w:rStyle w:val="32"/>
          <w:rFonts w:hint="eastAsia" w:ascii="Calibri" w:hAnsi="宋体" w:eastAsia="宋体" w:cs="宋体"/>
          <w:color w:val="auto"/>
          <w:highlight w:val="none"/>
        </w:rPr>
        <w:t>关于编制施工场地治安管理计划的约定：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承包人应在工程开工后 7 天内编制施工场地治安管理计划，并制定应对突发治安事件的紧急预案。</w:t>
      </w:r>
    </w:p>
    <w:p w14:paraId="015C59B0">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6.1.5 </w:t>
      </w:r>
      <w:r>
        <w:rPr>
          <w:rStyle w:val="32"/>
          <w:rFonts w:hint="eastAsia" w:ascii="Calibri" w:hAnsi="宋体" w:eastAsia="宋体" w:cs="宋体"/>
          <w:color w:val="auto"/>
          <w:highlight w:val="none"/>
        </w:rPr>
        <w:t>文明施工</w:t>
      </w:r>
    </w:p>
    <w:p w14:paraId="4A941EBE">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ascii="Calibri" w:hAnsi="宋体" w:eastAsia="宋体" w:cs="宋体"/>
          <w:color w:val="auto"/>
          <w:highlight w:val="none"/>
        </w:rPr>
        <w:t>合同当事人对文明施工的要求：</w:t>
      </w:r>
      <w:r>
        <w:rPr>
          <w:rStyle w:val="32"/>
          <w:rFonts w:hint="eastAsia" w:ascii="Calibri" w:hAnsi="Calibri" w:eastAsia="宋体" w:cs="宋体"/>
          <w:color w:val="auto"/>
          <w:highlight w:val="none"/>
        </w:rPr>
        <w:t>严格执行政府发布的有关规定，与辖区卫生防疫、环卫管理部门或有合法资质资格的企业签订病媒生物消杀协议、生活垃圾清运协议、渣土密闭运输协议、在线远程监控扬尘监测协议，遵守“一口两池三包五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如施工期间，政府修改或出台相关规定的，按修改或出台的规定执行。</w:t>
      </w:r>
    </w:p>
    <w:p w14:paraId="1267A997">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ascii="Calibri" w:hAnsi="Calibri" w:eastAsia="宋体" w:cs="宋体"/>
          <w:color w:val="auto"/>
          <w:highlight w:val="none"/>
        </w:rPr>
        <w:t>对文明施工的其他要求:</w:t>
      </w:r>
    </w:p>
    <w:p w14:paraId="60B1D5EA">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cs="宋体"/>
          <w:color w:val="auto"/>
          <w:highlight w:val="none"/>
          <w:lang w:val="en-US" w:eastAsia="zh-CN"/>
        </w:rPr>
        <w:t>1</w:t>
      </w:r>
      <w:r>
        <w:rPr>
          <w:rStyle w:val="32"/>
          <w:rFonts w:hint="eastAsia" w:ascii="Calibri" w:hAnsi="Calibri" w:eastAsia="宋体" w:cs="宋体"/>
          <w:color w:val="auto"/>
          <w:highlight w:val="none"/>
        </w:rPr>
        <w:t>.承包人应保持现场整洁，保证卫生要求，合理地安排临时设施，存放和处置好设备及材料，及时清运垃圾和淤泥，处理好污水、淤泥排放。工程完工后，承包人应立即从施工现场搬走或清除承包人的设备、材料、垃圾以及各种临时设施，并保持施工现场和工程清洁整齐，但承包人应保留他为在缺陷责任期内履行其义务而需要的材料、设备和临时设施，其费用已包含在承包人的投标报价中，不另行计量支付。</w:t>
      </w:r>
    </w:p>
    <w:p w14:paraId="776916CB">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cs="宋体"/>
          <w:color w:val="auto"/>
          <w:highlight w:val="none"/>
          <w:lang w:val="en-US" w:eastAsia="zh-CN"/>
        </w:rPr>
        <w:t>2</w:t>
      </w:r>
      <w:r>
        <w:rPr>
          <w:rStyle w:val="32"/>
          <w:rFonts w:hint="eastAsia" w:ascii="Calibri" w:hAnsi="Calibri" w:eastAsia="宋体" w:cs="宋体"/>
          <w:color w:val="auto"/>
          <w:highlight w:val="none"/>
        </w:rPr>
        <w:t>.承包人应当具备有关法律、法规和国家标准或者行业标准规定的安全生产条件，并配合住房和城乡建设行政主管部门、建筑工程安全生产监督机构对其安全生产条件实施的动态监督检查。</w:t>
      </w:r>
    </w:p>
    <w:p w14:paraId="5A3CA6CA">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cs="宋体"/>
          <w:color w:val="auto"/>
          <w:highlight w:val="none"/>
          <w:lang w:val="en-US" w:eastAsia="zh-CN"/>
        </w:rPr>
        <w:t>3</w:t>
      </w:r>
      <w:r>
        <w:rPr>
          <w:rStyle w:val="32"/>
          <w:rFonts w:hint="eastAsia" w:ascii="Calibri" w:hAnsi="Calibri" w:eastAsia="宋体" w:cs="宋体"/>
          <w:color w:val="auto"/>
          <w:highlight w:val="none"/>
        </w:rPr>
        <w:t>.承包人应根据国家、广西壮族自治区的相关要求，建立和健全管理体系，设立质量管理专职机构，配备满足规定要求的专职管理人员。</w:t>
      </w:r>
    </w:p>
    <w:p w14:paraId="3DE96731">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cs="宋体"/>
          <w:color w:val="auto"/>
          <w:highlight w:val="none"/>
          <w:lang w:val="en-US" w:eastAsia="zh-CN"/>
        </w:rPr>
        <w:t>4</w:t>
      </w:r>
      <w:r>
        <w:rPr>
          <w:rStyle w:val="32"/>
          <w:rFonts w:hint="eastAsia" w:ascii="Calibri" w:hAnsi="Calibri" w:eastAsia="宋体" w:cs="宋体"/>
          <w:color w:val="auto"/>
          <w:highlight w:val="none"/>
        </w:rPr>
        <w:t>.承包人应高度重视安全生产工作，建立健全全员安全生产责任制、施工组织设计及专项施工方案、安全技术交底、安全检查、安全教育、应急救援等一系列安全管理工作机制，配备各岗位专兼职安全人员，特别是班组兼职安全人员，做到安全生产有人抓、有人管。</w:t>
      </w:r>
    </w:p>
    <w:p w14:paraId="15ABEB4C">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cs="宋体"/>
          <w:color w:val="auto"/>
          <w:highlight w:val="none"/>
          <w:lang w:val="en-US" w:eastAsia="zh-CN"/>
        </w:rPr>
        <w:t>5</w:t>
      </w:r>
      <w:r>
        <w:rPr>
          <w:rStyle w:val="32"/>
          <w:rFonts w:hint="eastAsia" w:ascii="Calibri" w:hAnsi="Calibri" w:eastAsia="宋体" w:cs="宋体"/>
          <w:color w:val="auto"/>
          <w:highlight w:val="none"/>
        </w:rPr>
        <w:t>.承包人应组织以安全法律法规、企业安全制度、施工现场安全管理规定及各工种安全技术操作规程为主要内容的三级安全教育培训和考核，严格执行特种作业安全生产相关规定，特种作业人员必须持证上岗，工程项目部每天要组织1~2次安全检查，对查出的安全隐患必须定措施、定时间、定人员整改，并做好安全隐患整改消项记录。</w:t>
      </w:r>
    </w:p>
    <w:p w14:paraId="58882BB8">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cs="宋体"/>
          <w:color w:val="auto"/>
          <w:highlight w:val="none"/>
          <w:lang w:val="en-US" w:eastAsia="zh-CN"/>
        </w:rPr>
        <w:t>6</w:t>
      </w:r>
      <w:r>
        <w:rPr>
          <w:rStyle w:val="32"/>
          <w:rFonts w:hint="eastAsia" w:ascii="Calibri" w:hAnsi="Calibri" w:eastAsia="宋体" w:cs="宋体"/>
          <w:color w:val="auto"/>
          <w:highlight w:val="none"/>
        </w:rPr>
        <w:t>.承包人应当根据项目特点编制含有安全技术措施的施工组织设计并及时(不迟于开工前日)报送发包人及监理人审查;对危险性较大的分部分项工程以及其他重点部位和环节，还应当编制专项施工方案并及时报送发包人及监理人审查。</w:t>
      </w:r>
    </w:p>
    <w:p w14:paraId="1DE2558F">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cs="宋体"/>
          <w:color w:val="auto"/>
          <w:highlight w:val="none"/>
          <w:lang w:val="en-US" w:eastAsia="zh-CN"/>
        </w:rPr>
        <w:t>7</w:t>
      </w:r>
      <w:r>
        <w:rPr>
          <w:rStyle w:val="32"/>
          <w:rFonts w:hint="eastAsia" w:ascii="Calibri" w:hAnsi="Calibri" w:eastAsia="宋体" w:cs="宋体"/>
          <w:color w:val="auto"/>
          <w:highlight w:val="none"/>
        </w:rPr>
        <w:t>.承包人应当每季度至少组织开展1次对项目的安全生产检查，并如实做好记录;因重大节假日及恶劣天气条件暂时停止施工的，在复工前对安全生产条件进行全面检查。施工现场存在生产安全事故隐患的，承包人应当及时制定并落实整改措施，消除生产安全事故隐患。生产安全事故隐患整改完成后，承包人及时将生产安全事故隐患记录和书面整改报告提交发包人和监理人审查。</w:t>
      </w:r>
    </w:p>
    <w:p w14:paraId="10F2C657">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cs="宋体"/>
          <w:color w:val="auto"/>
          <w:highlight w:val="none"/>
          <w:lang w:val="en-US" w:eastAsia="zh-CN"/>
        </w:rPr>
        <w:t>8</w:t>
      </w:r>
      <w:r>
        <w:rPr>
          <w:rStyle w:val="32"/>
          <w:rFonts w:hint="eastAsia" w:ascii="Calibri" w:hAnsi="Calibri" w:eastAsia="宋体" w:cs="宋体"/>
          <w:color w:val="auto"/>
          <w:highlight w:val="none"/>
        </w:rPr>
        <w:t>.承包人项目负责人应当每周至少组织开展1次安全生产检查。专职安全生产管理人员应当每天对施工现场进行安全生产巡查。</w:t>
      </w:r>
    </w:p>
    <w:p w14:paraId="3AFE62A5">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cs="宋体"/>
          <w:color w:val="auto"/>
          <w:highlight w:val="none"/>
          <w:lang w:val="en-US" w:eastAsia="zh-CN"/>
        </w:rPr>
        <w:t>9</w:t>
      </w:r>
      <w:r>
        <w:rPr>
          <w:rStyle w:val="32"/>
          <w:rFonts w:hint="eastAsia" w:ascii="Calibri" w:hAnsi="Calibri" w:eastAsia="宋体" w:cs="宋体"/>
          <w:color w:val="auto"/>
          <w:highlight w:val="none"/>
        </w:rPr>
        <w:t>.承包人应当加强危险性较大的分部分项工程以及其他重点部位和环节的全过程管理，并遵守下列规定:施工前，对施工现场项目管理人员和作业人员进行安全技术交底，并签字确认;施工过程中，由项目负责人组织开展带班检查，并如实做好记录;施工完成后，根据需要进行检测验收。</w:t>
      </w:r>
    </w:p>
    <w:p w14:paraId="7819A62D">
      <w:pPr>
        <w:pStyle w:val="78"/>
        <w:spacing w:line="360" w:lineRule="auto"/>
        <w:ind w:firstLine="420" w:firstLineChars="200"/>
        <w:jc w:val="left"/>
        <w:rPr>
          <w:rStyle w:val="32"/>
          <w:rFonts w:ascii="Calibri" w:hAnsi="宋体" w:eastAsia="宋体" w:cs="Times New Roman"/>
          <w:color w:val="auto"/>
          <w:highlight w:val="none"/>
        </w:rPr>
      </w:pPr>
      <w:r>
        <w:rPr>
          <w:rStyle w:val="32"/>
          <w:rFonts w:ascii="Calibri" w:hAnsi="Calibri" w:eastAsia="宋体" w:cs="Times New Roman"/>
          <w:color w:val="auto"/>
          <w:highlight w:val="none"/>
        </w:rPr>
        <w:t>6.1.6</w:t>
      </w:r>
      <w:r>
        <w:rPr>
          <w:rStyle w:val="32"/>
          <w:rFonts w:ascii="Calibri" w:hAnsi="宋体" w:eastAsia="宋体" w:cs="宋体"/>
          <w:color w:val="auto"/>
          <w:kern w:val="0"/>
          <w:highlight w:val="none"/>
        </w:rPr>
        <w:t>关于安全</w:t>
      </w:r>
      <w:r>
        <w:rPr>
          <w:rStyle w:val="32"/>
          <w:rFonts w:hint="eastAsia" w:ascii="Calibri" w:hAnsi="宋体" w:eastAsia="宋体" w:cs="宋体"/>
          <w:color w:val="auto"/>
          <w:kern w:val="0"/>
          <w:highlight w:val="none"/>
        </w:rPr>
        <w:t>生产</w:t>
      </w:r>
      <w:r>
        <w:rPr>
          <w:rStyle w:val="32"/>
          <w:rFonts w:ascii="Calibri" w:hAnsi="宋体" w:eastAsia="宋体" w:cs="宋体"/>
          <w:color w:val="auto"/>
          <w:kern w:val="0"/>
          <w:highlight w:val="none"/>
        </w:rPr>
        <w:t>费</w:t>
      </w:r>
      <w:r>
        <w:rPr>
          <w:rStyle w:val="32"/>
          <w:rFonts w:hint="eastAsia" w:ascii="Calibri" w:hAnsi="宋体" w:eastAsia="宋体" w:cs="宋体"/>
          <w:color w:val="auto"/>
          <w:kern w:val="0"/>
          <w:highlight w:val="none"/>
        </w:rPr>
        <w:t>总额、</w:t>
      </w:r>
      <w:r>
        <w:rPr>
          <w:rStyle w:val="32"/>
          <w:rFonts w:ascii="Calibri" w:hAnsi="宋体" w:eastAsia="宋体" w:cs="宋体"/>
          <w:color w:val="auto"/>
          <w:kern w:val="0"/>
          <w:highlight w:val="none"/>
        </w:rPr>
        <w:t>支付比例</w:t>
      </w:r>
      <w:r>
        <w:rPr>
          <w:rStyle w:val="32"/>
          <w:rFonts w:hint="eastAsia" w:ascii="Calibri" w:hAnsi="宋体" w:eastAsia="宋体" w:cs="宋体"/>
          <w:color w:val="auto"/>
          <w:kern w:val="0"/>
          <w:highlight w:val="none"/>
        </w:rPr>
        <w:t>、</w:t>
      </w:r>
      <w:r>
        <w:rPr>
          <w:rStyle w:val="32"/>
          <w:rFonts w:ascii="Calibri" w:hAnsi="宋体" w:eastAsia="宋体" w:cs="宋体"/>
          <w:color w:val="auto"/>
          <w:kern w:val="0"/>
          <w:highlight w:val="none"/>
        </w:rPr>
        <w:t>支付期限</w:t>
      </w:r>
      <w:r>
        <w:rPr>
          <w:rStyle w:val="32"/>
          <w:rFonts w:hint="eastAsia" w:ascii="Calibri" w:hAnsi="宋体" w:eastAsia="宋体" w:cs="宋体"/>
          <w:color w:val="auto"/>
          <w:kern w:val="0"/>
          <w:highlight w:val="none"/>
        </w:rPr>
        <w:t>、转入和结余收回</w:t>
      </w:r>
      <w:r>
        <w:rPr>
          <w:rStyle w:val="32"/>
          <w:rFonts w:ascii="Calibri" w:hAnsi="宋体" w:eastAsia="宋体" w:cs="宋体"/>
          <w:color w:val="auto"/>
          <w:kern w:val="0"/>
          <w:highlight w:val="none"/>
        </w:rPr>
        <w:t>的约定：</w:t>
      </w:r>
    </w:p>
    <w:p w14:paraId="68C9801A">
      <w:pPr>
        <w:pStyle w:val="78"/>
        <w:autoSpaceDE w:val="0"/>
        <w:autoSpaceDN w:val="0"/>
        <w:adjustRightInd w:val="0"/>
        <w:spacing w:line="360" w:lineRule="auto"/>
        <w:ind w:firstLine="420" w:firstLineChars="200"/>
        <w:jc w:val="left"/>
        <w:rPr>
          <w:rStyle w:val="32"/>
          <w:rFonts w:ascii="Calibri" w:hAnsi="宋体"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宋体" w:eastAsia="宋体" w:cs="Times New Roman"/>
          <w:color w:val="auto"/>
          <w:kern w:val="0"/>
          <w:highlight w:val="none"/>
        </w:rPr>
        <w:t>1</w:t>
      </w:r>
      <w:r>
        <w:rPr>
          <w:rStyle w:val="32"/>
          <w:rFonts w:hint="eastAsia" w:ascii="Calibri" w:hAnsi="宋体" w:eastAsia="宋体" w:cs="宋体"/>
          <w:color w:val="auto"/>
          <w:kern w:val="0"/>
          <w:highlight w:val="none"/>
        </w:rPr>
        <w:t>）本合同价款已包含安全文明施工费。</w:t>
      </w:r>
    </w:p>
    <w:p w14:paraId="41825D90">
      <w:pPr>
        <w:pStyle w:val="78"/>
        <w:autoSpaceDE w:val="0"/>
        <w:autoSpaceDN w:val="0"/>
        <w:adjustRightInd w:val="0"/>
        <w:spacing w:line="360" w:lineRule="auto"/>
        <w:ind w:firstLine="420" w:firstLineChars="200"/>
        <w:jc w:val="left"/>
        <w:rPr>
          <w:rStyle w:val="32"/>
          <w:rFonts w:ascii="Calibri" w:hAnsi="宋体"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宋体" w:eastAsia="宋体" w:cs="Times New Roman"/>
          <w:color w:val="auto"/>
          <w:kern w:val="0"/>
          <w:highlight w:val="none"/>
        </w:rPr>
        <w:t>2</w:t>
      </w:r>
      <w:r>
        <w:rPr>
          <w:rStyle w:val="32"/>
          <w:rFonts w:hint="eastAsia" w:ascii="Calibri" w:hAnsi="宋体" w:eastAsia="宋体" w:cs="宋体"/>
          <w:color w:val="auto"/>
          <w:kern w:val="0"/>
          <w:highlight w:val="none"/>
        </w:rPr>
        <w:t>）使用要求：专款专用。具体按</w:t>
      </w:r>
      <w:r>
        <w:rPr>
          <w:rStyle w:val="32"/>
          <w:rFonts w:ascii="Calibri" w:hAnsi="宋体" w:eastAsia="宋体" w:cs="Times New Roman"/>
          <w:color w:val="auto"/>
          <w:kern w:val="0"/>
          <w:highlight w:val="none"/>
          <w:u w:val="single"/>
        </w:rPr>
        <w:t xml:space="preserve"> </w:t>
      </w:r>
      <w:r>
        <w:rPr>
          <w:rStyle w:val="32"/>
          <w:rFonts w:hint="eastAsia" w:ascii="Calibri" w:hAnsi="宋体" w:eastAsia="宋体" w:cs="Times New Roman"/>
          <w:color w:val="auto"/>
          <w:kern w:val="0"/>
          <w:highlight w:val="none"/>
          <w:u w:val="single"/>
          <w:lang w:val="en-US" w:eastAsia="zh-CN"/>
        </w:rPr>
        <w:t>本工程所在地</w:t>
      </w:r>
      <w:r>
        <w:rPr>
          <w:rStyle w:val="32"/>
          <w:rFonts w:hint="eastAsia" w:hAnsi="宋体" w:cs="Times New Roman"/>
          <w:color w:val="auto"/>
          <w:kern w:val="0"/>
          <w:highlight w:val="none"/>
          <w:u w:val="single"/>
          <w:lang w:val="en-US" w:eastAsia="zh-CN"/>
        </w:rPr>
        <w:t xml:space="preserve"> </w:t>
      </w:r>
      <w:r>
        <w:rPr>
          <w:rStyle w:val="32"/>
          <w:rFonts w:hint="eastAsia" w:ascii="Calibri" w:hAnsi="宋体" w:eastAsia="宋体" w:cs="宋体"/>
          <w:color w:val="auto"/>
          <w:kern w:val="0"/>
          <w:highlight w:val="none"/>
        </w:rPr>
        <w:t>市相关规定执行。</w:t>
      </w:r>
    </w:p>
    <w:p w14:paraId="06B67847">
      <w:pPr>
        <w:pStyle w:val="99"/>
        <w:spacing w:before="0" w:after="0" w:line="360" w:lineRule="auto"/>
        <w:rPr>
          <w:rStyle w:val="32"/>
          <w:rFonts w:ascii="Calibri" w:hAnsi="Calibri" w:eastAsia="宋体" w:cs="Times New Roman"/>
          <w:color w:val="auto"/>
          <w:highlight w:val="none"/>
        </w:rPr>
      </w:pPr>
      <w:bookmarkStart w:id="401" w:name="_Toc407135223"/>
      <w:bookmarkStart w:id="402" w:name="_Toc1922268668"/>
      <w:bookmarkStart w:id="403" w:name="_Toc389065287"/>
      <w:bookmarkStart w:id="404" w:name="_Toc1519050792"/>
      <w:bookmarkStart w:id="405" w:name="_Toc78449809"/>
      <w:bookmarkStart w:id="406" w:name="_Toc373227721"/>
      <w:bookmarkStart w:id="407" w:name="_Toc373478368"/>
      <w:r>
        <w:rPr>
          <w:rStyle w:val="32"/>
          <w:rFonts w:ascii="Calibri" w:hAnsi="Calibri" w:eastAsia="宋体" w:cs="Times New Roman"/>
          <w:color w:val="auto"/>
          <w:highlight w:val="none"/>
        </w:rPr>
        <w:t xml:space="preserve">6.3 </w:t>
      </w:r>
      <w:r>
        <w:rPr>
          <w:rStyle w:val="32"/>
          <w:rFonts w:hint="eastAsia" w:ascii="Calibri" w:hAnsi="宋体" w:eastAsia="宋体" w:cs="黑体"/>
          <w:color w:val="auto"/>
          <w:sz w:val="28"/>
          <w:szCs w:val="28"/>
          <w:highlight w:val="none"/>
        </w:rPr>
        <w:t>环境保护</w:t>
      </w:r>
      <w:bookmarkEnd w:id="401"/>
      <w:bookmarkEnd w:id="402"/>
      <w:bookmarkEnd w:id="403"/>
      <w:bookmarkEnd w:id="404"/>
      <w:bookmarkEnd w:id="405"/>
      <w:bookmarkEnd w:id="406"/>
      <w:bookmarkEnd w:id="407"/>
    </w:p>
    <w:p w14:paraId="6E7A9CE4">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u w:val="single"/>
        </w:rPr>
        <w:t>因施工需要，经发包人批准，由承包人办理有关施工场地交通、环卫和施工噪音管理等手续，费用由承包人负责。</w:t>
      </w:r>
    </w:p>
    <w:p w14:paraId="371862BB">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u w:val="single"/>
        </w:rPr>
        <w:t>经过城市道路的施工车辆，必须按交警、城管、运输等部门相关规定执行。由于施工车辆造成的道路、环境等污染，其责任和费用均由承包人承担。</w:t>
      </w:r>
    </w:p>
    <w:bookmarkEnd w:id="379"/>
    <w:bookmarkEnd w:id="380"/>
    <w:bookmarkEnd w:id="381"/>
    <w:bookmarkEnd w:id="382"/>
    <w:bookmarkEnd w:id="383"/>
    <w:bookmarkEnd w:id="384"/>
    <w:bookmarkEnd w:id="385"/>
    <w:p w14:paraId="7FCACDB5">
      <w:pPr>
        <w:pStyle w:val="98"/>
        <w:spacing w:before="0" w:after="0" w:line="360" w:lineRule="auto"/>
        <w:rPr>
          <w:rStyle w:val="32"/>
          <w:rFonts w:cs="Times New Roman"/>
          <w:color w:val="auto"/>
          <w:highlight w:val="none"/>
        </w:rPr>
      </w:pPr>
      <w:bookmarkStart w:id="408" w:name="_Toc78449810"/>
      <w:bookmarkStart w:id="409" w:name="_Toc1408286886"/>
      <w:bookmarkStart w:id="410" w:name="_Toc315674767"/>
      <w:bookmarkStart w:id="411" w:name="_Toc373478369"/>
      <w:bookmarkStart w:id="412" w:name="_Toc389065288"/>
      <w:bookmarkStart w:id="413" w:name="_Toc351203639"/>
      <w:bookmarkStart w:id="414" w:name="_Toc407135224"/>
      <w:bookmarkStart w:id="415" w:name="_Toc373227722"/>
      <w:r>
        <w:rPr>
          <w:rStyle w:val="32"/>
          <w:rFonts w:cs="Times New Roman"/>
          <w:color w:val="auto"/>
          <w:highlight w:val="none"/>
        </w:rPr>
        <w:t xml:space="preserve">7. </w:t>
      </w:r>
      <w:r>
        <w:rPr>
          <w:rStyle w:val="32"/>
          <w:rFonts w:hint="eastAsia" w:cs="黑体"/>
          <w:color w:val="auto"/>
          <w:sz w:val="28"/>
          <w:szCs w:val="18"/>
          <w:highlight w:val="none"/>
        </w:rPr>
        <w:t>工期和进度</w:t>
      </w:r>
      <w:bookmarkEnd w:id="408"/>
      <w:bookmarkEnd w:id="409"/>
      <w:bookmarkEnd w:id="410"/>
      <w:bookmarkEnd w:id="411"/>
      <w:bookmarkEnd w:id="412"/>
      <w:bookmarkEnd w:id="413"/>
      <w:bookmarkEnd w:id="414"/>
      <w:bookmarkEnd w:id="415"/>
    </w:p>
    <w:p w14:paraId="65EC9057">
      <w:pPr>
        <w:pStyle w:val="99"/>
        <w:spacing w:before="0" w:after="0" w:line="360" w:lineRule="auto"/>
        <w:rPr>
          <w:rStyle w:val="32"/>
          <w:rFonts w:ascii="Calibri" w:hAnsi="Calibri" w:eastAsia="宋体" w:cs="Times New Roman"/>
          <w:color w:val="auto"/>
          <w:highlight w:val="none"/>
        </w:rPr>
      </w:pPr>
      <w:bookmarkStart w:id="416" w:name="_Toc373478370"/>
      <w:bookmarkStart w:id="417" w:name="_Toc1194482517"/>
      <w:bookmarkStart w:id="418" w:name="_Toc664905709"/>
      <w:bookmarkStart w:id="419" w:name="_Toc78449811"/>
      <w:bookmarkStart w:id="420" w:name="_Toc373227723"/>
      <w:bookmarkStart w:id="421" w:name="_Toc407135225"/>
      <w:bookmarkStart w:id="422" w:name="_Toc389065289"/>
      <w:r>
        <w:rPr>
          <w:rStyle w:val="32"/>
          <w:rFonts w:ascii="Calibri" w:hAnsi="Calibri" w:eastAsia="宋体" w:cs="Times New Roman"/>
          <w:color w:val="auto"/>
          <w:highlight w:val="none"/>
        </w:rPr>
        <w:t xml:space="preserve">7.1 </w:t>
      </w:r>
      <w:r>
        <w:rPr>
          <w:rStyle w:val="32"/>
          <w:rFonts w:hint="eastAsia" w:ascii="Calibri" w:hAnsi="Calibri" w:eastAsia="宋体" w:cs="黑体"/>
          <w:color w:val="auto"/>
          <w:sz w:val="28"/>
          <w:szCs w:val="28"/>
          <w:highlight w:val="none"/>
        </w:rPr>
        <w:t>施工组织设计</w:t>
      </w:r>
      <w:bookmarkEnd w:id="416"/>
      <w:bookmarkEnd w:id="417"/>
      <w:bookmarkEnd w:id="418"/>
      <w:bookmarkEnd w:id="419"/>
      <w:bookmarkEnd w:id="420"/>
      <w:bookmarkEnd w:id="421"/>
      <w:bookmarkEnd w:id="422"/>
    </w:p>
    <w:p w14:paraId="38DBD42E">
      <w:pPr>
        <w:pStyle w:val="78"/>
        <w:autoSpaceDE w:val="0"/>
        <w:autoSpaceDN w:val="0"/>
        <w:adjustRightInd w:val="0"/>
        <w:spacing w:line="360" w:lineRule="auto"/>
        <w:ind w:firstLine="420" w:firstLineChars="200"/>
        <w:jc w:val="left"/>
        <w:rPr>
          <w:rStyle w:val="32"/>
          <w:rFonts w:hint="eastAsia" w:ascii="Calibri" w:hAnsi="宋体" w:eastAsia="宋体" w:cs="宋体"/>
          <w:color w:val="auto"/>
          <w:kern w:val="0"/>
          <w:highlight w:val="none"/>
        </w:rPr>
      </w:pPr>
      <w:r>
        <w:rPr>
          <w:rStyle w:val="32"/>
          <w:rFonts w:ascii="Calibri" w:hAnsi="Calibri" w:eastAsia="宋体" w:cs="Times New Roman"/>
          <w:color w:val="auto"/>
          <w:highlight w:val="none"/>
        </w:rPr>
        <w:t xml:space="preserve">7.1.1 </w:t>
      </w:r>
      <w:r>
        <w:rPr>
          <w:rStyle w:val="32"/>
          <w:rFonts w:hint="eastAsia" w:ascii="Calibri" w:hAnsi="宋体" w:eastAsia="宋体" w:cs="宋体"/>
          <w:color w:val="auto"/>
          <w:highlight w:val="none"/>
        </w:rPr>
        <w:t>合</w:t>
      </w:r>
      <w:r>
        <w:rPr>
          <w:rStyle w:val="32"/>
          <w:rFonts w:hint="eastAsia" w:ascii="Calibri" w:hAnsi="宋体" w:eastAsia="宋体" w:cs="宋体"/>
          <w:color w:val="auto"/>
          <w:kern w:val="0"/>
          <w:highlight w:val="none"/>
        </w:rPr>
        <w:t>同当事人约定的施工组织设计应包括的其他内容：</w:t>
      </w:r>
      <w:r>
        <w:rPr>
          <w:rStyle w:val="32"/>
          <w:rFonts w:hint="eastAsia" w:ascii="Calibri" w:hAnsi="宋体" w:eastAsia="宋体" w:cs="宋体"/>
          <w:color w:val="auto"/>
          <w:kern w:val="0"/>
          <w:highlight w:val="none"/>
          <w:u w:val="single"/>
        </w:rPr>
        <w:t>月进度计划、周进度计划、专业性较强的专项工程安全施工组织设计、安全技术措施、施工现场临时用电方案、达到规定规模的危险性较大的作业等</w:t>
      </w:r>
      <w:r>
        <w:rPr>
          <w:rStyle w:val="32"/>
          <w:rFonts w:hint="eastAsia" w:ascii="Calibri" w:hAnsi="宋体" w:eastAsia="宋体" w:cs="宋体"/>
          <w:color w:val="auto"/>
          <w:kern w:val="0"/>
          <w:highlight w:val="none"/>
        </w:rPr>
        <w:t>。</w:t>
      </w:r>
    </w:p>
    <w:p w14:paraId="1EC8BC1F">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ascii="Calibri" w:hAnsi="Calibri" w:eastAsia="宋体" w:cs="Times New Roman"/>
          <w:color w:val="auto"/>
          <w:highlight w:val="none"/>
        </w:rPr>
        <w:t xml:space="preserve">7.1.2 </w:t>
      </w:r>
      <w:r>
        <w:rPr>
          <w:rStyle w:val="32"/>
          <w:rFonts w:hint="eastAsia" w:ascii="Calibri" w:hAnsi="宋体" w:eastAsia="宋体" w:cs="宋体"/>
          <w:color w:val="auto"/>
          <w:kern w:val="0"/>
          <w:highlight w:val="none"/>
        </w:rPr>
        <w:t>施工组织设计的提交和修改</w:t>
      </w:r>
    </w:p>
    <w:p w14:paraId="65B4FC4F">
      <w:pPr>
        <w:pStyle w:val="78"/>
        <w:autoSpaceDE w:val="0"/>
        <w:autoSpaceDN w:val="0"/>
        <w:adjustRightInd w:val="0"/>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kern w:val="0"/>
          <w:highlight w:val="none"/>
        </w:rPr>
        <w:t>承包人提交详细施工组织设计的期限的约定：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承包人应在合同签订后14天内</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8E4CF3D">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发包人和监理人在收到详细的施工组织设计后确认或提出修改意见的期限：</w:t>
      </w:r>
      <w:r>
        <w:rPr>
          <w:rStyle w:val="32"/>
          <w:rFonts w:hint="eastAsia" w:ascii="Calibri" w:hAnsi="宋体" w:eastAsia="宋体" w:cs="宋体"/>
          <w:color w:val="auto"/>
          <w:highlight w:val="none"/>
          <w:u w:val="single"/>
        </w:rPr>
        <w:t xml:space="preserve">收到施工组织设计后 </w:t>
      </w:r>
      <w:r>
        <w:rPr>
          <w:rStyle w:val="32"/>
          <w:rFonts w:hint="eastAsia" w:hAnsi="宋体" w:cs="宋体"/>
          <w:color w:val="auto"/>
          <w:highlight w:val="none"/>
          <w:u w:val="single"/>
          <w:lang w:val="en-US" w:eastAsia="zh-CN"/>
        </w:rPr>
        <w:t>14</w:t>
      </w:r>
      <w:r>
        <w:rPr>
          <w:rStyle w:val="32"/>
          <w:rFonts w:hint="eastAsia" w:ascii="Calibri" w:hAnsi="宋体" w:eastAsia="宋体" w:cs="宋体"/>
          <w:color w:val="auto"/>
          <w:highlight w:val="none"/>
          <w:u w:val="single"/>
        </w:rPr>
        <w:t xml:space="preserve"> 天内确认或提出修改意见</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68BBC11">
      <w:pPr>
        <w:pStyle w:val="99"/>
        <w:spacing w:before="0" w:after="0" w:line="360" w:lineRule="auto"/>
        <w:rPr>
          <w:rStyle w:val="32"/>
          <w:rFonts w:ascii="Calibri" w:hAnsi="Calibri" w:eastAsia="宋体" w:cs="Times New Roman"/>
          <w:color w:val="auto"/>
          <w:highlight w:val="none"/>
        </w:rPr>
      </w:pPr>
      <w:bookmarkStart w:id="423" w:name="_Toc1393005721"/>
      <w:bookmarkStart w:id="424" w:name="_Toc407135226"/>
      <w:bookmarkStart w:id="425" w:name="_Toc373227724"/>
      <w:bookmarkStart w:id="426" w:name="_Toc78449812"/>
      <w:bookmarkStart w:id="427" w:name="_Toc373478371"/>
      <w:bookmarkStart w:id="428" w:name="_Toc1674747833"/>
      <w:bookmarkStart w:id="429" w:name="_Toc389065290"/>
      <w:r>
        <w:rPr>
          <w:rStyle w:val="32"/>
          <w:rFonts w:ascii="Calibri" w:hAnsi="Calibri" w:eastAsia="宋体" w:cs="Times New Roman"/>
          <w:color w:val="auto"/>
          <w:highlight w:val="none"/>
        </w:rPr>
        <w:t>7</w:t>
      </w:r>
      <w:bookmarkStart w:id="430" w:name="_Toc312677479"/>
      <w:bookmarkStart w:id="431" w:name="_Toc304295541"/>
      <w:bookmarkStart w:id="432" w:name="_Toc303539123"/>
      <w:bookmarkStart w:id="433" w:name="_Toc297123514"/>
      <w:bookmarkStart w:id="434" w:name="_Toc300934966"/>
      <w:bookmarkStart w:id="435" w:name="_Toc297216173"/>
      <w:bookmarkStart w:id="436" w:name="_Toc312678005"/>
      <w:r>
        <w:rPr>
          <w:rStyle w:val="32"/>
          <w:rFonts w:ascii="Calibri" w:hAnsi="Calibri" w:eastAsia="宋体" w:cs="Times New Roman"/>
          <w:color w:val="auto"/>
          <w:highlight w:val="none"/>
        </w:rPr>
        <w:t xml:space="preserve">.2 </w:t>
      </w:r>
      <w:r>
        <w:rPr>
          <w:rStyle w:val="32"/>
          <w:rFonts w:hint="eastAsia" w:ascii="Calibri" w:hAnsi="Calibri" w:eastAsia="宋体" w:cs="黑体"/>
          <w:color w:val="auto"/>
          <w:sz w:val="28"/>
          <w:szCs w:val="28"/>
          <w:highlight w:val="none"/>
        </w:rPr>
        <w:t>施工进度计划</w:t>
      </w:r>
      <w:bookmarkEnd w:id="423"/>
      <w:bookmarkEnd w:id="424"/>
      <w:bookmarkEnd w:id="425"/>
      <w:bookmarkEnd w:id="426"/>
      <w:bookmarkEnd w:id="427"/>
      <w:bookmarkEnd w:id="428"/>
      <w:bookmarkEnd w:id="429"/>
    </w:p>
    <w:p w14:paraId="53C44C91">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7.2.2 </w:t>
      </w:r>
      <w:r>
        <w:rPr>
          <w:rStyle w:val="32"/>
          <w:rFonts w:hint="eastAsia" w:ascii="Calibri" w:hAnsi="宋体" w:eastAsia="宋体" w:cs="宋体"/>
          <w:color w:val="auto"/>
          <w:highlight w:val="none"/>
        </w:rPr>
        <w:t>施工进度计划的修订</w:t>
      </w:r>
    </w:p>
    <w:p w14:paraId="0986ABE5">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发包人和监理人在收到修订的施工进度计划后确认或提出修改意见的期限：</w:t>
      </w:r>
      <w:r>
        <w:rPr>
          <w:rStyle w:val="32"/>
          <w:rFonts w:hint="eastAsia" w:ascii="Calibri" w:hAnsi="宋体" w:eastAsia="宋体" w:cs="宋体"/>
          <w:color w:val="auto"/>
          <w:highlight w:val="none"/>
          <w:u w:val="single"/>
        </w:rPr>
        <w:t>承包人在收到发包人提供的图纸后七天内提交施工进度计划书</w:t>
      </w:r>
      <w:r>
        <w:rPr>
          <w:rStyle w:val="32"/>
          <w:rFonts w:hint="eastAsia" w:ascii="Calibri" w:hAnsi="宋体" w:eastAsia="宋体" w:cs="宋体"/>
          <w:color w:val="auto"/>
          <w:highlight w:val="none"/>
        </w:rPr>
        <w:t>。</w:t>
      </w:r>
    </w:p>
    <w:p w14:paraId="28C3305A">
      <w:pPr>
        <w:pStyle w:val="99"/>
        <w:spacing w:before="0" w:after="0" w:line="360" w:lineRule="auto"/>
        <w:rPr>
          <w:rStyle w:val="32"/>
          <w:rFonts w:ascii="Calibri" w:hAnsi="Calibri" w:eastAsia="宋体" w:cs="Times New Roman"/>
          <w:color w:val="auto"/>
          <w:highlight w:val="none"/>
        </w:rPr>
      </w:pPr>
      <w:bookmarkStart w:id="437" w:name="_Toc373478372"/>
      <w:bookmarkStart w:id="438" w:name="_Toc389065291"/>
      <w:bookmarkStart w:id="439" w:name="_Toc1498273563"/>
      <w:bookmarkStart w:id="440" w:name="_Toc373227725"/>
      <w:bookmarkStart w:id="441" w:name="_Toc423062567"/>
      <w:bookmarkStart w:id="442" w:name="_Toc78449813"/>
      <w:bookmarkStart w:id="443" w:name="_Toc407135227"/>
      <w:r>
        <w:rPr>
          <w:rStyle w:val="32"/>
          <w:rFonts w:ascii="Calibri" w:hAnsi="Calibri" w:eastAsia="宋体" w:cs="Times New Roman"/>
          <w:color w:val="auto"/>
          <w:highlight w:val="none"/>
        </w:rPr>
        <w:t xml:space="preserve">7.3 </w:t>
      </w:r>
      <w:r>
        <w:rPr>
          <w:rStyle w:val="32"/>
          <w:rFonts w:hint="eastAsia" w:ascii="Calibri" w:hAnsi="Calibri" w:eastAsia="宋体" w:cs="黑体"/>
          <w:color w:val="auto"/>
          <w:sz w:val="28"/>
          <w:szCs w:val="28"/>
          <w:highlight w:val="none"/>
        </w:rPr>
        <w:t>开工</w:t>
      </w:r>
      <w:bookmarkEnd w:id="437"/>
      <w:bookmarkEnd w:id="438"/>
      <w:bookmarkEnd w:id="439"/>
      <w:bookmarkEnd w:id="440"/>
      <w:bookmarkEnd w:id="441"/>
      <w:bookmarkEnd w:id="442"/>
      <w:bookmarkEnd w:id="443"/>
    </w:p>
    <w:p w14:paraId="563AD4E0">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7.3.1 </w:t>
      </w:r>
      <w:r>
        <w:rPr>
          <w:rStyle w:val="32"/>
          <w:rFonts w:hint="eastAsia" w:ascii="Calibri" w:hAnsi="宋体" w:eastAsia="宋体" w:cs="宋体"/>
          <w:color w:val="auto"/>
          <w:highlight w:val="none"/>
        </w:rPr>
        <w:t>开工准备</w:t>
      </w:r>
    </w:p>
    <w:p w14:paraId="6ED34E3A">
      <w:pPr>
        <w:pStyle w:val="78"/>
        <w:spacing w:line="360" w:lineRule="auto"/>
        <w:ind w:firstLine="426"/>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关于承包人提交</w:t>
      </w:r>
      <w:r>
        <w:rPr>
          <w:rStyle w:val="32"/>
          <w:rFonts w:hint="eastAsia" w:ascii="Calibri" w:hAnsi="宋体" w:eastAsia="宋体" w:cs="宋体"/>
          <w:color w:val="auto"/>
          <w:kern w:val="0"/>
          <w:highlight w:val="none"/>
        </w:rPr>
        <w:t>工程开工报审表的期限：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开工日期前 7 天</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7EC19DF">
      <w:pPr>
        <w:pStyle w:val="78"/>
        <w:spacing w:line="360" w:lineRule="auto"/>
        <w:ind w:firstLine="426"/>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关于发包人应完成的其他开工准备工作及期限：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按通用条款 7.3.1 执行</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6BBD3ED2">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关于承包人应完成的其他开工准备工作及期限：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开工日期前 7 天</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AB068C6">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7.3.2 </w:t>
      </w:r>
      <w:r>
        <w:rPr>
          <w:rStyle w:val="32"/>
          <w:rFonts w:hint="eastAsia" w:ascii="Calibri" w:hAnsi="宋体" w:eastAsia="宋体" w:cs="宋体"/>
          <w:color w:val="auto"/>
          <w:highlight w:val="none"/>
        </w:rPr>
        <w:t>开工通知</w:t>
      </w:r>
    </w:p>
    <w:p w14:paraId="4CFE262D">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因发包人原因造成监理人未能在计划开工日期之日起</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20</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天内发出开工通知的，承包人有权提出价格调整要求，或者解除合同。</w:t>
      </w:r>
    </w:p>
    <w:p w14:paraId="68216A96">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7.3.3其他约定:</w:t>
      </w:r>
    </w:p>
    <w:p w14:paraId="3CDBAA71">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1、承包人在接到发包人的书面开工令后，必须按开工令要求无条件开工。如有异议，可在收到开工令后48小时内书面向发包人提出，但这并不能成为承包人拖延开工的理由。如承包人延期开工，则从发出开工令开始，每延误一天，承包人应支付5万元违约金，延误开工超过5天，发包人有权单方解除本合同，依法另行选定承包人，并保留追讨承包人违约责任的权利，且承包人应赔偿发包人因此造成的损失。</w:t>
      </w:r>
    </w:p>
    <w:p w14:paraId="36C207BA">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2、因发包人原因不能按照协议书约定的开工日期开工，监理人应以书面形式通知承包人，推迟开工日期，必须征得发包人书面同意后，工期方能相应顺延。</w:t>
      </w:r>
    </w:p>
    <w:bookmarkEnd w:id="430"/>
    <w:bookmarkEnd w:id="431"/>
    <w:bookmarkEnd w:id="432"/>
    <w:bookmarkEnd w:id="433"/>
    <w:bookmarkEnd w:id="434"/>
    <w:bookmarkEnd w:id="435"/>
    <w:bookmarkEnd w:id="436"/>
    <w:p w14:paraId="73388832">
      <w:pPr>
        <w:pStyle w:val="99"/>
        <w:spacing w:before="0" w:after="0" w:line="360" w:lineRule="auto"/>
        <w:rPr>
          <w:rStyle w:val="32"/>
          <w:rFonts w:ascii="Calibri" w:hAnsi="Calibri" w:eastAsia="宋体" w:cs="Times New Roman"/>
          <w:color w:val="auto"/>
          <w:highlight w:val="none"/>
        </w:rPr>
      </w:pPr>
      <w:bookmarkStart w:id="444" w:name="_Toc78449814"/>
      <w:bookmarkStart w:id="445" w:name="_Toc407135228"/>
      <w:bookmarkStart w:id="446" w:name="_Toc373227726"/>
      <w:bookmarkStart w:id="447" w:name="_Toc741356765"/>
      <w:bookmarkStart w:id="448" w:name="_Toc86855608"/>
      <w:bookmarkStart w:id="449" w:name="_Toc373478373"/>
      <w:bookmarkStart w:id="450" w:name="_Toc389065292"/>
      <w:r>
        <w:rPr>
          <w:rStyle w:val="32"/>
          <w:rFonts w:ascii="Calibri" w:hAnsi="Calibri" w:eastAsia="宋体" w:cs="Times New Roman"/>
          <w:color w:val="auto"/>
          <w:highlight w:val="none"/>
        </w:rPr>
        <w:t xml:space="preserve">7.4 </w:t>
      </w:r>
      <w:r>
        <w:rPr>
          <w:rStyle w:val="32"/>
          <w:rFonts w:hint="eastAsia" w:ascii="Calibri" w:hAnsi="宋体" w:eastAsia="宋体" w:cs="黑体"/>
          <w:color w:val="auto"/>
          <w:sz w:val="28"/>
          <w:szCs w:val="28"/>
          <w:highlight w:val="none"/>
        </w:rPr>
        <w:t>测量放线</w:t>
      </w:r>
      <w:bookmarkEnd w:id="444"/>
      <w:bookmarkEnd w:id="445"/>
      <w:bookmarkEnd w:id="446"/>
      <w:bookmarkEnd w:id="447"/>
      <w:bookmarkEnd w:id="448"/>
      <w:bookmarkEnd w:id="449"/>
      <w:bookmarkEnd w:id="450"/>
    </w:p>
    <w:p w14:paraId="46B5DFE1">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ascii="Calibri" w:hAnsi="Calibri" w:eastAsia="宋体" w:cs="Times New Roman"/>
          <w:color w:val="auto"/>
          <w:highlight w:val="none"/>
        </w:rPr>
        <w:t>7.4.1</w:t>
      </w:r>
      <w:r>
        <w:rPr>
          <w:rStyle w:val="32"/>
          <w:rFonts w:hint="eastAsia" w:ascii="Calibri" w:hAnsi="宋体" w:eastAsia="宋体" w:cs="宋体"/>
          <w:color w:val="auto"/>
          <w:highlight w:val="none"/>
        </w:rPr>
        <w:t>发包人通过监理人向承包人提供测量基准点、基准线和水准点及其书面资料的期限：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开工日期前 7 天</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0C53FA24">
      <w:pPr>
        <w:pStyle w:val="99"/>
        <w:spacing w:before="0" w:after="0" w:line="360" w:lineRule="auto"/>
        <w:rPr>
          <w:rStyle w:val="32"/>
          <w:rFonts w:ascii="Calibri" w:hAnsi="Calibri" w:eastAsia="宋体" w:cs="Times New Roman"/>
          <w:color w:val="auto"/>
          <w:highlight w:val="none"/>
        </w:rPr>
      </w:pPr>
      <w:bookmarkStart w:id="451" w:name="_Toc407135229"/>
      <w:bookmarkStart w:id="452" w:name="_Toc78449815"/>
      <w:bookmarkStart w:id="453" w:name="_Toc389065293"/>
      <w:bookmarkStart w:id="454" w:name="_Toc373227727"/>
      <w:bookmarkStart w:id="455" w:name="_Toc1417437583"/>
      <w:bookmarkStart w:id="456" w:name="_Toc1863025072"/>
      <w:bookmarkStart w:id="457" w:name="_Toc373478374"/>
      <w:r>
        <w:rPr>
          <w:rStyle w:val="32"/>
          <w:rFonts w:ascii="Calibri" w:hAnsi="Calibri" w:eastAsia="宋体" w:cs="Times New Roman"/>
          <w:color w:val="auto"/>
          <w:highlight w:val="none"/>
        </w:rPr>
        <w:t>7</w:t>
      </w:r>
      <w:bookmarkStart w:id="458" w:name="_Toc303539125"/>
      <w:bookmarkStart w:id="459" w:name="_Toc297123516"/>
      <w:bookmarkStart w:id="460" w:name="_Toc312677484"/>
      <w:bookmarkStart w:id="461" w:name="_Toc312678010"/>
      <w:bookmarkStart w:id="462" w:name="_Toc297216175"/>
      <w:bookmarkStart w:id="463" w:name="_Toc304295546"/>
      <w:bookmarkStart w:id="464" w:name="_Toc300934968"/>
      <w:r>
        <w:rPr>
          <w:rStyle w:val="32"/>
          <w:rFonts w:ascii="Calibri" w:hAnsi="Calibri" w:eastAsia="宋体" w:cs="Times New Roman"/>
          <w:color w:val="auto"/>
          <w:highlight w:val="none"/>
        </w:rPr>
        <w:t xml:space="preserve">.5 </w:t>
      </w:r>
      <w:r>
        <w:rPr>
          <w:rStyle w:val="32"/>
          <w:rFonts w:hint="eastAsia" w:ascii="Calibri" w:hAnsi="宋体" w:eastAsia="宋体" w:cs="黑体"/>
          <w:color w:val="auto"/>
          <w:sz w:val="28"/>
          <w:szCs w:val="28"/>
          <w:highlight w:val="none"/>
        </w:rPr>
        <w:t>工期延误</w:t>
      </w:r>
      <w:bookmarkEnd w:id="451"/>
      <w:bookmarkEnd w:id="452"/>
      <w:bookmarkEnd w:id="453"/>
      <w:bookmarkEnd w:id="454"/>
      <w:bookmarkEnd w:id="455"/>
      <w:bookmarkEnd w:id="456"/>
      <w:bookmarkEnd w:id="457"/>
    </w:p>
    <w:bookmarkEnd w:id="458"/>
    <w:bookmarkEnd w:id="459"/>
    <w:bookmarkEnd w:id="460"/>
    <w:bookmarkEnd w:id="461"/>
    <w:bookmarkEnd w:id="462"/>
    <w:bookmarkEnd w:id="463"/>
    <w:bookmarkEnd w:id="464"/>
    <w:p w14:paraId="691B3DDF">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7.5.1 </w:t>
      </w:r>
      <w:r>
        <w:rPr>
          <w:rStyle w:val="32"/>
          <w:rFonts w:hint="eastAsia" w:ascii="Calibri" w:hAnsi="宋体" w:eastAsia="宋体" w:cs="宋体"/>
          <w:color w:val="auto"/>
          <w:highlight w:val="none"/>
        </w:rPr>
        <w:t>因发包人原因导致工期延误</w:t>
      </w:r>
    </w:p>
    <w:p w14:paraId="50FBC667">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7</w:t>
      </w:r>
      <w:r>
        <w:rPr>
          <w:rStyle w:val="32"/>
          <w:rFonts w:hint="eastAsia" w:ascii="Calibri" w:hAnsi="宋体" w:eastAsia="宋体" w:cs="宋体"/>
          <w:color w:val="auto"/>
          <w:highlight w:val="none"/>
        </w:rPr>
        <w:t>）因发包人原因导致工期延误的其他情形：</w:t>
      </w:r>
      <w:r>
        <w:rPr>
          <w:rStyle w:val="32"/>
          <w:rFonts w:hint="eastAsia" w:ascii="宋体" w:hAnsi="宋体" w:eastAsia="宋体" w:cs="宋体"/>
          <w:color w:val="auto"/>
          <w:highlight w:val="none"/>
          <w:u w:val="single"/>
        </w:rPr>
        <w:t>①重大图纸变更影响</w:t>
      </w:r>
      <w:r>
        <w:rPr>
          <w:rStyle w:val="32"/>
          <w:rFonts w:hint="eastAsia" w:ascii="宋体" w:hAnsi="宋体" w:cs="宋体"/>
          <w:color w:val="auto"/>
          <w:highlight w:val="none"/>
          <w:u w:val="single"/>
          <w:lang w:val="en-US" w:eastAsia="zh-CN"/>
        </w:rPr>
        <w:t>关键</w:t>
      </w:r>
      <w:r>
        <w:rPr>
          <w:rStyle w:val="32"/>
          <w:rFonts w:hint="eastAsia" w:ascii="宋体" w:hAnsi="宋体" w:eastAsia="宋体" w:cs="宋体"/>
          <w:color w:val="auto"/>
          <w:highlight w:val="none"/>
          <w:u w:val="single"/>
        </w:rPr>
        <w:t>线路工序施工；②施工期间如因停电、停水连续</w:t>
      </w:r>
      <w:r>
        <w:rPr>
          <w:rStyle w:val="32"/>
          <w:rFonts w:ascii="宋体" w:hAnsi="宋体" w:eastAsia="宋体" w:cs="宋体"/>
          <w:color w:val="auto"/>
          <w:highlight w:val="none"/>
          <w:u w:val="single"/>
        </w:rPr>
        <w:t>8</w:t>
      </w:r>
      <w:r>
        <w:rPr>
          <w:rStyle w:val="32"/>
          <w:rFonts w:hint="eastAsia" w:ascii="宋体" w:hAnsi="宋体" w:eastAsia="宋体" w:cs="宋体"/>
          <w:color w:val="auto"/>
          <w:highlight w:val="none"/>
          <w:u w:val="single"/>
        </w:rPr>
        <w:t>小时以上或一周内间歇性停水、停电累计</w:t>
      </w:r>
      <w:r>
        <w:rPr>
          <w:rStyle w:val="32"/>
          <w:rFonts w:ascii="宋体" w:hAnsi="宋体" w:eastAsia="宋体" w:cs="宋体"/>
          <w:color w:val="auto"/>
          <w:highlight w:val="none"/>
          <w:u w:val="single"/>
        </w:rPr>
        <w:t>8</w:t>
      </w:r>
      <w:r>
        <w:rPr>
          <w:rStyle w:val="32"/>
          <w:rFonts w:hint="eastAsia" w:ascii="宋体" w:hAnsi="宋体" w:eastAsia="宋体" w:cs="宋体"/>
          <w:color w:val="auto"/>
          <w:highlight w:val="none"/>
          <w:u w:val="single"/>
        </w:rPr>
        <w:t>小时（含</w:t>
      </w:r>
      <w:r>
        <w:rPr>
          <w:rStyle w:val="32"/>
          <w:rFonts w:ascii="宋体" w:hAnsi="宋体" w:eastAsia="宋体" w:cs="宋体"/>
          <w:color w:val="auto"/>
          <w:highlight w:val="none"/>
          <w:u w:val="single"/>
        </w:rPr>
        <w:t>8</w:t>
      </w:r>
      <w:r>
        <w:rPr>
          <w:rStyle w:val="32"/>
          <w:rFonts w:hint="eastAsia" w:ascii="宋体" w:hAnsi="宋体" w:eastAsia="宋体" w:cs="宋体"/>
          <w:color w:val="auto"/>
          <w:highlight w:val="none"/>
          <w:u w:val="single"/>
        </w:rPr>
        <w:t>小时）影响正常施工的。③政府指令性停工。④在施工过程中遇到地下障碍物、溶洞、岩石、文物或地下管线的。⑤因发包人未能及时确认变更价格或甲供材料提供延误的</w:t>
      </w:r>
      <w:r>
        <w:rPr>
          <w:rStyle w:val="32"/>
          <w:rFonts w:hint="eastAsia" w:ascii="宋体" w:hAnsi="宋体" w:eastAsia="宋体" w:cs="宋体"/>
          <w:color w:val="auto"/>
          <w:highlight w:val="none"/>
          <w:u w:val="single"/>
          <w:lang w:eastAsia="zh-CN"/>
        </w:rPr>
        <w:t>，及因其他发包人原因造成的工期</w:t>
      </w:r>
      <w:r>
        <w:rPr>
          <w:rStyle w:val="32"/>
          <w:rFonts w:hint="eastAsia" w:ascii="宋体" w:hAnsi="宋体" w:eastAsia="宋体" w:cs="宋体"/>
          <w:color w:val="auto"/>
          <w:highlight w:val="none"/>
          <w:u w:val="single"/>
        </w:rPr>
        <w:t>延误。⑥非承包人的责任造成的工期延误其他情形</w:t>
      </w:r>
      <w:r>
        <w:rPr>
          <w:rStyle w:val="32"/>
          <w:rFonts w:ascii="Calibri" w:hAnsi="宋体" w:eastAsia="宋体" w:cs="Times New Roman"/>
          <w:color w:val="auto"/>
          <w:highlight w:val="none"/>
        </w:rPr>
        <w:t xml:space="preserve"> </w:t>
      </w:r>
      <w:r>
        <w:rPr>
          <w:rStyle w:val="32"/>
          <w:rFonts w:hint="eastAsia" w:ascii="Calibri" w:hAnsi="宋体" w:eastAsia="宋体" w:cs="宋体"/>
          <w:color w:val="auto"/>
          <w:highlight w:val="none"/>
        </w:rPr>
        <w:t>。</w:t>
      </w:r>
    </w:p>
    <w:p w14:paraId="4DD68704">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7</w:t>
      </w:r>
      <w:bookmarkStart w:id="465" w:name="_Toc312677486"/>
      <w:bookmarkStart w:id="466" w:name="_Toc312678012"/>
      <w:bookmarkStart w:id="467" w:name="_Toc318581169"/>
      <w:bookmarkStart w:id="468" w:name="_Toc304295548"/>
      <w:bookmarkStart w:id="469" w:name="_Toc297216177"/>
      <w:bookmarkStart w:id="470" w:name="_Toc297123518"/>
      <w:bookmarkStart w:id="471" w:name="_Toc300934970"/>
      <w:bookmarkStart w:id="472" w:name="_Toc303539127"/>
      <w:r>
        <w:rPr>
          <w:rStyle w:val="32"/>
          <w:rFonts w:ascii="Calibri" w:hAnsi="Calibri" w:eastAsia="宋体" w:cs="Times New Roman"/>
          <w:color w:val="auto"/>
          <w:highlight w:val="none"/>
        </w:rPr>
        <w:t xml:space="preserve">.5.2 </w:t>
      </w:r>
      <w:r>
        <w:rPr>
          <w:rStyle w:val="32"/>
          <w:rFonts w:hint="eastAsia" w:ascii="Calibri" w:hAnsi="宋体" w:eastAsia="宋体" w:cs="宋体"/>
          <w:color w:val="auto"/>
          <w:highlight w:val="none"/>
        </w:rPr>
        <w:t>因承包人原因导致工期延误</w:t>
      </w:r>
    </w:p>
    <w:bookmarkEnd w:id="465"/>
    <w:bookmarkEnd w:id="466"/>
    <w:bookmarkEnd w:id="467"/>
    <w:p w14:paraId="461F2246">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双方约定经监理工程师确认，工期相应顺延的情况：</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按《通用合同条款》条执行</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1C68DAA">
      <w:pPr>
        <w:pStyle w:val="78"/>
        <w:spacing w:line="360" w:lineRule="auto"/>
        <w:ind w:firstLine="420" w:firstLineChars="200"/>
        <w:jc w:val="left"/>
        <w:rPr>
          <w:rStyle w:val="32"/>
          <w:rFonts w:hint="eastAsia" w:ascii="Calibri" w:hAnsi="宋体" w:eastAsia="宋体" w:cs="宋体"/>
          <w:color w:val="auto"/>
          <w:highlight w:val="none"/>
          <w:u w:val="single"/>
        </w:rPr>
      </w:pPr>
      <w:r>
        <w:rPr>
          <w:rStyle w:val="32"/>
          <w:rFonts w:hint="eastAsia" w:ascii="Calibri" w:hAnsi="宋体" w:eastAsia="宋体" w:cs="宋体"/>
          <w:color w:val="auto"/>
          <w:highlight w:val="none"/>
        </w:rPr>
        <w:t>因</w:t>
      </w:r>
      <w:bookmarkStart w:id="473" w:name="_Toc318581170"/>
      <w:bookmarkStart w:id="474" w:name="_Toc312678013"/>
      <w:bookmarkStart w:id="475" w:name="_Toc312677487"/>
      <w:r>
        <w:rPr>
          <w:rStyle w:val="32"/>
          <w:rFonts w:hint="eastAsia" w:ascii="Calibri" w:hAnsi="宋体" w:eastAsia="宋体" w:cs="宋体"/>
          <w:color w:val="auto"/>
          <w:highlight w:val="none"/>
        </w:rPr>
        <w:t>承包人原因造成工期延误，逾期竣工违约金的计算方法为：</w:t>
      </w:r>
      <w:r>
        <w:rPr>
          <w:rStyle w:val="32"/>
          <w:rFonts w:hint="eastAsia" w:ascii="宋体" w:hAnsi="宋体" w:eastAsia="宋体" w:cs="宋体"/>
          <w:color w:val="auto"/>
          <w:highlight w:val="none"/>
          <w:u w:val="single"/>
        </w:rPr>
        <w:t>逾期竣工的罚款，每延误一天</w:t>
      </w:r>
      <w:r>
        <w:rPr>
          <w:rStyle w:val="32"/>
          <w:rFonts w:ascii="宋体" w:hAnsi="Calibri" w:eastAsia="宋体" w:cs="宋体"/>
          <w:color w:val="auto"/>
          <w:highlight w:val="none"/>
          <w:u w:val="single"/>
        </w:rPr>
        <w:t>,</w:t>
      </w:r>
      <w:r>
        <w:rPr>
          <w:rStyle w:val="32"/>
          <w:rFonts w:hint="eastAsia" w:ascii="宋体" w:hAnsi="宋体" w:eastAsia="宋体" w:cs="宋体"/>
          <w:color w:val="auto"/>
          <w:highlight w:val="none"/>
          <w:u w:val="single"/>
        </w:rPr>
        <w:t>按合同含税总价</w:t>
      </w:r>
      <w:r>
        <w:rPr>
          <w:rStyle w:val="32"/>
          <w:rFonts w:hint="eastAsia" w:ascii="宋体" w:hAnsi="宋体" w:cs="宋体"/>
          <w:color w:val="auto"/>
          <w:highlight w:val="none"/>
          <w:u w:val="single"/>
          <w:lang w:val="en-US" w:eastAsia="zh-CN"/>
        </w:rPr>
        <w:t>的</w:t>
      </w:r>
      <w:r>
        <w:rPr>
          <w:rStyle w:val="32"/>
          <w:rFonts w:hint="eastAsia" w:ascii="宋体" w:hAnsi="宋体" w:eastAsia="宋体" w:cs="宋体"/>
          <w:color w:val="auto"/>
          <w:highlight w:val="none"/>
          <w:u w:val="single"/>
        </w:rPr>
        <w:t>万分之</w:t>
      </w:r>
      <w:r>
        <w:rPr>
          <w:rStyle w:val="32"/>
          <w:rFonts w:hint="eastAsia" w:ascii="宋体" w:hAnsi="宋体" w:eastAsia="宋体" w:cs="宋体"/>
          <w:color w:val="auto"/>
          <w:highlight w:val="none"/>
          <w:u w:val="single"/>
          <w:lang w:val="en-US" w:eastAsia="zh-CN"/>
        </w:rPr>
        <w:t>3</w:t>
      </w:r>
      <w:r>
        <w:rPr>
          <w:rStyle w:val="32"/>
          <w:rFonts w:hint="eastAsia" w:ascii="宋体" w:hAnsi="宋体" w:eastAsia="宋体" w:cs="宋体"/>
          <w:color w:val="auto"/>
          <w:highlight w:val="none"/>
          <w:u w:val="single"/>
        </w:rPr>
        <w:t>处罚</w:t>
      </w:r>
      <w:r>
        <w:rPr>
          <w:rStyle w:val="32"/>
          <w:rFonts w:ascii="宋体" w:hAnsi="Calibri" w:eastAsia="宋体" w:cs="宋体"/>
          <w:color w:val="auto"/>
          <w:highlight w:val="none"/>
          <w:u w:val="single"/>
        </w:rPr>
        <w:t>,</w:t>
      </w:r>
      <w:r>
        <w:rPr>
          <w:rStyle w:val="32"/>
          <w:rFonts w:hint="eastAsia" w:ascii="宋体" w:hAnsi="宋体" w:eastAsia="宋体" w:cs="宋体"/>
          <w:color w:val="auto"/>
          <w:highlight w:val="none"/>
          <w:u w:val="single"/>
        </w:rPr>
        <w:t>罚款直接从结算款中扣除。</w:t>
      </w:r>
      <w:r>
        <w:rPr>
          <w:rStyle w:val="32"/>
          <w:rFonts w:hint="eastAsia" w:ascii="Calibri" w:hAnsi="宋体" w:eastAsia="宋体" w:cs="宋体"/>
          <w:color w:val="auto"/>
          <w:highlight w:val="none"/>
          <w:u w:val="single"/>
        </w:rPr>
        <w:t>误期时间从规定竣工日期起直到实际竣工日期的天数（扣除发包人批准顺延的工期）。</w:t>
      </w:r>
      <w:bookmarkEnd w:id="468"/>
      <w:bookmarkEnd w:id="469"/>
      <w:bookmarkEnd w:id="470"/>
      <w:bookmarkEnd w:id="471"/>
      <w:bookmarkEnd w:id="472"/>
      <w:bookmarkEnd w:id="473"/>
      <w:bookmarkEnd w:id="474"/>
      <w:bookmarkEnd w:id="475"/>
    </w:p>
    <w:p w14:paraId="2CEB8815">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因承包人原因造成工期延误，逾</w:t>
      </w:r>
      <w:bookmarkStart w:id="476" w:name="_Toc318581171"/>
      <w:bookmarkStart w:id="477" w:name="_Toc312678014"/>
      <w:r>
        <w:rPr>
          <w:rStyle w:val="32"/>
          <w:rFonts w:hint="eastAsia" w:ascii="Calibri" w:hAnsi="宋体" w:eastAsia="宋体" w:cs="宋体"/>
          <w:color w:val="auto"/>
          <w:highlight w:val="none"/>
        </w:rPr>
        <w:t>期竣工违约金的上限：</w:t>
      </w:r>
      <w:r>
        <w:rPr>
          <w:rStyle w:val="32"/>
          <w:rFonts w:hint="eastAsia" w:ascii="宋体" w:hAnsi="宋体" w:eastAsia="宋体" w:cs="宋体"/>
          <w:color w:val="auto"/>
          <w:highlight w:val="none"/>
          <w:u w:val="single"/>
        </w:rPr>
        <w:t>合同含税总价的</w:t>
      </w:r>
      <w:r>
        <w:rPr>
          <w:rStyle w:val="32"/>
          <w:rFonts w:hint="eastAsia" w:cs="Times New Roman"/>
          <w:color w:val="auto"/>
          <w:highlight w:val="none"/>
          <w:u w:val="single"/>
          <w:lang w:val="en-US" w:eastAsia="zh-CN"/>
        </w:rPr>
        <w:t>2</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bookmarkEnd w:id="476"/>
    <w:bookmarkEnd w:id="477"/>
    <w:p w14:paraId="26B94BB8">
      <w:pPr>
        <w:pStyle w:val="99"/>
        <w:spacing w:before="0" w:after="0" w:line="360" w:lineRule="auto"/>
        <w:rPr>
          <w:rStyle w:val="32"/>
          <w:rFonts w:ascii="Calibri" w:hAnsi="Calibri" w:eastAsia="宋体" w:cs="Times New Roman"/>
          <w:color w:val="auto"/>
          <w:highlight w:val="none"/>
        </w:rPr>
      </w:pPr>
      <w:bookmarkStart w:id="478" w:name="_Toc373478375"/>
      <w:bookmarkStart w:id="479" w:name="_Toc389065294"/>
      <w:bookmarkStart w:id="480" w:name="_Toc1954543271"/>
      <w:bookmarkStart w:id="481" w:name="_Toc407135230"/>
      <w:bookmarkStart w:id="482" w:name="_Toc373227728"/>
      <w:bookmarkStart w:id="483" w:name="_Toc78449816"/>
      <w:bookmarkStart w:id="484" w:name="_Toc888037017"/>
      <w:r>
        <w:rPr>
          <w:rStyle w:val="32"/>
          <w:rFonts w:ascii="Calibri" w:hAnsi="Calibri" w:eastAsia="宋体" w:cs="Times New Roman"/>
          <w:color w:val="auto"/>
          <w:highlight w:val="none"/>
        </w:rPr>
        <w:t>7</w:t>
      </w:r>
      <w:bookmarkStart w:id="485" w:name="_Toc312678015"/>
      <w:bookmarkStart w:id="486" w:name="_Toc297216178"/>
      <w:bookmarkStart w:id="487" w:name="_Toc303539128"/>
      <w:bookmarkStart w:id="488" w:name="_Toc304295549"/>
      <w:bookmarkStart w:id="489" w:name="_Toc297123519"/>
      <w:bookmarkStart w:id="490" w:name="_Toc300934971"/>
      <w:r>
        <w:rPr>
          <w:rStyle w:val="32"/>
          <w:rFonts w:ascii="Calibri" w:hAnsi="Calibri" w:eastAsia="宋体" w:cs="Times New Roman"/>
          <w:color w:val="auto"/>
          <w:highlight w:val="none"/>
        </w:rPr>
        <w:t xml:space="preserve">.6 </w:t>
      </w:r>
      <w:r>
        <w:rPr>
          <w:rStyle w:val="32"/>
          <w:rFonts w:hint="eastAsia" w:ascii="Calibri" w:hAnsi="Calibri" w:eastAsia="宋体" w:cs="黑体"/>
          <w:color w:val="auto"/>
          <w:sz w:val="28"/>
          <w:szCs w:val="28"/>
          <w:highlight w:val="none"/>
        </w:rPr>
        <w:t>不</w:t>
      </w:r>
      <w:bookmarkEnd w:id="485"/>
      <w:bookmarkEnd w:id="486"/>
      <w:bookmarkEnd w:id="487"/>
      <w:bookmarkEnd w:id="488"/>
      <w:bookmarkEnd w:id="489"/>
      <w:bookmarkEnd w:id="490"/>
      <w:r>
        <w:rPr>
          <w:rStyle w:val="32"/>
          <w:rFonts w:hint="eastAsia" w:ascii="Calibri" w:hAnsi="Calibri" w:eastAsia="宋体" w:cs="黑体"/>
          <w:color w:val="auto"/>
          <w:sz w:val="28"/>
          <w:szCs w:val="28"/>
          <w:highlight w:val="none"/>
        </w:rPr>
        <w:t>利物质条件</w:t>
      </w:r>
      <w:bookmarkEnd w:id="478"/>
      <w:bookmarkEnd w:id="479"/>
      <w:bookmarkEnd w:id="480"/>
      <w:bookmarkEnd w:id="481"/>
      <w:bookmarkEnd w:id="482"/>
      <w:bookmarkEnd w:id="483"/>
      <w:bookmarkEnd w:id="484"/>
    </w:p>
    <w:p w14:paraId="60D5ADC4">
      <w:pPr>
        <w:pStyle w:val="78"/>
        <w:spacing w:line="360" w:lineRule="auto"/>
        <w:ind w:firstLine="420" w:firstLineChars="200"/>
        <w:jc w:val="left"/>
        <w:rPr>
          <w:rStyle w:val="32"/>
          <w:rFonts w:ascii="Calibri" w:hAnsi="Calibri" w:eastAsia="宋体" w:cs="Times New Roman"/>
          <w:color w:val="auto"/>
          <w:highlight w:val="none"/>
          <w:u w:val="single"/>
        </w:rPr>
      </w:pPr>
      <w:bookmarkStart w:id="491" w:name="_Toc297216179"/>
      <w:bookmarkStart w:id="492" w:name="_Toc318581172"/>
      <w:bookmarkStart w:id="493" w:name="_Toc300934972"/>
      <w:bookmarkStart w:id="494" w:name="_Toc303539129"/>
      <w:bookmarkStart w:id="495" w:name="_Toc304295550"/>
      <w:bookmarkStart w:id="496" w:name="_Toc312678016"/>
      <w:bookmarkStart w:id="497" w:name="_Toc297123520"/>
      <w:r>
        <w:rPr>
          <w:rStyle w:val="32"/>
          <w:rFonts w:hint="eastAsia" w:ascii="Calibri" w:hAnsi="宋体" w:eastAsia="宋体" w:cs="宋体"/>
          <w:color w:val="auto"/>
          <w:highlight w:val="none"/>
        </w:rPr>
        <w:t>不利物质条件的其他情形和有关约定：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按《通用合同条款》条执行</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bookmarkEnd w:id="491"/>
    <w:bookmarkEnd w:id="492"/>
    <w:bookmarkEnd w:id="493"/>
    <w:bookmarkEnd w:id="494"/>
    <w:bookmarkEnd w:id="495"/>
    <w:bookmarkEnd w:id="496"/>
    <w:bookmarkEnd w:id="497"/>
    <w:p w14:paraId="2CCDFE73">
      <w:pPr>
        <w:pStyle w:val="99"/>
        <w:spacing w:before="0" w:after="0" w:line="360" w:lineRule="auto"/>
        <w:rPr>
          <w:rStyle w:val="32"/>
          <w:rFonts w:ascii="Calibri" w:hAnsi="Calibri" w:eastAsia="宋体" w:cs="Times New Roman"/>
          <w:color w:val="auto"/>
          <w:highlight w:val="none"/>
        </w:rPr>
      </w:pPr>
      <w:bookmarkStart w:id="498" w:name="_Toc373227729"/>
      <w:bookmarkStart w:id="499" w:name="_Toc2031116443"/>
      <w:bookmarkStart w:id="500" w:name="_Toc373478376"/>
      <w:bookmarkStart w:id="501" w:name="_Toc78449817"/>
      <w:bookmarkStart w:id="502" w:name="_Toc389065295"/>
      <w:bookmarkStart w:id="503" w:name="_Toc851880484"/>
      <w:bookmarkStart w:id="504" w:name="_Toc407135231"/>
      <w:r>
        <w:rPr>
          <w:rStyle w:val="32"/>
          <w:rFonts w:ascii="Calibri" w:hAnsi="Calibri" w:eastAsia="宋体" w:cs="Times New Roman"/>
          <w:color w:val="auto"/>
          <w:highlight w:val="none"/>
        </w:rPr>
        <w:t>7</w:t>
      </w:r>
      <w:bookmarkStart w:id="505" w:name="_Toc297216180"/>
      <w:bookmarkStart w:id="506" w:name="_Toc304295551"/>
      <w:bookmarkStart w:id="507" w:name="_Toc297123521"/>
      <w:bookmarkStart w:id="508" w:name="_Toc303539130"/>
      <w:bookmarkStart w:id="509" w:name="_Toc312678017"/>
      <w:bookmarkStart w:id="510" w:name="_Toc300934973"/>
      <w:r>
        <w:rPr>
          <w:rStyle w:val="32"/>
          <w:rFonts w:ascii="Calibri" w:hAnsi="Calibri" w:eastAsia="宋体" w:cs="Times New Roman"/>
          <w:color w:val="auto"/>
          <w:highlight w:val="none"/>
        </w:rPr>
        <w:t xml:space="preserve">.7 </w:t>
      </w:r>
      <w:r>
        <w:rPr>
          <w:rStyle w:val="32"/>
          <w:rFonts w:hint="eastAsia" w:ascii="Calibri" w:hAnsi="Calibri" w:eastAsia="宋体" w:cs="黑体"/>
          <w:color w:val="auto"/>
          <w:sz w:val="28"/>
          <w:szCs w:val="28"/>
          <w:highlight w:val="none"/>
        </w:rPr>
        <w:t>异常恶劣的气候条件</w:t>
      </w:r>
      <w:bookmarkEnd w:id="498"/>
      <w:bookmarkEnd w:id="499"/>
      <w:bookmarkEnd w:id="500"/>
      <w:bookmarkEnd w:id="501"/>
      <w:bookmarkEnd w:id="502"/>
      <w:bookmarkEnd w:id="503"/>
      <w:bookmarkEnd w:id="504"/>
    </w:p>
    <w:bookmarkEnd w:id="505"/>
    <w:bookmarkEnd w:id="506"/>
    <w:bookmarkEnd w:id="507"/>
    <w:bookmarkEnd w:id="508"/>
    <w:bookmarkEnd w:id="509"/>
    <w:bookmarkEnd w:id="510"/>
    <w:p w14:paraId="114F7D01">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发包人和承包人同意以下情形视为异常恶劣的气候条件：</w:t>
      </w:r>
    </w:p>
    <w:p w14:paraId="6A9421F0">
      <w:pPr>
        <w:pStyle w:val="78"/>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（1）8级以上的持续3天的大风；</w:t>
      </w:r>
    </w:p>
    <w:p w14:paraId="2A691019">
      <w:pPr>
        <w:pStyle w:val="78"/>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（2）暴雨级以上的持续3天的大雨;20年以上未发生过的洪水；</w:t>
      </w:r>
    </w:p>
    <w:p w14:paraId="5C018EA0">
      <w:pPr>
        <w:pStyle w:val="78"/>
        <w:spacing w:line="360" w:lineRule="auto"/>
        <w:ind w:firstLine="420" w:firstLineChars="200"/>
        <w:jc w:val="left"/>
        <w:rPr>
          <w:rStyle w:val="32"/>
          <w:rFonts w:hint="eastAsia" w:cs="Times New Roman"/>
          <w:color w:val="auto"/>
          <w:highlight w:val="none"/>
          <w:lang w:eastAsia="zh-CN"/>
        </w:rPr>
      </w:pPr>
      <w:r>
        <w:rPr>
          <w:rStyle w:val="32"/>
          <w:rFonts w:hint="eastAsia" w:ascii="Calibri" w:hAnsi="Calibri" w:eastAsia="宋体" w:cs="Times New Roman"/>
          <w:color w:val="auto"/>
          <w:highlight w:val="none"/>
        </w:rPr>
        <w:t>（3）20年以上未发生过，持续3天的高温天气</w:t>
      </w:r>
      <w:r>
        <w:rPr>
          <w:rStyle w:val="32"/>
          <w:rFonts w:hint="eastAsia" w:cs="Times New Roman"/>
          <w:color w:val="auto"/>
          <w:highlight w:val="none"/>
          <w:lang w:val="en-US" w:eastAsia="zh-CN"/>
        </w:rPr>
        <w:t>、</w:t>
      </w:r>
      <w:r>
        <w:rPr>
          <w:rStyle w:val="32"/>
          <w:rFonts w:hint="eastAsia" w:ascii="Calibri" w:hAnsi="Calibri" w:eastAsia="宋体" w:cs="Times New Roman"/>
          <w:color w:val="auto"/>
          <w:highlight w:val="none"/>
        </w:rPr>
        <w:t>持续3天的严寒天气</w:t>
      </w:r>
      <w:r>
        <w:rPr>
          <w:rStyle w:val="32"/>
          <w:rFonts w:hint="eastAsia" w:cs="Times New Roman"/>
          <w:color w:val="auto"/>
          <w:highlight w:val="none"/>
          <w:lang w:eastAsia="zh-CN"/>
        </w:rPr>
        <w:t>。</w:t>
      </w:r>
    </w:p>
    <w:p w14:paraId="49A176C3">
      <w:pPr>
        <w:pStyle w:val="78"/>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以上异常恶劣的气候的认定以当地气象部门出具的材料为准。</w:t>
      </w:r>
    </w:p>
    <w:p w14:paraId="418AAA85">
      <w:pPr>
        <w:pStyle w:val="99"/>
        <w:spacing w:before="0" w:after="0" w:line="360" w:lineRule="auto"/>
        <w:rPr>
          <w:rStyle w:val="32"/>
          <w:rFonts w:ascii="Calibri" w:hAnsi="Calibri" w:eastAsia="宋体" w:cs="Times New Roman"/>
          <w:color w:val="auto"/>
          <w:highlight w:val="none"/>
          <w:lang w:val="en-US"/>
        </w:rPr>
      </w:pPr>
      <w:bookmarkStart w:id="511" w:name="_Toc657185480"/>
      <w:bookmarkStart w:id="512" w:name="_Toc78449818"/>
      <w:bookmarkStart w:id="513" w:name="_Toc389065296"/>
      <w:bookmarkStart w:id="514" w:name="_Toc407135232"/>
      <w:bookmarkStart w:id="515" w:name="_Toc2087373611"/>
      <w:bookmarkStart w:id="516" w:name="_Toc373227730"/>
      <w:bookmarkStart w:id="517" w:name="_Toc373478377"/>
      <w:r>
        <w:rPr>
          <w:rStyle w:val="32"/>
          <w:rFonts w:ascii="Calibri" w:hAnsi="Calibri" w:eastAsia="宋体" w:cs="Times New Roman"/>
          <w:color w:val="auto"/>
          <w:highlight w:val="none"/>
          <w:lang w:val="en-US"/>
        </w:rPr>
        <w:t xml:space="preserve">7.9 </w:t>
      </w:r>
      <w:r>
        <w:rPr>
          <w:rStyle w:val="32"/>
          <w:rFonts w:hint="eastAsia" w:ascii="Calibri" w:hAnsi="宋体" w:eastAsia="宋体" w:cs="黑体"/>
          <w:color w:val="auto"/>
          <w:sz w:val="28"/>
          <w:szCs w:val="28"/>
          <w:highlight w:val="none"/>
        </w:rPr>
        <w:t>提前竣工</w:t>
      </w:r>
      <w:bookmarkEnd w:id="511"/>
      <w:bookmarkEnd w:id="512"/>
      <w:bookmarkEnd w:id="513"/>
      <w:bookmarkEnd w:id="514"/>
      <w:bookmarkEnd w:id="515"/>
      <w:bookmarkEnd w:id="516"/>
      <w:bookmarkEnd w:id="517"/>
    </w:p>
    <w:p w14:paraId="2CA93B75">
      <w:pPr>
        <w:pStyle w:val="78"/>
        <w:spacing w:line="360" w:lineRule="auto"/>
        <w:ind w:firstLine="420" w:firstLineChars="200"/>
        <w:jc w:val="left"/>
        <w:rPr>
          <w:rStyle w:val="32"/>
          <w:rFonts w:ascii="Calibri" w:hAnsi="宋体" w:eastAsia="宋体" w:cs="Times New Roman"/>
          <w:color w:val="auto"/>
          <w:highlight w:val="none"/>
        </w:rPr>
      </w:pPr>
      <w:r>
        <w:rPr>
          <w:rStyle w:val="32"/>
          <w:rFonts w:ascii="Calibri" w:hAnsi="Calibri" w:eastAsia="宋体" w:cs="Times New Roman"/>
          <w:color w:val="auto"/>
          <w:highlight w:val="none"/>
        </w:rPr>
        <w:t>7.9.2</w:t>
      </w:r>
      <w:r>
        <w:rPr>
          <w:rStyle w:val="32"/>
          <w:rFonts w:hint="eastAsia" w:ascii="Calibri" w:hAnsi="宋体" w:eastAsia="宋体" w:cs="宋体"/>
          <w:color w:val="auto"/>
          <w:highlight w:val="none"/>
        </w:rPr>
        <w:t>提前竣工（赶工）增加费的计算方法：</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无</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0ECE2DE9">
      <w:pPr>
        <w:pStyle w:val="98"/>
        <w:spacing w:before="0" w:after="0" w:line="360" w:lineRule="auto"/>
        <w:rPr>
          <w:rStyle w:val="32"/>
          <w:rFonts w:cs="Times New Roman"/>
          <w:color w:val="auto"/>
          <w:highlight w:val="none"/>
        </w:rPr>
      </w:pPr>
      <w:bookmarkStart w:id="518" w:name="_Toc407135233"/>
      <w:bookmarkStart w:id="519" w:name="_Toc1302158431"/>
      <w:bookmarkStart w:id="520" w:name="_Toc373478378"/>
      <w:bookmarkStart w:id="521" w:name="_Toc1400878670"/>
      <w:bookmarkStart w:id="522" w:name="_Toc373227731"/>
      <w:bookmarkStart w:id="523" w:name="_Toc351203640"/>
      <w:bookmarkStart w:id="524" w:name="_Toc389065297"/>
      <w:bookmarkStart w:id="525" w:name="_Toc78449819"/>
      <w:r>
        <w:rPr>
          <w:rStyle w:val="32"/>
          <w:rFonts w:cs="Times New Roman"/>
          <w:color w:val="auto"/>
          <w:highlight w:val="none"/>
        </w:rPr>
        <w:t xml:space="preserve">8. </w:t>
      </w:r>
      <w:r>
        <w:rPr>
          <w:rStyle w:val="32"/>
          <w:rFonts w:hint="eastAsia" w:cs="黑体"/>
          <w:color w:val="auto"/>
          <w:sz w:val="28"/>
          <w:szCs w:val="18"/>
          <w:highlight w:val="none"/>
        </w:rPr>
        <w:t>材料与设备</w:t>
      </w:r>
      <w:bookmarkEnd w:id="518"/>
      <w:bookmarkEnd w:id="519"/>
      <w:bookmarkEnd w:id="520"/>
      <w:bookmarkEnd w:id="521"/>
      <w:bookmarkEnd w:id="522"/>
      <w:bookmarkEnd w:id="523"/>
      <w:bookmarkEnd w:id="524"/>
      <w:bookmarkEnd w:id="525"/>
    </w:p>
    <w:bookmarkEnd w:id="362"/>
    <w:bookmarkEnd w:id="363"/>
    <w:bookmarkEnd w:id="364"/>
    <w:bookmarkEnd w:id="365"/>
    <w:bookmarkEnd w:id="366"/>
    <w:bookmarkEnd w:id="367"/>
    <w:bookmarkEnd w:id="368"/>
    <w:bookmarkEnd w:id="369"/>
    <w:bookmarkEnd w:id="370"/>
    <w:bookmarkEnd w:id="371"/>
    <w:p w14:paraId="11663023">
      <w:pPr>
        <w:pStyle w:val="99"/>
        <w:spacing w:before="0" w:after="0" w:line="360" w:lineRule="auto"/>
        <w:rPr>
          <w:rStyle w:val="32"/>
          <w:rFonts w:ascii="Calibri" w:hAnsi="Calibri" w:eastAsia="宋体" w:cs="Times New Roman"/>
          <w:color w:val="auto"/>
          <w:highlight w:val="none"/>
        </w:rPr>
      </w:pPr>
      <w:bookmarkStart w:id="526" w:name="_Toc1078610395"/>
      <w:bookmarkStart w:id="527" w:name="_Toc1119561048"/>
      <w:bookmarkStart w:id="528" w:name="_Toc389065298"/>
      <w:bookmarkStart w:id="529" w:name="_Toc78449820"/>
      <w:bookmarkStart w:id="530" w:name="_Toc407135234"/>
      <w:bookmarkStart w:id="531" w:name="_Toc373227732"/>
      <w:bookmarkStart w:id="532" w:name="_Toc373478379"/>
      <w:r>
        <w:rPr>
          <w:rStyle w:val="32"/>
          <w:rFonts w:ascii="Calibri" w:hAnsi="Calibri" w:eastAsia="宋体" w:cs="Times New Roman"/>
          <w:color w:val="auto"/>
          <w:highlight w:val="none"/>
        </w:rPr>
        <w:t xml:space="preserve">8.2 </w:t>
      </w:r>
      <w:r>
        <w:rPr>
          <w:rStyle w:val="32"/>
          <w:rFonts w:hint="eastAsia" w:ascii="Calibri" w:hAnsi="Calibri" w:eastAsia="宋体" w:cs="黑体"/>
          <w:color w:val="auto"/>
          <w:sz w:val="28"/>
          <w:szCs w:val="28"/>
          <w:highlight w:val="none"/>
        </w:rPr>
        <w:t>承包人采购材料与工程设备</w:t>
      </w:r>
      <w:bookmarkEnd w:id="526"/>
      <w:bookmarkEnd w:id="527"/>
      <w:bookmarkEnd w:id="528"/>
      <w:bookmarkEnd w:id="529"/>
      <w:bookmarkEnd w:id="530"/>
      <w:bookmarkEnd w:id="531"/>
      <w:bookmarkEnd w:id="532"/>
    </w:p>
    <w:p w14:paraId="1ABB6B3D">
      <w:pPr>
        <w:pStyle w:val="78"/>
        <w:autoSpaceDE w:val="0"/>
        <w:autoSpaceDN w:val="0"/>
        <w:adjustRightInd w:val="0"/>
        <w:spacing w:line="360" w:lineRule="auto"/>
        <w:ind w:firstLine="420" w:firstLineChars="200"/>
        <w:jc w:val="left"/>
        <w:rPr>
          <w:rStyle w:val="32"/>
          <w:rFonts w:hint="eastAsia" w:ascii="Calibri" w:hAnsi="Calibri" w:eastAsia="宋体" w:cs="宋体"/>
          <w:color w:val="auto"/>
          <w:highlight w:val="none"/>
        </w:rPr>
      </w:pPr>
      <w:r>
        <w:rPr>
          <w:rStyle w:val="32"/>
          <w:rFonts w:hint="eastAsia" w:ascii="Calibri" w:hAnsi="Calibri" w:eastAsia="宋体" w:cs="宋体"/>
          <w:color w:val="auto"/>
          <w:kern w:val="0"/>
          <w:highlight w:val="none"/>
        </w:rPr>
        <w:t>除已标价工程量清单《发包人提供主要材料和工程设备一览表》（表</w:t>
      </w:r>
      <w:r>
        <w:rPr>
          <w:rStyle w:val="32"/>
          <w:rFonts w:ascii="Calibri" w:hAnsi="Calibri" w:eastAsia="宋体" w:cs="Times New Roman"/>
          <w:color w:val="auto"/>
          <w:kern w:val="0"/>
          <w:highlight w:val="none"/>
        </w:rPr>
        <w:t>-21</w:t>
      </w:r>
      <w:r>
        <w:rPr>
          <w:rStyle w:val="32"/>
          <w:rFonts w:hint="eastAsia" w:ascii="Calibri" w:hAnsi="Calibri" w:eastAsia="宋体" w:cs="宋体"/>
          <w:color w:val="auto"/>
          <w:kern w:val="0"/>
          <w:highlight w:val="none"/>
        </w:rPr>
        <w:t>）中明确的材料、工程设备外，由承包人负责材料和工程设备的采购、运输和保管。</w:t>
      </w:r>
      <w:bookmarkStart w:id="533" w:name="_Toc373227733"/>
      <w:bookmarkStart w:id="534" w:name="_Toc373478380"/>
      <w:bookmarkStart w:id="535" w:name="_Toc389065299"/>
    </w:p>
    <w:p w14:paraId="14DE33D3">
      <w:pPr>
        <w:pStyle w:val="78"/>
        <w:autoSpaceDE w:val="0"/>
        <w:autoSpaceDN w:val="0"/>
        <w:adjustRightInd w:val="0"/>
        <w:spacing w:line="360" w:lineRule="auto"/>
        <w:ind w:firstLine="420" w:firstLineChars="200"/>
        <w:jc w:val="left"/>
        <w:rPr>
          <w:rStyle w:val="32"/>
          <w:rFonts w:ascii="Calibri" w:hAnsi="Calibri" w:eastAsia="宋体" w:cs="宋体"/>
          <w:color w:val="auto"/>
          <w:highlight w:val="none"/>
        </w:rPr>
      </w:pPr>
      <w:r>
        <w:rPr>
          <w:rStyle w:val="32"/>
          <w:rFonts w:hint="eastAsia" w:ascii="Calibri" w:hAnsi="Calibri" w:eastAsia="宋体" w:cs="宋体"/>
          <w:color w:val="auto"/>
          <w:highlight w:val="none"/>
        </w:rPr>
        <w:t>对发包人在招标时有“参照或相当于</w:t>
      </w:r>
      <w:r>
        <w:rPr>
          <w:rStyle w:val="32"/>
          <w:rFonts w:ascii="Calibri" w:hAnsi="Calibri" w:eastAsia="宋体" w:cs="Times New Roman"/>
          <w:color w:val="auto"/>
          <w:highlight w:val="none"/>
        </w:rPr>
        <w:t>**</w:t>
      </w:r>
      <w:r>
        <w:rPr>
          <w:rStyle w:val="32"/>
          <w:rFonts w:hint="eastAsia" w:ascii="Calibri" w:hAnsi="Calibri" w:eastAsia="宋体" w:cs="宋体"/>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4AED854E">
      <w:pPr>
        <w:pStyle w:val="78"/>
        <w:autoSpaceDE w:val="0"/>
        <w:autoSpaceDN w:val="0"/>
        <w:adjustRightInd w:val="0"/>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禁止使用松木、松木包装材料设备、种子、苗木、花卉及繁殖材料。</w:t>
      </w:r>
    </w:p>
    <w:p w14:paraId="2617EEB9">
      <w:pPr>
        <w:pStyle w:val="99"/>
        <w:spacing w:before="0" w:after="0" w:line="360" w:lineRule="auto"/>
        <w:rPr>
          <w:rStyle w:val="32"/>
          <w:rFonts w:ascii="Calibri" w:hAnsi="Calibri" w:eastAsia="宋体" w:cs="Times New Roman"/>
          <w:color w:val="auto"/>
          <w:highlight w:val="none"/>
        </w:rPr>
      </w:pPr>
      <w:bookmarkStart w:id="536" w:name="_Toc1355357553"/>
      <w:bookmarkStart w:id="537" w:name="_Toc800965933"/>
      <w:bookmarkStart w:id="538" w:name="_Toc78449821"/>
      <w:bookmarkStart w:id="539" w:name="_Toc407135235"/>
      <w:r>
        <w:rPr>
          <w:rStyle w:val="32"/>
          <w:rFonts w:ascii="Calibri" w:hAnsi="Calibri" w:eastAsia="宋体" w:cs="Times New Roman"/>
          <w:color w:val="auto"/>
          <w:highlight w:val="none"/>
        </w:rPr>
        <w:t>8</w:t>
      </w:r>
      <w:bookmarkStart w:id="540" w:name="_Toc297123527"/>
      <w:bookmarkStart w:id="541" w:name="_Toc296891207"/>
      <w:bookmarkStart w:id="542" w:name="_Toc312678019"/>
      <w:bookmarkStart w:id="543" w:name="_Toc303539136"/>
      <w:bookmarkStart w:id="544" w:name="_Toc280868654"/>
      <w:bookmarkStart w:id="545" w:name="_Toc312677493"/>
      <w:bookmarkStart w:id="546" w:name="_Toc297216186"/>
      <w:bookmarkStart w:id="547" w:name="_Toc297120467"/>
      <w:bookmarkStart w:id="548" w:name="_Toc297048353"/>
      <w:bookmarkStart w:id="549" w:name="_Toc296347166"/>
      <w:bookmarkStart w:id="550" w:name="_Toc304295556"/>
      <w:bookmarkStart w:id="551" w:name="_Toc296890995"/>
      <w:bookmarkStart w:id="552" w:name="_Toc300934979"/>
      <w:bookmarkStart w:id="553" w:name="_Toc296944506"/>
      <w:bookmarkStart w:id="554" w:name="_Toc292559372"/>
      <w:bookmarkStart w:id="555" w:name="_Toc296503167"/>
      <w:bookmarkStart w:id="556" w:name="_Toc292559877"/>
      <w:bookmarkStart w:id="557" w:name="_Toc296346668"/>
      <w:bookmarkStart w:id="558" w:name="_Toc267251424"/>
      <w:bookmarkStart w:id="559" w:name="_Toc280868656"/>
      <w:bookmarkStart w:id="560" w:name="_Toc280868655"/>
      <w:r>
        <w:rPr>
          <w:rStyle w:val="32"/>
          <w:rFonts w:ascii="Calibri" w:hAnsi="Calibri" w:eastAsia="宋体" w:cs="Times New Roman"/>
          <w:color w:val="auto"/>
          <w:highlight w:val="none"/>
        </w:rPr>
        <w:t xml:space="preserve">.4 </w:t>
      </w:r>
      <w:r>
        <w:rPr>
          <w:rStyle w:val="32"/>
          <w:rFonts w:hint="eastAsia" w:ascii="Calibri" w:hAnsi="Calibri" w:eastAsia="宋体" w:cs="黑体"/>
          <w:color w:val="auto"/>
          <w:sz w:val="28"/>
          <w:szCs w:val="28"/>
          <w:highlight w:val="none"/>
        </w:rPr>
        <w:t>材料与工程设备的保管与使用</w:t>
      </w:r>
      <w:bookmarkEnd w:id="533"/>
      <w:bookmarkEnd w:id="534"/>
      <w:bookmarkEnd w:id="535"/>
      <w:bookmarkEnd w:id="536"/>
      <w:bookmarkEnd w:id="537"/>
      <w:bookmarkEnd w:id="538"/>
      <w:bookmarkEnd w:id="539"/>
    </w:p>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14:paraId="63416B85">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ascii="Calibri" w:hAnsi="Calibri" w:eastAsia="宋体" w:cs="Times New Roman"/>
          <w:color w:val="auto"/>
          <w:highlight w:val="none"/>
        </w:rPr>
        <w:t>8</w:t>
      </w:r>
      <w:bookmarkStart w:id="561" w:name="_Toc292559878"/>
      <w:bookmarkStart w:id="562" w:name="_Toc292559373"/>
      <w:bookmarkStart w:id="563" w:name="_Toc300934980"/>
      <w:bookmarkStart w:id="564" w:name="_Toc296890996"/>
      <w:bookmarkStart w:id="565" w:name="_Toc296503168"/>
      <w:bookmarkStart w:id="566" w:name="_Toc296347167"/>
      <w:bookmarkStart w:id="567" w:name="_Toc297120468"/>
      <w:bookmarkStart w:id="568" w:name="_Toc303539137"/>
      <w:bookmarkStart w:id="569" w:name="_Toc297216187"/>
      <w:bookmarkStart w:id="570" w:name="_Toc297048354"/>
      <w:bookmarkStart w:id="571" w:name="_Toc312677494"/>
      <w:bookmarkStart w:id="572" w:name="_Toc296891208"/>
      <w:bookmarkStart w:id="573" w:name="_Toc297123528"/>
      <w:bookmarkStart w:id="574" w:name="_Toc296346669"/>
      <w:bookmarkStart w:id="575" w:name="_Toc312678020"/>
      <w:bookmarkStart w:id="576" w:name="_Toc318581173"/>
      <w:bookmarkStart w:id="577" w:name="_Toc296944507"/>
      <w:bookmarkStart w:id="578" w:name="_Toc304295557"/>
      <w:r>
        <w:rPr>
          <w:rStyle w:val="32"/>
          <w:rFonts w:ascii="Calibri" w:hAnsi="Calibri" w:eastAsia="宋体" w:cs="Times New Roman"/>
          <w:color w:val="auto"/>
          <w:highlight w:val="none"/>
        </w:rPr>
        <w:t>.4.1</w:t>
      </w:r>
      <w:r>
        <w:rPr>
          <w:rStyle w:val="32"/>
          <w:rFonts w:hint="eastAsia" w:ascii="Calibri" w:hAnsi="宋体" w:eastAsia="宋体" w:cs="宋体"/>
          <w:color w:val="auto"/>
          <w:highlight w:val="none"/>
        </w:rPr>
        <w:t>发包人供应的材料设备的保管费用的承担：</w:t>
      </w:r>
      <w:r>
        <w:rPr>
          <w:rStyle w:val="32"/>
          <w:rFonts w:hint="eastAsia" w:ascii="Calibri" w:hAnsi="宋体" w:eastAsia="宋体" w:cs="宋体"/>
          <w:color w:val="auto"/>
          <w:highlight w:val="none"/>
          <w:u w:val="single"/>
        </w:rPr>
        <w:t>由承包人在报价中考虑并承担相应费用</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bookmarkEnd w:id="561"/>
    <w:bookmarkEnd w:id="562"/>
    <w:p w14:paraId="395B8198">
      <w:pPr>
        <w:pStyle w:val="99"/>
        <w:spacing w:before="0" w:after="0" w:line="360" w:lineRule="auto"/>
        <w:rPr>
          <w:rStyle w:val="32"/>
          <w:rFonts w:ascii="Calibri" w:hAnsi="Calibri" w:eastAsia="宋体" w:cs="Times New Roman"/>
          <w:color w:val="auto"/>
          <w:highlight w:val="none"/>
        </w:rPr>
      </w:pPr>
      <w:bookmarkStart w:id="579" w:name="_Toc125914831"/>
      <w:bookmarkStart w:id="580" w:name="_Toc1948522881"/>
      <w:bookmarkStart w:id="581" w:name="_Toc389065300"/>
      <w:bookmarkStart w:id="582" w:name="_Toc373227734"/>
      <w:bookmarkStart w:id="583" w:name="_Toc373478381"/>
      <w:bookmarkStart w:id="584" w:name="_Toc407135236"/>
      <w:bookmarkStart w:id="585" w:name="_Toc78449822"/>
      <w:r>
        <w:rPr>
          <w:rStyle w:val="32"/>
          <w:rFonts w:ascii="Calibri" w:hAnsi="Calibri" w:eastAsia="宋体" w:cs="Times New Roman"/>
          <w:color w:val="auto"/>
          <w:highlight w:val="none"/>
        </w:rPr>
        <w:t xml:space="preserve">8.6 </w:t>
      </w:r>
      <w:r>
        <w:rPr>
          <w:rStyle w:val="32"/>
          <w:rFonts w:hint="eastAsia" w:ascii="Calibri" w:hAnsi="宋体" w:eastAsia="宋体" w:cs="黑体"/>
          <w:color w:val="auto"/>
          <w:sz w:val="28"/>
          <w:szCs w:val="28"/>
          <w:highlight w:val="none"/>
        </w:rPr>
        <w:t>样品</w:t>
      </w:r>
      <w:bookmarkEnd w:id="579"/>
      <w:bookmarkEnd w:id="580"/>
      <w:bookmarkEnd w:id="581"/>
      <w:bookmarkEnd w:id="582"/>
      <w:bookmarkEnd w:id="583"/>
      <w:bookmarkEnd w:id="584"/>
      <w:bookmarkEnd w:id="585"/>
    </w:p>
    <w:p w14:paraId="4AAB5D5C">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8.6.1 </w:t>
      </w:r>
      <w:r>
        <w:rPr>
          <w:rStyle w:val="32"/>
          <w:rFonts w:hint="eastAsia" w:ascii="Calibri" w:hAnsi="宋体" w:eastAsia="宋体" w:cs="宋体"/>
          <w:color w:val="auto"/>
          <w:kern w:val="0"/>
          <w:highlight w:val="none"/>
        </w:rPr>
        <w:t>样品的报送与封存</w:t>
      </w:r>
    </w:p>
    <w:p w14:paraId="59A3F854">
      <w:pPr>
        <w:pStyle w:val="78"/>
        <w:autoSpaceDE w:val="0"/>
        <w:autoSpaceDN w:val="0"/>
        <w:adjustRightInd w:val="0"/>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kern w:val="0"/>
          <w:highlight w:val="none"/>
        </w:rPr>
        <w:t>需要承包人报送样品的材料或工程设备，样品的种类、名称、规格、数量要求：</w:t>
      </w:r>
      <w:r>
        <w:rPr>
          <w:rStyle w:val="32"/>
          <w:rFonts w:hint="eastAsia" w:ascii="Calibri" w:hAnsi="宋体" w:eastAsia="宋体" w:cs="宋体"/>
          <w:color w:val="auto"/>
          <w:highlight w:val="none"/>
          <w:u w:val="single"/>
        </w:rPr>
        <w:t>主要材料涉及品种、款式、颜色等方面内容的，承包人应提交准备合格的材料样品送发包人选定。</w:t>
      </w:r>
    </w:p>
    <w:p w14:paraId="2926A8BB">
      <w:pPr>
        <w:pStyle w:val="99"/>
        <w:spacing w:before="0" w:after="0" w:line="360" w:lineRule="auto"/>
        <w:rPr>
          <w:rStyle w:val="32"/>
          <w:rFonts w:ascii="Calibri" w:hAnsi="Calibri" w:eastAsia="宋体" w:cs="Times New Roman"/>
          <w:color w:val="auto"/>
          <w:highlight w:val="none"/>
        </w:rPr>
      </w:pPr>
      <w:bookmarkStart w:id="586" w:name="_Toc1049576644"/>
      <w:bookmarkStart w:id="587" w:name="_Toc373227735"/>
      <w:bookmarkStart w:id="588" w:name="_Toc389065301"/>
      <w:bookmarkStart w:id="589" w:name="_Toc407135237"/>
      <w:bookmarkStart w:id="590" w:name="_Toc78449823"/>
      <w:bookmarkStart w:id="591" w:name="_Toc373478382"/>
      <w:bookmarkStart w:id="592" w:name="_Toc997640704"/>
      <w:r>
        <w:rPr>
          <w:rStyle w:val="32"/>
          <w:rFonts w:ascii="Calibri" w:hAnsi="Calibri" w:eastAsia="宋体" w:cs="Times New Roman"/>
          <w:color w:val="auto"/>
          <w:highlight w:val="none"/>
        </w:rPr>
        <w:t xml:space="preserve">8.8 </w:t>
      </w:r>
      <w:r>
        <w:rPr>
          <w:rStyle w:val="32"/>
          <w:rFonts w:hint="eastAsia" w:ascii="Calibri" w:hAnsi="Calibri" w:eastAsia="宋体" w:cs="黑体"/>
          <w:color w:val="auto"/>
          <w:sz w:val="28"/>
          <w:szCs w:val="28"/>
          <w:highlight w:val="none"/>
        </w:rPr>
        <w:t>施工设备和临时设施</w:t>
      </w:r>
      <w:bookmarkEnd w:id="586"/>
      <w:bookmarkEnd w:id="587"/>
      <w:bookmarkEnd w:id="588"/>
      <w:bookmarkEnd w:id="589"/>
      <w:bookmarkEnd w:id="590"/>
      <w:bookmarkEnd w:id="591"/>
      <w:bookmarkEnd w:id="592"/>
    </w:p>
    <w:p w14:paraId="65079F1B">
      <w:pPr>
        <w:pStyle w:val="78"/>
        <w:autoSpaceDE w:val="0"/>
        <w:autoSpaceDN w:val="0"/>
        <w:adjustRightInd w:val="0"/>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8.8.1 </w:t>
      </w:r>
      <w:r>
        <w:rPr>
          <w:rStyle w:val="32"/>
          <w:rFonts w:hint="eastAsia" w:ascii="Calibri" w:hAnsi="宋体" w:eastAsia="宋体" w:cs="宋体"/>
          <w:color w:val="auto"/>
          <w:highlight w:val="none"/>
        </w:rPr>
        <w:t>承包人提供的施工设备和临时设施</w:t>
      </w:r>
    </w:p>
    <w:p w14:paraId="61F7986C">
      <w:pPr>
        <w:pStyle w:val="78"/>
        <w:autoSpaceDE w:val="0"/>
        <w:autoSpaceDN w:val="0"/>
        <w:adjustRightInd w:val="0"/>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Style w:val="32"/>
          <w:rFonts w:hint="eastAsia" w:ascii="宋体" w:hAnsi="宋体" w:eastAsia="宋体" w:cs="宋体"/>
          <w:color w:val="auto"/>
          <w:highlight w:val="none"/>
        </w:rPr>
        <w:t>承包人用于本工程的主要机械设备清单见合同附件4。</w:t>
      </w:r>
    </w:p>
    <w:p w14:paraId="7260FD56">
      <w:pPr>
        <w:pStyle w:val="78"/>
        <w:autoSpaceDE w:val="0"/>
        <w:autoSpaceDN w:val="0"/>
        <w:adjustRightInd w:val="0"/>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关于修建临时设施费用承担的约定：</w:t>
      </w:r>
    </w:p>
    <w:p w14:paraId="4CD2B275">
      <w:pPr>
        <w:pStyle w:val="78"/>
        <w:autoSpaceDE w:val="0"/>
        <w:autoSpaceDN w:val="0"/>
        <w:adjustRightInd w:val="0"/>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①</w:t>
      </w:r>
      <w:r>
        <w:rPr>
          <w:rStyle w:val="32"/>
          <w:rFonts w:hint="eastAsia" w:ascii="Calibri" w:hAnsi="Calibri" w:eastAsia="宋体" w:cs="Times New Roman"/>
          <w:color w:val="auto"/>
          <w:highlight w:val="none"/>
          <w:u w:val="single"/>
        </w:rPr>
        <w:t>承包人的临时用地（含项目部驻地等）租用费（含拆迁补偿）、临时用地的环保、恢复、临时用地的青苗补偿及地面附着物拆除等费用均由承包人负责，以上费用在投标报价中综合考虑</w:t>
      </w:r>
      <w:r>
        <w:rPr>
          <w:rStyle w:val="32"/>
          <w:rFonts w:hint="eastAsia" w:ascii="Calibri" w:hAnsi="Calibri" w:eastAsia="宋体" w:cs="Times New Roman"/>
          <w:color w:val="auto"/>
          <w:highlight w:val="none"/>
        </w:rPr>
        <w:t>。</w:t>
      </w:r>
    </w:p>
    <w:p w14:paraId="3CF5412C">
      <w:pPr>
        <w:pStyle w:val="78"/>
        <w:autoSpaceDE w:val="0"/>
        <w:autoSpaceDN w:val="0"/>
        <w:adjustRightInd w:val="0"/>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②</w:t>
      </w:r>
      <w:r>
        <w:rPr>
          <w:rStyle w:val="32"/>
          <w:rFonts w:hint="eastAsia" w:ascii="Calibri" w:hAnsi="Calibri" w:eastAsia="宋体" w:cs="Times New Roman"/>
          <w:color w:val="auto"/>
          <w:highlight w:val="none"/>
          <w:u w:val="single"/>
        </w:rPr>
        <w:t>承包人负责合同实施期间其合同段内临时交通道路（含场内外连接公共交通道路）和交通设施的修建、维修、养护和交通管理工作，并承担一切费用</w:t>
      </w:r>
      <w:r>
        <w:rPr>
          <w:rStyle w:val="32"/>
          <w:rFonts w:hint="eastAsia" w:ascii="Calibri" w:hAnsi="Calibri" w:eastAsia="宋体" w:cs="Times New Roman"/>
          <w:color w:val="auto"/>
          <w:highlight w:val="none"/>
        </w:rPr>
        <w:t>。</w:t>
      </w:r>
    </w:p>
    <w:p w14:paraId="16A530CA">
      <w:pPr>
        <w:pStyle w:val="78"/>
        <w:autoSpaceDE w:val="0"/>
        <w:autoSpaceDN w:val="0"/>
        <w:adjustRightInd w:val="0"/>
        <w:spacing w:line="360" w:lineRule="auto"/>
        <w:ind w:firstLine="420" w:firstLineChars="200"/>
        <w:jc w:val="left"/>
        <w:rPr>
          <w:rStyle w:val="32"/>
          <w:rFonts w:hint="eastAsia" w:ascii="Calibri" w:hAnsi="Calibri" w:eastAsia="宋体" w:cs="Times New Roman"/>
          <w:color w:val="auto"/>
          <w:highlight w:val="none"/>
        </w:rPr>
      </w:pPr>
      <w:r>
        <w:rPr>
          <w:rStyle w:val="32"/>
          <w:rFonts w:hint="eastAsia" w:ascii="Calibri" w:hAnsi="Calibri" w:eastAsia="宋体" w:cs="Times New Roman"/>
          <w:color w:val="auto"/>
          <w:highlight w:val="none"/>
        </w:rPr>
        <w:t>③</w:t>
      </w:r>
      <w:r>
        <w:rPr>
          <w:rStyle w:val="32"/>
          <w:rFonts w:hint="eastAsia" w:ascii="Calibri" w:hAnsi="Calibri" w:eastAsia="宋体" w:cs="Times New Roman"/>
          <w:color w:val="auto"/>
          <w:highlight w:val="none"/>
          <w:u w:val="single"/>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Style w:val="32"/>
          <w:rFonts w:hint="eastAsia" w:ascii="Calibri" w:hAnsi="Calibri" w:eastAsia="宋体" w:cs="Times New Roman"/>
          <w:color w:val="auto"/>
          <w:highlight w:val="none"/>
        </w:rPr>
        <w:t>。</w:t>
      </w:r>
    </w:p>
    <w:p w14:paraId="4667DF6D">
      <w:pPr>
        <w:pStyle w:val="78"/>
        <w:autoSpaceDE w:val="0"/>
        <w:autoSpaceDN w:val="0"/>
        <w:adjustRightInd w:val="0"/>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8.8.2 </w:t>
      </w:r>
      <w:r>
        <w:rPr>
          <w:rStyle w:val="32"/>
          <w:rFonts w:hint="eastAsia" w:ascii="Calibri" w:hAnsi="宋体" w:eastAsia="宋体" w:cs="宋体"/>
          <w:color w:val="auto"/>
          <w:highlight w:val="none"/>
        </w:rPr>
        <w:t>发包人提供的施工设备和临时设施</w:t>
      </w:r>
    </w:p>
    <w:p w14:paraId="36F5171E">
      <w:pPr>
        <w:pStyle w:val="78"/>
        <w:autoSpaceDE w:val="0"/>
        <w:autoSpaceDN w:val="0"/>
        <w:adjustRightInd w:val="0"/>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发包人提供的施工设备和临时设施：</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无</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66BFBD03">
      <w:pPr>
        <w:pStyle w:val="78"/>
        <w:autoSpaceDE w:val="0"/>
        <w:autoSpaceDN w:val="0"/>
        <w:adjustRightInd w:val="0"/>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发包人提供的施工设备和临时设施的运行、维护、拆除、清运费用的承担人：</w:t>
      </w:r>
      <w:r>
        <w:rPr>
          <w:rStyle w:val="32"/>
          <w:rFonts w:hint="eastAsia" w:ascii="Calibri" w:hAnsi="宋体" w:eastAsia="宋体" w:cs="宋体"/>
          <w:color w:val="auto"/>
          <w:highlight w:val="none"/>
          <w:u w:val="single"/>
        </w:rPr>
        <w:t>由承包人</w:t>
      </w:r>
      <w:r>
        <w:rPr>
          <w:rStyle w:val="32"/>
          <w:rFonts w:hint="eastAsia" w:hAnsi="宋体" w:cs="宋体"/>
          <w:color w:val="auto"/>
          <w:highlight w:val="none"/>
          <w:u w:val="single"/>
          <w:lang w:val="en-US" w:eastAsia="zh-CN"/>
        </w:rPr>
        <w:t>承担</w:t>
      </w:r>
      <w:r>
        <w:rPr>
          <w:rStyle w:val="32"/>
          <w:rFonts w:hint="eastAsia" w:ascii="Calibri" w:hAnsi="宋体" w:eastAsia="宋体" w:cs="宋体"/>
          <w:color w:val="auto"/>
          <w:highlight w:val="none"/>
        </w:rPr>
        <w:t>。</w:t>
      </w:r>
    </w:p>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14:paraId="6DB168DC">
      <w:pPr>
        <w:pStyle w:val="98"/>
        <w:spacing w:before="0" w:after="0" w:line="360" w:lineRule="auto"/>
        <w:rPr>
          <w:rStyle w:val="32"/>
          <w:rFonts w:cs="Times New Roman"/>
          <w:color w:val="auto"/>
          <w:highlight w:val="none"/>
        </w:rPr>
      </w:pPr>
      <w:bookmarkStart w:id="593" w:name="_Toc373478383"/>
      <w:bookmarkStart w:id="594" w:name="_Toc2027787496"/>
      <w:bookmarkStart w:id="595" w:name="_Toc373227736"/>
      <w:bookmarkStart w:id="596" w:name="_Toc78449824"/>
      <w:bookmarkStart w:id="597" w:name="_Toc407135238"/>
      <w:bookmarkStart w:id="598" w:name="_Toc389065302"/>
      <w:bookmarkStart w:id="599" w:name="_Toc351203641"/>
      <w:bookmarkStart w:id="600" w:name="_Toc2039161841"/>
      <w:r>
        <w:rPr>
          <w:rStyle w:val="32"/>
          <w:rFonts w:cs="Times New Roman"/>
          <w:color w:val="auto"/>
          <w:highlight w:val="none"/>
        </w:rPr>
        <w:t>9</w:t>
      </w:r>
      <w:bookmarkEnd w:id="558"/>
      <w:bookmarkEnd w:id="559"/>
      <w:bookmarkEnd w:id="560"/>
      <w:bookmarkStart w:id="601" w:name="_Toc312677495"/>
      <w:bookmarkStart w:id="602" w:name="_Toc312678021"/>
      <w:bookmarkStart w:id="603" w:name="_Toc300934982"/>
      <w:bookmarkStart w:id="604" w:name="_Toc303539139"/>
      <w:bookmarkStart w:id="605" w:name="_Toc297123533"/>
      <w:bookmarkStart w:id="606" w:name="_Toc304295559"/>
      <w:bookmarkStart w:id="607" w:name="_Toc297216192"/>
      <w:bookmarkStart w:id="608" w:name="_Toc296944512"/>
      <w:bookmarkStart w:id="609" w:name="_Toc292559883"/>
      <w:bookmarkStart w:id="610" w:name="_Toc297048359"/>
      <w:bookmarkStart w:id="611" w:name="_Toc296347172"/>
      <w:bookmarkStart w:id="612" w:name="_Toc292559378"/>
      <w:bookmarkStart w:id="613" w:name="_Toc297120473"/>
      <w:bookmarkStart w:id="614" w:name="_Toc296891001"/>
      <w:bookmarkStart w:id="615" w:name="_Toc296503173"/>
      <w:bookmarkStart w:id="616" w:name="_Toc267251428"/>
      <w:bookmarkStart w:id="617" w:name="_Toc296346674"/>
      <w:bookmarkStart w:id="618" w:name="_Toc296891213"/>
      <w:bookmarkStart w:id="619" w:name="_Toc267251427"/>
      <w:r>
        <w:rPr>
          <w:rStyle w:val="32"/>
          <w:rFonts w:cs="Times New Roman"/>
          <w:color w:val="auto"/>
          <w:highlight w:val="none"/>
        </w:rPr>
        <w:t xml:space="preserve">. </w:t>
      </w:r>
      <w:r>
        <w:rPr>
          <w:rStyle w:val="32"/>
          <w:rFonts w:hint="eastAsia" w:cs="黑体"/>
          <w:color w:val="auto"/>
          <w:sz w:val="28"/>
          <w:szCs w:val="18"/>
          <w:highlight w:val="none"/>
        </w:rPr>
        <w:t>试验与检验</w:t>
      </w:r>
      <w:bookmarkEnd w:id="593"/>
      <w:bookmarkEnd w:id="594"/>
      <w:bookmarkEnd w:id="595"/>
      <w:bookmarkEnd w:id="596"/>
      <w:bookmarkEnd w:id="597"/>
      <w:bookmarkEnd w:id="598"/>
      <w:bookmarkEnd w:id="599"/>
      <w:bookmarkEnd w:id="600"/>
    </w:p>
    <w:bookmarkEnd w:id="601"/>
    <w:bookmarkEnd w:id="602"/>
    <w:bookmarkEnd w:id="603"/>
    <w:bookmarkEnd w:id="604"/>
    <w:bookmarkEnd w:id="605"/>
    <w:bookmarkEnd w:id="606"/>
    <w:bookmarkEnd w:id="607"/>
    <w:p w14:paraId="24B651F4">
      <w:pPr>
        <w:pStyle w:val="99"/>
        <w:spacing w:before="0" w:after="0" w:line="360" w:lineRule="auto"/>
        <w:rPr>
          <w:rStyle w:val="32"/>
          <w:rFonts w:ascii="Calibri" w:hAnsi="Calibri" w:eastAsia="宋体" w:cs="Times New Roman"/>
          <w:color w:val="auto"/>
          <w:highlight w:val="none"/>
        </w:rPr>
      </w:pPr>
      <w:bookmarkStart w:id="620" w:name="_Toc530697003"/>
      <w:bookmarkStart w:id="621" w:name="_Toc389065303"/>
      <w:bookmarkStart w:id="622" w:name="_Toc1307315193"/>
      <w:bookmarkStart w:id="623" w:name="_Toc78449825"/>
      <w:bookmarkStart w:id="624" w:name="_Toc407135239"/>
      <w:bookmarkStart w:id="625" w:name="_Toc373478384"/>
      <w:bookmarkStart w:id="626" w:name="_Toc373227737"/>
      <w:r>
        <w:rPr>
          <w:rStyle w:val="32"/>
          <w:rFonts w:ascii="Calibri" w:hAnsi="Calibri" w:eastAsia="宋体" w:cs="Times New Roman"/>
          <w:color w:val="auto"/>
          <w:highlight w:val="none"/>
        </w:rPr>
        <w:t>9</w:t>
      </w:r>
      <w:bookmarkStart w:id="627" w:name="_Toc312678022"/>
      <w:bookmarkStart w:id="628" w:name="_Toc297123534"/>
      <w:bookmarkStart w:id="629" w:name="_Toc297216193"/>
      <w:bookmarkStart w:id="630" w:name="_Toc300934983"/>
      <w:bookmarkStart w:id="631" w:name="_Toc312677496"/>
      <w:bookmarkStart w:id="632" w:name="_Toc304295560"/>
      <w:bookmarkStart w:id="633" w:name="_Toc303539140"/>
      <w:r>
        <w:rPr>
          <w:rStyle w:val="32"/>
          <w:rFonts w:ascii="Calibri" w:hAnsi="Calibri" w:eastAsia="宋体" w:cs="Times New Roman"/>
          <w:color w:val="auto"/>
          <w:highlight w:val="none"/>
        </w:rPr>
        <w:t xml:space="preserve">.1 </w:t>
      </w:r>
      <w:r>
        <w:rPr>
          <w:rStyle w:val="32"/>
          <w:rFonts w:hint="eastAsia" w:ascii="Calibri" w:hAnsi="Calibri" w:eastAsia="宋体" w:cs="黑体"/>
          <w:color w:val="auto"/>
          <w:sz w:val="28"/>
          <w:szCs w:val="28"/>
          <w:highlight w:val="none"/>
        </w:rPr>
        <w:t>试验设备与试验人员</w:t>
      </w:r>
      <w:bookmarkEnd w:id="620"/>
      <w:bookmarkEnd w:id="621"/>
      <w:bookmarkEnd w:id="622"/>
      <w:bookmarkEnd w:id="623"/>
      <w:bookmarkEnd w:id="624"/>
      <w:bookmarkEnd w:id="625"/>
      <w:bookmarkEnd w:id="626"/>
    </w:p>
    <w:bookmarkEnd w:id="627"/>
    <w:bookmarkEnd w:id="628"/>
    <w:bookmarkEnd w:id="629"/>
    <w:bookmarkEnd w:id="630"/>
    <w:bookmarkEnd w:id="631"/>
    <w:bookmarkEnd w:id="632"/>
    <w:bookmarkEnd w:id="633"/>
    <w:p w14:paraId="4D87DA0E">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9</w:t>
      </w:r>
      <w:bookmarkStart w:id="634" w:name="_Toc304295561"/>
      <w:bookmarkStart w:id="635" w:name="_Toc297216194"/>
      <w:bookmarkStart w:id="636" w:name="_Toc312677497"/>
      <w:bookmarkStart w:id="637" w:name="_Toc303539141"/>
      <w:bookmarkStart w:id="638" w:name="_Toc312678023"/>
      <w:bookmarkStart w:id="639" w:name="_Toc297123535"/>
      <w:bookmarkStart w:id="640" w:name="_Toc300934984"/>
      <w:bookmarkStart w:id="641" w:name="_Toc318581174"/>
      <w:r>
        <w:rPr>
          <w:rStyle w:val="32"/>
          <w:rFonts w:ascii="Calibri" w:hAnsi="Calibri" w:eastAsia="宋体" w:cs="Times New Roman"/>
          <w:color w:val="auto"/>
          <w:highlight w:val="none"/>
        </w:rPr>
        <w:t xml:space="preserve">.1.2 </w:t>
      </w:r>
      <w:r>
        <w:rPr>
          <w:rStyle w:val="32"/>
          <w:rFonts w:hint="eastAsia" w:ascii="Calibri" w:hAnsi="宋体" w:eastAsia="宋体" w:cs="宋体"/>
          <w:color w:val="auto"/>
          <w:highlight w:val="none"/>
        </w:rPr>
        <w:t>试验设备</w:t>
      </w:r>
    </w:p>
    <w:p w14:paraId="71DAB923">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施工现场需要配置的试验场所：</w:t>
      </w:r>
      <w:bookmarkEnd w:id="634"/>
      <w:bookmarkEnd w:id="635"/>
      <w:bookmarkEnd w:id="636"/>
      <w:bookmarkEnd w:id="637"/>
      <w:bookmarkEnd w:id="638"/>
      <w:bookmarkEnd w:id="639"/>
      <w:bookmarkEnd w:id="640"/>
      <w:bookmarkStart w:id="642" w:name="_Toc312677498"/>
      <w:bookmarkStart w:id="643" w:name="_Toc312678024"/>
      <w:bookmarkStart w:id="644" w:name="_Toc297123536"/>
      <w:bookmarkStart w:id="645" w:name="_Toc304295562"/>
      <w:bookmarkStart w:id="646" w:name="_Toc300934985"/>
      <w:bookmarkStart w:id="647" w:name="_Toc303539142"/>
      <w:bookmarkStart w:id="648" w:name="_Toc297216195"/>
      <w:r>
        <w:rPr>
          <w:rStyle w:val="32"/>
          <w:rFonts w:hint="eastAsia" w:ascii="Times New Roman" w:hAnsi="宋体" w:eastAsia="宋体" w:cs="宋体"/>
          <w:color w:val="auto"/>
          <w:highlight w:val="none"/>
          <w:u w:val="single"/>
        </w:rPr>
        <w:t>按国家、广西壮族自治区、</w:t>
      </w:r>
      <w:r>
        <w:rPr>
          <w:rStyle w:val="32"/>
          <w:rFonts w:hint="eastAsia" w:ascii="Times New Roman" w:hAnsi="宋体" w:eastAsia="宋体" w:cs="宋体"/>
          <w:color w:val="auto"/>
          <w:highlight w:val="none"/>
          <w:u w:val="single"/>
          <w:lang w:val="en-US" w:eastAsia="zh-CN"/>
        </w:rPr>
        <w:t>玉林</w:t>
      </w:r>
      <w:r>
        <w:rPr>
          <w:rStyle w:val="32"/>
          <w:rFonts w:hint="eastAsia" w:ascii="Times New Roman" w:hAnsi="宋体" w:eastAsia="宋体" w:cs="宋体"/>
          <w:color w:val="auto"/>
          <w:highlight w:val="none"/>
          <w:u w:val="single"/>
        </w:rPr>
        <w:t>市的相关主管部门的规定和要求配置</w:t>
      </w:r>
      <w:r>
        <w:rPr>
          <w:rStyle w:val="32"/>
          <w:rFonts w:hint="eastAsia" w:ascii="Times New Roman" w:hAnsi="宋体" w:cs="宋体"/>
          <w:color w:val="auto"/>
          <w:highlight w:val="none"/>
          <w:u w:val="single"/>
          <w:lang w:eastAsia="zh-CN"/>
        </w:rPr>
        <w:t>，</w:t>
      </w:r>
      <w:r>
        <w:rPr>
          <w:rStyle w:val="32"/>
          <w:rFonts w:hint="eastAsia" w:ascii="Times New Roman" w:hAnsi="宋体" w:cs="宋体"/>
          <w:color w:val="auto"/>
          <w:highlight w:val="none"/>
          <w:u w:val="single"/>
          <w:lang w:val="en-US" w:eastAsia="zh-CN"/>
        </w:rPr>
        <w:t>由</w:t>
      </w:r>
      <w:r>
        <w:rPr>
          <w:rStyle w:val="32"/>
          <w:rFonts w:hint="eastAsia" w:ascii="Times New Roman" w:hAnsi="宋体" w:eastAsia="宋体" w:cs="宋体"/>
          <w:color w:val="auto"/>
          <w:highlight w:val="none"/>
          <w:u w:val="single"/>
        </w:rPr>
        <w:t>承包人</w:t>
      </w:r>
      <w:r>
        <w:rPr>
          <w:rStyle w:val="32"/>
          <w:rFonts w:hint="eastAsia" w:ascii="Times New Roman" w:hAnsi="宋体" w:cs="宋体"/>
          <w:color w:val="auto"/>
          <w:highlight w:val="none"/>
          <w:u w:val="single"/>
          <w:lang w:val="en-US" w:eastAsia="zh-CN"/>
        </w:rPr>
        <w:t>承担</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C893AF1">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施工现场需要配备的试验设备：</w:t>
      </w:r>
      <w:r>
        <w:rPr>
          <w:rStyle w:val="32"/>
          <w:rFonts w:ascii="Calibri" w:hAnsi="Calibri" w:eastAsia="宋体" w:cs="Times New Roman"/>
          <w:color w:val="auto"/>
          <w:highlight w:val="none"/>
          <w:u w:val="single"/>
        </w:rPr>
        <w:t xml:space="preserve"> </w:t>
      </w:r>
      <w:r>
        <w:rPr>
          <w:rStyle w:val="32"/>
          <w:rFonts w:hint="eastAsia" w:ascii="Times New Roman" w:hAnsi="宋体" w:eastAsia="宋体" w:cs="宋体"/>
          <w:color w:val="auto"/>
          <w:highlight w:val="none"/>
          <w:u w:val="single"/>
        </w:rPr>
        <w:t>按国家、广西壮族自治区、</w:t>
      </w:r>
      <w:r>
        <w:rPr>
          <w:rStyle w:val="32"/>
          <w:rFonts w:hint="eastAsia" w:ascii="Times New Roman" w:hAnsi="宋体" w:eastAsia="宋体" w:cs="宋体"/>
          <w:color w:val="auto"/>
          <w:highlight w:val="none"/>
          <w:u w:val="single"/>
          <w:lang w:val="en-US" w:eastAsia="zh-CN"/>
        </w:rPr>
        <w:t>玉林</w:t>
      </w:r>
      <w:r>
        <w:rPr>
          <w:rStyle w:val="32"/>
          <w:rFonts w:hint="eastAsia" w:ascii="Times New Roman" w:hAnsi="宋体" w:eastAsia="宋体" w:cs="宋体"/>
          <w:color w:val="auto"/>
          <w:highlight w:val="none"/>
          <w:u w:val="single"/>
        </w:rPr>
        <w:t>市的相关主管部门的规定和要求配置</w:t>
      </w:r>
      <w:r>
        <w:rPr>
          <w:rStyle w:val="32"/>
          <w:rFonts w:hint="eastAsia" w:ascii="Times New Roman" w:hAnsi="宋体" w:cs="宋体"/>
          <w:color w:val="auto"/>
          <w:highlight w:val="none"/>
          <w:u w:val="single"/>
          <w:lang w:eastAsia="zh-CN"/>
        </w:rPr>
        <w:t>，</w:t>
      </w:r>
      <w:r>
        <w:rPr>
          <w:rStyle w:val="32"/>
          <w:rFonts w:hint="eastAsia" w:ascii="Times New Roman" w:hAnsi="宋体" w:cs="宋体"/>
          <w:color w:val="auto"/>
          <w:highlight w:val="none"/>
          <w:u w:val="single"/>
          <w:lang w:val="en-US" w:eastAsia="zh-CN"/>
        </w:rPr>
        <w:t>由</w:t>
      </w:r>
      <w:r>
        <w:rPr>
          <w:rStyle w:val="32"/>
          <w:rFonts w:hint="eastAsia" w:ascii="Times New Roman" w:hAnsi="宋体" w:eastAsia="宋体" w:cs="宋体"/>
          <w:color w:val="auto"/>
          <w:highlight w:val="none"/>
          <w:u w:val="single"/>
        </w:rPr>
        <w:t>承包人</w:t>
      </w:r>
      <w:r>
        <w:rPr>
          <w:rStyle w:val="32"/>
          <w:rFonts w:hint="eastAsia" w:ascii="Times New Roman" w:hAnsi="宋体" w:cs="宋体"/>
          <w:color w:val="auto"/>
          <w:highlight w:val="none"/>
          <w:u w:val="single"/>
          <w:lang w:val="en-US" w:eastAsia="zh-CN"/>
        </w:rPr>
        <w:t>承担</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457C7252">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施工现场需要具备的其他试验条件：</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无</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768C135">
      <w:pPr>
        <w:pStyle w:val="99"/>
        <w:spacing w:before="0" w:after="0" w:line="360" w:lineRule="auto"/>
        <w:rPr>
          <w:rStyle w:val="32"/>
          <w:rFonts w:ascii="Calibri" w:hAnsi="Calibri" w:eastAsia="宋体" w:cs="Times New Roman"/>
          <w:color w:val="auto"/>
          <w:highlight w:val="none"/>
        </w:rPr>
      </w:pPr>
      <w:bookmarkStart w:id="649" w:name="_Toc2012255079"/>
      <w:bookmarkStart w:id="650" w:name="_Toc389065304"/>
      <w:bookmarkStart w:id="651" w:name="_Toc407135240"/>
      <w:bookmarkStart w:id="652" w:name="_Toc373478385"/>
      <w:bookmarkStart w:id="653" w:name="_Toc492347879"/>
      <w:bookmarkStart w:id="654" w:name="_Toc373227738"/>
      <w:bookmarkStart w:id="655" w:name="_Toc78449826"/>
      <w:r>
        <w:rPr>
          <w:rStyle w:val="32"/>
          <w:rFonts w:ascii="Calibri" w:hAnsi="Calibri" w:eastAsia="宋体" w:cs="Times New Roman"/>
          <w:color w:val="auto"/>
          <w:highlight w:val="none"/>
        </w:rPr>
        <w:t xml:space="preserve">9.4 </w:t>
      </w:r>
      <w:r>
        <w:rPr>
          <w:rStyle w:val="32"/>
          <w:rFonts w:hint="eastAsia" w:ascii="Calibri" w:hAnsi="宋体" w:eastAsia="宋体" w:cs="黑体"/>
          <w:color w:val="auto"/>
          <w:sz w:val="28"/>
          <w:szCs w:val="28"/>
          <w:highlight w:val="none"/>
        </w:rPr>
        <w:t>现场工艺试验</w:t>
      </w:r>
      <w:bookmarkEnd w:id="649"/>
      <w:bookmarkEnd w:id="650"/>
      <w:bookmarkEnd w:id="651"/>
      <w:bookmarkEnd w:id="652"/>
      <w:bookmarkEnd w:id="653"/>
      <w:bookmarkEnd w:id="654"/>
      <w:bookmarkEnd w:id="655"/>
      <w:r>
        <w:rPr>
          <w:rStyle w:val="32"/>
          <w:rFonts w:ascii="Calibri" w:hAnsi="Calibri" w:eastAsia="宋体" w:cs="Times New Roman"/>
          <w:color w:val="auto"/>
          <w:highlight w:val="none"/>
        </w:rPr>
        <w:t xml:space="preserve"> </w:t>
      </w:r>
    </w:p>
    <w:p w14:paraId="38431AC0">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现场工艺试验的有关约定：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按《通用合同条款》执行</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3E64C82C">
      <w:pPr>
        <w:pStyle w:val="99"/>
        <w:spacing w:before="0" w:after="0" w:line="360" w:lineRule="auto"/>
        <w:rPr>
          <w:rStyle w:val="32"/>
          <w:rFonts w:ascii="Calibri" w:hAnsi="Calibri" w:eastAsia="宋体" w:cs="Times New Roman"/>
          <w:color w:val="auto"/>
          <w:highlight w:val="none"/>
        </w:rPr>
      </w:pPr>
      <w:bookmarkStart w:id="656" w:name="_Toc393419678"/>
      <w:bookmarkStart w:id="657" w:name="_Toc407135241"/>
      <w:bookmarkStart w:id="658" w:name="_Toc78449827"/>
      <w:bookmarkStart w:id="659" w:name="_Toc1539824686"/>
      <w:bookmarkStart w:id="660" w:name="OLE_LINK1"/>
      <w:r>
        <w:rPr>
          <w:rStyle w:val="32"/>
          <w:rFonts w:ascii="Calibri" w:hAnsi="Calibri" w:eastAsia="宋体" w:cs="Times New Roman"/>
          <w:color w:val="auto"/>
          <w:highlight w:val="none"/>
        </w:rPr>
        <w:t xml:space="preserve">9.5 </w:t>
      </w:r>
      <w:r>
        <w:rPr>
          <w:rStyle w:val="32"/>
          <w:rFonts w:hint="eastAsia" w:ascii="Calibri" w:hAnsi="宋体" w:eastAsia="宋体" w:cs="黑体"/>
          <w:color w:val="auto"/>
          <w:sz w:val="28"/>
          <w:szCs w:val="28"/>
          <w:highlight w:val="none"/>
        </w:rPr>
        <w:t>检验费用</w:t>
      </w:r>
      <w:bookmarkEnd w:id="656"/>
      <w:bookmarkEnd w:id="657"/>
      <w:bookmarkEnd w:id="658"/>
      <w:bookmarkEnd w:id="659"/>
    </w:p>
    <w:p w14:paraId="1C02340D">
      <w:pPr>
        <w:pStyle w:val="78"/>
        <w:spacing w:line="360" w:lineRule="auto"/>
        <w:ind w:firstLine="411" w:firstLineChars="196"/>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根据《建设工程质量检测管理办法》（建设部令第</w:t>
      </w:r>
      <w:r>
        <w:rPr>
          <w:rStyle w:val="32"/>
          <w:rFonts w:ascii="Calibri" w:hAnsi="Calibri" w:eastAsia="宋体" w:cs="Times New Roman"/>
          <w:color w:val="auto"/>
          <w:highlight w:val="none"/>
        </w:rPr>
        <w:t>141</w:t>
      </w:r>
      <w:r>
        <w:rPr>
          <w:rStyle w:val="32"/>
          <w:rFonts w:hint="eastAsia" w:ascii="Calibri" w:hAnsi="宋体" w:eastAsia="宋体" w:cs="宋体"/>
          <w:color w:val="auto"/>
          <w:highlight w:val="none"/>
        </w:rPr>
        <w:t>号）以及《广西壮族自治区建设工程质量检测管理规定》</w:t>
      </w:r>
      <w:r>
        <w:rPr>
          <w:rStyle w:val="32"/>
          <w:rFonts w:hint="eastAsia" w:ascii="Calibri" w:hAnsi="Calibri" w:eastAsia="宋体" w:cs="宋体"/>
          <w:color w:val="auto"/>
          <w:highlight w:val="none"/>
        </w:rPr>
        <w:t>（</w:t>
      </w:r>
      <w:r>
        <w:rPr>
          <w:rStyle w:val="32"/>
          <w:rFonts w:hint="eastAsia" w:ascii="Calibri" w:hAnsi="宋体" w:eastAsia="宋体" w:cs="宋体"/>
          <w:color w:val="auto"/>
          <w:highlight w:val="none"/>
        </w:rPr>
        <w:t>桂建管</w:t>
      </w:r>
      <w:r>
        <w:rPr>
          <w:rStyle w:val="32"/>
          <w:rFonts w:hint="eastAsia" w:ascii="Calibri" w:hAnsi="Calibri" w:eastAsia="宋体" w:cs="宋体"/>
          <w:color w:val="auto"/>
          <w:highlight w:val="none"/>
        </w:rPr>
        <w:t>〔</w:t>
      </w:r>
      <w:r>
        <w:rPr>
          <w:rStyle w:val="32"/>
          <w:rFonts w:ascii="Calibri" w:hAnsi="Calibri" w:eastAsia="宋体" w:cs="Times New Roman"/>
          <w:color w:val="auto"/>
          <w:highlight w:val="none"/>
        </w:rPr>
        <w:t>2013</w:t>
      </w:r>
      <w:r>
        <w:rPr>
          <w:rStyle w:val="32"/>
          <w:rFonts w:hint="eastAsia" w:ascii="Calibri" w:hAnsi="Calibri" w:eastAsia="宋体" w:cs="宋体"/>
          <w:color w:val="auto"/>
          <w:highlight w:val="none"/>
        </w:rPr>
        <w:t>〕</w:t>
      </w:r>
      <w:r>
        <w:rPr>
          <w:rStyle w:val="32"/>
          <w:rFonts w:ascii="Calibri" w:hAnsi="Calibri" w:eastAsia="宋体" w:cs="Times New Roman"/>
          <w:color w:val="auto"/>
          <w:highlight w:val="none"/>
        </w:rPr>
        <w:t>11</w:t>
      </w:r>
      <w:r>
        <w:rPr>
          <w:rStyle w:val="32"/>
          <w:rFonts w:hint="eastAsia" w:ascii="Calibri" w:hAnsi="宋体" w:eastAsia="宋体" w:cs="宋体"/>
          <w:color w:val="auto"/>
          <w:highlight w:val="none"/>
        </w:rPr>
        <w:t>号</w:t>
      </w:r>
      <w:r>
        <w:rPr>
          <w:rStyle w:val="32"/>
          <w:rFonts w:hint="eastAsia" w:ascii="Calibri" w:hAnsi="Calibri" w:eastAsia="宋体" w:cs="宋体"/>
          <w:color w:val="auto"/>
          <w:highlight w:val="none"/>
        </w:rPr>
        <w:t>）</w:t>
      </w:r>
      <w:r>
        <w:rPr>
          <w:rStyle w:val="32"/>
          <w:rFonts w:hint="eastAsia" w:ascii="Calibri" w:hAnsi="宋体" w:eastAsia="宋体" w:cs="宋体"/>
          <w:color w:val="auto"/>
          <w:highlight w:val="none"/>
        </w:rPr>
        <w:t>规定，工程质量检测业务由发包人委托有相应资质的检测机构检测。费用从发包人的项目建设经费中支出并直接支付给检测机构，不计入合同价款内。</w:t>
      </w:r>
    </w:p>
    <w:bookmarkEnd w:id="641"/>
    <w:bookmarkEnd w:id="642"/>
    <w:bookmarkEnd w:id="643"/>
    <w:bookmarkEnd w:id="644"/>
    <w:bookmarkEnd w:id="645"/>
    <w:bookmarkEnd w:id="646"/>
    <w:bookmarkEnd w:id="647"/>
    <w:bookmarkEnd w:id="648"/>
    <w:bookmarkEnd w:id="660"/>
    <w:p w14:paraId="4228D6D5">
      <w:pPr>
        <w:pStyle w:val="98"/>
        <w:spacing w:before="0" w:after="0" w:line="360" w:lineRule="auto"/>
        <w:rPr>
          <w:rStyle w:val="32"/>
          <w:rFonts w:cs="Times New Roman"/>
          <w:color w:val="auto"/>
          <w:highlight w:val="none"/>
        </w:rPr>
      </w:pPr>
      <w:bookmarkStart w:id="661" w:name="_Toc78449828"/>
      <w:bookmarkStart w:id="662" w:name="_Toc407135242"/>
      <w:bookmarkStart w:id="663" w:name="_Toc603662032"/>
      <w:bookmarkStart w:id="664" w:name="_Toc351203642"/>
      <w:bookmarkStart w:id="665" w:name="_Toc389065305"/>
      <w:bookmarkStart w:id="666" w:name="_Toc373478386"/>
      <w:bookmarkStart w:id="667" w:name="_Toc373227739"/>
      <w:bookmarkStart w:id="668" w:name="_Toc1278407274"/>
      <w:r>
        <w:rPr>
          <w:rStyle w:val="32"/>
          <w:rFonts w:cs="Times New Roman"/>
          <w:color w:val="auto"/>
          <w:highlight w:val="none"/>
        </w:rPr>
        <w:t>1</w:t>
      </w:r>
      <w:bookmarkEnd w:id="608"/>
      <w:bookmarkEnd w:id="609"/>
      <w:bookmarkEnd w:id="610"/>
      <w:bookmarkEnd w:id="611"/>
      <w:bookmarkEnd w:id="612"/>
      <w:bookmarkEnd w:id="613"/>
      <w:bookmarkEnd w:id="614"/>
      <w:bookmarkEnd w:id="615"/>
      <w:bookmarkEnd w:id="616"/>
      <w:bookmarkEnd w:id="617"/>
      <w:bookmarkEnd w:id="618"/>
      <w:bookmarkEnd w:id="619"/>
      <w:bookmarkStart w:id="669" w:name="_Toc296346694"/>
      <w:bookmarkStart w:id="670" w:name="_Toc300934989"/>
      <w:bookmarkStart w:id="671" w:name="_Toc297123540"/>
      <w:bookmarkStart w:id="672" w:name="_Toc296944532"/>
      <w:bookmarkStart w:id="673" w:name="_Toc296347192"/>
      <w:bookmarkStart w:id="674" w:name="_Toc297048379"/>
      <w:bookmarkStart w:id="675" w:name="_Toc297216199"/>
      <w:bookmarkStart w:id="676" w:name="_Toc297120493"/>
      <w:bookmarkStart w:id="677" w:name="_Toc296503193"/>
      <w:bookmarkStart w:id="678" w:name="_Toc296891233"/>
      <w:bookmarkStart w:id="679" w:name="_Toc292559398"/>
      <w:bookmarkStart w:id="680" w:name="_Toc296891021"/>
      <w:bookmarkStart w:id="681" w:name="_Toc292559903"/>
      <w:bookmarkStart w:id="682" w:name="_Toc303539146"/>
      <w:bookmarkStart w:id="683" w:name="_Toc304295566"/>
      <w:bookmarkStart w:id="684" w:name="_Toc312677499"/>
      <w:bookmarkStart w:id="685" w:name="_Toc312678025"/>
      <w:bookmarkStart w:id="686" w:name="_Toc267251433"/>
      <w:bookmarkStart w:id="687" w:name="_Toc267251441"/>
      <w:bookmarkStart w:id="688" w:name="_Toc267251439"/>
      <w:bookmarkStart w:id="689" w:name="_Toc267251437"/>
      <w:bookmarkStart w:id="690" w:name="_Toc267251435"/>
      <w:bookmarkStart w:id="691" w:name="_Toc267251440"/>
      <w:bookmarkStart w:id="692" w:name="_Toc267251442"/>
      <w:r>
        <w:rPr>
          <w:rStyle w:val="32"/>
          <w:rFonts w:cs="Times New Roman"/>
          <w:color w:val="auto"/>
          <w:highlight w:val="none"/>
        </w:rPr>
        <w:t xml:space="preserve">0. </w:t>
      </w:r>
      <w:r>
        <w:rPr>
          <w:rStyle w:val="32"/>
          <w:rFonts w:hint="eastAsia" w:hAnsi="宋体" w:cs="黑体"/>
          <w:color w:val="auto"/>
          <w:sz w:val="28"/>
          <w:szCs w:val="18"/>
          <w:highlight w:val="none"/>
        </w:rPr>
        <w:t>变更</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bookmarkEnd w:id="684"/>
    <w:bookmarkEnd w:id="685"/>
    <w:p w14:paraId="5E30B63A">
      <w:pPr>
        <w:pStyle w:val="99"/>
        <w:spacing w:before="0" w:after="0" w:line="360" w:lineRule="auto"/>
        <w:rPr>
          <w:rStyle w:val="32"/>
          <w:rFonts w:ascii="Calibri" w:hAnsi="Calibri" w:eastAsia="宋体" w:cs="Times New Roman"/>
          <w:color w:val="auto"/>
          <w:highlight w:val="none"/>
        </w:rPr>
      </w:pPr>
      <w:bookmarkStart w:id="693" w:name="_Toc373227740"/>
      <w:bookmarkStart w:id="694" w:name="_Toc389065306"/>
      <w:bookmarkStart w:id="695" w:name="_Toc411143415"/>
      <w:bookmarkStart w:id="696" w:name="_Toc407135243"/>
      <w:bookmarkStart w:id="697" w:name="_Toc373478387"/>
      <w:bookmarkStart w:id="698" w:name="_Toc78449829"/>
      <w:bookmarkStart w:id="699" w:name="_Toc1890371558"/>
      <w:r>
        <w:rPr>
          <w:rStyle w:val="32"/>
          <w:rFonts w:ascii="Calibri" w:hAnsi="Calibri" w:eastAsia="宋体" w:cs="Times New Roman"/>
          <w:color w:val="auto"/>
          <w:highlight w:val="none"/>
        </w:rPr>
        <w:t>1</w:t>
      </w:r>
      <w:bookmarkStart w:id="700" w:name="_Toc292559399"/>
      <w:bookmarkStart w:id="701" w:name="_Toc297048380"/>
      <w:bookmarkStart w:id="702" w:name="_Toc312678026"/>
      <w:bookmarkStart w:id="703" w:name="_Toc296503194"/>
      <w:bookmarkStart w:id="704" w:name="_Toc296944533"/>
      <w:bookmarkStart w:id="705" w:name="_Toc304295567"/>
      <w:bookmarkStart w:id="706" w:name="_Toc296347193"/>
      <w:bookmarkStart w:id="707" w:name="_Toc300934990"/>
      <w:bookmarkStart w:id="708" w:name="_Toc297120494"/>
      <w:bookmarkStart w:id="709" w:name="_Toc292559904"/>
      <w:bookmarkStart w:id="710" w:name="_Toc296346695"/>
      <w:bookmarkStart w:id="711" w:name="_Toc296891022"/>
      <w:bookmarkStart w:id="712" w:name="_Toc303539147"/>
      <w:bookmarkStart w:id="713" w:name="_Toc296891234"/>
      <w:bookmarkStart w:id="714" w:name="_Toc312677500"/>
      <w:bookmarkStart w:id="715" w:name="_Toc297216200"/>
      <w:bookmarkStart w:id="716" w:name="_Toc297123541"/>
      <w:r>
        <w:rPr>
          <w:rStyle w:val="32"/>
          <w:rFonts w:ascii="Calibri" w:hAnsi="Calibri" w:eastAsia="宋体" w:cs="Times New Roman"/>
          <w:color w:val="auto"/>
          <w:highlight w:val="none"/>
        </w:rPr>
        <w:t xml:space="preserve">0.1 </w:t>
      </w:r>
      <w:r>
        <w:rPr>
          <w:rStyle w:val="32"/>
          <w:rFonts w:hint="eastAsia" w:ascii="Calibri" w:hAnsi="宋体" w:eastAsia="宋体" w:cs="黑体"/>
          <w:color w:val="auto"/>
          <w:sz w:val="28"/>
          <w:szCs w:val="28"/>
          <w:highlight w:val="none"/>
        </w:rPr>
        <w:t>变更的范围</w:t>
      </w:r>
      <w:bookmarkEnd w:id="693"/>
      <w:bookmarkEnd w:id="694"/>
      <w:bookmarkEnd w:id="695"/>
      <w:bookmarkEnd w:id="696"/>
      <w:bookmarkEnd w:id="697"/>
      <w:bookmarkEnd w:id="698"/>
      <w:bookmarkEnd w:id="699"/>
    </w:p>
    <w:p w14:paraId="2E246278">
      <w:pPr>
        <w:pStyle w:val="78"/>
        <w:spacing w:line="360" w:lineRule="auto"/>
        <w:ind w:firstLine="426"/>
        <w:jc w:val="left"/>
        <w:rPr>
          <w:rStyle w:val="32"/>
          <w:rFonts w:hint="eastAsia" w:ascii="Times New Roman" w:hAnsi="宋体" w:eastAsia="宋体" w:cs="宋体"/>
          <w:color w:val="auto"/>
          <w:highlight w:val="none"/>
          <w:u w:val="single"/>
        </w:rPr>
      </w:pPr>
      <w:r>
        <w:rPr>
          <w:rStyle w:val="32"/>
          <w:rFonts w:hint="eastAsia" w:ascii="Calibri" w:hAnsi="宋体" w:eastAsia="宋体" w:cs="宋体"/>
          <w:color w:val="auto"/>
          <w:highlight w:val="none"/>
        </w:rPr>
        <w:t>关于变更的范围的约定：</w:t>
      </w:r>
      <w:r>
        <w:rPr>
          <w:rStyle w:val="32"/>
          <w:rFonts w:hint="eastAsia" w:ascii="Times New Roman" w:hAnsi="宋体" w:cs="宋体"/>
          <w:color w:val="auto"/>
          <w:highlight w:val="none"/>
          <w:u w:val="single"/>
          <w:lang w:val="en-US" w:eastAsia="zh-CN"/>
        </w:rPr>
        <w:t>本合同《通用条款》第10.1条所列情形</w:t>
      </w:r>
      <w:r>
        <w:rPr>
          <w:rStyle w:val="32"/>
          <w:rFonts w:hint="eastAsia" w:ascii="Times New Roman" w:hAnsi="宋体" w:eastAsia="宋体" w:cs="宋体"/>
          <w:color w:val="auto"/>
          <w:highlight w:val="none"/>
          <w:u w:val="single"/>
          <w:lang w:val="en-US" w:eastAsia="zh-CN"/>
        </w:rPr>
        <w:t>，经发包人审批同意后，方可进行变更</w:t>
      </w:r>
      <w:r>
        <w:rPr>
          <w:rStyle w:val="32"/>
          <w:rFonts w:hint="eastAsia" w:ascii="Times New Roman" w:hAnsi="宋体" w:cs="宋体"/>
          <w:color w:val="auto"/>
          <w:highlight w:val="none"/>
          <w:u w:val="single"/>
          <w:lang w:val="en-US" w:eastAsia="zh-CN"/>
        </w:rPr>
        <w:t xml:space="preserve">  </w:t>
      </w:r>
      <w:r>
        <w:rPr>
          <w:rStyle w:val="32"/>
          <w:rFonts w:hint="eastAsia" w:ascii="Times New Roman" w:hAnsi="宋体" w:eastAsia="宋体" w:cs="宋体"/>
          <w:color w:val="auto"/>
          <w:highlight w:val="none"/>
          <w:u w:val="single"/>
          <w:lang w:val="en-US" w:eastAsia="zh-CN"/>
        </w:rPr>
        <w:t>。</w:t>
      </w:r>
    </w:p>
    <w:p w14:paraId="1A816FA7">
      <w:pPr>
        <w:pStyle w:val="99"/>
        <w:spacing w:before="0" w:after="0" w:line="360" w:lineRule="auto"/>
        <w:rPr>
          <w:rStyle w:val="32"/>
          <w:rFonts w:ascii="Calibri" w:hAnsi="Calibri" w:eastAsia="宋体" w:cs="Times New Roman"/>
          <w:color w:val="auto"/>
          <w:highlight w:val="none"/>
        </w:rPr>
      </w:pPr>
      <w:bookmarkStart w:id="717" w:name="_Toc450749207"/>
      <w:bookmarkStart w:id="718" w:name="_Toc373478388"/>
      <w:bookmarkStart w:id="719" w:name="_Toc78449830"/>
      <w:bookmarkStart w:id="720" w:name="_Toc389065307"/>
      <w:bookmarkStart w:id="721" w:name="_Toc407135244"/>
      <w:bookmarkStart w:id="722" w:name="_Toc1641633295"/>
      <w:bookmarkStart w:id="723" w:name="_Toc373227741"/>
      <w:r>
        <w:rPr>
          <w:rStyle w:val="32"/>
          <w:rFonts w:ascii="Calibri" w:hAnsi="Calibri" w:eastAsia="宋体" w:cs="Times New Roman"/>
          <w:color w:val="auto"/>
          <w:highlight w:val="none"/>
        </w:rPr>
        <w:t xml:space="preserve">10.3 </w:t>
      </w:r>
      <w:r>
        <w:rPr>
          <w:rStyle w:val="32"/>
          <w:rFonts w:hint="eastAsia" w:ascii="Calibri" w:hAnsi="宋体" w:eastAsia="宋体" w:cs="黑体"/>
          <w:color w:val="auto"/>
          <w:sz w:val="28"/>
          <w:szCs w:val="28"/>
          <w:highlight w:val="none"/>
        </w:rPr>
        <w:t>变更程序</w:t>
      </w:r>
      <w:bookmarkEnd w:id="717"/>
      <w:bookmarkEnd w:id="718"/>
      <w:bookmarkEnd w:id="719"/>
      <w:bookmarkEnd w:id="720"/>
      <w:bookmarkEnd w:id="721"/>
      <w:bookmarkEnd w:id="722"/>
      <w:bookmarkEnd w:id="723"/>
    </w:p>
    <w:p w14:paraId="74A11DBA">
      <w:pPr>
        <w:pStyle w:val="90"/>
        <w:spacing w:line="360" w:lineRule="auto"/>
        <w:ind w:firstLine="441" w:firstLineChars="210"/>
        <w:rPr>
          <w:rStyle w:val="32"/>
          <w:rFonts w:ascii="Times New Roman" w:hAnsi="Times New Roman" w:eastAsia="宋体" w:cs="Times New Roman"/>
          <w:color w:val="auto"/>
          <w:sz w:val="21"/>
          <w:szCs w:val="21"/>
          <w:highlight w:val="none"/>
        </w:rPr>
      </w:pPr>
      <w:r>
        <w:rPr>
          <w:rStyle w:val="32"/>
          <w:rFonts w:ascii="Times New Roman" w:hAnsi="Times New Roman" w:eastAsia="宋体" w:cs="Times New Roman"/>
          <w:color w:val="auto"/>
          <w:sz w:val="21"/>
          <w:szCs w:val="21"/>
          <w:highlight w:val="none"/>
        </w:rPr>
        <w:t>10.3.1</w:t>
      </w:r>
      <w:r>
        <w:rPr>
          <w:rStyle w:val="32"/>
          <w:rFonts w:hint="eastAsia" w:ascii="Times New Roman" w:hAnsi="Times New Roman" w:eastAsia="宋体" w:cs="Times New Roman"/>
          <w:color w:val="auto"/>
          <w:sz w:val="21"/>
          <w:szCs w:val="21"/>
          <w:highlight w:val="none"/>
        </w:rPr>
        <w:t>国有投资项目：</w:t>
      </w:r>
    </w:p>
    <w:p w14:paraId="5E70C6C0">
      <w:pPr>
        <w:pStyle w:val="90"/>
        <w:spacing w:line="360" w:lineRule="auto"/>
        <w:ind w:firstLine="441" w:firstLineChars="210"/>
        <w:rPr>
          <w:rStyle w:val="32"/>
          <w:rFonts w:ascii="Times New Roman" w:hAnsi="宋体" w:eastAsia="宋体" w:cs="Times New Roman"/>
          <w:bCs/>
          <w:color w:val="auto"/>
          <w:sz w:val="21"/>
          <w:szCs w:val="21"/>
          <w:highlight w:val="none"/>
        </w:rPr>
      </w:pPr>
      <w:r>
        <w:rPr>
          <w:rStyle w:val="32"/>
          <w:rFonts w:hint="eastAsia" w:ascii="Times New Roman" w:hAnsi="宋体" w:cs="Times New Roman"/>
          <w:bCs/>
          <w:color w:val="auto"/>
          <w:sz w:val="21"/>
          <w:szCs w:val="21"/>
          <w:highlight w:val="none"/>
          <w:lang w:eastAsia="zh-CN"/>
        </w:rPr>
        <w:t>（</w:t>
      </w:r>
      <w:r>
        <w:rPr>
          <w:rStyle w:val="32"/>
          <w:rFonts w:hint="eastAsia" w:ascii="Times New Roman" w:hAnsi="宋体" w:cs="Times New Roman"/>
          <w:bCs/>
          <w:color w:val="auto"/>
          <w:sz w:val="21"/>
          <w:szCs w:val="21"/>
          <w:highlight w:val="none"/>
          <w:lang w:val="en-US" w:eastAsia="zh-CN"/>
        </w:rPr>
        <w:t>1</w:t>
      </w:r>
      <w:r>
        <w:rPr>
          <w:rStyle w:val="32"/>
          <w:rFonts w:hint="eastAsia" w:ascii="Times New Roman" w:hAnsi="宋体" w:cs="Times New Roman"/>
          <w:bCs/>
          <w:color w:val="auto"/>
          <w:sz w:val="21"/>
          <w:szCs w:val="21"/>
          <w:highlight w:val="none"/>
          <w:lang w:eastAsia="zh-CN"/>
        </w:rPr>
        <w:t>）</w:t>
      </w:r>
      <w:r>
        <w:rPr>
          <w:rStyle w:val="32"/>
          <w:rFonts w:hint="eastAsia" w:ascii="Times New Roman" w:hAnsi="宋体" w:eastAsia="宋体" w:cs="Times New Roman"/>
          <w:bCs/>
          <w:color w:val="auto"/>
          <w:sz w:val="21"/>
          <w:szCs w:val="21"/>
          <w:highlight w:val="none"/>
        </w:rPr>
        <w:t>设计变更和工程签证，按各市政府或相关部门的规定办理。属不可抗力（自然灾害、突发事件等）造成变更的，按特事特办原则予以办理。</w:t>
      </w:r>
    </w:p>
    <w:p w14:paraId="4C86291B">
      <w:pPr>
        <w:pStyle w:val="90"/>
        <w:spacing w:line="360" w:lineRule="auto"/>
        <w:ind w:firstLine="441" w:firstLineChars="210"/>
        <w:rPr>
          <w:rStyle w:val="32"/>
          <w:rFonts w:ascii="Times New Roman" w:hAnsi="宋体" w:eastAsia="宋体" w:cs="Times New Roman"/>
          <w:bCs/>
          <w:color w:val="auto"/>
          <w:sz w:val="21"/>
          <w:szCs w:val="21"/>
          <w:highlight w:val="none"/>
        </w:rPr>
      </w:pPr>
      <w:r>
        <w:rPr>
          <w:rStyle w:val="32"/>
          <w:rFonts w:hint="eastAsia" w:ascii="Times New Roman" w:hAnsi="宋体" w:cs="Times New Roman"/>
          <w:bCs/>
          <w:color w:val="auto"/>
          <w:sz w:val="21"/>
          <w:szCs w:val="21"/>
          <w:highlight w:val="none"/>
          <w:lang w:eastAsia="zh-CN"/>
        </w:rPr>
        <w:t>（</w:t>
      </w:r>
      <w:r>
        <w:rPr>
          <w:rStyle w:val="32"/>
          <w:rFonts w:hint="eastAsia" w:ascii="Times New Roman" w:hAnsi="宋体" w:cs="Times New Roman"/>
          <w:bCs/>
          <w:color w:val="auto"/>
          <w:sz w:val="21"/>
          <w:szCs w:val="21"/>
          <w:highlight w:val="none"/>
          <w:lang w:val="en-US" w:eastAsia="zh-CN"/>
        </w:rPr>
        <w:t>2</w:t>
      </w:r>
      <w:r>
        <w:rPr>
          <w:rStyle w:val="32"/>
          <w:rFonts w:hint="eastAsia" w:ascii="Times New Roman" w:hAnsi="宋体" w:cs="Times New Roman"/>
          <w:bCs/>
          <w:color w:val="auto"/>
          <w:sz w:val="21"/>
          <w:szCs w:val="21"/>
          <w:highlight w:val="none"/>
          <w:lang w:eastAsia="zh-CN"/>
        </w:rPr>
        <w:t>）</w:t>
      </w:r>
      <w:r>
        <w:rPr>
          <w:rStyle w:val="32"/>
          <w:rFonts w:hint="eastAsia" w:ascii="Times New Roman" w:hAnsi="宋体" w:eastAsia="宋体" w:cs="Times New Roman"/>
          <w:bCs/>
          <w:color w:val="auto"/>
          <w:sz w:val="21"/>
          <w:szCs w:val="21"/>
          <w:highlight w:val="none"/>
        </w:rPr>
        <w:t>建设单位在实施项目过程中，若发生单价变动，由发包人、承包人、监理或造价咨询等单位共同商定并签字确认。</w:t>
      </w:r>
    </w:p>
    <w:p w14:paraId="2286FD98">
      <w:pPr>
        <w:pStyle w:val="90"/>
        <w:spacing w:line="360" w:lineRule="auto"/>
        <w:ind w:firstLine="441" w:firstLineChars="210"/>
        <w:rPr>
          <w:rStyle w:val="32"/>
          <w:rFonts w:ascii="Times New Roman" w:hAnsi="宋体" w:eastAsia="宋体" w:cs="Times New Roman"/>
          <w:bCs/>
          <w:color w:val="auto"/>
          <w:sz w:val="21"/>
          <w:szCs w:val="21"/>
          <w:highlight w:val="none"/>
        </w:rPr>
      </w:pPr>
      <w:r>
        <w:rPr>
          <w:rStyle w:val="32"/>
          <w:rFonts w:hint="eastAsia" w:ascii="Times New Roman" w:hAnsi="宋体" w:cs="Times New Roman"/>
          <w:bCs/>
          <w:color w:val="auto"/>
          <w:sz w:val="21"/>
          <w:szCs w:val="21"/>
          <w:highlight w:val="none"/>
          <w:lang w:eastAsia="zh-CN"/>
        </w:rPr>
        <w:t>（</w:t>
      </w:r>
      <w:r>
        <w:rPr>
          <w:rStyle w:val="32"/>
          <w:rFonts w:hint="eastAsia" w:ascii="Times New Roman" w:hAnsi="宋体" w:cs="Times New Roman"/>
          <w:bCs/>
          <w:color w:val="auto"/>
          <w:sz w:val="21"/>
          <w:szCs w:val="21"/>
          <w:highlight w:val="none"/>
          <w:lang w:val="en-US" w:eastAsia="zh-CN"/>
        </w:rPr>
        <w:t>3</w:t>
      </w:r>
      <w:r>
        <w:rPr>
          <w:rStyle w:val="32"/>
          <w:rFonts w:hint="eastAsia" w:ascii="Times New Roman" w:hAnsi="宋体" w:cs="Times New Roman"/>
          <w:bCs/>
          <w:color w:val="auto"/>
          <w:sz w:val="21"/>
          <w:szCs w:val="21"/>
          <w:highlight w:val="none"/>
          <w:lang w:eastAsia="zh-CN"/>
        </w:rPr>
        <w:t>）</w:t>
      </w:r>
      <w:r>
        <w:rPr>
          <w:rStyle w:val="32"/>
          <w:rFonts w:hint="eastAsia" w:ascii="Times New Roman" w:hAnsi="宋体" w:eastAsia="宋体" w:cs="Times New Roman"/>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35C3D098">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10.3.2 </w:t>
      </w:r>
      <w:r>
        <w:rPr>
          <w:rStyle w:val="32"/>
          <w:rFonts w:hint="eastAsia" w:ascii="Calibri" w:hAnsi="Calibri" w:eastAsia="宋体" w:cs="宋体"/>
          <w:color w:val="auto"/>
          <w:highlight w:val="none"/>
        </w:rPr>
        <w:t>非国有投资项目：</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461B3680">
      <w:pPr>
        <w:pStyle w:val="99"/>
        <w:spacing w:before="0" w:after="0" w:line="360" w:lineRule="auto"/>
        <w:rPr>
          <w:rStyle w:val="32"/>
          <w:rFonts w:ascii="Calibri" w:hAnsi="Calibri" w:eastAsia="宋体" w:cs="Times New Roman"/>
          <w:color w:val="auto"/>
          <w:highlight w:val="none"/>
        </w:rPr>
      </w:pPr>
      <w:bookmarkStart w:id="724" w:name="_Toc407135245"/>
      <w:bookmarkStart w:id="725" w:name="_Toc373227742"/>
      <w:bookmarkStart w:id="726" w:name="_Toc373478389"/>
      <w:bookmarkStart w:id="727" w:name="_Toc78449831"/>
      <w:bookmarkStart w:id="728" w:name="_Toc780640360"/>
      <w:bookmarkStart w:id="729" w:name="_Toc389065308"/>
      <w:bookmarkStart w:id="730" w:name="_Toc1645711468"/>
      <w:r>
        <w:rPr>
          <w:rStyle w:val="32"/>
          <w:rFonts w:ascii="Calibri" w:hAnsi="Calibri" w:eastAsia="宋体" w:cs="Times New Roman"/>
          <w:color w:val="auto"/>
          <w:highlight w:val="none"/>
        </w:rPr>
        <w:t xml:space="preserve">10.4 </w:t>
      </w:r>
      <w:r>
        <w:rPr>
          <w:rStyle w:val="32"/>
          <w:rFonts w:hint="eastAsia" w:ascii="Calibri" w:hAnsi="宋体" w:eastAsia="宋体" w:cs="黑体"/>
          <w:color w:val="auto"/>
          <w:sz w:val="28"/>
          <w:szCs w:val="28"/>
          <w:highlight w:val="none"/>
        </w:rPr>
        <w:t>变更估价</w:t>
      </w:r>
      <w:bookmarkEnd w:id="724"/>
      <w:bookmarkEnd w:id="725"/>
      <w:bookmarkEnd w:id="726"/>
      <w:bookmarkEnd w:id="727"/>
      <w:bookmarkEnd w:id="728"/>
      <w:bookmarkEnd w:id="729"/>
      <w:bookmarkEnd w:id="730"/>
    </w:p>
    <w:p w14:paraId="18EFE3AD">
      <w:pPr>
        <w:pStyle w:val="90"/>
        <w:ind w:firstLine="441" w:firstLineChars="21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10.4.1 </w:t>
      </w:r>
      <w:r>
        <w:rPr>
          <w:rStyle w:val="32"/>
          <w:rFonts w:hint="eastAsia" w:ascii="Calibri" w:hAnsi="宋体" w:eastAsia="宋体" w:cs="宋体"/>
          <w:color w:val="auto"/>
          <w:highlight w:val="none"/>
        </w:rPr>
        <w:t>变更估价原则</w:t>
      </w:r>
    </w:p>
    <w:p w14:paraId="03618DE2">
      <w:pPr>
        <w:pStyle w:val="90"/>
        <w:spacing w:line="360" w:lineRule="auto"/>
        <w:ind w:firstLine="441" w:firstLineChars="210"/>
        <w:rPr>
          <w:rStyle w:val="32"/>
          <w:rFonts w:hint="eastAsia" w:ascii="Times New Roman" w:hAnsi="宋体" w:eastAsia="宋体" w:cs="Times New Roman"/>
          <w:bCs/>
          <w:color w:val="auto"/>
          <w:szCs w:val="21"/>
          <w:highlight w:val="none"/>
        </w:rPr>
      </w:pPr>
      <w:r>
        <w:rPr>
          <w:rStyle w:val="32"/>
          <w:rFonts w:hint="eastAsia" w:ascii="Times New Roman" w:hAnsi="宋体" w:eastAsia="宋体" w:cs="Times New Roman"/>
          <w:bCs/>
          <w:color w:val="auto"/>
          <w:szCs w:val="21"/>
          <w:highlight w:val="none"/>
        </w:rPr>
        <w:t>关于变更估价的约定</w:t>
      </w:r>
      <w:bookmarkStart w:id="731" w:name="_Toc251051742"/>
      <w:r>
        <w:rPr>
          <w:rStyle w:val="32"/>
          <w:rFonts w:hint="eastAsia" w:ascii="Times New Roman" w:hAnsi="宋体" w:cs="Times New Roman"/>
          <w:bCs/>
          <w:color w:val="auto"/>
          <w:szCs w:val="21"/>
          <w:highlight w:val="none"/>
          <w:lang w:eastAsia="zh-CN"/>
        </w:rPr>
        <w:t>：</w:t>
      </w:r>
      <w:r>
        <w:rPr>
          <w:rStyle w:val="32"/>
          <w:rFonts w:hint="eastAsia" w:ascii="Times New Roman" w:hAnsi="宋体" w:eastAsia="宋体" w:cs="Times New Roman"/>
          <w:bCs/>
          <w:color w:val="auto"/>
          <w:szCs w:val="21"/>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Style w:val="32"/>
          <w:rFonts w:hint="eastAsia" w:ascii="Times New Roman" w:hAnsi="宋体" w:cs="Times New Roman"/>
          <w:b w:val="0"/>
          <w:bCs/>
          <w:color w:val="auto"/>
          <w:szCs w:val="21"/>
          <w:highlight w:val="none"/>
          <w:u w:val="single"/>
          <w:lang w:eastAsia="zh-CN"/>
        </w:rPr>
        <w:t>☑</w:t>
      </w:r>
      <w:r>
        <w:rPr>
          <w:rStyle w:val="32"/>
          <w:rFonts w:hint="eastAsia" w:ascii="Times New Roman" w:hAnsi="宋体" w:eastAsia="宋体" w:cs="Times New Roman"/>
          <w:bCs/>
          <w:color w:val="auto"/>
          <w:szCs w:val="21"/>
          <w:highlight w:val="none"/>
          <w:u w:val="single"/>
        </w:rPr>
        <w:t>乘以下浮系数</w:t>
      </w:r>
      <w:r>
        <w:rPr>
          <w:rStyle w:val="32"/>
          <w:rFonts w:hint="eastAsia" w:ascii="Times New Roman" w:hAnsi="宋体" w:eastAsia="宋体" w:cs="Times New Roman"/>
          <w:bCs/>
          <w:color w:val="auto"/>
          <w:szCs w:val="21"/>
          <w:highlight w:val="none"/>
          <w:u w:val="single"/>
          <w:lang w:eastAsia="zh-CN"/>
        </w:rPr>
        <w:t>（</w:t>
      </w:r>
      <w:r>
        <w:rPr>
          <w:rStyle w:val="32"/>
          <w:rFonts w:hint="eastAsia" w:ascii="Times New Roman" w:hAnsi="宋体" w:eastAsia="宋体" w:cs="Times New Roman"/>
          <w:bCs/>
          <w:color w:val="auto"/>
          <w:szCs w:val="21"/>
          <w:highlight w:val="none"/>
          <w:u w:val="single"/>
          <w:lang w:val="en-US" w:eastAsia="zh-CN"/>
        </w:rPr>
        <w:t>下浮系数=中标价/招标控制价</w:t>
      </w:r>
      <w:r>
        <w:rPr>
          <w:rStyle w:val="32"/>
          <w:rFonts w:hint="eastAsia" w:ascii="Times New Roman" w:hAnsi="宋体" w:cs="Times New Roman"/>
          <w:bCs/>
          <w:color w:val="auto"/>
          <w:szCs w:val="21"/>
          <w:highlight w:val="none"/>
          <w:u w:val="single"/>
          <w:lang w:eastAsia="zh-CN"/>
        </w:rPr>
        <w:t>）</w:t>
      </w:r>
      <w:r>
        <w:rPr>
          <w:rStyle w:val="32"/>
          <w:rFonts w:hint="eastAsia" w:ascii="Times New Roman" w:hAnsi="宋体" w:eastAsia="宋体" w:cs="Times New Roman"/>
          <w:bCs/>
          <w:color w:val="auto"/>
          <w:szCs w:val="21"/>
          <w:highlight w:val="none"/>
          <w:u w:val="single"/>
        </w:rPr>
        <w:t>，</w:t>
      </w:r>
      <w:r>
        <w:rPr>
          <w:rStyle w:val="32"/>
          <w:rFonts w:hint="eastAsia" w:ascii="Times New Roman" w:hAnsi="宋体" w:cs="Times New Roman"/>
          <w:b w:val="0"/>
          <w:bCs/>
          <w:color w:val="auto"/>
          <w:szCs w:val="21"/>
          <w:highlight w:val="none"/>
          <w:u w:val="single"/>
          <w:lang w:eastAsia="zh-CN"/>
        </w:rPr>
        <w:t>□</w:t>
      </w:r>
      <w:r>
        <w:rPr>
          <w:rStyle w:val="32"/>
          <w:rFonts w:hint="eastAsia" w:ascii="Times New Roman" w:hAnsi="宋体" w:eastAsia="宋体" w:cs="Times New Roman"/>
          <w:bCs/>
          <w:color w:val="auto"/>
          <w:szCs w:val="21"/>
          <w:highlight w:val="none"/>
          <w:u w:val="single"/>
        </w:rPr>
        <w:t>不乘下浮系数）计算，其中：材料设备价格按施工期间的《</w:t>
      </w:r>
      <w:r>
        <w:rPr>
          <w:rStyle w:val="32"/>
          <w:rFonts w:hint="eastAsia" w:ascii="Times New Roman" w:hAnsi="宋体" w:eastAsia="宋体" w:cs="Times New Roman"/>
          <w:bCs/>
          <w:color w:val="auto"/>
          <w:szCs w:val="21"/>
          <w:highlight w:val="none"/>
          <w:u w:val="single"/>
          <w:lang w:val="en-US" w:eastAsia="zh-CN"/>
        </w:rPr>
        <w:t>玉林</w:t>
      </w:r>
      <w:r>
        <w:rPr>
          <w:rStyle w:val="32"/>
          <w:rFonts w:hint="eastAsia" w:ascii="Times New Roman" w:hAnsi="宋体" w:eastAsia="宋体" w:cs="Times New Roman"/>
          <w:bCs/>
          <w:color w:val="auto"/>
          <w:szCs w:val="21"/>
          <w:highlight w:val="none"/>
          <w:u w:val="single"/>
        </w:rPr>
        <w:t>市建设工程造价信息》相应信息价的加权平均值计算，《</w:t>
      </w:r>
      <w:r>
        <w:rPr>
          <w:rStyle w:val="32"/>
          <w:rFonts w:hint="eastAsia" w:ascii="Times New Roman" w:hAnsi="宋体" w:eastAsia="宋体" w:cs="Times New Roman"/>
          <w:bCs/>
          <w:color w:val="auto"/>
          <w:szCs w:val="21"/>
          <w:highlight w:val="none"/>
          <w:u w:val="single"/>
          <w:lang w:val="en-US" w:eastAsia="zh-CN"/>
        </w:rPr>
        <w:t>玉林</w:t>
      </w:r>
      <w:r>
        <w:rPr>
          <w:rStyle w:val="32"/>
          <w:rFonts w:hint="eastAsia" w:ascii="Times New Roman" w:hAnsi="宋体" w:eastAsia="宋体" w:cs="Times New Roman"/>
          <w:bCs/>
          <w:color w:val="auto"/>
          <w:szCs w:val="21"/>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31"/>
      <w:r>
        <w:rPr>
          <w:rStyle w:val="32"/>
          <w:rFonts w:hint="eastAsia" w:ascii="Times New Roman" w:hAnsi="宋体" w:eastAsia="宋体" w:cs="Times New Roman"/>
          <w:bCs/>
          <w:color w:val="auto"/>
          <w:szCs w:val="21"/>
          <w:highlight w:val="none"/>
        </w:rPr>
        <w:t>。</w:t>
      </w:r>
    </w:p>
    <w:p w14:paraId="4C9FF7B8">
      <w:pPr>
        <w:pStyle w:val="90"/>
        <w:spacing w:line="360" w:lineRule="auto"/>
        <w:ind w:firstLine="441" w:firstLineChars="210"/>
        <w:rPr>
          <w:rStyle w:val="32"/>
          <w:rFonts w:hint="eastAsia" w:ascii="Times New Roman" w:hAnsi="宋体" w:eastAsia="宋体" w:cs="Times New Roman"/>
          <w:bCs/>
          <w:color w:val="auto"/>
          <w:szCs w:val="21"/>
          <w:highlight w:val="none"/>
        </w:rPr>
      </w:pPr>
      <w:r>
        <w:rPr>
          <w:rStyle w:val="32"/>
          <w:rFonts w:hint="eastAsia" w:ascii="Times New Roman" w:hAnsi="宋体" w:eastAsia="宋体" w:cs="Times New Roman"/>
          <w:bCs/>
          <w:color w:val="auto"/>
          <w:szCs w:val="21"/>
          <w:highlight w:val="none"/>
        </w:rPr>
        <w:t>以上约定同时适用于招标工程量清单缺项以及工程量清单项目特征与图纸不符时的价款确定。</w:t>
      </w:r>
      <w:r>
        <w:rPr>
          <w:rStyle w:val="32"/>
          <w:rFonts w:hint="eastAsia" w:ascii="Times New Roman" w:hAnsi="宋体" w:eastAsia="宋体" w:cs="Times New Roman"/>
          <w:bCs/>
          <w:color w:val="auto"/>
          <w:szCs w:val="21"/>
          <w:highlight w:val="none"/>
          <w:u w:val="none"/>
        </w:rPr>
        <w:t>对于政府及国有资金投资的项目，新增项目的单价必须经相关部门审定。</w:t>
      </w:r>
    </w:p>
    <w:p w14:paraId="235EB984">
      <w:pPr>
        <w:pStyle w:val="90"/>
        <w:spacing w:line="360" w:lineRule="auto"/>
        <w:ind w:firstLine="441" w:firstLineChars="210"/>
        <w:rPr>
          <w:rStyle w:val="32"/>
          <w:rFonts w:hint="eastAsia" w:ascii="Times New Roman" w:hAnsi="宋体" w:eastAsia="宋体" w:cs="Times New Roman"/>
          <w:bCs/>
          <w:color w:val="auto"/>
          <w:szCs w:val="21"/>
          <w:highlight w:val="none"/>
          <w:u w:val="none"/>
        </w:rPr>
      </w:pPr>
      <w:r>
        <w:rPr>
          <w:rStyle w:val="32"/>
          <w:rFonts w:hint="eastAsia" w:ascii="Times New Roman" w:hAnsi="宋体" w:eastAsia="宋体" w:cs="Times New Roman"/>
          <w:bCs/>
          <w:color w:val="auto"/>
          <w:szCs w:val="21"/>
          <w:highlight w:val="none"/>
          <w:u w:val="none"/>
        </w:rPr>
        <w:t>工程变更导致实际完成的变更工程量与已标价清单或预算书中列明的该项目工程量有偏差时，其综合单价的确定按专用条款“1.13工程量清单错误的修正”执行。</w:t>
      </w:r>
    </w:p>
    <w:p w14:paraId="008491C8">
      <w:pPr>
        <w:pStyle w:val="99"/>
        <w:spacing w:before="0" w:after="0" w:line="360" w:lineRule="auto"/>
        <w:rPr>
          <w:rStyle w:val="32"/>
          <w:rFonts w:ascii="Calibri" w:hAnsi="Calibri" w:eastAsia="宋体" w:cs="Times New Roman"/>
          <w:color w:val="auto"/>
          <w:highlight w:val="none"/>
        </w:rPr>
      </w:pPr>
      <w:bookmarkStart w:id="732" w:name="_Toc407135246"/>
      <w:bookmarkStart w:id="733" w:name="_Toc373478390"/>
      <w:bookmarkStart w:id="734" w:name="_Toc78449832"/>
      <w:bookmarkStart w:id="735" w:name="_Toc650800266"/>
      <w:bookmarkStart w:id="736" w:name="_Toc1342657745"/>
      <w:bookmarkStart w:id="737" w:name="_Toc389065309"/>
      <w:bookmarkStart w:id="738" w:name="_Toc373227743"/>
      <w:r>
        <w:rPr>
          <w:rStyle w:val="32"/>
          <w:rFonts w:ascii="Calibri" w:hAnsi="Calibri" w:eastAsia="宋体" w:cs="Times New Roman"/>
          <w:color w:val="auto"/>
          <w:highlight w:val="none"/>
        </w:rPr>
        <w:t>1</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Start w:id="739" w:name="_Toc303539150"/>
      <w:bookmarkStart w:id="740" w:name="_Toc297123544"/>
      <w:bookmarkStart w:id="741" w:name="_Toc296503197"/>
      <w:bookmarkStart w:id="742" w:name="_Toc297048383"/>
      <w:bookmarkStart w:id="743" w:name="_Toc296346698"/>
      <w:bookmarkStart w:id="744" w:name="_Toc292559402"/>
      <w:bookmarkStart w:id="745" w:name="_Toc297216203"/>
      <w:bookmarkStart w:id="746" w:name="_Toc296944536"/>
      <w:bookmarkStart w:id="747" w:name="_Toc292559907"/>
      <w:bookmarkStart w:id="748" w:name="_Toc300934993"/>
      <w:bookmarkStart w:id="749" w:name="_Toc297120497"/>
      <w:bookmarkStart w:id="750" w:name="_Toc296891025"/>
      <w:bookmarkStart w:id="751" w:name="_Toc296347196"/>
      <w:bookmarkStart w:id="752" w:name="_Toc296891237"/>
      <w:bookmarkStart w:id="753" w:name="_Toc312677503"/>
      <w:bookmarkStart w:id="754" w:name="_Toc312678029"/>
      <w:bookmarkStart w:id="755" w:name="_Toc304295570"/>
      <w:r>
        <w:rPr>
          <w:rStyle w:val="32"/>
          <w:rFonts w:ascii="Calibri" w:hAnsi="Calibri" w:eastAsia="宋体" w:cs="Times New Roman"/>
          <w:color w:val="auto"/>
          <w:highlight w:val="none"/>
        </w:rPr>
        <w:t xml:space="preserve">0.5 </w:t>
      </w:r>
      <w:r>
        <w:rPr>
          <w:rStyle w:val="32"/>
          <w:rFonts w:hint="eastAsia" w:ascii="Calibri" w:hAnsi="Calibri" w:eastAsia="宋体" w:cs="黑体"/>
          <w:color w:val="auto"/>
          <w:sz w:val="28"/>
          <w:szCs w:val="28"/>
          <w:highlight w:val="none"/>
        </w:rPr>
        <w:t>承</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Start w:id="756" w:name="_Toc297120503"/>
      <w:bookmarkStart w:id="757" w:name="_Toc292559408"/>
      <w:bookmarkStart w:id="758" w:name="_Toc296503203"/>
      <w:bookmarkStart w:id="759" w:name="_Toc300934994"/>
      <w:bookmarkStart w:id="760" w:name="_Toc296944542"/>
      <w:bookmarkStart w:id="761" w:name="_Toc296346704"/>
      <w:bookmarkStart w:id="762" w:name="_Toc297048389"/>
      <w:bookmarkStart w:id="763" w:name="_Toc297216204"/>
      <w:bookmarkStart w:id="764" w:name="_Toc296891243"/>
      <w:bookmarkStart w:id="765" w:name="_Toc297123545"/>
      <w:bookmarkStart w:id="766" w:name="_Toc303539151"/>
      <w:bookmarkStart w:id="767" w:name="_Toc296347202"/>
      <w:bookmarkStart w:id="768" w:name="_Toc296891031"/>
      <w:bookmarkStart w:id="769" w:name="_Toc292559913"/>
      <w:r>
        <w:rPr>
          <w:rStyle w:val="32"/>
          <w:rFonts w:hint="eastAsia" w:ascii="Calibri" w:hAnsi="Calibri" w:eastAsia="宋体" w:cs="黑体"/>
          <w:color w:val="auto"/>
          <w:sz w:val="28"/>
          <w:szCs w:val="28"/>
          <w:highlight w:val="none"/>
        </w:rPr>
        <w:t>包人的合理化建议</w:t>
      </w:r>
      <w:bookmarkEnd w:id="732"/>
      <w:bookmarkEnd w:id="733"/>
      <w:bookmarkEnd w:id="734"/>
      <w:bookmarkEnd w:id="735"/>
      <w:bookmarkEnd w:id="736"/>
      <w:bookmarkEnd w:id="737"/>
      <w:bookmarkEnd w:id="738"/>
    </w:p>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14:paraId="1A511ADB">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监理人审查承包人合理化建议的期限：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监理人应在收到承包人提交的合理化建议之日起 7天内审查完毕并报送发包人</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7E10BCAC">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发包人审批承包人合理化建议的期限：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发包人应在收到监理人报送的合理化建议之日起 7天内审批完毕</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352B18E">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承</w:t>
      </w:r>
      <w:bookmarkStart w:id="770" w:name="_Toc292559409"/>
      <w:bookmarkStart w:id="771" w:name="_Toc304295571"/>
      <w:bookmarkStart w:id="772" w:name="_Toc296891032"/>
      <w:bookmarkStart w:id="773" w:name="_Toc297120504"/>
      <w:bookmarkStart w:id="774" w:name="_Toc300934995"/>
      <w:bookmarkStart w:id="775" w:name="_Toc312677504"/>
      <w:bookmarkStart w:id="776" w:name="_Toc297216205"/>
      <w:bookmarkStart w:id="777" w:name="_Toc297123546"/>
      <w:bookmarkStart w:id="778" w:name="_Toc296346705"/>
      <w:bookmarkStart w:id="779" w:name="_Toc297048390"/>
      <w:bookmarkStart w:id="780" w:name="_Toc296347203"/>
      <w:bookmarkStart w:id="781" w:name="_Toc296891244"/>
      <w:bookmarkStart w:id="782" w:name="_Toc303539152"/>
      <w:bookmarkStart w:id="783" w:name="_Toc296503204"/>
      <w:bookmarkStart w:id="784" w:name="_Toc296944543"/>
      <w:bookmarkStart w:id="785" w:name="_Toc318581175"/>
      <w:bookmarkStart w:id="786" w:name="_Toc292559914"/>
      <w:bookmarkStart w:id="787" w:name="_Toc312678030"/>
      <w:r>
        <w:rPr>
          <w:rStyle w:val="32"/>
          <w:rFonts w:hint="eastAsia" w:ascii="Calibri" w:hAnsi="宋体" w:eastAsia="宋体" w:cs="宋体"/>
          <w:color w:val="auto"/>
          <w:highlight w:val="none"/>
        </w:rPr>
        <w:t>包人提出的合理化建议降低了合同价格或者提高了工程经济效益的奖励的方法和金额为：</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无</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0F240204">
      <w:pPr>
        <w:pStyle w:val="99"/>
        <w:spacing w:before="0" w:after="0" w:line="360" w:lineRule="auto"/>
        <w:rPr>
          <w:rStyle w:val="32"/>
          <w:rFonts w:ascii="Calibri" w:hAnsi="Calibri" w:eastAsia="宋体" w:cs="Times New Roman"/>
          <w:color w:val="auto"/>
          <w:highlight w:val="none"/>
        </w:rPr>
      </w:pPr>
      <w:bookmarkStart w:id="788" w:name="_Toc373227744"/>
      <w:bookmarkStart w:id="789" w:name="_Toc407135247"/>
      <w:bookmarkStart w:id="790" w:name="_Toc2045792355"/>
      <w:bookmarkStart w:id="791" w:name="_Toc78449833"/>
      <w:bookmarkStart w:id="792" w:name="_Toc502454636"/>
      <w:bookmarkStart w:id="793" w:name="_Toc373478391"/>
      <w:bookmarkStart w:id="794" w:name="_Toc389065310"/>
      <w:r>
        <w:rPr>
          <w:rStyle w:val="32"/>
          <w:rFonts w:ascii="Calibri" w:hAnsi="Calibri" w:eastAsia="宋体" w:cs="Times New Roman"/>
          <w:color w:val="auto"/>
          <w:highlight w:val="none"/>
        </w:rPr>
        <w:t>1</w:t>
      </w:r>
      <w:bookmarkStart w:id="795" w:name="_Toc292559909"/>
      <w:bookmarkStart w:id="796" w:name="_Toc296891239"/>
      <w:bookmarkStart w:id="797" w:name="_Toc296891027"/>
      <w:bookmarkStart w:id="798" w:name="_Toc312678033"/>
      <w:bookmarkStart w:id="799" w:name="_Toc297216207"/>
      <w:bookmarkStart w:id="800" w:name="_Toc296944538"/>
      <w:bookmarkStart w:id="801" w:name="_Toc296347198"/>
      <w:bookmarkStart w:id="802" w:name="_Toc292559404"/>
      <w:bookmarkStart w:id="803" w:name="_Toc297120499"/>
      <w:bookmarkStart w:id="804" w:name="_Toc303539154"/>
      <w:bookmarkStart w:id="805" w:name="_Toc297123548"/>
      <w:bookmarkStart w:id="806" w:name="_Toc296346700"/>
      <w:bookmarkStart w:id="807" w:name="_Toc296503199"/>
      <w:bookmarkStart w:id="808" w:name="_Toc312677507"/>
      <w:bookmarkStart w:id="809" w:name="_Toc300934997"/>
      <w:bookmarkStart w:id="810" w:name="_Toc304295574"/>
      <w:bookmarkStart w:id="811" w:name="_Toc297048385"/>
      <w:r>
        <w:rPr>
          <w:rStyle w:val="32"/>
          <w:rFonts w:ascii="Calibri" w:hAnsi="Calibri" w:eastAsia="宋体" w:cs="Times New Roman"/>
          <w:color w:val="auto"/>
          <w:highlight w:val="none"/>
        </w:rPr>
        <w:t xml:space="preserve">0.7 </w:t>
      </w:r>
      <w:r>
        <w:rPr>
          <w:rStyle w:val="32"/>
          <w:rFonts w:hint="eastAsia" w:ascii="Calibri" w:hAnsi="宋体" w:eastAsia="宋体" w:cs="黑体"/>
          <w:color w:val="auto"/>
          <w:sz w:val="28"/>
          <w:szCs w:val="28"/>
          <w:highlight w:val="none"/>
        </w:rPr>
        <w:t>暂估价</w:t>
      </w:r>
      <w:bookmarkEnd w:id="788"/>
      <w:bookmarkEnd w:id="789"/>
      <w:bookmarkEnd w:id="790"/>
      <w:bookmarkEnd w:id="791"/>
      <w:bookmarkEnd w:id="792"/>
      <w:bookmarkEnd w:id="793"/>
      <w:bookmarkEnd w:id="794"/>
    </w:p>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14:paraId="79332267">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kern w:val="0"/>
          <w:highlight w:val="none"/>
        </w:rPr>
        <w:t>暂</w:t>
      </w:r>
      <w:bookmarkStart w:id="812" w:name="_Toc318581176"/>
      <w:bookmarkStart w:id="813" w:name="_Toc312677508"/>
      <w:bookmarkStart w:id="814" w:name="_Toc312678034"/>
      <w:r>
        <w:rPr>
          <w:rStyle w:val="32"/>
          <w:rFonts w:hint="eastAsia" w:ascii="Calibri" w:hAnsi="宋体" w:eastAsia="宋体" w:cs="宋体"/>
          <w:color w:val="auto"/>
          <w:kern w:val="0"/>
          <w:highlight w:val="none"/>
        </w:rPr>
        <w:t>估价材料和工程设备的明细详见已标价工程量清单《</w:t>
      </w:r>
      <w:r>
        <w:rPr>
          <w:rStyle w:val="32"/>
          <w:rFonts w:hint="eastAsia" w:ascii="Calibri" w:hAnsi="Calibri" w:eastAsia="宋体" w:cs="宋体"/>
          <w:color w:val="auto"/>
          <w:highlight w:val="none"/>
        </w:rPr>
        <w:t>材料（工程设备）暂估价格及调整表》</w:t>
      </w:r>
      <w:r>
        <w:rPr>
          <w:rStyle w:val="32"/>
          <w:rFonts w:hint="eastAsia" w:ascii="Calibri" w:hAnsi="宋体" w:eastAsia="宋体" w:cs="宋体"/>
          <w:color w:val="auto"/>
          <w:kern w:val="0"/>
          <w:highlight w:val="none"/>
        </w:rPr>
        <w:t>（表</w:t>
      </w:r>
      <w:r>
        <w:rPr>
          <w:rStyle w:val="32"/>
          <w:rFonts w:ascii="Calibri" w:hAnsi="宋体" w:eastAsia="宋体" w:cs="Times New Roman"/>
          <w:color w:val="auto"/>
          <w:kern w:val="0"/>
          <w:highlight w:val="none"/>
        </w:rPr>
        <w:t>12-2</w:t>
      </w:r>
      <w:r>
        <w:rPr>
          <w:rStyle w:val="32"/>
          <w:rFonts w:hint="eastAsia" w:ascii="Calibri" w:hAnsi="宋体" w:eastAsia="宋体" w:cs="宋体"/>
          <w:color w:val="auto"/>
          <w:kern w:val="0"/>
          <w:highlight w:val="none"/>
        </w:rPr>
        <w:t>）和《</w:t>
      </w:r>
      <w:r>
        <w:rPr>
          <w:rStyle w:val="32"/>
          <w:rFonts w:hint="eastAsia" w:ascii="Calibri" w:hAnsi="Calibri" w:eastAsia="宋体" w:cs="宋体"/>
          <w:color w:val="auto"/>
          <w:highlight w:val="none"/>
        </w:rPr>
        <w:t>专业工程暂估价表》（</w:t>
      </w:r>
      <w:r>
        <w:rPr>
          <w:rStyle w:val="32"/>
          <w:rFonts w:hint="eastAsia" w:ascii="Calibri" w:hAnsi="宋体" w:eastAsia="宋体" w:cs="宋体"/>
          <w:color w:val="auto"/>
          <w:kern w:val="0"/>
          <w:highlight w:val="none"/>
        </w:rPr>
        <w:t>表</w:t>
      </w:r>
      <w:r>
        <w:rPr>
          <w:rStyle w:val="32"/>
          <w:rFonts w:ascii="Calibri" w:hAnsi="宋体" w:eastAsia="宋体" w:cs="Times New Roman"/>
          <w:color w:val="auto"/>
          <w:kern w:val="0"/>
          <w:highlight w:val="none"/>
        </w:rPr>
        <w:t>12-3</w:t>
      </w:r>
      <w:r>
        <w:rPr>
          <w:rStyle w:val="32"/>
          <w:rFonts w:hint="eastAsia" w:ascii="Calibri" w:hAnsi="宋体" w:eastAsia="宋体" w:cs="宋体"/>
          <w:color w:val="auto"/>
          <w:kern w:val="0"/>
          <w:highlight w:val="none"/>
        </w:rPr>
        <w:t>）。</w:t>
      </w:r>
    </w:p>
    <w:bookmarkEnd w:id="812"/>
    <w:bookmarkEnd w:id="813"/>
    <w:bookmarkEnd w:id="814"/>
    <w:p w14:paraId="4DF451A9">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1</w:t>
      </w:r>
      <w:bookmarkStart w:id="815" w:name="_Toc312678035"/>
      <w:bookmarkStart w:id="816" w:name="_Toc312677509"/>
      <w:bookmarkStart w:id="817" w:name="_Toc318581177"/>
      <w:r>
        <w:rPr>
          <w:rStyle w:val="32"/>
          <w:rFonts w:ascii="Calibri" w:hAnsi="Calibri" w:eastAsia="宋体" w:cs="Times New Roman"/>
          <w:color w:val="auto"/>
          <w:highlight w:val="none"/>
        </w:rPr>
        <w:t xml:space="preserve">0.7.1 </w:t>
      </w:r>
      <w:r>
        <w:rPr>
          <w:rStyle w:val="32"/>
          <w:rFonts w:hint="eastAsia" w:ascii="Calibri" w:hAnsi="宋体" w:eastAsia="宋体" w:cs="宋体"/>
          <w:color w:val="auto"/>
          <w:highlight w:val="none"/>
        </w:rPr>
        <w:t>依法必须招标的暂估价项目</w:t>
      </w:r>
    </w:p>
    <w:bookmarkEnd w:id="815"/>
    <w:bookmarkEnd w:id="816"/>
    <w:bookmarkEnd w:id="817"/>
    <w:p w14:paraId="2F9325B9">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对于依法必须招标的暂估价项目的确认和批准采取第</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种方式确定。</w:t>
      </w:r>
    </w:p>
    <w:p w14:paraId="29B5A240">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10.7.2 </w:t>
      </w:r>
      <w:r>
        <w:rPr>
          <w:rStyle w:val="32"/>
          <w:rFonts w:hint="eastAsia" w:ascii="Calibri" w:hAnsi="宋体" w:eastAsia="宋体" w:cs="宋体"/>
          <w:color w:val="auto"/>
          <w:highlight w:val="none"/>
        </w:rPr>
        <w:t>不属于依法必须招标的暂估价项目</w:t>
      </w:r>
    </w:p>
    <w:p w14:paraId="4C6AD517">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对于不属于依法必须招标的暂估价项目的确认和批准采取第</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ascii="Calibri" w:hAnsi="Calibri" w:eastAsia="宋体" w:cs="Times New Roman"/>
          <w:color w:val="auto"/>
          <w:highlight w:val="none"/>
        </w:rPr>
        <w:t xml:space="preserve"> </w:t>
      </w:r>
      <w:r>
        <w:rPr>
          <w:rStyle w:val="32"/>
          <w:rFonts w:hint="eastAsia" w:ascii="Calibri" w:hAnsi="宋体" w:eastAsia="宋体" w:cs="宋体"/>
          <w:color w:val="auto"/>
          <w:highlight w:val="none"/>
        </w:rPr>
        <w:t>种方式确定。</w:t>
      </w:r>
    </w:p>
    <w:p w14:paraId="22A62536">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highlight w:val="none"/>
        </w:rPr>
        <w:t>第</w:t>
      </w:r>
      <w:r>
        <w:rPr>
          <w:rStyle w:val="32"/>
          <w:rFonts w:ascii="Calibri" w:hAnsi="Calibri" w:eastAsia="宋体" w:cs="Times New Roman"/>
          <w:color w:val="auto"/>
          <w:highlight w:val="none"/>
        </w:rPr>
        <w:t>3</w:t>
      </w:r>
      <w:r>
        <w:rPr>
          <w:rStyle w:val="32"/>
          <w:rFonts w:hint="eastAsia" w:ascii="Calibri" w:hAnsi="宋体" w:eastAsia="宋体" w:cs="宋体"/>
          <w:color w:val="auto"/>
          <w:highlight w:val="none"/>
        </w:rPr>
        <w:t>种方式：</w:t>
      </w:r>
      <w:r>
        <w:rPr>
          <w:rStyle w:val="32"/>
          <w:rFonts w:hint="eastAsia" w:ascii="Calibri" w:hAnsi="宋体" w:eastAsia="宋体" w:cs="宋体"/>
          <w:color w:val="auto"/>
          <w:kern w:val="0"/>
          <w:highlight w:val="none"/>
        </w:rPr>
        <w:t>承包人直接实施的暂估价项目</w:t>
      </w:r>
    </w:p>
    <w:p w14:paraId="007E778E">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承包人直接实施的暂估价项目的约定：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F03663D">
      <w:pPr>
        <w:pStyle w:val="99"/>
        <w:spacing w:before="0" w:after="0" w:line="360" w:lineRule="auto"/>
        <w:rPr>
          <w:rStyle w:val="32"/>
          <w:rFonts w:ascii="Calibri" w:hAnsi="Calibri" w:eastAsia="宋体" w:cs="Times New Roman"/>
          <w:color w:val="auto"/>
          <w:highlight w:val="none"/>
        </w:rPr>
      </w:pPr>
      <w:bookmarkStart w:id="818" w:name="_Toc373227745"/>
      <w:bookmarkStart w:id="819" w:name="_Toc389065311"/>
      <w:bookmarkStart w:id="820" w:name="_Toc78449834"/>
      <w:bookmarkStart w:id="821" w:name="_Toc407135248"/>
      <w:bookmarkStart w:id="822" w:name="_Toc2131098822"/>
      <w:bookmarkStart w:id="823" w:name="_Toc2032108729"/>
      <w:bookmarkStart w:id="824" w:name="_Toc373478392"/>
      <w:r>
        <w:rPr>
          <w:rStyle w:val="32"/>
          <w:rFonts w:ascii="Calibri" w:hAnsi="Calibri" w:eastAsia="宋体" w:cs="Times New Roman"/>
          <w:color w:val="auto"/>
          <w:highlight w:val="none"/>
        </w:rPr>
        <w:t xml:space="preserve">10.8 </w:t>
      </w:r>
      <w:r>
        <w:rPr>
          <w:rStyle w:val="32"/>
          <w:rFonts w:hint="eastAsia" w:ascii="Calibri" w:hAnsi="宋体" w:eastAsia="宋体" w:cs="黑体"/>
          <w:color w:val="auto"/>
          <w:sz w:val="28"/>
          <w:szCs w:val="28"/>
          <w:highlight w:val="none"/>
        </w:rPr>
        <w:t>暂列金额</w:t>
      </w:r>
      <w:bookmarkEnd w:id="818"/>
      <w:bookmarkEnd w:id="819"/>
      <w:bookmarkEnd w:id="820"/>
      <w:bookmarkEnd w:id="821"/>
      <w:bookmarkEnd w:id="822"/>
      <w:bookmarkEnd w:id="823"/>
      <w:bookmarkEnd w:id="824"/>
    </w:p>
    <w:p w14:paraId="31530517">
      <w:pPr>
        <w:pStyle w:val="78"/>
        <w:autoSpaceDE w:val="0"/>
        <w:autoSpaceDN w:val="0"/>
        <w:adjustRightInd w:val="0"/>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kern w:val="0"/>
          <w:highlight w:val="none"/>
        </w:rPr>
        <w:t>合同当事人关于暂列金额使用的约定：</w:t>
      </w:r>
      <w:r>
        <w:rPr>
          <w:rStyle w:val="32"/>
          <w:rFonts w:hint="eastAsia" w:ascii="Calibri" w:hAnsi="宋体" w:eastAsia="宋体" w:cs="宋体"/>
          <w:color w:val="auto"/>
          <w:kern w:val="0"/>
          <w:highlight w:val="none"/>
          <w:u w:val="single"/>
        </w:rPr>
        <w:t>（1）已签约合同价中的暂列金额由发包人掌握使用。（2）发包人按照规定所作支付后，暂列金额如有余额归发包人</w:t>
      </w:r>
      <w:r>
        <w:rPr>
          <w:rStyle w:val="32"/>
          <w:rFonts w:hint="eastAsia" w:ascii="Calibri" w:hAnsi="宋体" w:eastAsia="宋体" w:cs="宋体"/>
          <w:color w:val="auto"/>
          <w:kern w:val="0"/>
          <w:highlight w:val="none"/>
        </w:rPr>
        <w:t>。</w:t>
      </w:r>
    </w:p>
    <w:p w14:paraId="6A817F0E">
      <w:pPr>
        <w:pStyle w:val="98"/>
        <w:numPr>
          <w:ilvl w:val="0"/>
          <w:numId w:val="7"/>
        </w:numPr>
        <w:spacing w:before="0" w:after="0" w:line="360" w:lineRule="auto"/>
        <w:rPr>
          <w:rStyle w:val="32"/>
          <w:rFonts w:cs="Times New Roman"/>
          <w:color w:val="auto"/>
          <w:highlight w:val="none"/>
        </w:rPr>
      </w:pPr>
      <w:bookmarkStart w:id="825" w:name="_Toc407135249"/>
      <w:bookmarkStart w:id="826" w:name="_Toc136736539"/>
      <w:bookmarkStart w:id="827" w:name="_Toc373478393"/>
      <w:bookmarkStart w:id="828" w:name="_Toc389065312"/>
      <w:bookmarkStart w:id="829" w:name="_Toc1190723452"/>
      <w:bookmarkStart w:id="830" w:name="_Toc351203643"/>
      <w:bookmarkStart w:id="831" w:name="_Toc373227746"/>
      <w:bookmarkStart w:id="832" w:name="_Toc78449835"/>
      <w:r>
        <w:rPr>
          <w:rStyle w:val="32"/>
          <w:rFonts w:hint="eastAsia" w:hAnsi="宋体" w:cs="黑体"/>
          <w:color w:val="auto"/>
          <w:sz w:val="28"/>
          <w:szCs w:val="18"/>
          <w:highlight w:val="none"/>
        </w:rPr>
        <w:t>价格调整</w:t>
      </w:r>
      <w:bookmarkEnd w:id="825"/>
      <w:bookmarkEnd w:id="826"/>
      <w:bookmarkEnd w:id="827"/>
      <w:bookmarkEnd w:id="828"/>
      <w:bookmarkEnd w:id="829"/>
      <w:bookmarkEnd w:id="830"/>
      <w:bookmarkEnd w:id="831"/>
      <w:bookmarkEnd w:id="832"/>
    </w:p>
    <w:p w14:paraId="573B3922">
      <w:pPr>
        <w:pStyle w:val="99"/>
        <w:spacing w:before="0" w:after="0" w:line="360" w:lineRule="auto"/>
        <w:rPr>
          <w:rStyle w:val="32"/>
          <w:rFonts w:ascii="Calibri" w:hAnsi="Calibri" w:eastAsia="宋体" w:cs="Times New Roman"/>
          <w:color w:val="auto"/>
          <w:highlight w:val="none"/>
        </w:rPr>
      </w:pPr>
      <w:bookmarkStart w:id="833" w:name="_Toc42268484"/>
      <w:bookmarkStart w:id="834" w:name="_Toc373227747"/>
      <w:bookmarkStart w:id="835" w:name="_Toc407135250"/>
      <w:bookmarkStart w:id="836" w:name="_Toc373478394"/>
      <w:bookmarkStart w:id="837" w:name="_Toc1501386015"/>
      <w:bookmarkStart w:id="838" w:name="_Toc389065313"/>
      <w:bookmarkStart w:id="839" w:name="_Toc78449836"/>
      <w:bookmarkStart w:id="840" w:name="_Toc312678039"/>
      <w:bookmarkStart w:id="841" w:name="_Toc292559911"/>
      <w:bookmarkStart w:id="842" w:name="_Toc296944540"/>
      <w:bookmarkStart w:id="843" w:name="_Toc297120501"/>
      <w:bookmarkStart w:id="844" w:name="_Toc303539157"/>
      <w:bookmarkStart w:id="845" w:name="_Toc297048387"/>
      <w:bookmarkStart w:id="846" w:name="_Toc300935000"/>
      <w:bookmarkStart w:id="847" w:name="_Toc297216209"/>
      <w:bookmarkStart w:id="848" w:name="_Toc296891029"/>
      <w:bookmarkStart w:id="849" w:name="_Toc296503201"/>
      <w:bookmarkStart w:id="850" w:name="_Toc297123550"/>
      <w:bookmarkStart w:id="851" w:name="_Toc296891241"/>
      <w:bookmarkStart w:id="852" w:name="_Toc296347200"/>
      <w:bookmarkStart w:id="853" w:name="_Toc304295577"/>
      <w:bookmarkStart w:id="854" w:name="_Toc292559406"/>
      <w:bookmarkStart w:id="855" w:name="_Toc296346702"/>
      <w:r>
        <w:rPr>
          <w:rStyle w:val="32"/>
          <w:rFonts w:ascii="Calibri" w:hAnsi="Calibri" w:eastAsia="宋体" w:cs="Times New Roman"/>
          <w:color w:val="auto"/>
          <w:highlight w:val="none"/>
        </w:rPr>
        <w:t xml:space="preserve">11.1 </w:t>
      </w:r>
      <w:r>
        <w:rPr>
          <w:rStyle w:val="32"/>
          <w:rFonts w:hint="eastAsia" w:ascii="Calibri" w:hAnsi="Calibri" w:eastAsia="宋体" w:cs="黑体"/>
          <w:color w:val="auto"/>
          <w:sz w:val="28"/>
          <w:szCs w:val="28"/>
          <w:highlight w:val="none"/>
        </w:rPr>
        <w:t>市场价格波动引起的调整</w:t>
      </w:r>
      <w:bookmarkEnd w:id="833"/>
      <w:bookmarkEnd w:id="834"/>
      <w:bookmarkEnd w:id="835"/>
      <w:bookmarkEnd w:id="836"/>
      <w:bookmarkEnd w:id="837"/>
      <w:bookmarkEnd w:id="838"/>
      <w:bookmarkEnd w:id="839"/>
    </w:p>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14:paraId="5FEC4F6D">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kern w:val="0"/>
          <w:highlight w:val="none"/>
        </w:rPr>
        <w:t>市场价格波动是否调整合同价格的约定：</w:t>
      </w:r>
      <w:r>
        <w:rPr>
          <w:rStyle w:val="32"/>
          <w:rFonts w:hint="eastAsia" w:cs="Times New Roman"/>
          <w:color w:val="auto"/>
          <w:highlight w:val="none"/>
          <w:u w:val="single"/>
          <w:lang w:val="en-US" w:eastAsia="zh-CN"/>
        </w:rPr>
        <w:t xml:space="preserve"> 不予调整 </w:t>
      </w:r>
      <w:r>
        <w:rPr>
          <w:rStyle w:val="32"/>
          <w:rFonts w:hint="eastAsia" w:ascii="Calibri" w:hAnsi="宋体" w:eastAsia="宋体" w:cs="宋体"/>
          <w:color w:val="auto"/>
          <w:highlight w:val="none"/>
        </w:rPr>
        <w:t>。</w:t>
      </w:r>
    </w:p>
    <w:p w14:paraId="0CFD8272">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因市场价格波动调整合同价格，采用以下第</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种方式对合同价格进行调整：</w:t>
      </w:r>
    </w:p>
    <w:p w14:paraId="2DCDD721">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第</w:t>
      </w:r>
      <w:r>
        <w:rPr>
          <w:rStyle w:val="32"/>
          <w:rFonts w:ascii="Calibri" w:hAnsi="Calibri" w:eastAsia="宋体" w:cs="Times New Roman"/>
          <w:color w:val="auto"/>
          <w:highlight w:val="none"/>
        </w:rPr>
        <w:t>1</w:t>
      </w:r>
      <w:r>
        <w:rPr>
          <w:rStyle w:val="32"/>
          <w:rFonts w:hint="eastAsia" w:ascii="Calibri" w:hAnsi="宋体" w:eastAsia="宋体" w:cs="宋体"/>
          <w:color w:val="auto"/>
          <w:highlight w:val="none"/>
        </w:rPr>
        <w:t>种方式：采用价格指数进行价格调整。</w:t>
      </w:r>
    </w:p>
    <w:p w14:paraId="24E3CF00">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关于各可调因子、定值和变值权重，以及基本价格指数及其来源的约定：</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 xml:space="preserve">  </w:t>
      </w:r>
    </w:p>
    <w:p w14:paraId="79B30F3A">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第</w:t>
      </w:r>
      <w:r>
        <w:rPr>
          <w:rStyle w:val="32"/>
          <w:rFonts w:ascii="Calibri" w:hAnsi="Calibri" w:eastAsia="宋体" w:cs="Times New Roman"/>
          <w:color w:val="auto"/>
          <w:highlight w:val="none"/>
        </w:rPr>
        <w:t>2</w:t>
      </w:r>
      <w:r>
        <w:rPr>
          <w:rStyle w:val="32"/>
          <w:rFonts w:hint="eastAsia" w:ascii="Calibri" w:hAnsi="宋体" w:eastAsia="宋体" w:cs="宋体"/>
          <w:color w:val="auto"/>
          <w:highlight w:val="none"/>
        </w:rPr>
        <w:t>种方式：采用造价信息进行价格调整。</w:t>
      </w:r>
    </w:p>
    <w:p w14:paraId="649B9EBD">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1</w:t>
      </w:r>
      <w:r>
        <w:rPr>
          <w:rStyle w:val="32"/>
          <w:rFonts w:hint="eastAsia" w:ascii="Calibri" w:hAnsi="宋体" w:eastAsia="宋体" w:cs="宋体"/>
          <w:color w:val="auto"/>
          <w:highlight w:val="none"/>
        </w:rPr>
        <w:t>）允许调整主要材料和</w:t>
      </w:r>
      <w:r>
        <w:rPr>
          <w:rStyle w:val="32"/>
          <w:rFonts w:hint="default" w:ascii="Calibri" w:hAnsi="宋体" w:eastAsia="宋体" w:cs="宋体"/>
          <w:color w:val="auto"/>
          <w:highlight w:val="none"/>
          <w:lang w:val="en"/>
        </w:rPr>
        <w:t>工程</w:t>
      </w:r>
      <w:r>
        <w:rPr>
          <w:rStyle w:val="32"/>
          <w:rFonts w:hint="eastAsia" w:ascii="Calibri" w:hAnsi="宋体" w:eastAsia="宋体" w:cs="宋体"/>
          <w:color w:val="auto"/>
          <w:highlight w:val="none"/>
        </w:rPr>
        <w:t>设备、基期价格、风险系数、投标报价详见《</w:t>
      </w:r>
      <w:r>
        <w:rPr>
          <w:rStyle w:val="32"/>
          <w:rFonts w:hint="default" w:ascii="Calibri" w:hAnsi="宋体" w:eastAsia="宋体" w:cs="宋体"/>
          <w:color w:val="auto"/>
          <w:highlight w:val="none"/>
          <w:lang w:val="en" w:eastAsia="zh-CN"/>
        </w:rPr>
        <w:t>允许调整</w:t>
      </w:r>
      <w:r>
        <w:rPr>
          <w:rStyle w:val="32"/>
          <w:rFonts w:hint="eastAsia" w:ascii="Calibri" w:hAnsi="宋体" w:eastAsia="宋体" w:cs="宋体"/>
          <w:color w:val="auto"/>
          <w:highlight w:val="none"/>
        </w:rPr>
        <w:t>主要材料和</w:t>
      </w:r>
      <w:r>
        <w:rPr>
          <w:rStyle w:val="32"/>
          <w:rFonts w:hint="default" w:ascii="Calibri" w:hAnsi="宋体" w:eastAsia="宋体" w:cs="宋体"/>
          <w:color w:val="auto"/>
          <w:highlight w:val="none"/>
          <w:lang w:val="en"/>
        </w:rPr>
        <w:t>工程</w:t>
      </w:r>
      <w:r>
        <w:rPr>
          <w:rStyle w:val="32"/>
          <w:rFonts w:hint="eastAsia" w:ascii="Calibri" w:hAnsi="宋体" w:eastAsia="宋体" w:cs="宋体"/>
          <w:color w:val="auto"/>
          <w:highlight w:val="none"/>
        </w:rPr>
        <w:t>设备一览表》,价</w:t>
      </w:r>
      <w:r>
        <w:rPr>
          <w:rStyle w:val="32"/>
          <w:rFonts w:ascii="Calibri" w:hAnsi="宋体" w:eastAsia="宋体" w:cs="宋体"/>
          <w:color w:val="auto"/>
          <w:highlight w:val="none"/>
        </w:rPr>
        <w:t>差</w:t>
      </w:r>
      <w:r>
        <w:rPr>
          <w:rStyle w:val="32"/>
          <w:rFonts w:hint="eastAsia" w:ascii="Calibri" w:hAnsi="宋体" w:eastAsia="宋体" w:cs="宋体"/>
          <w:color w:val="auto"/>
          <w:highlight w:val="none"/>
        </w:rPr>
        <w:t>调整部分仅计算税金，除此表列明的材料、设备外，其余材料设备价差原则上不予调整。</w:t>
      </w:r>
    </w:p>
    <w:p w14:paraId="6DE1DF22">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2</w:t>
      </w:r>
      <w:r>
        <w:rPr>
          <w:rStyle w:val="32"/>
          <w:rFonts w:hint="eastAsia" w:ascii="Calibri" w:hAnsi="宋体" w:eastAsia="宋体" w:cs="宋体"/>
          <w:color w:val="auto"/>
          <w:highlight w:val="none"/>
        </w:rPr>
        <w:t>）主要材料和</w:t>
      </w:r>
      <w:r>
        <w:rPr>
          <w:rStyle w:val="32"/>
          <w:rFonts w:hint="default" w:ascii="Calibri" w:hAnsi="宋体" w:eastAsia="宋体" w:cs="宋体"/>
          <w:color w:val="auto"/>
          <w:highlight w:val="none"/>
          <w:lang w:val="en"/>
        </w:rPr>
        <w:t>工程</w:t>
      </w:r>
      <w:r>
        <w:rPr>
          <w:rStyle w:val="32"/>
          <w:rFonts w:hint="eastAsia" w:ascii="Calibri" w:hAnsi="宋体" w:eastAsia="宋体" w:cs="宋体"/>
          <w:color w:val="auto"/>
          <w:highlight w:val="none"/>
        </w:rPr>
        <w:t>设备确认价：</w:t>
      </w:r>
    </w:p>
    <w:p w14:paraId="61B981D1">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按施工期间《</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玉林</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市建设工程造价信息》材料信息价的加权平均价计算，信息价没有的按通用条款规定确定。</w:t>
      </w:r>
    </w:p>
    <w:p w14:paraId="65198F07">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3</w:t>
      </w:r>
      <w:r>
        <w:rPr>
          <w:rStyle w:val="32"/>
          <w:rFonts w:hint="eastAsia" w:ascii="Calibri" w:hAnsi="宋体" w:eastAsia="宋体" w:cs="宋体"/>
          <w:color w:val="auto"/>
          <w:highlight w:val="none"/>
        </w:rPr>
        <w:t>）价差计算方法：</w:t>
      </w:r>
    </w:p>
    <w:p w14:paraId="5B6141D1">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①《</w:t>
      </w:r>
      <w:r>
        <w:rPr>
          <w:rStyle w:val="32"/>
          <w:rFonts w:hint="default" w:ascii="Calibri" w:hAnsi="宋体" w:eastAsia="宋体" w:cs="宋体"/>
          <w:color w:val="auto"/>
          <w:highlight w:val="none"/>
          <w:lang w:val="en" w:eastAsia="zh-CN"/>
        </w:rPr>
        <w:t>允许调整</w:t>
      </w:r>
      <w:r>
        <w:rPr>
          <w:rStyle w:val="32"/>
          <w:rFonts w:hint="eastAsia" w:ascii="Calibri" w:hAnsi="宋体" w:eastAsia="宋体" w:cs="宋体"/>
          <w:color w:val="auto"/>
          <w:highlight w:val="none"/>
        </w:rPr>
        <w:t>主要材料和</w:t>
      </w:r>
      <w:r>
        <w:rPr>
          <w:rStyle w:val="32"/>
          <w:rFonts w:hint="eastAsia" w:ascii="Calibri" w:hAnsi="宋体" w:eastAsia="宋体" w:cs="宋体"/>
          <w:color w:val="auto"/>
          <w:highlight w:val="none"/>
          <w:lang w:eastAsia="zh-CN"/>
        </w:rPr>
        <w:t>工程</w:t>
      </w:r>
      <w:r>
        <w:rPr>
          <w:rStyle w:val="32"/>
          <w:rFonts w:hint="eastAsia" w:ascii="Calibri" w:hAnsi="宋体" w:eastAsia="宋体" w:cs="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5BBB4634">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②承包人在《</w:t>
      </w:r>
      <w:r>
        <w:rPr>
          <w:rStyle w:val="32"/>
          <w:rFonts w:hint="default" w:ascii="Calibri" w:hAnsi="宋体" w:eastAsia="宋体" w:cs="宋体"/>
          <w:color w:val="auto"/>
          <w:highlight w:val="none"/>
          <w:lang w:val="en" w:eastAsia="zh-CN"/>
        </w:rPr>
        <w:t>允许调整</w:t>
      </w:r>
      <w:r>
        <w:rPr>
          <w:rStyle w:val="32"/>
          <w:rFonts w:hint="eastAsia" w:ascii="Calibri" w:hAnsi="宋体" w:eastAsia="宋体" w:cs="宋体"/>
          <w:color w:val="auto"/>
          <w:highlight w:val="none"/>
        </w:rPr>
        <w:t>主要材料和</w:t>
      </w:r>
      <w:r>
        <w:rPr>
          <w:rStyle w:val="32"/>
          <w:rFonts w:hint="eastAsia" w:ascii="Calibri" w:hAnsi="宋体" w:eastAsia="宋体" w:cs="宋体"/>
          <w:color w:val="auto"/>
          <w:highlight w:val="none"/>
          <w:lang w:eastAsia="zh-CN"/>
        </w:rPr>
        <w:t>工程</w:t>
      </w:r>
      <w:r>
        <w:rPr>
          <w:rStyle w:val="32"/>
          <w:rFonts w:hint="eastAsia" w:ascii="Calibri" w:hAnsi="宋体" w:eastAsia="宋体" w:cs="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8480B03">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③承包人在《</w:t>
      </w:r>
      <w:r>
        <w:rPr>
          <w:rStyle w:val="32"/>
          <w:rFonts w:hint="default" w:ascii="Calibri" w:hAnsi="宋体" w:eastAsia="宋体" w:cs="宋体"/>
          <w:color w:val="auto"/>
          <w:highlight w:val="none"/>
          <w:lang w:val="en" w:eastAsia="zh-CN"/>
        </w:rPr>
        <w:t>允许调整</w:t>
      </w:r>
      <w:r>
        <w:rPr>
          <w:rStyle w:val="32"/>
          <w:rFonts w:hint="eastAsia" w:ascii="Calibri" w:hAnsi="宋体" w:eastAsia="宋体" w:cs="宋体"/>
          <w:color w:val="auto"/>
          <w:highlight w:val="none"/>
        </w:rPr>
        <w:t>主要材料和</w:t>
      </w:r>
      <w:r>
        <w:rPr>
          <w:rStyle w:val="32"/>
          <w:rFonts w:hint="eastAsia" w:ascii="Calibri" w:hAnsi="宋体" w:eastAsia="宋体" w:cs="宋体"/>
          <w:color w:val="auto"/>
          <w:highlight w:val="none"/>
          <w:lang w:eastAsia="zh-CN"/>
        </w:rPr>
        <w:t>工程</w:t>
      </w:r>
      <w:r>
        <w:rPr>
          <w:rStyle w:val="32"/>
          <w:rFonts w:hint="eastAsia" w:ascii="Calibri" w:hAnsi="宋体" w:eastAsia="宋体" w:cs="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CC72794">
      <w:pPr>
        <w:pStyle w:val="78"/>
        <w:spacing w:line="360" w:lineRule="auto"/>
        <w:ind w:firstLine="645"/>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第</w:t>
      </w:r>
      <w:r>
        <w:rPr>
          <w:rStyle w:val="32"/>
          <w:rFonts w:ascii="Calibri" w:hAnsi="宋体" w:eastAsia="宋体" w:cs="Times New Roman"/>
          <w:color w:val="auto"/>
          <w:highlight w:val="none"/>
        </w:rPr>
        <w:t>3</w:t>
      </w:r>
      <w:r>
        <w:rPr>
          <w:rStyle w:val="32"/>
          <w:rFonts w:hint="eastAsia" w:ascii="Calibri" w:hAnsi="宋体" w:eastAsia="宋体" w:cs="宋体"/>
          <w:color w:val="auto"/>
          <w:highlight w:val="none"/>
        </w:rPr>
        <w:t>种方式：</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ascii="Calibri" w:hAnsi="Calibri" w:eastAsia="宋体" w:cs="Times New Roman"/>
          <w:color w:val="auto"/>
          <w:highlight w:val="none"/>
        </w:rPr>
        <w:t xml:space="preserve"> </w:t>
      </w:r>
      <w:r>
        <w:rPr>
          <w:rStyle w:val="32"/>
          <w:rFonts w:hint="eastAsia" w:ascii="Calibri" w:hAnsi="Calibri" w:eastAsia="宋体" w:cs="宋体"/>
          <w:color w:val="auto"/>
          <w:highlight w:val="none"/>
        </w:rPr>
        <w:t>。</w:t>
      </w:r>
    </w:p>
    <w:bookmarkEnd w:id="686"/>
    <w:bookmarkEnd w:id="687"/>
    <w:bookmarkEnd w:id="688"/>
    <w:bookmarkEnd w:id="689"/>
    <w:bookmarkEnd w:id="690"/>
    <w:bookmarkEnd w:id="691"/>
    <w:p w14:paraId="2841BD44">
      <w:pPr>
        <w:pStyle w:val="98"/>
        <w:spacing w:before="0" w:after="0" w:line="360" w:lineRule="auto"/>
        <w:rPr>
          <w:rStyle w:val="32"/>
          <w:rFonts w:cs="Times New Roman"/>
          <w:color w:val="auto"/>
          <w:highlight w:val="none"/>
        </w:rPr>
      </w:pPr>
      <w:bookmarkStart w:id="856" w:name="_Toc292559915"/>
      <w:bookmarkStart w:id="857" w:name="_Toc292559410"/>
      <w:bookmarkStart w:id="858" w:name="_Toc296346706"/>
      <w:bookmarkStart w:id="859" w:name="_Toc296891245"/>
      <w:bookmarkStart w:id="860" w:name="_Toc297048391"/>
      <w:bookmarkStart w:id="861" w:name="_Toc296347204"/>
      <w:bookmarkStart w:id="862" w:name="_Toc296503205"/>
      <w:bookmarkStart w:id="863" w:name="_Toc296891033"/>
      <w:bookmarkStart w:id="864" w:name="_Toc296944544"/>
      <w:bookmarkStart w:id="865" w:name="_Toc297120505"/>
      <w:bookmarkStart w:id="866" w:name="_Toc1720046426"/>
      <w:bookmarkStart w:id="867" w:name="_Toc78449837"/>
      <w:bookmarkStart w:id="868" w:name="_Toc373478395"/>
      <w:bookmarkStart w:id="869" w:name="_Toc351203644"/>
      <w:bookmarkStart w:id="870" w:name="_Toc373227748"/>
      <w:bookmarkStart w:id="871" w:name="_Toc407135251"/>
      <w:bookmarkStart w:id="872" w:name="_Toc1935657796"/>
      <w:bookmarkStart w:id="873" w:name="_Toc312678040"/>
      <w:bookmarkStart w:id="874" w:name="_Toc300935002"/>
      <w:bookmarkStart w:id="875" w:name="_Toc297123552"/>
      <w:bookmarkStart w:id="876" w:name="_Toc303539159"/>
      <w:bookmarkStart w:id="877" w:name="_Toc297216211"/>
      <w:bookmarkStart w:id="878" w:name="_Toc304295579"/>
      <w:r>
        <w:rPr>
          <w:rStyle w:val="32"/>
          <w:rFonts w:cs="Times New Roman"/>
          <w:color w:val="auto"/>
          <w:highlight w:val="none"/>
        </w:rPr>
        <w:t xml:space="preserve">12. </w:t>
      </w:r>
      <w:bookmarkEnd w:id="856"/>
      <w:bookmarkEnd w:id="857"/>
      <w:bookmarkEnd w:id="858"/>
      <w:bookmarkEnd w:id="859"/>
      <w:bookmarkEnd w:id="860"/>
      <w:bookmarkEnd w:id="861"/>
      <w:bookmarkEnd w:id="862"/>
      <w:bookmarkEnd w:id="863"/>
      <w:bookmarkEnd w:id="864"/>
      <w:bookmarkEnd w:id="865"/>
      <w:r>
        <w:rPr>
          <w:rStyle w:val="32"/>
          <w:rFonts w:hint="eastAsia" w:cs="黑体"/>
          <w:color w:val="auto"/>
          <w:sz w:val="28"/>
          <w:szCs w:val="18"/>
          <w:highlight w:val="none"/>
        </w:rPr>
        <w:t>合同价格、计量与支付</w:t>
      </w:r>
      <w:bookmarkEnd w:id="866"/>
      <w:bookmarkEnd w:id="867"/>
      <w:bookmarkEnd w:id="868"/>
      <w:bookmarkEnd w:id="869"/>
      <w:bookmarkEnd w:id="870"/>
      <w:bookmarkEnd w:id="871"/>
      <w:bookmarkEnd w:id="872"/>
    </w:p>
    <w:bookmarkEnd w:id="873"/>
    <w:bookmarkEnd w:id="874"/>
    <w:bookmarkEnd w:id="875"/>
    <w:bookmarkEnd w:id="876"/>
    <w:bookmarkEnd w:id="877"/>
    <w:bookmarkEnd w:id="878"/>
    <w:p w14:paraId="255451F1">
      <w:pPr>
        <w:pStyle w:val="99"/>
        <w:spacing w:before="0" w:after="0" w:line="360" w:lineRule="auto"/>
        <w:rPr>
          <w:rStyle w:val="32"/>
          <w:rFonts w:ascii="Calibri" w:hAnsi="Calibri" w:eastAsia="宋体" w:cs="Times New Roman"/>
          <w:color w:val="auto"/>
          <w:highlight w:val="none"/>
        </w:rPr>
      </w:pPr>
      <w:bookmarkStart w:id="879" w:name="_Toc267251461"/>
      <w:bookmarkStart w:id="880" w:name="_Toc292559411"/>
      <w:bookmarkStart w:id="881" w:name="_Toc292559916"/>
      <w:bookmarkStart w:id="882" w:name="_Toc296346707"/>
      <w:bookmarkStart w:id="883" w:name="_Toc296891034"/>
      <w:bookmarkStart w:id="884" w:name="_Toc296944545"/>
      <w:bookmarkStart w:id="885" w:name="_Toc297120506"/>
      <w:bookmarkStart w:id="886" w:name="_Toc296347205"/>
      <w:bookmarkStart w:id="887" w:name="_Toc297048392"/>
      <w:bookmarkStart w:id="888" w:name="_Toc296503206"/>
      <w:bookmarkStart w:id="889" w:name="_Toc296891246"/>
      <w:bookmarkStart w:id="890" w:name="_Toc389065314"/>
      <w:bookmarkStart w:id="891" w:name="_Toc407135252"/>
      <w:bookmarkStart w:id="892" w:name="_Toc1894565429"/>
      <w:bookmarkStart w:id="893" w:name="_Toc78449838"/>
      <w:bookmarkStart w:id="894" w:name="_Toc373227749"/>
      <w:bookmarkStart w:id="895" w:name="_Toc373478396"/>
      <w:bookmarkStart w:id="896" w:name="_Toc1395756356"/>
      <w:bookmarkStart w:id="897" w:name="_Toc297123553"/>
      <w:bookmarkStart w:id="898" w:name="_Toc304295580"/>
      <w:bookmarkStart w:id="899" w:name="_Toc300935003"/>
      <w:bookmarkStart w:id="900" w:name="_Toc303539160"/>
      <w:bookmarkStart w:id="901" w:name="_Toc297216212"/>
      <w:bookmarkStart w:id="902" w:name="_Toc312678041"/>
      <w:r>
        <w:rPr>
          <w:rStyle w:val="32"/>
          <w:rFonts w:ascii="Calibri" w:hAnsi="Calibri" w:eastAsia="宋体" w:cs="Times New Roman"/>
          <w:color w:val="auto"/>
          <w:highlight w:val="none"/>
        </w:rPr>
        <w:t xml:space="preserve">12.1 </w:t>
      </w:r>
      <w:r>
        <w:rPr>
          <w:rStyle w:val="32"/>
          <w:rFonts w:hint="eastAsia" w:ascii="Calibri" w:hAnsi="宋体" w:eastAsia="宋体" w:cs="黑体"/>
          <w:color w:val="auto"/>
          <w:sz w:val="28"/>
          <w:szCs w:val="28"/>
          <w:highlight w:val="none"/>
        </w:rPr>
        <w:t>合</w:t>
      </w:r>
      <w:bookmarkEnd w:id="879"/>
      <w:bookmarkEnd w:id="880"/>
      <w:bookmarkEnd w:id="881"/>
      <w:r>
        <w:rPr>
          <w:rStyle w:val="32"/>
          <w:rFonts w:hint="eastAsia" w:ascii="Calibri" w:hAnsi="宋体" w:eastAsia="宋体" w:cs="黑体"/>
          <w:color w:val="auto"/>
          <w:sz w:val="28"/>
          <w:szCs w:val="28"/>
          <w:highlight w:val="none"/>
        </w:rPr>
        <w:t>同价</w:t>
      </w:r>
      <w:bookmarkEnd w:id="882"/>
      <w:bookmarkEnd w:id="883"/>
      <w:bookmarkEnd w:id="884"/>
      <w:bookmarkEnd w:id="885"/>
      <w:bookmarkEnd w:id="886"/>
      <w:bookmarkEnd w:id="887"/>
      <w:bookmarkEnd w:id="888"/>
      <w:bookmarkEnd w:id="889"/>
      <w:r>
        <w:rPr>
          <w:rStyle w:val="32"/>
          <w:rFonts w:hint="eastAsia" w:ascii="Calibri" w:hAnsi="宋体" w:eastAsia="宋体" w:cs="黑体"/>
          <w:color w:val="auto"/>
          <w:sz w:val="28"/>
          <w:szCs w:val="28"/>
          <w:highlight w:val="none"/>
        </w:rPr>
        <w:t>格形式</w:t>
      </w:r>
      <w:bookmarkEnd w:id="890"/>
      <w:bookmarkEnd w:id="891"/>
      <w:bookmarkEnd w:id="892"/>
      <w:bookmarkEnd w:id="893"/>
      <w:bookmarkEnd w:id="894"/>
      <w:bookmarkEnd w:id="895"/>
      <w:bookmarkEnd w:id="896"/>
    </w:p>
    <w:bookmarkEnd w:id="897"/>
    <w:bookmarkEnd w:id="898"/>
    <w:bookmarkEnd w:id="899"/>
    <w:bookmarkEnd w:id="900"/>
    <w:bookmarkEnd w:id="901"/>
    <w:bookmarkEnd w:id="902"/>
    <w:p w14:paraId="4F242316">
      <w:pPr>
        <w:pStyle w:val="78"/>
        <w:spacing w:line="360" w:lineRule="auto"/>
        <w:ind w:firstLine="420" w:firstLineChars="200"/>
        <w:jc w:val="left"/>
        <w:rPr>
          <w:rStyle w:val="32"/>
          <w:rFonts w:ascii="Calibri" w:hAnsi="宋体" w:eastAsia="宋体" w:cs="Times New Roman"/>
          <w:color w:val="auto"/>
          <w:highlight w:val="none"/>
        </w:rPr>
      </w:pPr>
      <w:bookmarkStart w:id="903" w:name="_Toc389065315"/>
      <w:bookmarkStart w:id="904" w:name="_Toc373478397"/>
      <w:bookmarkStart w:id="905" w:name="_Toc373227750"/>
      <w:bookmarkStart w:id="906" w:name="_Toc304295581"/>
      <w:bookmarkStart w:id="907" w:name="_Toc303539161"/>
      <w:bookmarkStart w:id="908" w:name="_Toc297216213"/>
      <w:bookmarkStart w:id="909" w:name="_Toc312678042"/>
      <w:bookmarkStart w:id="910" w:name="_Toc297123554"/>
      <w:bookmarkStart w:id="911" w:name="_Toc300935004"/>
      <w:bookmarkStart w:id="912" w:name="_Toc296944546"/>
      <w:bookmarkStart w:id="913" w:name="_Toc297120507"/>
      <w:bookmarkStart w:id="914" w:name="_Toc296503207"/>
      <w:bookmarkStart w:id="915" w:name="_Toc296346708"/>
      <w:bookmarkStart w:id="916" w:name="_Toc292559917"/>
      <w:bookmarkStart w:id="917" w:name="_Toc297048393"/>
      <w:bookmarkStart w:id="918" w:name="_Toc296347206"/>
      <w:bookmarkStart w:id="919" w:name="_Toc296891247"/>
      <w:bookmarkStart w:id="920" w:name="_Toc296891035"/>
      <w:bookmarkStart w:id="921" w:name="_Toc292559412"/>
      <w:r>
        <w:rPr>
          <w:rStyle w:val="32"/>
          <w:rFonts w:hint="eastAsia" w:ascii="Calibri" w:hAnsi="宋体" w:eastAsia="宋体" w:cs="宋体"/>
          <w:color w:val="auto"/>
          <w:highlight w:val="none"/>
        </w:rPr>
        <w:t>本工程采用</w:t>
      </w:r>
      <w:r>
        <w:rPr>
          <w:rStyle w:val="32"/>
          <w:rFonts w:ascii="Calibri" w:hAnsi="宋体" w:eastAsia="宋体" w:cs="Times New Roman"/>
          <w:color w:val="auto"/>
          <w:highlight w:val="none"/>
          <w:u w:val="single"/>
        </w:rPr>
        <w:t xml:space="preserve">   </w:t>
      </w:r>
      <w:r>
        <w:rPr>
          <w:rStyle w:val="32"/>
          <w:rFonts w:hint="eastAsia" w:ascii="Calibri" w:hAnsi="宋体" w:eastAsia="宋体" w:cs="Times New Roman"/>
          <w:color w:val="auto"/>
          <w:highlight w:val="none"/>
          <w:u w:val="single"/>
          <w:lang w:val="en-US" w:eastAsia="zh-CN"/>
        </w:rPr>
        <w:t>固定综合单价</w:t>
      </w:r>
      <w:r>
        <w:rPr>
          <w:rStyle w:val="32"/>
          <w:rFonts w:ascii="Calibri" w:hAnsi="宋体" w:eastAsia="宋体" w:cs="Times New Roman"/>
          <w:color w:val="auto"/>
          <w:highlight w:val="none"/>
          <w:u w:val="single"/>
        </w:rPr>
        <w:t xml:space="preserve">  </w:t>
      </w:r>
      <w:r>
        <w:rPr>
          <w:rStyle w:val="32"/>
          <w:rFonts w:hint="eastAsia" w:ascii="Calibri" w:hAnsi="宋体" w:eastAsia="宋体" w:cs="宋体"/>
          <w:color w:val="auto"/>
          <w:highlight w:val="none"/>
        </w:rPr>
        <w:t>合同价格形式，</w:t>
      </w:r>
      <w:r>
        <w:rPr>
          <w:rStyle w:val="32"/>
          <w:rFonts w:hint="eastAsia" w:ascii="Calibri" w:hAnsi="宋体" w:eastAsia="宋体" w:cs="宋体"/>
          <w:color w:val="auto"/>
          <w:highlight w:val="none"/>
          <w:lang w:val="en-US" w:eastAsia="zh-CN"/>
        </w:rPr>
        <w:t>工程量按实际结算。</w:t>
      </w:r>
      <w:r>
        <w:rPr>
          <w:rStyle w:val="32"/>
          <w:rFonts w:hint="eastAsia" w:ascii="Calibri" w:hAnsi="宋体" w:eastAsia="宋体" w:cs="宋体"/>
          <w:color w:val="auto"/>
          <w:highlight w:val="none"/>
        </w:rPr>
        <w:t>合同价格包含增值税，本工程计价时采用的增值税计税方法为：</w:t>
      </w:r>
      <w:r>
        <w:rPr>
          <w:rStyle w:val="32"/>
          <w:rFonts w:hint="eastAsia" w:ascii="宋体" w:hAnsi="宋体" w:eastAsia="宋体" w:cs="宋体"/>
          <w:color w:val="auto"/>
          <w:highlight w:val="none"/>
          <w:lang w:eastAsia="zh-CN"/>
        </w:rPr>
        <w:t>☑</w:t>
      </w:r>
      <w:r>
        <w:rPr>
          <w:rStyle w:val="32"/>
          <w:rFonts w:hint="eastAsia" w:ascii="Calibri" w:hAnsi="宋体" w:eastAsia="宋体" w:cs="宋体"/>
          <w:color w:val="auto"/>
          <w:highlight w:val="none"/>
        </w:rPr>
        <w:t xml:space="preserve">一般计税法   </w:t>
      </w:r>
      <w:r>
        <w:rPr>
          <w:rStyle w:val="32"/>
          <w:rFonts w:hint="eastAsia" w:ascii="宋体" w:hAnsi="宋体" w:eastAsia="宋体" w:cs="宋体"/>
          <w:color w:val="auto"/>
          <w:highlight w:val="none"/>
        </w:rPr>
        <w:t>□</w:t>
      </w:r>
      <w:r>
        <w:rPr>
          <w:rStyle w:val="32"/>
          <w:rFonts w:hint="eastAsia" w:ascii="Calibri" w:hAnsi="宋体" w:eastAsia="宋体" w:cs="宋体"/>
          <w:color w:val="auto"/>
          <w:highlight w:val="none"/>
        </w:rPr>
        <w:t>简易计税法。</w:t>
      </w:r>
    </w:p>
    <w:p w14:paraId="04873653">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w:t>
      </w:r>
      <w:r>
        <w:rPr>
          <w:rStyle w:val="32"/>
          <w:rFonts w:ascii="Calibri" w:hAnsi="宋体" w:eastAsia="宋体" w:cs="Times New Roman"/>
          <w:color w:val="auto"/>
          <w:highlight w:val="none"/>
        </w:rPr>
        <w:t>1</w:t>
      </w:r>
      <w:r>
        <w:rPr>
          <w:rStyle w:val="32"/>
          <w:rFonts w:hint="eastAsia" w:ascii="Calibri" w:hAnsi="宋体" w:eastAsia="宋体" w:cs="宋体"/>
          <w:color w:val="auto"/>
          <w:highlight w:val="none"/>
        </w:rPr>
        <w:t>）单价合同。</w:t>
      </w:r>
    </w:p>
    <w:p w14:paraId="71E01329">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采用综合单价合同方式时，工程量按建设单位、监理单位、施工单位三方确认的竣工图结算。</w:t>
      </w:r>
    </w:p>
    <w:p w14:paraId="3017A5B4">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综合单价包含的风险范围：</w:t>
      </w:r>
      <w:r>
        <w:rPr>
          <w:rStyle w:val="32"/>
          <w:rFonts w:hint="eastAsia" w:ascii="Calibri" w:hAnsi="宋体" w:eastAsia="宋体" w:cs="宋体"/>
          <w:color w:val="auto"/>
          <w:highlight w:val="none"/>
          <w:u w:val="single"/>
        </w:rPr>
        <w:t>除工程变更、项目特征不符、工程量清单缺项、工程量偏差、政策性调整、本工程《承包人提供主要材料和设备一览表》中约定的材料和设备价格变动风险以外的其他风险因素。</w:t>
      </w:r>
    </w:p>
    <w:p w14:paraId="6CEBFF3A">
      <w:pPr>
        <w:pStyle w:val="78"/>
        <w:spacing w:line="360" w:lineRule="auto"/>
        <w:ind w:firstLine="420" w:firstLineChars="200"/>
        <w:jc w:val="left"/>
        <w:rPr>
          <w:rStyle w:val="32"/>
          <w:rFonts w:ascii="Calibri" w:hAnsi="宋体" w:eastAsia="宋体" w:cs="宋体"/>
          <w:color w:val="auto"/>
          <w:highlight w:val="none"/>
        </w:rPr>
      </w:pPr>
      <w:r>
        <w:rPr>
          <w:rStyle w:val="32"/>
          <w:rFonts w:hint="eastAsia" w:ascii="Calibri" w:hAnsi="宋体" w:eastAsia="宋体" w:cs="宋体"/>
          <w:color w:val="auto"/>
          <w:highlight w:val="none"/>
        </w:rPr>
        <w:t>风险范围以外合同价格的调整方法：</w:t>
      </w:r>
    </w:p>
    <w:p w14:paraId="08576376">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①工程变更、项目特征不符、工程量清单缺项：按</w:t>
      </w:r>
      <w:r>
        <w:rPr>
          <w:rStyle w:val="32"/>
          <w:rFonts w:ascii="Calibri" w:hAnsi="宋体" w:eastAsia="宋体" w:cs="宋体"/>
          <w:color w:val="auto"/>
          <w:highlight w:val="none"/>
        </w:rPr>
        <w:t>10.4.1</w:t>
      </w:r>
      <w:r>
        <w:rPr>
          <w:rStyle w:val="32"/>
          <w:rFonts w:hint="eastAsia" w:ascii="Calibri" w:hAnsi="宋体" w:eastAsia="宋体" w:cs="宋体"/>
          <w:color w:val="auto"/>
          <w:highlight w:val="none"/>
        </w:rPr>
        <w:t>变更估价原则的约定调整。</w:t>
      </w:r>
    </w:p>
    <w:p w14:paraId="6D3D9ED7">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②工程量偏差：按1.13工程量清单错误修正的约定调整。</w:t>
      </w:r>
    </w:p>
    <w:p w14:paraId="1031B6E8">
      <w:pPr>
        <w:pStyle w:val="78"/>
        <w:spacing w:line="360" w:lineRule="auto"/>
        <w:ind w:firstLine="420" w:firstLineChars="200"/>
        <w:jc w:val="left"/>
        <w:rPr>
          <w:rStyle w:val="32"/>
          <w:rFonts w:ascii="Calibri" w:hAnsi="宋体" w:eastAsia="宋体" w:cs="宋体"/>
          <w:color w:val="auto"/>
          <w:highlight w:val="none"/>
        </w:rPr>
      </w:pPr>
      <w:r>
        <w:rPr>
          <w:rStyle w:val="32"/>
          <w:rFonts w:hint="eastAsia" w:ascii="Calibri" w:hAnsi="宋体" w:eastAsia="宋体" w:cs="宋体"/>
          <w:color w:val="auto"/>
          <w:highlight w:val="none"/>
        </w:rPr>
        <w:t>③政策性调整：</w:t>
      </w:r>
      <w:r>
        <w:rPr>
          <w:rStyle w:val="32"/>
          <w:rFonts w:hint="eastAsia" w:ascii="仿宋_GB2312" w:hAnsi="宋体" w:eastAsia="宋体" w:cs="Times New Roman"/>
          <w:color w:val="auto"/>
          <w:highlight w:val="none"/>
        </w:rPr>
        <w:t>按国家、自治区住房城乡建设厅或工程所在地</w:t>
      </w:r>
      <w:r>
        <w:rPr>
          <w:rStyle w:val="32"/>
          <w:rFonts w:hint="eastAsia" w:ascii="仿宋_GB2312" w:hAnsi="宋体" w:eastAsia="宋体" w:cs="Times New Roman"/>
          <w:color w:val="auto"/>
          <w:sz w:val="21"/>
          <w:szCs w:val="21"/>
          <w:highlight w:val="none"/>
        </w:rPr>
        <w:t>市级</w:t>
      </w:r>
      <w:r>
        <w:rPr>
          <w:rStyle w:val="32"/>
          <w:rFonts w:hint="eastAsia" w:ascii="仿宋_GB2312" w:hAnsi="宋体" w:eastAsia="宋体" w:cs="Times New Roman"/>
          <w:color w:val="auto"/>
          <w:highlight w:val="none"/>
        </w:rPr>
        <w:t>住房城乡建设主管部门颁布的文件执行</w:t>
      </w:r>
      <w:r>
        <w:rPr>
          <w:rStyle w:val="32"/>
          <w:rFonts w:hint="eastAsia" w:ascii="Calibri" w:hAnsi="宋体" w:eastAsia="宋体" w:cs="宋体"/>
          <w:color w:val="auto"/>
          <w:highlight w:val="none"/>
        </w:rPr>
        <w:t>。</w:t>
      </w:r>
    </w:p>
    <w:p w14:paraId="16D38EE3">
      <w:pPr>
        <w:pStyle w:val="78"/>
        <w:spacing w:line="360" w:lineRule="auto"/>
        <w:ind w:firstLine="420" w:firstLineChars="200"/>
        <w:jc w:val="left"/>
        <w:rPr>
          <w:rStyle w:val="32"/>
          <w:rFonts w:ascii="Calibri" w:hAnsi="宋体" w:eastAsia="宋体" w:cs="宋体"/>
          <w:color w:val="auto"/>
          <w:highlight w:val="none"/>
        </w:rPr>
      </w:pPr>
      <w:r>
        <w:rPr>
          <w:rStyle w:val="32"/>
          <w:rFonts w:hint="eastAsia" w:ascii="Calibri" w:hAnsi="宋体" w:eastAsia="宋体" w:cs="宋体"/>
          <w:color w:val="auto"/>
          <w:highlight w:val="none"/>
        </w:rPr>
        <w:t>④市场波动引起的调整：按</w:t>
      </w:r>
      <w:r>
        <w:rPr>
          <w:rStyle w:val="32"/>
          <w:rFonts w:ascii="Calibri" w:hAnsi="宋体" w:eastAsia="宋体" w:cs="宋体"/>
          <w:color w:val="auto"/>
          <w:highlight w:val="none"/>
        </w:rPr>
        <w:t>11.1</w:t>
      </w:r>
      <w:r>
        <w:rPr>
          <w:rStyle w:val="32"/>
          <w:rFonts w:hint="eastAsia" w:ascii="Calibri" w:hAnsi="宋体" w:eastAsia="宋体" w:cs="宋体"/>
          <w:color w:val="auto"/>
          <w:highlight w:val="none"/>
        </w:rPr>
        <w:t>的约定调整。</w:t>
      </w:r>
    </w:p>
    <w:p w14:paraId="0AEF229E">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⑤其它：</w:t>
      </w:r>
      <w:r>
        <w:rPr>
          <w:rStyle w:val="32"/>
          <w:rFonts w:ascii="Calibri" w:hAnsi="宋体" w:eastAsia="宋体" w:cs="Times New Roman"/>
          <w:color w:val="auto"/>
          <w:highlight w:val="none"/>
          <w:u w:val="single"/>
        </w:rPr>
        <w:t xml:space="preserve">     </w:t>
      </w:r>
      <w:r>
        <w:rPr>
          <w:rStyle w:val="32"/>
          <w:rFonts w:hint="eastAsia" w:ascii="Calibri" w:hAnsi="宋体" w:eastAsia="宋体" w:cs="Times New Roman"/>
          <w:color w:val="auto"/>
          <w:highlight w:val="none"/>
          <w:u w:val="single"/>
          <w:lang w:val="en-US" w:eastAsia="zh-CN"/>
        </w:rPr>
        <w:t>/</w:t>
      </w:r>
      <w:r>
        <w:rPr>
          <w:rStyle w:val="32"/>
          <w:rFonts w:ascii="Calibri" w:hAnsi="宋体" w:eastAsia="宋体" w:cs="Times New Roman"/>
          <w:color w:val="auto"/>
          <w:highlight w:val="none"/>
          <w:u w:val="single"/>
        </w:rPr>
        <w:t xml:space="preserve">     </w:t>
      </w:r>
      <w:r>
        <w:rPr>
          <w:rStyle w:val="32"/>
          <w:rFonts w:hint="eastAsia" w:ascii="Calibri" w:hAnsi="宋体" w:eastAsia="宋体" w:cs="宋体"/>
          <w:color w:val="auto"/>
          <w:highlight w:val="none"/>
        </w:rPr>
        <w:t>。</w:t>
      </w:r>
    </w:p>
    <w:p w14:paraId="3A37A2BA">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w:t>
      </w:r>
      <w:r>
        <w:rPr>
          <w:rStyle w:val="32"/>
          <w:rFonts w:ascii="Calibri" w:hAnsi="宋体" w:eastAsia="宋体" w:cs="Times New Roman"/>
          <w:color w:val="auto"/>
          <w:highlight w:val="none"/>
        </w:rPr>
        <w:t>2</w:t>
      </w:r>
      <w:r>
        <w:rPr>
          <w:rStyle w:val="32"/>
          <w:rFonts w:hint="eastAsia" w:ascii="Calibri" w:hAnsi="宋体" w:eastAsia="宋体" w:cs="宋体"/>
          <w:color w:val="auto"/>
          <w:highlight w:val="none"/>
        </w:rPr>
        <w:t>）总价合同。</w:t>
      </w:r>
    </w:p>
    <w:p w14:paraId="12565DAE">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总价包含的风险范围：包含除工程变更、政策性调整、</w:t>
      </w:r>
      <w:r>
        <w:rPr>
          <w:rStyle w:val="32"/>
          <w:rFonts w:hint="eastAsia" w:ascii="Calibri" w:hAnsi="宋体" w:eastAsia="宋体" w:cs="宋体"/>
          <w:color w:val="auto"/>
          <w:highlight w:val="none"/>
          <w:u w:val="single"/>
        </w:rPr>
        <w:t>市场价格波动。除工程变更外，结算时不再对招标施工图对应的工程量重新计量</w:t>
      </w:r>
      <w:r>
        <w:rPr>
          <w:rStyle w:val="32"/>
          <w:rFonts w:ascii="Calibri" w:hAnsi="宋体"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3F6D1E4">
      <w:pPr>
        <w:pStyle w:val="78"/>
        <w:spacing w:line="360" w:lineRule="auto"/>
        <w:ind w:firstLine="420" w:firstLineChars="200"/>
        <w:jc w:val="left"/>
        <w:rPr>
          <w:rStyle w:val="32"/>
          <w:rFonts w:hint="eastAsia" w:ascii="Calibri" w:hAnsi="Calibri" w:eastAsia="宋体" w:cs="宋体"/>
          <w:color w:val="auto"/>
          <w:highlight w:val="none"/>
        </w:rPr>
      </w:pPr>
      <w:r>
        <w:rPr>
          <w:rStyle w:val="32"/>
          <w:rFonts w:hint="eastAsia" w:ascii="Calibri" w:hAnsi="Calibri" w:eastAsia="宋体" w:cs="宋体"/>
          <w:color w:val="auto"/>
          <w:highlight w:val="none"/>
        </w:rPr>
        <w:t>风险范围以外合同价格的调整方法：</w:t>
      </w:r>
    </w:p>
    <w:p w14:paraId="6ABA6C48">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①工程变更：按</w:t>
      </w:r>
      <w:r>
        <w:rPr>
          <w:rStyle w:val="32"/>
          <w:rFonts w:ascii="Calibri" w:hAnsi="宋体" w:eastAsia="宋体" w:cs="宋体"/>
          <w:color w:val="auto"/>
          <w:highlight w:val="none"/>
        </w:rPr>
        <w:t>10.4.1</w:t>
      </w:r>
      <w:r>
        <w:rPr>
          <w:rStyle w:val="32"/>
          <w:rFonts w:hint="eastAsia" w:ascii="Calibri" w:hAnsi="宋体" w:eastAsia="宋体" w:cs="宋体"/>
          <w:color w:val="auto"/>
          <w:highlight w:val="none"/>
        </w:rPr>
        <w:t>变更估价原则的约定调整。</w:t>
      </w:r>
    </w:p>
    <w:p w14:paraId="711CBA8F">
      <w:pPr>
        <w:pStyle w:val="78"/>
        <w:spacing w:line="360" w:lineRule="auto"/>
        <w:ind w:firstLine="420" w:firstLineChars="200"/>
        <w:jc w:val="left"/>
        <w:rPr>
          <w:rStyle w:val="32"/>
          <w:rFonts w:ascii="Calibri" w:hAnsi="宋体" w:eastAsia="宋体" w:cs="宋体"/>
          <w:color w:val="auto"/>
          <w:highlight w:val="none"/>
        </w:rPr>
      </w:pPr>
      <w:r>
        <w:rPr>
          <w:rStyle w:val="32"/>
          <w:rFonts w:hint="eastAsia" w:ascii="Calibri" w:hAnsi="宋体" w:eastAsia="宋体" w:cs="宋体"/>
          <w:color w:val="auto"/>
          <w:highlight w:val="none"/>
        </w:rPr>
        <w:t>②政策性调整：</w:t>
      </w:r>
      <w:r>
        <w:rPr>
          <w:rStyle w:val="32"/>
          <w:rFonts w:hint="eastAsia" w:ascii="仿宋_GB2312" w:hAnsi="宋体" w:eastAsia="宋体" w:cs="Times New Roman"/>
          <w:color w:val="auto"/>
          <w:highlight w:val="none"/>
        </w:rPr>
        <w:t>按国</w:t>
      </w:r>
      <w:r>
        <w:rPr>
          <w:rStyle w:val="32"/>
          <w:rFonts w:ascii="仿宋_GB2312" w:hAnsi="宋体" w:eastAsia="宋体" w:cs="Times New Roman"/>
          <w:color w:val="auto"/>
          <w:highlight w:val="none"/>
        </w:rPr>
        <w:t>家、</w:t>
      </w:r>
      <w:r>
        <w:rPr>
          <w:rStyle w:val="32"/>
          <w:rFonts w:hint="eastAsia" w:ascii="仿宋_GB2312" w:hAnsi="宋体" w:eastAsia="宋体" w:cs="Times New Roman"/>
          <w:color w:val="auto"/>
          <w:highlight w:val="none"/>
        </w:rPr>
        <w:t>自治区住房城乡建设厅或工程所在地市级住房城乡建设主管部门颁布的文件执行</w:t>
      </w:r>
      <w:r>
        <w:rPr>
          <w:rStyle w:val="32"/>
          <w:rFonts w:hint="eastAsia" w:ascii="Calibri" w:hAnsi="宋体" w:eastAsia="宋体" w:cs="宋体"/>
          <w:color w:val="auto"/>
          <w:highlight w:val="none"/>
        </w:rPr>
        <w:t>。</w:t>
      </w:r>
    </w:p>
    <w:p w14:paraId="640DF8E6">
      <w:pPr>
        <w:pStyle w:val="78"/>
        <w:spacing w:line="360" w:lineRule="auto"/>
        <w:ind w:firstLine="420" w:firstLineChars="200"/>
        <w:jc w:val="left"/>
        <w:rPr>
          <w:rStyle w:val="32"/>
          <w:rFonts w:ascii="Calibri" w:hAnsi="宋体" w:eastAsia="宋体" w:cs="宋体"/>
          <w:color w:val="auto"/>
          <w:highlight w:val="none"/>
        </w:rPr>
      </w:pPr>
      <w:r>
        <w:rPr>
          <w:rStyle w:val="32"/>
          <w:rFonts w:hint="eastAsia" w:ascii="Calibri" w:hAnsi="宋体" w:eastAsia="宋体" w:cs="宋体"/>
          <w:color w:val="auto"/>
          <w:highlight w:val="none"/>
        </w:rPr>
        <w:t>③市场波动引起的调整：按</w:t>
      </w:r>
      <w:r>
        <w:rPr>
          <w:rStyle w:val="32"/>
          <w:rFonts w:ascii="Calibri" w:hAnsi="宋体" w:eastAsia="宋体" w:cs="宋体"/>
          <w:color w:val="auto"/>
          <w:highlight w:val="none"/>
        </w:rPr>
        <w:t>11.1</w:t>
      </w:r>
      <w:r>
        <w:rPr>
          <w:rStyle w:val="32"/>
          <w:rFonts w:hint="eastAsia" w:ascii="Calibri" w:hAnsi="宋体" w:eastAsia="宋体" w:cs="宋体"/>
          <w:color w:val="auto"/>
          <w:highlight w:val="none"/>
        </w:rPr>
        <w:t>的约定调整。</w:t>
      </w:r>
    </w:p>
    <w:p w14:paraId="4A101332">
      <w:pPr>
        <w:pStyle w:val="78"/>
        <w:spacing w:line="360" w:lineRule="auto"/>
        <w:ind w:firstLine="420" w:firstLineChars="200"/>
        <w:jc w:val="left"/>
        <w:rPr>
          <w:rStyle w:val="32"/>
          <w:rFonts w:ascii="Calibri" w:hAnsi="宋体" w:eastAsia="宋体" w:cs="Times New Roman"/>
          <w:color w:val="auto"/>
          <w:highlight w:val="none"/>
        </w:rPr>
      </w:pPr>
      <w:r>
        <w:rPr>
          <w:rStyle w:val="32"/>
          <w:rFonts w:ascii="Calibri" w:hAnsi="宋体" w:eastAsia="宋体" w:cs="宋体"/>
          <w:color w:val="auto"/>
          <w:highlight w:val="none"/>
        </w:rPr>
        <w:fldChar w:fldCharType="begin"/>
      </w:r>
      <w:r>
        <w:rPr>
          <w:rStyle w:val="32"/>
          <w:rFonts w:ascii="Calibri" w:hAnsi="宋体" w:eastAsia="宋体" w:cs="宋体"/>
          <w:color w:val="auto"/>
          <w:highlight w:val="none"/>
        </w:rPr>
        <w:instrText xml:space="preserve"> </w:instrText>
      </w:r>
      <w:r>
        <w:rPr>
          <w:rStyle w:val="32"/>
          <w:rFonts w:hint="eastAsia" w:ascii="Calibri" w:hAnsi="宋体" w:eastAsia="宋体" w:cs="宋体"/>
          <w:color w:val="auto"/>
          <w:highlight w:val="none"/>
        </w:rPr>
        <w:instrText xml:space="preserve">= 4 \* GB3</w:instrText>
      </w:r>
      <w:r>
        <w:rPr>
          <w:rStyle w:val="32"/>
          <w:rFonts w:ascii="Calibri" w:hAnsi="宋体" w:eastAsia="宋体" w:cs="宋体"/>
          <w:color w:val="auto"/>
          <w:highlight w:val="none"/>
        </w:rPr>
        <w:instrText xml:space="preserve"> </w:instrText>
      </w:r>
      <w:r>
        <w:rPr>
          <w:rStyle w:val="32"/>
          <w:rFonts w:ascii="Calibri" w:hAnsi="宋体" w:eastAsia="宋体" w:cs="宋体"/>
          <w:color w:val="auto"/>
          <w:highlight w:val="none"/>
        </w:rPr>
        <w:fldChar w:fldCharType="separate"/>
      </w:r>
      <w:r>
        <w:rPr>
          <w:rStyle w:val="32"/>
          <w:rFonts w:hint="eastAsia" w:ascii="Calibri" w:hAnsi="宋体" w:eastAsia="宋体" w:cs="宋体"/>
          <w:color w:val="auto"/>
          <w:highlight w:val="none"/>
        </w:rPr>
        <w:t>4</w:t>
      </w:r>
      <w:r>
        <w:rPr>
          <w:rStyle w:val="32"/>
          <w:rFonts w:ascii="Calibri" w:hAnsi="宋体" w:eastAsia="宋体" w:cs="宋体"/>
          <w:color w:val="auto"/>
          <w:highlight w:val="none"/>
        </w:rPr>
        <w:fldChar w:fldCharType="end"/>
      </w:r>
      <w:r>
        <w:rPr>
          <w:rStyle w:val="32"/>
          <w:rFonts w:hint="eastAsia" w:ascii="Calibri" w:hAnsi="宋体" w:eastAsia="宋体" w:cs="宋体"/>
          <w:color w:val="auto"/>
          <w:highlight w:val="none"/>
        </w:rPr>
        <w:t>其它：</w:t>
      </w:r>
      <w:r>
        <w:rPr>
          <w:rStyle w:val="32"/>
          <w:rFonts w:ascii="Calibri" w:hAnsi="宋体" w:eastAsia="宋体" w:cs="Times New Roman"/>
          <w:color w:val="auto"/>
          <w:highlight w:val="none"/>
          <w:u w:val="single"/>
        </w:rPr>
        <w:t xml:space="preserve">             </w:t>
      </w:r>
      <w:r>
        <w:rPr>
          <w:rStyle w:val="32"/>
          <w:rFonts w:hint="eastAsia" w:ascii="Calibri" w:hAnsi="宋体" w:eastAsia="宋体" w:cs="Times New Roman"/>
          <w:color w:val="auto"/>
          <w:highlight w:val="none"/>
          <w:u w:val="single"/>
          <w:lang w:val="en-US" w:eastAsia="zh-CN"/>
        </w:rPr>
        <w:t>/</w:t>
      </w:r>
      <w:r>
        <w:rPr>
          <w:rStyle w:val="32"/>
          <w:rFonts w:ascii="Calibri" w:hAnsi="宋体" w:eastAsia="宋体" w:cs="Times New Roman"/>
          <w:color w:val="auto"/>
          <w:highlight w:val="none"/>
          <w:u w:val="single"/>
        </w:rPr>
        <w:t xml:space="preserve">            </w:t>
      </w:r>
      <w:r>
        <w:rPr>
          <w:rStyle w:val="32"/>
          <w:rFonts w:hint="eastAsia" w:ascii="Calibri" w:hAnsi="宋体" w:eastAsia="宋体" w:cs="Times New Roman"/>
          <w:color w:val="auto"/>
          <w:highlight w:val="none"/>
          <w:u w:val="single"/>
          <w:lang w:val="en-US" w:eastAsia="zh-CN"/>
        </w:rPr>
        <w:t xml:space="preserve"> </w:t>
      </w:r>
      <w:r>
        <w:rPr>
          <w:rStyle w:val="32"/>
          <w:rFonts w:ascii="Calibri" w:hAnsi="宋体"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5A22754">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Calibri" w:eastAsia="宋体" w:cs="宋体"/>
          <w:color w:val="auto"/>
          <w:highlight w:val="none"/>
        </w:rPr>
        <w:t>（</w:t>
      </w:r>
      <w:r>
        <w:rPr>
          <w:rStyle w:val="32"/>
          <w:rFonts w:ascii="Calibri" w:hAnsi="Calibri" w:eastAsia="宋体" w:cs="Times New Roman"/>
          <w:color w:val="auto"/>
          <w:highlight w:val="none"/>
        </w:rPr>
        <w:t>3</w:t>
      </w:r>
      <w:r>
        <w:rPr>
          <w:rStyle w:val="32"/>
          <w:rFonts w:hint="eastAsia" w:ascii="Calibri" w:hAnsi="Calibri" w:eastAsia="宋体" w:cs="宋体"/>
          <w:color w:val="auto"/>
          <w:highlight w:val="none"/>
        </w:rPr>
        <w:t>）其他价格方式：</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Calibri" w:eastAsia="宋体" w:cs="宋体"/>
          <w:color w:val="auto"/>
          <w:highlight w:val="none"/>
        </w:rPr>
        <w:t>。</w:t>
      </w:r>
    </w:p>
    <w:p w14:paraId="78E2C328">
      <w:pPr>
        <w:pStyle w:val="99"/>
        <w:spacing w:before="0" w:after="0" w:line="360" w:lineRule="auto"/>
        <w:rPr>
          <w:rStyle w:val="32"/>
          <w:rFonts w:ascii="Calibri" w:hAnsi="Calibri" w:eastAsia="宋体" w:cs="Times New Roman"/>
          <w:color w:val="auto"/>
          <w:highlight w:val="none"/>
        </w:rPr>
      </w:pPr>
      <w:bookmarkStart w:id="922" w:name="_Toc78449839"/>
      <w:bookmarkStart w:id="923" w:name="_Toc407135253"/>
      <w:bookmarkStart w:id="924" w:name="_Toc1338560546"/>
      <w:bookmarkStart w:id="925" w:name="_Toc1681900246"/>
      <w:r>
        <w:rPr>
          <w:rStyle w:val="32"/>
          <w:rFonts w:ascii="Calibri" w:hAnsi="Calibri" w:eastAsia="宋体" w:cs="Times New Roman"/>
          <w:color w:val="auto"/>
          <w:highlight w:val="none"/>
        </w:rPr>
        <w:t xml:space="preserve">12.2 </w:t>
      </w:r>
      <w:r>
        <w:rPr>
          <w:rStyle w:val="32"/>
          <w:rFonts w:hint="eastAsia" w:ascii="Calibri" w:hAnsi="宋体" w:eastAsia="宋体" w:cs="黑体"/>
          <w:color w:val="auto"/>
          <w:sz w:val="28"/>
          <w:szCs w:val="28"/>
          <w:highlight w:val="none"/>
        </w:rPr>
        <w:t>预付款</w:t>
      </w:r>
      <w:bookmarkEnd w:id="903"/>
      <w:bookmarkEnd w:id="904"/>
      <w:bookmarkEnd w:id="905"/>
      <w:bookmarkEnd w:id="922"/>
      <w:bookmarkEnd w:id="923"/>
      <w:bookmarkEnd w:id="924"/>
      <w:bookmarkEnd w:id="925"/>
    </w:p>
    <w:bookmarkEnd w:id="906"/>
    <w:bookmarkEnd w:id="907"/>
    <w:bookmarkEnd w:id="908"/>
    <w:bookmarkEnd w:id="909"/>
    <w:bookmarkEnd w:id="910"/>
    <w:bookmarkEnd w:id="911"/>
    <w:p w14:paraId="187B8B4F">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12.2.1 </w:t>
      </w:r>
      <w:r>
        <w:rPr>
          <w:rStyle w:val="32"/>
          <w:rFonts w:hint="eastAsia" w:ascii="Calibri" w:hAnsi="宋体" w:eastAsia="宋体" w:cs="宋体"/>
          <w:color w:val="auto"/>
          <w:highlight w:val="none"/>
        </w:rPr>
        <w:t>预付款的支付</w:t>
      </w:r>
    </w:p>
    <w:p w14:paraId="4C787E64">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预付款支付比例或金额：</w:t>
      </w:r>
      <w:r>
        <w:rPr>
          <w:rStyle w:val="32"/>
          <w:rFonts w:hint="eastAsia" w:hAnsi="宋体" w:cs="宋体"/>
          <w:color w:val="auto"/>
          <w:highlight w:val="none"/>
          <w:u w:val="single"/>
          <w:lang w:val="en-US" w:eastAsia="zh-CN"/>
        </w:rPr>
        <w:t xml:space="preserve">       /        </w:t>
      </w:r>
      <w:r>
        <w:rPr>
          <w:rStyle w:val="32"/>
          <w:rFonts w:hint="eastAsia" w:ascii="Calibri" w:hAnsi="宋体" w:eastAsia="宋体" w:cs="宋体"/>
          <w:color w:val="auto"/>
          <w:kern w:val="0"/>
          <w:highlight w:val="none"/>
        </w:rPr>
        <w:t>。</w:t>
      </w:r>
    </w:p>
    <w:p w14:paraId="0E7239B4">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预付款支付期限：</w:t>
      </w:r>
      <w:r>
        <w:rPr>
          <w:rStyle w:val="32"/>
          <w:rFonts w:hint="eastAsia" w:hAnsi="宋体" w:cs="宋体"/>
          <w:color w:val="auto"/>
          <w:highlight w:val="none"/>
          <w:u w:val="single"/>
          <w:lang w:val="en-US" w:eastAsia="zh-CN"/>
        </w:rPr>
        <w:t xml:space="preserve">       /        </w:t>
      </w:r>
      <w:r>
        <w:rPr>
          <w:rStyle w:val="32"/>
          <w:rFonts w:hint="eastAsia" w:ascii="Calibri" w:hAnsi="宋体" w:eastAsia="宋体" w:cs="宋体"/>
          <w:color w:val="auto"/>
          <w:kern w:val="0"/>
          <w:highlight w:val="none"/>
        </w:rPr>
        <w:t>。</w:t>
      </w:r>
    </w:p>
    <w:p w14:paraId="062A74A2">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预付款扣回的方式：</w:t>
      </w:r>
      <w:r>
        <w:rPr>
          <w:rStyle w:val="32"/>
          <w:rFonts w:hint="eastAsia" w:hAnsi="宋体" w:cs="宋体"/>
          <w:color w:val="auto"/>
          <w:highlight w:val="none"/>
          <w:u w:val="single"/>
          <w:lang w:val="en-US" w:eastAsia="zh-CN"/>
        </w:rPr>
        <w:t xml:space="preserve">       /        </w:t>
      </w:r>
      <w:r>
        <w:rPr>
          <w:rStyle w:val="32"/>
          <w:rFonts w:hint="eastAsia" w:ascii="Calibri" w:hAnsi="宋体" w:eastAsia="宋体" w:cs="宋体"/>
          <w:color w:val="auto"/>
          <w:kern w:val="0"/>
          <w:highlight w:val="none"/>
        </w:rPr>
        <w:t>。</w:t>
      </w:r>
    </w:p>
    <w:p w14:paraId="7D414206">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12.2.2 </w:t>
      </w:r>
      <w:r>
        <w:rPr>
          <w:rStyle w:val="32"/>
          <w:rFonts w:hint="eastAsia" w:ascii="Calibri" w:hAnsi="宋体" w:eastAsia="宋体" w:cs="宋体"/>
          <w:color w:val="auto"/>
          <w:highlight w:val="none"/>
        </w:rPr>
        <w:t>预付款担保</w:t>
      </w:r>
    </w:p>
    <w:p w14:paraId="77080D91">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承包人提交预付款担保的期限：</w:t>
      </w:r>
      <w:r>
        <w:rPr>
          <w:rStyle w:val="32"/>
          <w:rFonts w:hint="eastAsia" w:hAnsi="宋体" w:cs="宋体"/>
          <w:color w:val="auto"/>
          <w:highlight w:val="none"/>
          <w:u w:val="single"/>
          <w:lang w:val="en-US" w:eastAsia="zh-CN"/>
        </w:rPr>
        <w:t xml:space="preserve">       /        </w:t>
      </w:r>
      <w:r>
        <w:rPr>
          <w:rStyle w:val="32"/>
          <w:rFonts w:hint="eastAsia" w:ascii="Calibri" w:hAnsi="宋体" w:eastAsia="宋体" w:cs="宋体"/>
          <w:color w:val="auto"/>
          <w:kern w:val="0"/>
          <w:highlight w:val="none"/>
        </w:rPr>
        <w:t>。</w:t>
      </w:r>
    </w:p>
    <w:bookmarkEnd w:id="912"/>
    <w:bookmarkEnd w:id="913"/>
    <w:bookmarkEnd w:id="914"/>
    <w:bookmarkEnd w:id="915"/>
    <w:bookmarkEnd w:id="916"/>
    <w:bookmarkEnd w:id="917"/>
    <w:bookmarkEnd w:id="918"/>
    <w:bookmarkEnd w:id="919"/>
    <w:bookmarkEnd w:id="920"/>
    <w:bookmarkEnd w:id="921"/>
    <w:p w14:paraId="51F4BD67">
      <w:pPr>
        <w:pStyle w:val="99"/>
        <w:spacing w:before="0" w:after="0" w:line="360" w:lineRule="auto"/>
        <w:rPr>
          <w:rStyle w:val="32"/>
          <w:rFonts w:hint="eastAsia" w:ascii="Calibri" w:hAnsi="宋体" w:eastAsia="宋体" w:cs="黑体"/>
          <w:color w:val="auto"/>
          <w:sz w:val="28"/>
          <w:szCs w:val="28"/>
          <w:highlight w:val="none"/>
        </w:rPr>
      </w:pPr>
      <w:bookmarkStart w:id="926" w:name="_Toc1494831447"/>
      <w:bookmarkStart w:id="927" w:name="_Toc373478398"/>
      <w:bookmarkStart w:id="928" w:name="_Toc373227751"/>
      <w:bookmarkStart w:id="929" w:name="_Toc1307224940"/>
      <w:bookmarkStart w:id="930" w:name="_Toc407135254"/>
      <w:bookmarkStart w:id="931" w:name="_Toc78449840"/>
      <w:bookmarkStart w:id="932" w:name="_Toc389065316"/>
      <w:r>
        <w:rPr>
          <w:rStyle w:val="32"/>
          <w:rFonts w:hint="eastAsia" w:ascii="Calibri" w:hAnsi="宋体" w:eastAsia="宋体" w:cs="黑体"/>
          <w:color w:val="auto"/>
          <w:sz w:val="28"/>
          <w:szCs w:val="28"/>
          <w:highlight w:val="none"/>
        </w:rPr>
        <w:t>12.3 计量</w:t>
      </w:r>
      <w:bookmarkEnd w:id="926"/>
      <w:bookmarkEnd w:id="927"/>
      <w:bookmarkEnd w:id="928"/>
      <w:bookmarkEnd w:id="929"/>
      <w:bookmarkEnd w:id="930"/>
      <w:bookmarkEnd w:id="931"/>
      <w:bookmarkEnd w:id="932"/>
    </w:p>
    <w:p w14:paraId="4E873F01">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12.3.1 </w:t>
      </w:r>
      <w:r>
        <w:rPr>
          <w:rStyle w:val="32"/>
          <w:rFonts w:hint="eastAsia" w:ascii="Calibri" w:hAnsi="宋体" w:eastAsia="宋体" w:cs="宋体"/>
          <w:color w:val="auto"/>
          <w:highlight w:val="none"/>
        </w:rPr>
        <w:t>计量原则</w:t>
      </w:r>
    </w:p>
    <w:p w14:paraId="6195B5D3">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工程量计算规则：</w:t>
      </w:r>
      <w:r>
        <w:rPr>
          <w:rStyle w:val="32"/>
          <w:rFonts w:hint="eastAsia" w:ascii="Calibri" w:hAnsi="宋体" w:eastAsia="宋体" w:cs="宋体"/>
          <w:color w:val="auto"/>
          <w:highlight w:val="none"/>
          <w:u w:val="single"/>
        </w:rPr>
        <w:t>工程的计量均以《建设工程工程量清单计价规范》（</w:t>
      </w:r>
      <w:r>
        <w:rPr>
          <w:rStyle w:val="32"/>
          <w:rFonts w:ascii="Calibri" w:hAnsi="Calibri" w:eastAsia="宋体" w:cs="Times New Roman"/>
          <w:color w:val="auto"/>
          <w:highlight w:val="none"/>
          <w:u w:val="single"/>
        </w:rPr>
        <w:t>GB50500</w:t>
      </w:r>
      <w:r>
        <w:rPr>
          <w:rStyle w:val="32"/>
          <w:rFonts w:hint="eastAsia" w:ascii="Calibri" w:hAnsi="宋体" w:eastAsia="宋体" w:cs="宋体"/>
          <w:color w:val="auto"/>
          <w:highlight w:val="none"/>
          <w:u w:val="single"/>
        </w:rPr>
        <w:t>－</w:t>
      </w:r>
      <w:r>
        <w:rPr>
          <w:rStyle w:val="32"/>
          <w:rFonts w:ascii="Calibri" w:hAnsi="Calibri" w:eastAsia="宋体" w:cs="Times New Roman"/>
          <w:color w:val="auto"/>
          <w:highlight w:val="none"/>
          <w:u w:val="single"/>
        </w:rPr>
        <w:t>2013</w:t>
      </w:r>
      <w:r>
        <w:rPr>
          <w:rStyle w:val="32"/>
          <w:rFonts w:hint="eastAsia" w:ascii="Calibri" w:hAnsi="宋体" w:eastAsia="宋体" w:cs="宋体"/>
          <w:color w:val="auto"/>
          <w:highlight w:val="none"/>
          <w:u w:val="single"/>
        </w:rPr>
        <w:t>）及广西壮族自治区实施细则、《建设工程工程量清单计算规范》（</w:t>
      </w:r>
      <w:r>
        <w:rPr>
          <w:rStyle w:val="32"/>
          <w:rFonts w:ascii="Calibri" w:hAnsi="Calibri" w:eastAsia="宋体" w:cs="Times New Roman"/>
          <w:color w:val="auto"/>
          <w:highlight w:val="none"/>
          <w:u w:val="single"/>
        </w:rPr>
        <w:t>GB50854~50862</w:t>
      </w:r>
      <w:r>
        <w:rPr>
          <w:rStyle w:val="32"/>
          <w:rFonts w:hint="eastAsia" w:ascii="Calibri" w:hAnsi="宋体" w:eastAsia="宋体" w:cs="宋体"/>
          <w:color w:val="auto"/>
          <w:highlight w:val="none"/>
          <w:u w:val="single"/>
        </w:rPr>
        <w:t>－</w:t>
      </w:r>
      <w:r>
        <w:rPr>
          <w:rStyle w:val="32"/>
          <w:rFonts w:ascii="Calibri" w:hAnsi="Calibri" w:eastAsia="宋体" w:cs="Times New Roman"/>
          <w:color w:val="auto"/>
          <w:highlight w:val="none"/>
          <w:u w:val="single"/>
        </w:rPr>
        <w:t>2013</w:t>
      </w:r>
      <w:r>
        <w:rPr>
          <w:rStyle w:val="32"/>
          <w:rFonts w:hint="eastAsia" w:ascii="Calibri" w:hAnsi="宋体" w:eastAsia="宋体" w:cs="宋体"/>
          <w:color w:val="auto"/>
          <w:highlight w:val="none"/>
          <w:u w:val="single"/>
        </w:rPr>
        <w:t>）及广西实施细则、本工程补充项目清单为准。</w:t>
      </w:r>
    </w:p>
    <w:p w14:paraId="59281386">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12.3.2 </w:t>
      </w:r>
      <w:r>
        <w:rPr>
          <w:rStyle w:val="32"/>
          <w:rFonts w:hint="eastAsia" w:ascii="Calibri" w:hAnsi="宋体" w:eastAsia="宋体" w:cs="宋体"/>
          <w:color w:val="auto"/>
          <w:highlight w:val="none"/>
        </w:rPr>
        <w:t>计量周期</w:t>
      </w:r>
    </w:p>
    <w:p w14:paraId="7573AD8F">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关于计量周期的约定：</w:t>
      </w:r>
      <w:r>
        <w:rPr>
          <w:rStyle w:val="32"/>
          <w:rFonts w:hint="eastAsia" w:ascii="Calibri" w:hAnsi="宋体" w:eastAsia="宋体" w:cs="宋体"/>
          <w:color w:val="auto"/>
          <w:highlight w:val="none"/>
          <w:u w:val="single"/>
        </w:rPr>
        <w:t>每月</w:t>
      </w:r>
      <w:r>
        <w:rPr>
          <w:rStyle w:val="32"/>
          <w:rFonts w:ascii="Calibri" w:hAnsi="Calibri" w:eastAsia="宋体" w:cs="Times New Roman"/>
          <w:color w:val="auto"/>
          <w:highlight w:val="none"/>
          <w:u w:val="single"/>
        </w:rPr>
        <w:t>25</w:t>
      </w:r>
      <w:r>
        <w:rPr>
          <w:rStyle w:val="32"/>
          <w:rFonts w:hint="eastAsia" w:ascii="Calibri" w:hAnsi="宋体" w:eastAsia="宋体" w:cs="宋体"/>
          <w:color w:val="auto"/>
          <w:highlight w:val="none"/>
          <w:u w:val="single"/>
        </w:rPr>
        <w:t>日前</w:t>
      </w:r>
      <w:r>
        <w:rPr>
          <w:rStyle w:val="32"/>
          <w:rFonts w:hint="eastAsia" w:ascii="Calibri" w:hAnsi="宋体" w:eastAsia="宋体" w:cs="宋体"/>
          <w:color w:val="auto"/>
          <w:highlight w:val="none"/>
        </w:rPr>
        <w:t>。</w:t>
      </w:r>
    </w:p>
    <w:p w14:paraId="7BE0AE54">
      <w:pPr>
        <w:pStyle w:val="78"/>
        <w:spacing w:line="360" w:lineRule="auto"/>
        <w:ind w:firstLine="420" w:firstLineChars="200"/>
        <w:jc w:val="left"/>
        <w:outlineLvl w:val="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12.3.3 </w:t>
      </w:r>
      <w:r>
        <w:rPr>
          <w:rStyle w:val="32"/>
          <w:rFonts w:hint="eastAsia" w:ascii="Calibri" w:hAnsi="宋体" w:eastAsia="宋体" w:cs="宋体"/>
          <w:color w:val="auto"/>
          <w:highlight w:val="none"/>
        </w:rPr>
        <w:t>单价合同的计量</w:t>
      </w:r>
    </w:p>
    <w:p w14:paraId="11744CC4">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关于单价合同计量的约定：</w:t>
      </w:r>
    </w:p>
    <w:p w14:paraId="2CDCDBDF">
      <w:pPr>
        <w:pStyle w:val="78"/>
        <w:spacing w:line="360" w:lineRule="auto"/>
        <w:ind w:firstLine="441" w:firstLineChars="21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 </w:t>
      </w:r>
      <w:r>
        <w:rPr>
          <w:rStyle w:val="32"/>
          <w:rFonts w:hint="eastAsia" w:ascii="Calibri" w:hAnsi="宋体" w:eastAsia="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0F50BDEA">
      <w:pPr>
        <w:pStyle w:val="78"/>
        <w:spacing w:line="360" w:lineRule="auto"/>
        <w:ind w:firstLine="441" w:firstLineChars="21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(2) </w:t>
      </w:r>
      <w:r>
        <w:rPr>
          <w:rStyle w:val="32"/>
          <w:rFonts w:hint="eastAsia" w:ascii="Calibri" w:hAnsi="宋体" w:eastAsia="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56051A7F">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12.3.4 </w:t>
      </w:r>
      <w:r>
        <w:rPr>
          <w:rStyle w:val="32"/>
          <w:rFonts w:hint="eastAsia" w:ascii="Calibri" w:hAnsi="宋体" w:eastAsia="宋体" w:cs="宋体"/>
          <w:color w:val="auto"/>
          <w:highlight w:val="none"/>
        </w:rPr>
        <w:t>总价合同的计量</w:t>
      </w:r>
    </w:p>
    <w:p w14:paraId="6112AB64">
      <w:pPr>
        <w:pStyle w:val="78"/>
        <w:spacing w:line="360" w:lineRule="auto"/>
        <w:ind w:firstLine="420" w:firstLineChars="200"/>
        <w:jc w:val="left"/>
        <w:rPr>
          <w:rStyle w:val="32"/>
          <w:rFonts w:ascii="Calibri" w:hAnsi="Calibri" w:eastAsia="宋体" w:cs="宋体"/>
          <w:color w:val="auto"/>
          <w:highlight w:val="none"/>
        </w:rPr>
      </w:pPr>
      <w:r>
        <w:rPr>
          <w:rStyle w:val="32"/>
          <w:rFonts w:hint="eastAsia" w:ascii="Calibri" w:hAnsi="宋体" w:eastAsia="宋体" w:cs="宋体"/>
          <w:color w:val="auto"/>
          <w:highlight w:val="none"/>
        </w:rPr>
        <w:t>（1）总价合同计量约定：进度款按支付分解表支付</w:t>
      </w:r>
      <w:r>
        <w:rPr>
          <w:rStyle w:val="32"/>
          <w:rFonts w:hint="eastAsia" w:ascii="宋体" w:hAnsi="宋体" w:eastAsia="宋体" w:cs="宋体"/>
          <w:color w:val="auto"/>
          <w:kern w:val="0"/>
          <w:highlight w:val="none"/>
        </w:rPr>
        <w:t>，</w:t>
      </w:r>
      <w:r>
        <w:rPr>
          <w:rStyle w:val="32"/>
          <w:rFonts w:hint="eastAsia" w:ascii="Calibri" w:hAnsi="Calibri" w:eastAsia="宋体" w:cs="宋体"/>
          <w:color w:val="auto"/>
          <w:highlight w:val="none"/>
        </w:rPr>
        <w:t>支付分解表在招标完成后签合同之前制定，具体详见本专用合同条款12.4.6。</w:t>
      </w:r>
    </w:p>
    <w:p w14:paraId="792D9C9E">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12.3.6 </w:t>
      </w:r>
      <w:r>
        <w:rPr>
          <w:rStyle w:val="32"/>
          <w:rFonts w:hint="eastAsia" w:ascii="Calibri" w:hAnsi="宋体" w:eastAsia="宋体" w:cs="宋体"/>
          <w:color w:val="auto"/>
          <w:highlight w:val="none"/>
        </w:rPr>
        <w:t>其他价格形式合同的计量</w:t>
      </w:r>
    </w:p>
    <w:p w14:paraId="707B31C3">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其他价格形式的计量方式和程序：</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F6D2970">
      <w:pPr>
        <w:pStyle w:val="99"/>
        <w:spacing w:before="0" w:after="0" w:line="360" w:lineRule="auto"/>
        <w:rPr>
          <w:rStyle w:val="32"/>
          <w:rFonts w:hint="eastAsia" w:ascii="Calibri" w:hAnsi="宋体" w:eastAsia="宋体" w:cs="黑体"/>
          <w:color w:val="auto"/>
          <w:sz w:val="28"/>
          <w:szCs w:val="28"/>
          <w:highlight w:val="none"/>
        </w:rPr>
      </w:pPr>
      <w:bookmarkStart w:id="933" w:name="_Toc373478399"/>
      <w:bookmarkStart w:id="934" w:name="_Toc373227752"/>
      <w:bookmarkStart w:id="935" w:name="_Toc1155368667"/>
      <w:bookmarkStart w:id="936" w:name="_Toc1711431123"/>
      <w:bookmarkStart w:id="937" w:name="_Toc78449841"/>
      <w:bookmarkStart w:id="938" w:name="_Toc389065317"/>
      <w:bookmarkStart w:id="939" w:name="_Toc407135255"/>
      <w:r>
        <w:rPr>
          <w:rStyle w:val="32"/>
          <w:rFonts w:hint="eastAsia" w:ascii="Calibri" w:hAnsi="宋体" w:eastAsia="宋体" w:cs="黑体"/>
          <w:color w:val="auto"/>
          <w:sz w:val="28"/>
          <w:szCs w:val="28"/>
          <w:highlight w:val="none"/>
        </w:rPr>
        <w:t>12.4 工程进度款支付</w:t>
      </w:r>
      <w:bookmarkEnd w:id="933"/>
      <w:bookmarkEnd w:id="934"/>
      <w:bookmarkEnd w:id="935"/>
      <w:bookmarkEnd w:id="936"/>
      <w:bookmarkEnd w:id="937"/>
      <w:bookmarkEnd w:id="938"/>
      <w:bookmarkEnd w:id="939"/>
    </w:p>
    <w:p w14:paraId="562AC05C">
      <w:pPr>
        <w:pStyle w:val="78"/>
        <w:spacing w:line="400" w:lineRule="exact"/>
        <w:ind w:firstLine="420" w:firstLineChars="200"/>
        <w:jc w:val="left"/>
        <w:rPr>
          <w:rStyle w:val="32"/>
          <w:rFonts w:ascii="Calibri" w:hAnsi="Calibri" w:eastAsia="宋体" w:cs="Times New Roman"/>
          <w:color w:val="auto"/>
          <w:szCs w:val="21"/>
          <w:highlight w:val="none"/>
        </w:rPr>
      </w:pPr>
      <w:bookmarkStart w:id="940" w:name="_Toc297048397"/>
      <w:bookmarkStart w:id="941" w:name="_Toc296891039"/>
      <w:bookmarkStart w:id="942" w:name="_Toc297120511"/>
      <w:bookmarkStart w:id="943" w:name="_Toc297123556"/>
      <w:bookmarkStart w:id="944" w:name="_Toc296944550"/>
      <w:bookmarkStart w:id="945" w:name="_Toc296346712"/>
      <w:bookmarkStart w:id="946" w:name="_Toc297216215"/>
      <w:bookmarkStart w:id="947" w:name="_Toc303539163"/>
      <w:bookmarkStart w:id="948" w:name="_Toc296891251"/>
      <w:bookmarkStart w:id="949" w:name="_Toc292559416"/>
      <w:bookmarkStart w:id="950" w:name="_Toc292559921"/>
      <w:bookmarkStart w:id="951" w:name="_Toc300935006"/>
      <w:bookmarkStart w:id="952" w:name="_Toc296503211"/>
      <w:bookmarkStart w:id="953" w:name="_Toc296347210"/>
      <w:r>
        <w:rPr>
          <w:rStyle w:val="32"/>
          <w:rFonts w:ascii="宋体" w:hAnsi="宋体" w:eastAsia="宋体" w:cs="宋体"/>
          <w:color w:val="auto"/>
          <w:kern w:val="0"/>
          <w:sz w:val="21"/>
          <w:szCs w:val="21"/>
          <w:highlight w:val="none"/>
          <w:lang w:val="en-US" w:eastAsia="zh-CN" w:bidi="ar"/>
        </w:rPr>
        <w:t>政府机关、事业单位、国有企业建设工程进度款支付应不低于已完成工程价款的</w:t>
      </w:r>
      <w:r>
        <w:rPr>
          <w:rStyle w:val="32"/>
          <w:rFonts w:hint="eastAsia" w:ascii="宋体" w:hAnsi="宋体" w:cs="宋体"/>
          <w:color w:val="auto"/>
          <w:kern w:val="0"/>
          <w:sz w:val="21"/>
          <w:szCs w:val="21"/>
          <w:highlight w:val="none"/>
          <w:lang w:val="en-US" w:eastAsia="zh-CN" w:bidi="ar"/>
        </w:rPr>
        <w:t>80</w:t>
      </w:r>
      <w:r>
        <w:rPr>
          <w:rStyle w:val="32"/>
          <w:rFonts w:ascii="宋体" w:hAnsi="宋体" w:eastAsia="宋体" w:cs="宋体"/>
          <w:color w:val="auto"/>
          <w:kern w:val="0"/>
          <w:sz w:val="21"/>
          <w:szCs w:val="21"/>
          <w:highlight w:val="none"/>
          <w:lang w:val="en-US" w:eastAsia="zh-CN" w:bidi="ar"/>
        </w:rPr>
        <w:t>%；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r>
        <w:rPr>
          <w:rStyle w:val="32"/>
          <w:rFonts w:hint="eastAsia" w:ascii="宋体" w:hAnsi="宋体" w:eastAsia="宋体" w:cs="宋体"/>
          <w:color w:val="auto"/>
          <w:kern w:val="0"/>
          <w:sz w:val="21"/>
          <w:szCs w:val="21"/>
          <w:highlight w:val="none"/>
          <w:lang w:val="en-US" w:eastAsia="zh-CN" w:bidi="ar"/>
        </w:rPr>
        <w:t>。</w:t>
      </w:r>
    </w:p>
    <w:p w14:paraId="3E5FD36C">
      <w:pPr>
        <w:pStyle w:val="78"/>
        <w:spacing w:line="360" w:lineRule="auto"/>
        <w:ind w:firstLine="420" w:firstLineChars="200"/>
        <w:jc w:val="left"/>
        <w:rPr>
          <w:rStyle w:val="32"/>
          <w:rFonts w:hint="eastAsia" w:ascii="Calibri" w:hAnsi="宋体" w:eastAsia="宋体" w:cs="宋体"/>
          <w:color w:val="auto"/>
          <w:szCs w:val="21"/>
          <w:highlight w:val="none"/>
        </w:rPr>
      </w:pPr>
      <w:r>
        <w:rPr>
          <w:rStyle w:val="32"/>
          <w:rFonts w:ascii="Calibri" w:hAnsi="Calibri" w:eastAsia="宋体" w:cs="Times New Roman"/>
          <w:color w:val="auto"/>
          <w:szCs w:val="21"/>
          <w:highlight w:val="none"/>
        </w:rPr>
        <w:t xml:space="preserve">12.4.1 </w:t>
      </w:r>
      <w:r>
        <w:rPr>
          <w:rStyle w:val="32"/>
          <w:rFonts w:hint="eastAsia" w:ascii="Calibri" w:hAnsi="宋体" w:eastAsia="宋体" w:cs="宋体"/>
          <w:color w:val="auto"/>
          <w:szCs w:val="21"/>
          <w:highlight w:val="none"/>
        </w:rPr>
        <w:t>付款周期</w:t>
      </w:r>
    </w:p>
    <w:p w14:paraId="03CC7FB4">
      <w:pPr>
        <w:pStyle w:val="78"/>
        <w:spacing w:line="400" w:lineRule="exact"/>
        <w:ind w:firstLine="420" w:firstLineChars="200"/>
        <w:jc w:val="left"/>
        <w:rPr>
          <w:rStyle w:val="32"/>
          <w:rFonts w:hint="eastAsia" w:ascii="宋体" w:hAnsi="宋体" w:cs="宋体"/>
          <w:color w:val="auto"/>
          <w:kern w:val="0"/>
          <w:sz w:val="21"/>
          <w:szCs w:val="21"/>
          <w:highlight w:val="none"/>
          <w:u w:val="single"/>
          <w:lang w:val="en-US" w:eastAsia="zh-CN" w:bidi="ar"/>
        </w:rPr>
      </w:pPr>
      <w:r>
        <w:rPr>
          <w:rStyle w:val="32"/>
          <w:rFonts w:hint="eastAsia" w:ascii="宋体" w:hAnsi="宋体" w:cs="宋体"/>
          <w:color w:val="auto"/>
          <w:kern w:val="0"/>
          <w:sz w:val="21"/>
          <w:szCs w:val="21"/>
          <w:highlight w:val="none"/>
          <w:u w:val="single"/>
          <w:lang w:val="en-US" w:eastAsia="zh-CN" w:bidi="ar"/>
        </w:rPr>
        <w:t>1.</w:t>
      </w:r>
      <w:r>
        <w:rPr>
          <w:rStyle w:val="32"/>
          <w:rFonts w:hint="eastAsia" w:ascii="宋体" w:hAnsi="宋体" w:eastAsia="宋体" w:cs="宋体"/>
          <w:color w:val="auto"/>
          <w:kern w:val="0"/>
          <w:sz w:val="21"/>
          <w:szCs w:val="21"/>
          <w:highlight w:val="none"/>
          <w:u w:val="single"/>
          <w:lang w:val="en-US" w:eastAsia="zh-CN" w:bidi="ar"/>
        </w:rPr>
        <w:t>工程款原则上按月支付，合同内进度款支付限额为已完成工程量的80%；</w:t>
      </w:r>
      <w:r>
        <w:rPr>
          <w:rStyle w:val="32"/>
          <w:rFonts w:hint="eastAsia" w:ascii="宋体" w:hAnsi="宋体" w:cs="宋体"/>
          <w:color w:val="auto"/>
          <w:kern w:val="0"/>
          <w:sz w:val="21"/>
          <w:szCs w:val="21"/>
          <w:highlight w:val="none"/>
          <w:u w:val="single"/>
          <w:lang w:val="en-US" w:eastAsia="zh-CN" w:bidi="ar"/>
        </w:rPr>
        <w:t>合同外</w:t>
      </w:r>
      <w:r>
        <w:rPr>
          <w:rStyle w:val="32"/>
          <w:rFonts w:hint="eastAsia" w:ascii="宋体" w:hAnsi="宋体" w:eastAsia="宋体" w:cs="宋体"/>
          <w:color w:val="auto"/>
          <w:kern w:val="0"/>
          <w:sz w:val="21"/>
          <w:szCs w:val="21"/>
          <w:highlight w:val="none"/>
          <w:u w:val="single"/>
          <w:lang w:val="en-US" w:eastAsia="zh-CN" w:bidi="ar"/>
        </w:rPr>
        <w:t>进度款待工程竣工结算审定后支付</w:t>
      </w:r>
      <w:r>
        <w:rPr>
          <w:rStyle w:val="32"/>
          <w:rFonts w:hint="eastAsia" w:ascii="宋体" w:hAnsi="宋体" w:cs="宋体"/>
          <w:color w:val="auto"/>
          <w:kern w:val="0"/>
          <w:sz w:val="21"/>
          <w:szCs w:val="21"/>
          <w:highlight w:val="none"/>
          <w:u w:val="single"/>
          <w:lang w:val="en-US" w:eastAsia="zh-CN" w:bidi="ar"/>
        </w:rPr>
        <w:t>。</w:t>
      </w:r>
    </w:p>
    <w:p w14:paraId="38D64547">
      <w:pPr>
        <w:pStyle w:val="78"/>
        <w:spacing w:line="400" w:lineRule="exact"/>
        <w:ind w:firstLine="420" w:firstLineChars="200"/>
        <w:jc w:val="left"/>
        <w:rPr>
          <w:rStyle w:val="32"/>
          <w:rFonts w:hint="eastAsia" w:ascii="宋体" w:hAnsi="宋体" w:cs="宋体"/>
          <w:color w:val="auto"/>
          <w:kern w:val="0"/>
          <w:sz w:val="21"/>
          <w:szCs w:val="21"/>
          <w:highlight w:val="none"/>
          <w:u w:val="single"/>
          <w:lang w:val="en-US" w:eastAsia="zh-CN" w:bidi="ar"/>
        </w:rPr>
      </w:pPr>
      <w:r>
        <w:rPr>
          <w:rStyle w:val="32"/>
          <w:rFonts w:hint="eastAsia" w:ascii="宋体" w:hAnsi="宋体" w:cs="宋体"/>
          <w:color w:val="auto"/>
          <w:kern w:val="0"/>
          <w:sz w:val="21"/>
          <w:szCs w:val="21"/>
          <w:highlight w:val="none"/>
          <w:u w:val="single"/>
          <w:lang w:val="en-US" w:eastAsia="zh-CN" w:bidi="ar"/>
        </w:rPr>
        <w:t>2.工程完工验收达到质量要求，竣工结算经发包人及财政、审计等主管部门审定后，</w:t>
      </w:r>
      <w:r>
        <w:rPr>
          <w:rFonts w:hint="eastAsia" w:ascii="宋体" w:hAnsi="宋体" w:cs="宋体"/>
          <w:color w:val="auto"/>
          <w:kern w:val="0"/>
          <w:szCs w:val="21"/>
          <w:u w:val="single"/>
          <w:lang w:bidi="ar"/>
        </w:rPr>
        <w:t>工程款累计</w:t>
      </w:r>
      <w:r>
        <w:rPr>
          <w:rStyle w:val="32"/>
          <w:rFonts w:hint="eastAsia" w:ascii="宋体" w:hAnsi="宋体" w:cs="宋体"/>
          <w:color w:val="auto"/>
          <w:kern w:val="0"/>
          <w:sz w:val="21"/>
          <w:szCs w:val="21"/>
          <w:highlight w:val="none"/>
          <w:u w:val="single"/>
          <w:lang w:val="en-US" w:eastAsia="zh-CN" w:bidi="ar"/>
        </w:rPr>
        <w:t>支付至审定结算总价的97%(</w:t>
      </w:r>
      <w:r>
        <w:rPr>
          <w:rFonts w:hint="eastAsia" w:ascii="宋体" w:hAnsi="宋体" w:cs="宋体"/>
          <w:color w:val="auto"/>
          <w:kern w:val="0"/>
          <w:szCs w:val="21"/>
          <w:u w:val="single"/>
          <w:lang w:bidi="ar"/>
        </w:rPr>
        <w:t>含已支付全部</w:t>
      </w:r>
      <w:r>
        <w:rPr>
          <w:rFonts w:hint="eastAsia" w:ascii="宋体" w:hAnsi="宋体" w:cs="宋体"/>
          <w:color w:val="auto"/>
          <w:kern w:val="0"/>
          <w:szCs w:val="21"/>
          <w:u w:val="single"/>
          <w:lang w:val="en-US" w:eastAsia="zh-CN" w:bidi="ar"/>
        </w:rPr>
        <w:t>款项</w:t>
      </w:r>
      <w:r>
        <w:rPr>
          <w:rStyle w:val="32"/>
          <w:rFonts w:hint="eastAsia" w:ascii="宋体" w:hAnsi="宋体" w:cs="宋体"/>
          <w:color w:val="auto"/>
          <w:kern w:val="0"/>
          <w:sz w:val="21"/>
          <w:szCs w:val="21"/>
          <w:highlight w:val="none"/>
          <w:u w:val="single"/>
          <w:lang w:val="en-US" w:eastAsia="zh-CN" w:bidi="ar"/>
        </w:rPr>
        <w:t>)。发包人按工程价款结算总额的3%预留工程质量保证金(无息)。</w:t>
      </w:r>
    </w:p>
    <w:p w14:paraId="38FF0950">
      <w:pPr>
        <w:pStyle w:val="78"/>
        <w:spacing w:line="400" w:lineRule="exact"/>
        <w:ind w:firstLine="420" w:firstLineChars="200"/>
        <w:jc w:val="left"/>
        <w:rPr>
          <w:rStyle w:val="32"/>
          <w:rFonts w:ascii="宋体" w:hAnsi="宋体" w:eastAsia="宋体" w:cs="宋体"/>
          <w:color w:val="auto"/>
          <w:kern w:val="0"/>
          <w:sz w:val="21"/>
          <w:szCs w:val="21"/>
          <w:highlight w:val="none"/>
          <w:lang w:val="en-US" w:eastAsia="zh-CN" w:bidi="ar"/>
        </w:rPr>
      </w:pPr>
      <w:r>
        <w:rPr>
          <w:rStyle w:val="32"/>
          <w:rFonts w:hint="eastAsia" w:ascii="宋体" w:hAnsi="宋体" w:cs="宋体"/>
          <w:color w:val="auto"/>
          <w:kern w:val="0"/>
          <w:sz w:val="21"/>
          <w:szCs w:val="21"/>
          <w:highlight w:val="none"/>
          <w:u w:val="single"/>
          <w:lang w:val="en-US" w:eastAsia="zh-CN" w:bidi="ar"/>
        </w:rPr>
        <w:t>3.</w:t>
      </w:r>
      <w:r>
        <w:rPr>
          <w:rStyle w:val="32"/>
          <w:rFonts w:hint="eastAsia" w:ascii="宋体" w:hAnsi="宋体" w:eastAsia="宋体" w:cs="宋体"/>
          <w:color w:val="auto"/>
          <w:kern w:val="0"/>
          <w:sz w:val="21"/>
          <w:szCs w:val="21"/>
          <w:highlight w:val="none"/>
          <w:u w:val="single"/>
          <w:lang w:val="en-US" w:eastAsia="zh-CN" w:bidi="ar"/>
        </w:rPr>
        <w:t>合同约定的工程质量缺陷责任期(最长不超过2年)满后由承包人向发包人提出返还保证金的申请，发包人在接到承包人返还保证金申请后，于14天内会同承包人按照合同专用条款15.3约定的内容进行核实。如无异议，发包人获得上级有关部门拨款后7个工作日内将保证金(无息)返还承包人。</w:t>
      </w:r>
    </w:p>
    <w:p w14:paraId="38F2C571">
      <w:pPr>
        <w:pStyle w:val="78"/>
        <w:spacing w:line="400" w:lineRule="exact"/>
        <w:ind w:firstLine="420" w:firstLineChars="200"/>
        <w:jc w:val="left"/>
        <w:rPr>
          <w:rStyle w:val="32"/>
          <w:rFonts w:hint="eastAsia" w:ascii="宋体" w:hAnsi="宋体" w:eastAsia="宋体" w:cs="宋体"/>
          <w:color w:val="auto"/>
          <w:kern w:val="0"/>
          <w:sz w:val="21"/>
          <w:szCs w:val="21"/>
          <w:highlight w:val="none"/>
          <w:lang w:val="en-US" w:eastAsia="zh-CN" w:bidi="ar"/>
        </w:rPr>
      </w:pPr>
      <w:r>
        <w:rPr>
          <w:rStyle w:val="32"/>
          <w:rFonts w:hint="eastAsia" w:ascii="宋体" w:hAnsi="宋体" w:eastAsia="宋体" w:cs="宋体"/>
          <w:color w:val="auto"/>
          <w:kern w:val="0"/>
          <w:sz w:val="21"/>
          <w:szCs w:val="21"/>
          <w:highlight w:val="none"/>
          <w:lang w:val="en-US" w:eastAsia="zh-CN" w:bidi="ar"/>
        </w:rPr>
        <w:t>每次付款前，承包人需开具合法有效的发票，否则发包人有权不予付款且不承担违约责任，视为付款时间相应顺延，发包人扣除约定比例的质量保证金，不影响承包人按结算价全额开具发票，即在支付工程结算款97%时提供全额尾款发票，包含质量保证金发票。</w:t>
      </w:r>
    </w:p>
    <w:p w14:paraId="352FA110">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12.4.2 </w:t>
      </w:r>
      <w:r>
        <w:rPr>
          <w:rStyle w:val="32"/>
          <w:rFonts w:hint="eastAsia" w:ascii="Calibri" w:hAnsi="宋体" w:eastAsia="宋体" w:cs="宋体"/>
          <w:color w:val="auto"/>
          <w:highlight w:val="none"/>
        </w:rPr>
        <w:t>进度付款申请单的编制</w:t>
      </w:r>
    </w:p>
    <w:p w14:paraId="30C37A8A">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关于进度付款申请单编制的约定：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根据发包人的要求进行编制</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A298176">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1</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Pr>
          <w:rStyle w:val="32"/>
          <w:rFonts w:ascii="Calibri" w:hAnsi="Calibri" w:eastAsia="宋体" w:cs="Times New Roman"/>
          <w:color w:val="auto"/>
          <w:highlight w:val="none"/>
        </w:rPr>
        <w:t xml:space="preserve">2.4.3 </w:t>
      </w:r>
      <w:r>
        <w:rPr>
          <w:rStyle w:val="32"/>
          <w:rFonts w:hint="eastAsia" w:ascii="Calibri" w:hAnsi="宋体" w:eastAsia="宋体" w:cs="宋体"/>
          <w:color w:val="auto"/>
          <w:highlight w:val="none"/>
        </w:rPr>
        <w:t>进度付款申请单的提交</w:t>
      </w:r>
    </w:p>
    <w:p w14:paraId="58AE74E7">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1</w:t>
      </w:r>
      <w:r>
        <w:rPr>
          <w:rStyle w:val="32"/>
          <w:rFonts w:hint="eastAsia" w:ascii="Calibri" w:hAnsi="宋体" w:eastAsia="宋体" w:cs="宋体"/>
          <w:color w:val="auto"/>
          <w:highlight w:val="none"/>
        </w:rPr>
        <w:t>）单价合同进度付款申请单提交的约定：</w:t>
      </w:r>
      <w:r>
        <w:rPr>
          <w:rStyle w:val="32"/>
          <w:rFonts w:hint="eastAsia" w:ascii="Calibri" w:hAnsi="宋体" w:eastAsia="宋体" w:cs="宋体"/>
          <w:color w:val="auto"/>
          <w:highlight w:val="none"/>
          <w:u w:val="single"/>
          <w:lang w:val="en-US" w:eastAsia="zh-CN"/>
        </w:rPr>
        <w:t xml:space="preserve"> 申请工程进度款时，承包人应配合发包人提供以下资料①《工程用款支付证书》；②已完工程量计算书；③监理审核计算书；④其他需要补充说明的材料；⑤若乙方帐户变动，则须提交账户变更信息 </w:t>
      </w:r>
      <w:r>
        <w:rPr>
          <w:rStyle w:val="32"/>
          <w:rFonts w:hint="eastAsia" w:ascii="Calibri" w:hAnsi="宋体" w:eastAsia="宋体" w:cs="宋体"/>
          <w:color w:val="auto"/>
          <w:highlight w:val="none"/>
        </w:rPr>
        <w:t>。</w:t>
      </w:r>
    </w:p>
    <w:p w14:paraId="38963E63">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2</w:t>
      </w:r>
      <w:r>
        <w:rPr>
          <w:rStyle w:val="32"/>
          <w:rFonts w:hint="eastAsia" w:ascii="Calibri" w:hAnsi="宋体" w:eastAsia="宋体" w:cs="宋体"/>
          <w:color w:val="auto"/>
          <w:highlight w:val="none"/>
        </w:rPr>
        <w:t>）总价合同进度付款申请单提交的约定：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490DC33F">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3</w:t>
      </w:r>
      <w:r>
        <w:rPr>
          <w:rStyle w:val="32"/>
          <w:rFonts w:hint="eastAsia" w:ascii="Calibri" w:hAnsi="宋体" w:eastAsia="宋体" w:cs="宋体"/>
          <w:color w:val="auto"/>
          <w:highlight w:val="none"/>
        </w:rPr>
        <w:t>）其他价格形式合同进度付款申请单提交的约定：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44D0D0D2">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12.4.4 </w:t>
      </w:r>
      <w:r>
        <w:rPr>
          <w:rStyle w:val="32"/>
          <w:rFonts w:hint="eastAsia" w:ascii="Calibri" w:hAnsi="宋体" w:eastAsia="宋体" w:cs="宋体"/>
          <w:color w:val="auto"/>
          <w:highlight w:val="none"/>
        </w:rPr>
        <w:t>进度款审核和支付</w:t>
      </w:r>
    </w:p>
    <w:p w14:paraId="4963554F">
      <w:pPr>
        <w:pStyle w:val="78"/>
        <w:spacing w:line="360" w:lineRule="auto"/>
        <w:ind w:firstLine="420" w:firstLineChars="200"/>
        <w:jc w:val="left"/>
        <w:rPr>
          <w:rStyle w:val="32"/>
          <w:rFonts w:hint="eastAsia" w:ascii="Calibri" w:hAnsi="Calibri" w:eastAsia="宋体" w:cs="Times New Roman"/>
          <w:color w:val="auto"/>
          <w:highlight w:val="none"/>
          <w:u w:val="singl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1</w:t>
      </w:r>
      <w:r>
        <w:rPr>
          <w:rStyle w:val="32"/>
          <w:rFonts w:hint="eastAsia" w:ascii="Calibri" w:hAnsi="宋体" w:eastAsia="宋体" w:cs="宋体"/>
          <w:color w:val="auto"/>
          <w:highlight w:val="none"/>
        </w:rPr>
        <w:t>）监理人审查并报送发包人的期限：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监理人应在收到承包人进度付款申请单以及相关资料之日起 7 天内完成审查并报送发包人</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32750C94">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发包人完成审批并签发进度款支付证书的期限：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发包人应在收到监理人审查通过的承包人进度付款申请单以及相关资料后及时按要求完成审批并签发进度款审批表</w:t>
      </w:r>
      <w:r>
        <w:rPr>
          <w:rStyle w:val="32"/>
          <w:rFonts w:hint="eastAsia" w:ascii="Calibri" w:hAnsi="宋体" w:eastAsia="宋体" w:cs="宋体"/>
          <w:color w:val="auto"/>
          <w:highlight w:val="none"/>
        </w:rPr>
        <w:t>。</w:t>
      </w:r>
    </w:p>
    <w:p w14:paraId="7C0FA07E">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2</w:t>
      </w:r>
      <w:r>
        <w:rPr>
          <w:rStyle w:val="32"/>
          <w:rFonts w:hint="eastAsia" w:ascii="Calibri" w:hAnsi="宋体" w:eastAsia="宋体" w:cs="宋体"/>
          <w:color w:val="auto"/>
          <w:highlight w:val="none"/>
        </w:rPr>
        <w:t>）发包人支付进度款的期限：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发包人应在进度款支付证书签发后</w:t>
      </w:r>
      <w:r>
        <w:rPr>
          <w:rStyle w:val="32"/>
          <w:rFonts w:hint="eastAsia" w:cs="Times New Roman"/>
          <w:color w:val="auto"/>
          <w:highlight w:val="none"/>
          <w:u w:val="single"/>
          <w:lang w:val="en-US" w:eastAsia="zh-CN"/>
        </w:rPr>
        <w:t>30日内</w:t>
      </w:r>
      <w:r>
        <w:rPr>
          <w:rStyle w:val="32"/>
          <w:rFonts w:hint="eastAsia" w:ascii="Times New Roman" w:hAnsi="Times New Roman" w:eastAsia="宋体" w:cs="Times New Roman"/>
          <w:color w:val="auto"/>
          <w:highlight w:val="none"/>
          <w:u w:val="single"/>
        </w:rPr>
        <w:t>支付</w:t>
      </w:r>
      <w:r>
        <w:rPr>
          <w:rStyle w:val="32"/>
          <w:rFonts w:hint="eastAsia" w:ascii="Times New Roman" w:hAnsi="Times New Roman" w:cs="Times New Roman"/>
          <w:color w:val="auto"/>
          <w:highlight w:val="none"/>
          <w:u w:val="single"/>
          <w:lang w:eastAsia="zh-CN"/>
        </w:rPr>
        <w:t>，</w:t>
      </w:r>
      <w:r>
        <w:rPr>
          <w:rStyle w:val="32"/>
          <w:rFonts w:ascii="Times New Roman" w:hAnsi="Times New Roman" w:cs="Times New Roman"/>
          <w:color w:val="auto"/>
          <w:highlight w:val="none"/>
          <w:u w:val="single"/>
        </w:rPr>
        <w:t>所有进度款支付均须以发包人、监理单位现场核验合格工程量为依据，不合格工程量不予计量不予支付</w:t>
      </w:r>
      <w:r>
        <w:rPr>
          <w:rStyle w:val="32"/>
          <w:rFonts w:hint="eastAsia" w:ascii="Calibri" w:hAnsi="宋体" w:eastAsia="宋体" w:cs="宋体"/>
          <w:color w:val="auto"/>
          <w:highlight w:val="none"/>
        </w:rPr>
        <w:t>。</w:t>
      </w:r>
    </w:p>
    <w:p w14:paraId="07231AAA">
      <w:pPr>
        <w:pStyle w:val="78"/>
        <w:spacing w:line="360" w:lineRule="auto"/>
        <w:ind w:firstLine="525" w:firstLineChars="25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发包人逾期支付进度款的违约金的计算方式：</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95117DC">
      <w:pPr>
        <w:pStyle w:val="78"/>
        <w:spacing w:line="360" w:lineRule="auto"/>
        <w:ind w:firstLine="630" w:firstLineChars="300"/>
        <w:rPr>
          <w:rStyle w:val="32"/>
          <w:rFonts w:ascii="Calibri" w:hAnsi="宋体" w:eastAsia="宋体" w:cs="宋体"/>
          <w:color w:val="auto"/>
          <w:highlight w:val="none"/>
        </w:rPr>
      </w:pPr>
      <w:r>
        <w:rPr>
          <w:rStyle w:val="32"/>
          <w:rFonts w:hint="eastAsia" w:ascii="Calibri" w:hAnsi="宋体" w:eastAsia="宋体" w:cs="宋体"/>
          <w:color w:val="auto"/>
          <w:highlight w:val="none"/>
        </w:rPr>
        <w:t>进度款支付方式：</w:t>
      </w:r>
      <w:r>
        <w:rPr>
          <w:rStyle w:val="32"/>
          <w:rFonts w:hint="eastAsia" w:ascii="Calibri" w:hAnsi="宋体" w:eastAsia="宋体" w:cs="宋体"/>
          <w:color w:val="auto"/>
          <w:highlight w:val="none"/>
          <w:u w:val="single"/>
        </w:rPr>
        <w:t>银行转账</w:t>
      </w:r>
      <w:r>
        <w:rPr>
          <w:rStyle w:val="32"/>
          <w:rFonts w:hint="eastAsia" w:ascii="Calibri" w:hAnsi="宋体" w:eastAsia="宋体" w:cs="宋体"/>
          <w:color w:val="auto"/>
          <w:highlight w:val="none"/>
        </w:rPr>
        <w:t>。</w:t>
      </w:r>
    </w:p>
    <w:p w14:paraId="2F2B60B9">
      <w:pPr>
        <w:pStyle w:val="78"/>
        <w:spacing w:line="360" w:lineRule="auto"/>
        <w:ind w:firstLine="525" w:firstLineChars="250"/>
        <w:jc w:val="left"/>
        <w:rPr>
          <w:rStyle w:val="32"/>
          <w:rFonts w:ascii="Calibri" w:hAnsi="宋体" w:eastAsia="宋体" w:cs="Times New Roman"/>
          <w:color w:val="auto"/>
          <w:highlight w:val="none"/>
        </w:rPr>
      </w:pPr>
      <w:r>
        <w:rPr>
          <w:rStyle w:val="32"/>
          <w:rFonts w:ascii="Calibri" w:hAnsi="Calibri" w:eastAsia="宋体" w:cs="Times New Roman"/>
          <w:color w:val="auto"/>
          <w:highlight w:val="none"/>
        </w:rPr>
        <w:t xml:space="preserve">12.4.6 </w:t>
      </w:r>
      <w:r>
        <w:rPr>
          <w:rStyle w:val="32"/>
          <w:rFonts w:hint="eastAsia" w:ascii="Calibri" w:hAnsi="宋体" w:eastAsia="宋体" w:cs="宋体"/>
          <w:color w:val="auto"/>
          <w:highlight w:val="none"/>
        </w:rPr>
        <w:t>支付分解表的编制</w:t>
      </w:r>
    </w:p>
    <w:p w14:paraId="20BF39FF">
      <w:pPr>
        <w:pStyle w:val="78"/>
        <w:spacing w:line="360" w:lineRule="auto"/>
        <w:ind w:firstLine="525" w:firstLineChars="250"/>
        <w:jc w:val="left"/>
        <w:rPr>
          <w:rStyle w:val="32"/>
          <w:rFonts w:ascii="Calibri" w:hAnsi="Calibri" w:eastAsia="宋体" w:cs="Times New Roman"/>
          <w:color w:val="auto"/>
          <w:highlight w:val="none"/>
          <w:u w:val="none"/>
        </w:rPr>
      </w:pPr>
      <w:r>
        <w:rPr>
          <w:rStyle w:val="32"/>
          <w:rFonts w:hint="eastAsia" w:ascii="Calibri" w:hAnsi="Calibri" w:eastAsia="宋体" w:cs="Times New Roman"/>
          <w:color w:val="auto"/>
          <w:highlight w:val="none"/>
        </w:rPr>
        <w:t>（</w:t>
      </w:r>
      <w:r>
        <w:rPr>
          <w:rStyle w:val="32"/>
          <w:rFonts w:ascii="Calibri" w:hAnsi="Calibri" w:eastAsia="宋体" w:cs="Times New Roman"/>
          <w:color w:val="auto"/>
          <w:highlight w:val="none"/>
        </w:rPr>
        <w:t>1</w:t>
      </w:r>
      <w:r>
        <w:rPr>
          <w:rStyle w:val="32"/>
          <w:rFonts w:hint="eastAsia" w:ascii="Calibri" w:hAnsi="Calibri" w:eastAsia="宋体" w:cs="Times New Roman"/>
          <w:color w:val="auto"/>
          <w:highlight w:val="none"/>
        </w:rPr>
        <w:t>）</w:t>
      </w:r>
      <w:r>
        <w:rPr>
          <w:rStyle w:val="32"/>
          <w:rFonts w:ascii="Calibri" w:hAnsi="宋体" w:eastAsia="宋体" w:cs="Times New Roman"/>
          <w:color w:val="auto"/>
          <w:highlight w:val="none"/>
        </w:rPr>
        <w:t xml:space="preserve"> </w:t>
      </w:r>
      <w:r>
        <w:rPr>
          <w:rStyle w:val="32"/>
          <w:rFonts w:hint="eastAsia" w:ascii="Calibri" w:hAnsi="宋体" w:eastAsia="宋体" w:cs="宋体"/>
          <w:color w:val="auto"/>
          <w:highlight w:val="none"/>
        </w:rPr>
        <w:t>总价合同支付分解表的编制与审批：</w:t>
      </w:r>
      <w:r>
        <w:rPr>
          <w:rStyle w:val="32"/>
          <w:rFonts w:ascii="Calibri" w:hAnsi="Calibri" w:eastAsia="宋体" w:cs="Times New Roman"/>
          <w:color w:val="auto"/>
          <w:highlight w:val="none"/>
          <w:u w:val="none"/>
        </w:rPr>
        <w:t xml:space="preserve">  </w:t>
      </w:r>
      <w:r>
        <w:rPr>
          <w:rStyle w:val="32"/>
          <w:rFonts w:hint="eastAsia" w:ascii="Calibri" w:hAnsi="Calibri" w:eastAsia="宋体" w:cs="Times New Roman"/>
          <w:color w:val="auto"/>
          <w:highlight w:val="none"/>
          <w:u w:val="none"/>
        </w:rPr>
        <w:t>总价合同支付分分解表在招标完成后由发包人和承包人共同编制，发包人审批，并作为本合同内容，具体详见合同附件14。</w:t>
      </w:r>
    </w:p>
    <w:p w14:paraId="5E1C3FA6">
      <w:pPr>
        <w:pStyle w:val="78"/>
        <w:spacing w:line="360" w:lineRule="auto"/>
        <w:ind w:firstLine="525" w:firstLineChars="250"/>
        <w:jc w:val="left"/>
        <w:rPr>
          <w:rStyle w:val="32"/>
          <w:rFonts w:ascii="Calibri" w:hAnsi="Calibri" w:eastAsia="宋体" w:cs="Times New Roman"/>
          <w:color w:val="auto"/>
          <w:highlight w:val="none"/>
          <w:u w:val="single"/>
        </w:rPr>
      </w:pPr>
      <w:r>
        <w:rPr>
          <w:rStyle w:val="32"/>
          <w:rFonts w:hint="eastAsia" w:ascii="Calibri" w:hAnsi="Calibri" w:eastAsia="宋体" w:cs="Times New Roman"/>
          <w:color w:val="auto"/>
          <w:highlight w:val="none"/>
        </w:rPr>
        <w:t>（2）</w:t>
      </w:r>
      <w:r>
        <w:rPr>
          <w:rStyle w:val="32"/>
          <w:rFonts w:hint="eastAsia" w:ascii="Calibri" w:hAnsi="宋体" w:eastAsia="宋体" w:cs="宋体"/>
          <w:color w:val="auto"/>
          <w:highlight w:val="none"/>
        </w:rPr>
        <w:t>单价合同的总价项目支付分解表的编制与审批：总价项目不采用支付分解表的方式计算，而按《建设工程工程量清单计价规范（</w:t>
      </w:r>
      <w:r>
        <w:rPr>
          <w:rStyle w:val="32"/>
          <w:rFonts w:ascii="Calibri" w:hAnsi="宋体" w:eastAsia="宋体" w:cs="Times New Roman"/>
          <w:color w:val="auto"/>
          <w:highlight w:val="none"/>
        </w:rPr>
        <w:t>GB50500-2013</w:t>
      </w:r>
      <w:r>
        <w:rPr>
          <w:rStyle w:val="32"/>
          <w:rFonts w:hint="eastAsia" w:ascii="Calibri" w:hAnsi="宋体" w:eastAsia="宋体" w:cs="宋体"/>
          <w:color w:val="auto"/>
          <w:highlight w:val="none"/>
        </w:rPr>
        <w:t>）广西壮族自治区实施细则》的规定执行。</w:t>
      </w:r>
    </w:p>
    <w:bookmarkEnd w:id="692"/>
    <w:p w14:paraId="269906BB">
      <w:pPr>
        <w:pStyle w:val="98"/>
        <w:spacing w:before="0" w:after="0" w:line="360" w:lineRule="auto"/>
        <w:rPr>
          <w:rStyle w:val="32"/>
          <w:rFonts w:cs="Times New Roman"/>
          <w:color w:val="auto"/>
          <w:highlight w:val="none"/>
        </w:rPr>
      </w:pPr>
      <w:bookmarkStart w:id="954" w:name="_Toc373227753"/>
      <w:bookmarkStart w:id="955" w:name="_Toc728899116"/>
      <w:bookmarkStart w:id="956" w:name="_Toc389065318"/>
      <w:bookmarkStart w:id="957" w:name="_Toc2003466256"/>
      <w:bookmarkStart w:id="958" w:name="_Toc78449842"/>
      <w:bookmarkStart w:id="959" w:name="_Toc351203645"/>
      <w:bookmarkStart w:id="960" w:name="_Toc373478400"/>
      <w:bookmarkStart w:id="961" w:name="_Toc407135256"/>
      <w:bookmarkStart w:id="962" w:name="_Toc297216223"/>
      <w:bookmarkStart w:id="963" w:name="_Toc296891047"/>
      <w:bookmarkStart w:id="964" w:name="_Toc296944558"/>
      <w:bookmarkStart w:id="965" w:name="_Toc297120519"/>
      <w:bookmarkStart w:id="966" w:name="_Toc296346720"/>
      <w:bookmarkStart w:id="967" w:name="_Toc312678053"/>
      <w:bookmarkStart w:id="968" w:name="_Toc296503219"/>
      <w:bookmarkStart w:id="969" w:name="_Toc297123564"/>
      <w:bookmarkStart w:id="970" w:name="_Toc304295593"/>
      <w:bookmarkStart w:id="971" w:name="_Toc292559929"/>
      <w:bookmarkStart w:id="972" w:name="_Toc303539172"/>
      <w:bookmarkStart w:id="973" w:name="_Toc300935015"/>
      <w:bookmarkStart w:id="974" w:name="_Toc292559424"/>
      <w:bookmarkStart w:id="975" w:name="_Toc296891259"/>
      <w:bookmarkStart w:id="976" w:name="_Toc297048405"/>
      <w:bookmarkStart w:id="977" w:name="_Toc296347218"/>
      <w:r>
        <w:rPr>
          <w:rStyle w:val="32"/>
          <w:rFonts w:cs="Times New Roman"/>
          <w:color w:val="auto"/>
          <w:highlight w:val="none"/>
        </w:rPr>
        <w:t xml:space="preserve">13. </w:t>
      </w:r>
      <w:r>
        <w:rPr>
          <w:rStyle w:val="32"/>
          <w:rFonts w:hint="eastAsia" w:cs="黑体"/>
          <w:color w:val="auto"/>
          <w:sz w:val="28"/>
          <w:szCs w:val="18"/>
          <w:highlight w:val="none"/>
        </w:rPr>
        <w:t>验收和工程试车</w:t>
      </w:r>
      <w:bookmarkEnd w:id="954"/>
      <w:bookmarkEnd w:id="955"/>
      <w:bookmarkEnd w:id="956"/>
      <w:bookmarkEnd w:id="957"/>
      <w:bookmarkEnd w:id="958"/>
      <w:bookmarkEnd w:id="959"/>
      <w:bookmarkEnd w:id="960"/>
      <w:bookmarkEnd w:id="961"/>
    </w:p>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14:paraId="522E3AF3">
      <w:pPr>
        <w:pStyle w:val="99"/>
        <w:spacing w:before="0" w:after="0" w:line="360" w:lineRule="auto"/>
        <w:rPr>
          <w:rStyle w:val="32"/>
          <w:rFonts w:ascii="Calibri" w:hAnsi="Calibri" w:eastAsia="宋体" w:cs="Times New Roman"/>
          <w:color w:val="auto"/>
          <w:highlight w:val="none"/>
        </w:rPr>
      </w:pPr>
      <w:bookmarkStart w:id="978" w:name="_Toc373478401"/>
      <w:bookmarkStart w:id="979" w:name="_Toc373227754"/>
      <w:bookmarkStart w:id="980" w:name="_Toc834489126"/>
      <w:bookmarkStart w:id="981" w:name="_Toc740353520"/>
      <w:bookmarkStart w:id="982" w:name="_Toc389065319"/>
      <w:bookmarkStart w:id="983" w:name="_Toc407135257"/>
      <w:bookmarkStart w:id="984" w:name="_Toc78449843"/>
      <w:r>
        <w:rPr>
          <w:rStyle w:val="32"/>
          <w:rFonts w:ascii="Calibri" w:hAnsi="Calibri" w:eastAsia="宋体" w:cs="Times New Roman"/>
          <w:color w:val="auto"/>
          <w:highlight w:val="none"/>
        </w:rPr>
        <w:t xml:space="preserve">13.1 </w:t>
      </w:r>
      <w:r>
        <w:rPr>
          <w:rStyle w:val="32"/>
          <w:rFonts w:hint="eastAsia" w:ascii="Calibri" w:hAnsi="Calibri" w:eastAsia="宋体" w:cs="黑体"/>
          <w:color w:val="auto"/>
          <w:sz w:val="28"/>
          <w:szCs w:val="28"/>
          <w:highlight w:val="none"/>
        </w:rPr>
        <w:t>分部分项工程验收</w:t>
      </w:r>
      <w:bookmarkEnd w:id="978"/>
      <w:bookmarkEnd w:id="979"/>
      <w:bookmarkEnd w:id="980"/>
      <w:bookmarkEnd w:id="981"/>
      <w:bookmarkEnd w:id="982"/>
      <w:bookmarkEnd w:id="983"/>
      <w:bookmarkEnd w:id="984"/>
    </w:p>
    <w:p w14:paraId="2555BAB0">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13.1.2</w:t>
      </w:r>
      <w:r>
        <w:rPr>
          <w:rStyle w:val="32"/>
          <w:rFonts w:hint="eastAsia" w:ascii="Calibri" w:hAnsi="宋体" w:eastAsia="宋体" w:cs="宋体"/>
          <w:color w:val="auto"/>
          <w:highlight w:val="none"/>
        </w:rPr>
        <w:t>监理人不能按时进行验收时，应提前</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24</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小时提交书面延期要求。</w:t>
      </w:r>
    </w:p>
    <w:p w14:paraId="41DDF190">
      <w:pPr>
        <w:pStyle w:val="78"/>
        <w:spacing w:line="360" w:lineRule="auto"/>
        <w:ind w:firstLine="420" w:firstLineChars="200"/>
        <w:jc w:val="left"/>
        <w:rPr>
          <w:rStyle w:val="32"/>
          <w:rFonts w:ascii="Calibri" w:hAnsi="Calibri" w:eastAsia="宋体" w:cs="Times New Roman"/>
          <w:b/>
          <w:bCs/>
          <w:color w:val="auto"/>
          <w:highlight w:val="none"/>
        </w:rPr>
      </w:pPr>
      <w:r>
        <w:rPr>
          <w:rStyle w:val="32"/>
          <w:rFonts w:hint="eastAsia" w:ascii="Calibri" w:hAnsi="宋体" w:eastAsia="宋体" w:cs="宋体"/>
          <w:color w:val="auto"/>
          <w:highlight w:val="none"/>
        </w:rPr>
        <w:t>关于延期最长不得超过：</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48</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小时。</w:t>
      </w:r>
    </w:p>
    <w:p w14:paraId="4EFC4475">
      <w:pPr>
        <w:pStyle w:val="99"/>
        <w:spacing w:before="0" w:after="0" w:line="360" w:lineRule="auto"/>
        <w:rPr>
          <w:rStyle w:val="32"/>
          <w:rFonts w:ascii="Calibri" w:hAnsi="Calibri" w:eastAsia="宋体" w:cs="Times New Roman"/>
          <w:color w:val="auto"/>
          <w:highlight w:val="none"/>
        </w:rPr>
      </w:pPr>
      <w:bookmarkStart w:id="985" w:name="_Toc373478402"/>
      <w:bookmarkStart w:id="986" w:name="_Toc373227755"/>
      <w:bookmarkStart w:id="987" w:name="_Toc407135258"/>
      <w:bookmarkStart w:id="988" w:name="_Toc1062221039"/>
      <w:bookmarkStart w:id="989" w:name="_Toc1578431234"/>
      <w:bookmarkStart w:id="990" w:name="_Toc78449844"/>
      <w:bookmarkStart w:id="991" w:name="_Toc389065320"/>
      <w:bookmarkStart w:id="992" w:name="_Toc303539173"/>
      <w:bookmarkStart w:id="993" w:name="_Toc312678056"/>
      <w:bookmarkStart w:id="994" w:name="_Toc297120523"/>
      <w:bookmarkStart w:id="995" w:name="_Toc296891051"/>
      <w:bookmarkStart w:id="996" w:name="_Toc296503223"/>
      <w:bookmarkStart w:id="997" w:name="_Toc300935016"/>
      <w:bookmarkStart w:id="998" w:name="_Toc296891263"/>
      <w:bookmarkStart w:id="999" w:name="_Toc296346724"/>
      <w:bookmarkStart w:id="1000" w:name="_Toc297123565"/>
      <w:bookmarkStart w:id="1001" w:name="_Toc296944562"/>
      <w:bookmarkStart w:id="1002" w:name="_Toc304295596"/>
      <w:bookmarkStart w:id="1003" w:name="_Toc292559428"/>
      <w:bookmarkStart w:id="1004" w:name="_Toc292559933"/>
      <w:bookmarkStart w:id="1005" w:name="_Toc297216224"/>
      <w:bookmarkStart w:id="1006" w:name="_Toc297048409"/>
      <w:bookmarkStart w:id="1007" w:name="_Toc296347222"/>
      <w:bookmarkStart w:id="1008" w:name="_Toc267251474"/>
      <w:bookmarkStart w:id="1009" w:name="_Toc267251471"/>
      <w:bookmarkStart w:id="1010" w:name="_Toc267251476"/>
      <w:bookmarkStart w:id="1011" w:name="_Toc267251472"/>
      <w:bookmarkStart w:id="1012" w:name="_Toc267251473"/>
      <w:bookmarkStart w:id="1013" w:name="_Toc267251475"/>
      <w:bookmarkStart w:id="1014" w:name="_Toc267251470"/>
      <w:r>
        <w:rPr>
          <w:rStyle w:val="32"/>
          <w:rFonts w:ascii="Calibri" w:hAnsi="Calibri" w:eastAsia="宋体" w:cs="Times New Roman"/>
          <w:color w:val="auto"/>
          <w:highlight w:val="none"/>
        </w:rPr>
        <w:t xml:space="preserve">13.2 </w:t>
      </w:r>
      <w:r>
        <w:rPr>
          <w:rStyle w:val="32"/>
          <w:rFonts w:hint="eastAsia" w:ascii="Calibri" w:hAnsi="宋体" w:eastAsia="宋体" w:cs="黑体"/>
          <w:color w:val="auto"/>
          <w:sz w:val="28"/>
          <w:szCs w:val="28"/>
          <w:highlight w:val="none"/>
        </w:rPr>
        <w:t>竣工验收</w:t>
      </w:r>
      <w:bookmarkEnd w:id="985"/>
      <w:bookmarkEnd w:id="986"/>
      <w:bookmarkEnd w:id="987"/>
      <w:bookmarkEnd w:id="988"/>
      <w:bookmarkEnd w:id="989"/>
      <w:bookmarkEnd w:id="990"/>
      <w:bookmarkEnd w:id="991"/>
    </w:p>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14:paraId="07FD5A88">
      <w:pPr>
        <w:pStyle w:val="78"/>
        <w:spacing w:line="360" w:lineRule="auto"/>
        <w:ind w:firstLine="420" w:firstLineChars="200"/>
        <w:jc w:val="left"/>
        <w:rPr>
          <w:rStyle w:val="32"/>
          <w:rFonts w:ascii="Calibri" w:hAnsi="Calibri" w:eastAsia="宋体" w:cs="Times New Roman"/>
          <w:color w:val="auto"/>
          <w:highlight w:val="none"/>
        </w:rPr>
      </w:pPr>
      <w:bookmarkStart w:id="1015" w:name="_Toc280868704"/>
      <w:bookmarkStart w:id="1016" w:name="_Toc280868705"/>
      <w:bookmarkStart w:id="1017" w:name="_Toc280868706"/>
      <w:bookmarkStart w:id="1018" w:name="_Toc280868707"/>
      <w:bookmarkStart w:id="1019" w:name="_Toc280868708"/>
      <w:bookmarkStart w:id="1020" w:name="_Toc280868709"/>
      <w:r>
        <w:rPr>
          <w:rStyle w:val="32"/>
          <w:rFonts w:ascii="Calibri" w:hAnsi="Calibri" w:eastAsia="宋体" w:cs="Times New Roman"/>
          <w:color w:val="auto"/>
          <w:highlight w:val="none"/>
        </w:rPr>
        <w:t>13.2.1</w:t>
      </w:r>
      <w:r>
        <w:rPr>
          <w:rStyle w:val="32"/>
          <w:rFonts w:hint="eastAsia" w:ascii="Calibri" w:hAnsi="宋体" w:eastAsia="宋体" w:cs="宋体"/>
          <w:color w:val="auto"/>
          <w:highlight w:val="none"/>
        </w:rPr>
        <w:t>竣工验收条件</w:t>
      </w:r>
    </w:p>
    <w:p w14:paraId="6573097B">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Calibri" w:eastAsia="宋体" w:cs="宋体"/>
          <w:color w:val="auto"/>
          <w:highlight w:val="none"/>
        </w:rPr>
        <w:t>（</w:t>
      </w:r>
      <w:r>
        <w:rPr>
          <w:rStyle w:val="32"/>
          <w:rFonts w:ascii="Calibri" w:hAnsi="Calibri" w:eastAsia="宋体" w:cs="Times New Roman"/>
          <w:color w:val="auto"/>
          <w:highlight w:val="none"/>
        </w:rPr>
        <w:t>3</w:t>
      </w:r>
      <w:r>
        <w:rPr>
          <w:rStyle w:val="32"/>
          <w:rFonts w:hint="eastAsia" w:ascii="Calibri" w:hAnsi="Calibri" w:eastAsia="宋体" w:cs="宋体"/>
          <w:color w:val="auto"/>
          <w:highlight w:val="none"/>
        </w:rPr>
        <w:t>）</w:t>
      </w:r>
      <w:r>
        <w:rPr>
          <w:rStyle w:val="32"/>
          <w:rFonts w:hint="eastAsia" w:ascii="Calibri" w:hAnsi="宋体" w:eastAsia="宋体" w:cs="宋体"/>
          <w:color w:val="auto"/>
          <w:highlight w:val="none"/>
        </w:rPr>
        <w:t>承包人负责整理和提交的竣工验收资料应当符合工程所在地建设行政主管部门和</w:t>
      </w:r>
      <w:r>
        <w:rPr>
          <w:rStyle w:val="32"/>
          <w:rFonts w:ascii="Calibri" w:hAnsi="Calibri" w:eastAsia="宋体" w:cs="Times New Roman"/>
          <w:color w:val="auto"/>
          <w:highlight w:val="none"/>
        </w:rPr>
        <w:t>(</w:t>
      </w:r>
      <w:r>
        <w:rPr>
          <w:rStyle w:val="32"/>
          <w:rFonts w:hint="eastAsia" w:ascii="Calibri" w:hAnsi="宋体" w:eastAsia="宋体" w:cs="宋体"/>
          <w:color w:val="auto"/>
          <w:highlight w:val="none"/>
        </w:rPr>
        <w:t>或</w:t>
      </w:r>
      <w:r>
        <w:rPr>
          <w:rStyle w:val="32"/>
          <w:rFonts w:ascii="Calibri" w:hAnsi="Calibri" w:eastAsia="宋体" w:cs="Times New Roman"/>
          <w:color w:val="auto"/>
          <w:highlight w:val="none"/>
        </w:rPr>
        <w:t>)</w:t>
      </w:r>
      <w:r>
        <w:rPr>
          <w:rStyle w:val="32"/>
          <w:rFonts w:hint="eastAsia" w:ascii="Calibri" w:hAnsi="宋体" w:eastAsia="宋体" w:cs="宋体"/>
          <w:color w:val="auto"/>
          <w:highlight w:val="none"/>
        </w:rPr>
        <w:t>城市建设档案管理机构有关施工资料的要求，具体内容包括：</w:t>
      </w:r>
      <w:r>
        <w:rPr>
          <w:rStyle w:val="32"/>
          <w:rFonts w:hint="eastAsia" w:ascii="Calibri" w:hAnsi="宋体" w:eastAsia="宋体" w:cs="宋体"/>
          <w:color w:val="auto"/>
          <w:highlight w:val="none"/>
          <w:u w:val="single"/>
        </w:rPr>
        <w:t>（1）提交完整竣工资料（含竣工图）及竣工验收报告。（2）并随时接受发包人及上述有关部门提出的补充整改的要求</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302B45AA">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竣工验收资料的份数：</w:t>
      </w:r>
      <w:r>
        <w:rPr>
          <w:rStyle w:val="32"/>
          <w:rFonts w:hint="eastAsia" w:ascii="Calibri" w:hAnsi="宋体" w:eastAsia="宋体" w:cs="宋体"/>
          <w:color w:val="auto"/>
          <w:highlight w:val="none"/>
          <w:u w:val="single"/>
        </w:rPr>
        <w:t>一式陆份及竣工验收报告</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0B244EF">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承包人提供竣工图的约定：</w:t>
      </w:r>
      <w:r>
        <w:rPr>
          <w:rStyle w:val="32"/>
          <w:rFonts w:hint="eastAsia" w:ascii="Calibri" w:hAnsi="宋体" w:eastAsia="宋体" w:cs="宋体"/>
          <w:color w:val="auto"/>
          <w:highlight w:val="none"/>
          <w:u w:val="single"/>
        </w:rPr>
        <w:t>竣工验收正式通过后</w:t>
      </w:r>
      <w:r>
        <w:rPr>
          <w:rStyle w:val="32"/>
          <w:rFonts w:ascii="Calibri" w:hAnsi="Calibri" w:eastAsia="宋体" w:cs="Times New Roman"/>
          <w:color w:val="auto"/>
          <w:highlight w:val="none"/>
          <w:u w:val="single"/>
        </w:rPr>
        <w:t>5</w:t>
      </w:r>
      <w:r>
        <w:rPr>
          <w:rStyle w:val="32"/>
          <w:rFonts w:hint="eastAsia" w:ascii="Calibri" w:hAnsi="宋体" w:eastAsia="宋体" w:cs="宋体"/>
          <w:color w:val="auto"/>
          <w:highlight w:val="none"/>
          <w:u w:val="single"/>
        </w:rPr>
        <w:t>天（工程造价在</w:t>
      </w:r>
      <w:r>
        <w:rPr>
          <w:rStyle w:val="32"/>
          <w:rFonts w:ascii="Calibri" w:hAnsi="Calibri" w:eastAsia="宋体" w:cs="Times New Roman"/>
          <w:color w:val="auto"/>
          <w:highlight w:val="none"/>
          <w:u w:val="single"/>
        </w:rPr>
        <w:t>500</w:t>
      </w:r>
      <w:r>
        <w:rPr>
          <w:rStyle w:val="32"/>
          <w:rFonts w:hint="eastAsia" w:ascii="Calibri" w:hAnsi="宋体" w:eastAsia="宋体" w:cs="宋体"/>
          <w:color w:val="auto"/>
          <w:highlight w:val="none"/>
          <w:u w:val="single"/>
        </w:rPr>
        <w:t>万元以下含</w:t>
      </w:r>
      <w:r>
        <w:rPr>
          <w:rStyle w:val="32"/>
          <w:rFonts w:ascii="Calibri" w:hAnsi="Calibri" w:eastAsia="宋体" w:cs="Times New Roman"/>
          <w:color w:val="auto"/>
          <w:highlight w:val="none"/>
          <w:u w:val="single"/>
        </w:rPr>
        <w:t>500</w:t>
      </w:r>
      <w:r>
        <w:rPr>
          <w:rStyle w:val="32"/>
          <w:rFonts w:hint="eastAsia" w:ascii="Calibri" w:hAnsi="宋体" w:eastAsia="宋体" w:cs="宋体"/>
          <w:color w:val="auto"/>
          <w:highlight w:val="none"/>
          <w:u w:val="single"/>
        </w:rPr>
        <w:t>万元）、</w:t>
      </w:r>
      <w:r>
        <w:rPr>
          <w:rStyle w:val="32"/>
          <w:rFonts w:ascii="Calibri" w:hAnsi="Calibri" w:eastAsia="宋体" w:cs="Times New Roman"/>
          <w:color w:val="auto"/>
          <w:highlight w:val="none"/>
          <w:u w:val="single"/>
        </w:rPr>
        <w:t>10</w:t>
      </w:r>
      <w:r>
        <w:rPr>
          <w:rStyle w:val="32"/>
          <w:rFonts w:hint="eastAsia" w:ascii="Calibri" w:hAnsi="宋体" w:eastAsia="宋体" w:cs="宋体"/>
          <w:color w:val="auto"/>
          <w:highlight w:val="none"/>
          <w:u w:val="single"/>
        </w:rPr>
        <w:t>天（工程造价在</w:t>
      </w:r>
      <w:r>
        <w:rPr>
          <w:rStyle w:val="32"/>
          <w:rFonts w:ascii="Calibri" w:hAnsi="Calibri" w:eastAsia="宋体" w:cs="Times New Roman"/>
          <w:color w:val="auto"/>
          <w:highlight w:val="none"/>
          <w:u w:val="single"/>
        </w:rPr>
        <w:t>500</w:t>
      </w:r>
      <w:r>
        <w:rPr>
          <w:rStyle w:val="32"/>
          <w:rFonts w:hint="eastAsia" w:ascii="Calibri" w:hAnsi="宋体" w:eastAsia="宋体" w:cs="宋体"/>
          <w:color w:val="auto"/>
          <w:highlight w:val="none"/>
          <w:u w:val="single"/>
        </w:rPr>
        <w:t>万元至</w:t>
      </w:r>
      <w:r>
        <w:rPr>
          <w:rStyle w:val="32"/>
          <w:rFonts w:ascii="Calibri" w:hAnsi="Calibri" w:eastAsia="宋体" w:cs="Times New Roman"/>
          <w:color w:val="auto"/>
          <w:highlight w:val="none"/>
          <w:u w:val="single"/>
        </w:rPr>
        <w:t>1000</w:t>
      </w:r>
      <w:r>
        <w:rPr>
          <w:rStyle w:val="32"/>
          <w:rFonts w:hint="eastAsia" w:ascii="Calibri" w:hAnsi="宋体" w:eastAsia="宋体" w:cs="宋体"/>
          <w:color w:val="auto"/>
          <w:highlight w:val="none"/>
          <w:u w:val="single"/>
        </w:rPr>
        <w:t>万元之间含</w:t>
      </w:r>
      <w:r>
        <w:rPr>
          <w:rStyle w:val="32"/>
          <w:rFonts w:ascii="Calibri" w:hAnsi="Calibri" w:eastAsia="宋体" w:cs="Times New Roman"/>
          <w:color w:val="auto"/>
          <w:highlight w:val="none"/>
          <w:u w:val="single"/>
        </w:rPr>
        <w:t>1000</w:t>
      </w:r>
      <w:r>
        <w:rPr>
          <w:rStyle w:val="32"/>
          <w:rFonts w:hint="eastAsia" w:ascii="Calibri" w:hAnsi="宋体" w:eastAsia="宋体" w:cs="宋体"/>
          <w:color w:val="auto"/>
          <w:highlight w:val="none"/>
          <w:u w:val="single"/>
        </w:rPr>
        <w:t>万元）、</w:t>
      </w:r>
      <w:r>
        <w:rPr>
          <w:rStyle w:val="32"/>
          <w:rFonts w:ascii="Calibri" w:hAnsi="Calibri" w:eastAsia="宋体" w:cs="Times New Roman"/>
          <w:color w:val="auto"/>
          <w:highlight w:val="none"/>
          <w:u w:val="single"/>
        </w:rPr>
        <w:t>15</w:t>
      </w:r>
      <w:r>
        <w:rPr>
          <w:rStyle w:val="32"/>
          <w:rFonts w:hint="eastAsia" w:ascii="Calibri" w:hAnsi="宋体" w:eastAsia="宋体" w:cs="宋体"/>
          <w:color w:val="auto"/>
          <w:highlight w:val="none"/>
          <w:u w:val="single"/>
        </w:rPr>
        <w:t>天（工程造价在</w:t>
      </w:r>
      <w:r>
        <w:rPr>
          <w:rStyle w:val="32"/>
          <w:rFonts w:ascii="Calibri" w:hAnsi="Calibri" w:eastAsia="宋体" w:cs="Times New Roman"/>
          <w:color w:val="auto"/>
          <w:highlight w:val="none"/>
          <w:u w:val="single"/>
        </w:rPr>
        <w:t>1000</w:t>
      </w:r>
      <w:r>
        <w:rPr>
          <w:rStyle w:val="32"/>
          <w:rFonts w:hint="eastAsia" w:ascii="Calibri" w:hAnsi="宋体" w:eastAsia="宋体" w:cs="宋体"/>
          <w:color w:val="auto"/>
          <w:highlight w:val="none"/>
          <w:u w:val="single"/>
        </w:rPr>
        <w:t>万元以上），提供竣工图的数量分别为</w:t>
      </w:r>
      <w:r>
        <w:rPr>
          <w:rStyle w:val="32"/>
          <w:rFonts w:ascii="Calibri" w:hAnsi="Calibri" w:eastAsia="宋体" w:cs="Times New Roman"/>
          <w:color w:val="auto"/>
          <w:highlight w:val="none"/>
          <w:u w:val="single"/>
        </w:rPr>
        <w:t>2</w:t>
      </w:r>
      <w:r>
        <w:rPr>
          <w:rStyle w:val="32"/>
          <w:rFonts w:hint="eastAsia" w:ascii="Calibri" w:hAnsi="宋体" w:eastAsia="宋体" w:cs="宋体"/>
          <w:color w:val="auto"/>
          <w:highlight w:val="none"/>
          <w:u w:val="single"/>
        </w:rPr>
        <w:t>套、</w:t>
      </w:r>
      <w:r>
        <w:rPr>
          <w:rStyle w:val="32"/>
          <w:rFonts w:ascii="Calibri" w:hAnsi="Calibri" w:eastAsia="宋体" w:cs="Times New Roman"/>
          <w:color w:val="auto"/>
          <w:highlight w:val="none"/>
          <w:u w:val="single"/>
        </w:rPr>
        <w:t>4</w:t>
      </w:r>
      <w:r>
        <w:rPr>
          <w:rStyle w:val="32"/>
          <w:rFonts w:hint="eastAsia" w:ascii="Calibri" w:hAnsi="宋体" w:eastAsia="宋体" w:cs="宋体"/>
          <w:color w:val="auto"/>
          <w:highlight w:val="none"/>
          <w:u w:val="single"/>
        </w:rPr>
        <w:t>套、</w:t>
      </w:r>
      <w:r>
        <w:rPr>
          <w:rStyle w:val="32"/>
          <w:rFonts w:ascii="Calibri" w:hAnsi="Calibri" w:eastAsia="宋体" w:cs="Times New Roman"/>
          <w:color w:val="auto"/>
          <w:highlight w:val="none"/>
          <w:u w:val="single"/>
        </w:rPr>
        <w:t>6</w:t>
      </w:r>
      <w:r>
        <w:rPr>
          <w:rStyle w:val="32"/>
          <w:rFonts w:hint="eastAsia" w:ascii="Calibri" w:hAnsi="宋体" w:eastAsia="宋体" w:cs="宋体"/>
          <w:color w:val="auto"/>
          <w:highlight w:val="none"/>
          <w:u w:val="single"/>
        </w:rPr>
        <w:t>套</w:t>
      </w:r>
      <w:r>
        <w:rPr>
          <w:rStyle w:val="32"/>
          <w:rFonts w:hint="eastAsia" w:hAnsi="宋体" w:cs="宋体"/>
          <w:color w:val="auto"/>
          <w:highlight w:val="none"/>
          <w:u w:val="single"/>
          <w:lang w:eastAsia="zh-CN"/>
        </w:rPr>
        <w:t>（</w:t>
      </w:r>
      <w:r>
        <w:rPr>
          <w:rStyle w:val="32"/>
          <w:rFonts w:hint="eastAsia" w:hAnsi="宋体" w:cs="宋体"/>
          <w:color w:val="auto"/>
          <w:highlight w:val="none"/>
          <w:u w:val="single"/>
          <w:lang w:val="en-US" w:eastAsia="zh-CN"/>
        </w:rPr>
        <w:t>含电子版</w:t>
      </w:r>
      <w:r>
        <w:rPr>
          <w:rStyle w:val="32"/>
          <w:rFonts w:hint="eastAsia" w:hAnsi="宋体" w:cs="宋体"/>
          <w:color w:val="auto"/>
          <w:highlight w:val="none"/>
          <w:u w:val="single"/>
          <w:lang w:eastAsia="zh-CN"/>
        </w:rPr>
        <w:t>）</w:t>
      </w:r>
      <w:r>
        <w:rPr>
          <w:rStyle w:val="32"/>
          <w:rFonts w:hint="eastAsia" w:ascii="Calibri" w:hAnsi="宋体" w:eastAsia="宋体" w:cs="宋体"/>
          <w:color w:val="auto"/>
          <w:highlight w:val="none"/>
          <w:u w:val="single"/>
        </w:rPr>
        <w:t>。</w:t>
      </w:r>
    </w:p>
    <w:p w14:paraId="6AF9EC9D">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13.2.2</w:t>
      </w:r>
      <w:r>
        <w:rPr>
          <w:rStyle w:val="32"/>
          <w:rFonts w:hint="eastAsia" w:ascii="Calibri" w:hAnsi="宋体" w:eastAsia="宋体" w:cs="宋体"/>
          <w:color w:val="auto"/>
          <w:highlight w:val="none"/>
        </w:rPr>
        <w:t>竣工验收程序</w:t>
      </w:r>
    </w:p>
    <w:bookmarkEnd w:id="1015"/>
    <w:p w14:paraId="799E4E44">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kern w:val="0"/>
          <w:highlight w:val="none"/>
        </w:rPr>
        <w:t>关于竣工验收程序的约定：</w:t>
      </w:r>
      <w:r>
        <w:rPr>
          <w:rStyle w:val="32"/>
          <w:rFonts w:hint="eastAsia" w:ascii="Calibri" w:hAnsi="Calibri" w:eastAsia="宋体" w:cs="Times New Roman"/>
          <w:color w:val="auto"/>
          <w:highlight w:val="none"/>
          <w:u w:val="single"/>
        </w:rPr>
        <w:t>按建设行政主管部门有关规定</w:t>
      </w:r>
      <w:r>
        <w:rPr>
          <w:rStyle w:val="32"/>
          <w:rFonts w:hint="eastAsia" w:cs="Times New Roman"/>
          <w:color w:val="auto"/>
          <w:highlight w:val="none"/>
          <w:u w:val="single"/>
          <w:lang w:val="en-US" w:eastAsia="zh-CN"/>
        </w:rPr>
        <w:t>及</w:t>
      </w:r>
      <w:r>
        <w:rPr>
          <w:rStyle w:val="32"/>
          <w:rFonts w:hint="eastAsia" w:ascii="Calibri" w:hAnsi="Calibri" w:eastAsia="宋体" w:cs="Times New Roman"/>
          <w:color w:val="auto"/>
          <w:highlight w:val="none"/>
          <w:u w:val="single"/>
        </w:rPr>
        <w:t>通用条款执行</w:t>
      </w:r>
      <w:r>
        <w:rPr>
          <w:rStyle w:val="32"/>
          <w:rFonts w:hint="eastAsia" w:ascii="Calibri" w:hAnsi="宋体" w:eastAsia="宋体" w:cs="宋体"/>
          <w:color w:val="auto"/>
          <w:highlight w:val="none"/>
        </w:rPr>
        <w:t>。</w:t>
      </w:r>
    </w:p>
    <w:p w14:paraId="02B002AF">
      <w:pPr>
        <w:pStyle w:val="78"/>
        <w:spacing w:line="360" w:lineRule="auto"/>
        <w:jc w:val="left"/>
        <w:rPr>
          <w:rStyle w:val="32"/>
          <w:rFonts w:ascii="Calibri" w:hAnsi="Calibri" w:eastAsia="宋体" w:cs="Times New Roman"/>
          <w:color w:val="auto"/>
          <w:highlight w:val="none"/>
        </w:rPr>
      </w:pPr>
      <w:r>
        <w:rPr>
          <w:rStyle w:val="32"/>
          <w:rFonts w:hint="eastAsia" w:ascii="Calibri" w:hAnsi="宋体" w:eastAsia="宋体" w:cs="宋体"/>
          <w:color w:val="auto"/>
          <w:kern w:val="0"/>
          <w:highlight w:val="none"/>
        </w:rPr>
        <w:t>发包人不按照本项约定组织竣工验收、颁发工程接收证书的违约金的计算方法：</w:t>
      </w:r>
      <w:r>
        <w:rPr>
          <w:rStyle w:val="32"/>
          <w:rFonts w:hint="eastAsia" w:hAnsi="宋体" w:cs="宋体"/>
          <w:color w:val="auto"/>
          <w:kern w:val="0"/>
          <w:highlight w:val="none"/>
          <w:u w:val="single"/>
          <w:lang w:val="en-US" w:eastAsia="zh-CN"/>
        </w:rPr>
        <w:t xml:space="preserve"> /  </w:t>
      </w:r>
      <w:r>
        <w:rPr>
          <w:rStyle w:val="32"/>
          <w:rFonts w:hint="eastAsia" w:ascii="Calibri" w:hAnsi="宋体" w:eastAsia="宋体" w:cs="宋体"/>
          <w:color w:val="auto"/>
          <w:highlight w:val="none"/>
        </w:rPr>
        <w:t>。</w:t>
      </w:r>
    </w:p>
    <w:bookmarkEnd w:id="1016"/>
    <w:p w14:paraId="1FFC4E6A">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13.2.5</w:t>
      </w:r>
      <w:r>
        <w:rPr>
          <w:rStyle w:val="32"/>
          <w:rFonts w:hint="eastAsia" w:ascii="Calibri" w:hAnsi="宋体" w:eastAsia="宋体" w:cs="宋体"/>
          <w:color w:val="auto"/>
          <w:highlight w:val="none"/>
        </w:rPr>
        <w:t>移交、接收全部与部分工程</w:t>
      </w:r>
    </w:p>
    <w:bookmarkEnd w:id="1017"/>
    <w:p w14:paraId="3A446CBD">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承包人向发包人移交工程的期限：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在颁发工程接收证书后 7 天内完成工程的移交</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266B52EC">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kern w:val="0"/>
          <w:highlight w:val="none"/>
        </w:rPr>
        <w:t>发包人未按本合同约定接收全部或部分工程的，违约金的计算方法为：</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u w:val="single"/>
        </w:rPr>
        <w:t>每日处合同总价的万分之四，最高不超过合同价款的5%</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bookmarkEnd w:id="1018"/>
    <w:p w14:paraId="7DA19C52">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承包人未按时移交工程的，违约金的计算方法为：</w:t>
      </w:r>
      <w:r>
        <w:rPr>
          <w:rStyle w:val="32"/>
          <w:rFonts w:hint="eastAsia" w:ascii="Calibri" w:hAnsi="宋体" w:eastAsia="宋体" w:cs="宋体"/>
          <w:color w:val="auto"/>
          <w:highlight w:val="none"/>
          <w:u w:val="single"/>
        </w:rPr>
        <w:t>承包人无正当理由不移交工程的，承包人应承担工程照管、成品保护、保管等与工程有关的各项费用，并每日处合同总价的万分之四，最高不超过合同价款的5%</w:t>
      </w:r>
      <w:r>
        <w:rPr>
          <w:rStyle w:val="32"/>
          <w:rFonts w:hint="eastAsia" w:hAnsi="宋体" w:cs="宋体"/>
          <w:color w:val="auto"/>
          <w:highlight w:val="none"/>
          <w:u w:val="single"/>
          <w:lang w:val="en-US" w:eastAsia="zh-CN"/>
        </w:rPr>
        <w:t xml:space="preserve"> </w:t>
      </w:r>
      <w:r>
        <w:rPr>
          <w:rStyle w:val="32"/>
          <w:rFonts w:hint="eastAsia" w:ascii="Calibri" w:hAnsi="宋体" w:eastAsia="宋体" w:cs="宋体"/>
          <w:color w:val="auto"/>
          <w:highlight w:val="none"/>
        </w:rPr>
        <w:t>。</w:t>
      </w:r>
    </w:p>
    <w:p w14:paraId="7575D795">
      <w:pPr>
        <w:pStyle w:val="99"/>
        <w:spacing w:before="0" w:after="0" w:line="360" w:lineRule="auto"/>
        <w:rPr>
          <w:rStyle w:val="32"/>
          <w:rFonts w:ascii="Calibri" w:hAnsi="Calibri" w:eastAsia="宋体" w:cs="Times New Roman"/>
          <w:color w:val="auto"/>
          <w:highlight w:val="none"/>
        </w:rPr>
      </w:pPr>
      <w:bookmarkStart w:id="1021" w:name="_Toc78449845"/>
      <w:bookmarkStart w:id="1022" w:name="_Toc389065321"/>
      <w:bookmarkStart w:id="1023" w:name="_Toc373227756"/>
      <w:bookmarkStart w:id="1024" w:name="_Toc2090321864"/>
      <w:bookmarkStart w:id="1025" w:name="_Toc373478403"/>
      <w:bookmarkStart w:id="1026" w:name="_Toc1470255881"/>
      <w:bookmarkStart w:id="1027" w:name="_Toc407135259"/>
      <w:r>
        <w:rPr>
          <w:rStyle w:val="32"/>
          <w:rFonts w:ascii="Calibri" w:hAnsi="Calibri" w:eastAsia="宋体" w:cs="Times New Roman"/>
          <w:color w:val="auto"/>
          <w:highlight w:val="none"/>
        </w:rPr>
        <w:t xml:space="preserve">13.3 </w:t>
      </w:r>
      <w:r>
        <w:rPr>
          <w:rStyle w:val="32"/>
          <w:rFonts w:hint="eastAsia" w:ascii="Calibri" w:hAnsi="宋体" w:eastAsia="宋体" w:cs="黑体"/>
          <w:color w:val="auto"/>
          <w:sz w:val="28"/>
          <w:szCs w:val="28"/>
          <w:highlight w:val="none"/>
        </w:rPr>
        <w:t>工程试车</w:t>
      </w:r>
      <w:bookmarkEnd w:id="1021"/>
      <w:bookmarkEnd w:id="1022"/>
      <w:bookmarkEnd w:id="1023"/>
      <w:bookmarkEnd w:id="1024"/>
      <w:bookmarkEnd w:id="1025"/>
      <w:bookmarkEnd w:id="1026"/>
      <w:bookmarkEnd w:id="1027"/>
    </w:p>
    <w:bookmarkEnd w:id="1019"/>
    <w:p w14:paraId="29F2AE56">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13.3.1 </w:t>
      </w:r>
      <w:r>
        <w:rPr>
          <w:rStyle w:val="32"/>
          <w:rFonts w:hint="eastAsia" w:ascii="Calibri" w:hAnsi="宋体" w:eastAsia="宋体" w:cs="宋体"/>
          <w:color w:val="auto"/>
          <w:kern w:val="0"/>
          <w:highlight w:val="none"/>
        </w:rPr>
        <w:t>试车程序</w:t>
      </w:r>
    </w:p>
    <w:p w14:paraId="03E2003F">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kern w:val="0"/>
          <w:highlight w:val="none"/>
        </w:rPr>
        <w:t>工程试车内容：</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按通用条款</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D36707B">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1</w:t>
      </w:r>
      <w:r>
        <w:rPr>
          <w:rStyle w:val="32"/>
          <w:rFonts w:hint="eastAsia" w:ascii="Calibri" w:hAnsi="宋体" w:eastAsia="宋体" w:cs="宋体"/>
          <w:color w:val="auto"/>
          <w:kern w:val="0"/>
          <w:highlight w:val="none"/>
        </w:rPr>
        <w:t>）单机无负荷试车费用由</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承包人</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kern w:val="0"/>
          <w:highlight w:val="none"/>
        </w:rPr>
        <w:t>承担；</w:t>
      </w:r>
    </w:p>
    <w:p w14:paraId="27F60B18">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2</w:t>
      </w:r>
      <w:r>
        <w:rPr>
          <w:rStyle w:val="32"/>
          <w:rFonts w:hint="eastAsia" w:ascii="Calibri" w:hAnsi="宋体" w:eastAsia="宋体" w:cs="宋体"/>
          <w:color w:val="auto"/>
          <w:kern w:val="0"/>
          <w:highlight w:val="none"/>
        </w:rPr>
        <w:t>）无负荷联动试车费用由</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承包人</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kern w:val="0"/>
          <w:highlight w:val="none"/>
        </w:rPr>
        <w:t>承担。</w:t>
      </w:r>
    </w:p>
    <w:p w14:paraId="13473B8E">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13.3.3 </w:t>
      </w:r>
      <w:r>
        <w:rPr>
          <w:rStyle w:val="32"/>
          <w:rFonts w:hint="eastAsia" w:ascii="Calibri" w:hAnsi="宋体" w:eastAsia="宋体" w:cs="宋体"/>
          <w:color w:val="auto"/>
          <w:kern w:val="0"/>
          <w:highlight w:val="none"/>
        </w:rPr>
        <w:t>投料试车</w:t>
      </w:r>
    </w:p>
    <w:p w14:paraId="16659B0B">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kern w:val="0"/>
          <w:highlight w:val="none"/>
        </w:rPr>
        <w:t>关于投料试车相关事项的约定：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按通用条款</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35E7DAE">
      <w:pPr>
        <w:pStyle w:val="99"/>
        <w:spacing w:before="0" w:after="0" w:line="360" w:lineRule="auto"/>
        <w:rPr>
          <w:rStyle w:val="32"/>
          <w:rFonts w:ascii="Calibri" w:hAnsi="Calibri" w:eastAsia="宋体" w:cs="Times New Roman"/>
          <w:color w:val="auto"/>
          <w:highlight w:val="none"/>
        </w:rPr>
      </w:pPr>
      <w:bookmarkStart w:id="1028" w:name="_Toc389065322"/>
      <w:bookmarkStart w:id="1029" w:name="_Toc550030550"/>
      <w:bookmarkStart w:id="1030" w:name="_Toc10307455"/>
      <w:bookmarkStart w:id="1031" w:name="_Toc373478404"/>
      <w:bookmarkStart w:id="1032" w:name="_Toc407135260"/>
      <w:bookmarkStart w:id="1033" w:name="_Toc373227757"/>
      <w:bookmarkStart w:id="1034" w:name="_Toc78449846"/>
      <w:r>
        <w:rPr>
          <w:rStyle w:val="32"/>
          <w:rFonts w:ascii="Calibri" w:hAnsi="Calibri" w:eastAsia="宋体" w:cs="Times New Roman"/>
          <w:color w:val="auto"/>
          <w:highlight w:val="none"/>
        </w:rPr>
        <w:t xml:space="preserve">13.6 </w:t>
      </w:r>
      <w:r>
        <w:rPr>
          <w:rStyle w:val="32"/>
          <w:rFonts w:hint="eastAsia" w:ascii="Calibri" w:hAnsi="宋体" w:eastAsia="宋体" w:cs="黑体"/>
          <w:color w:val="auto"/>
          <w:sz w:val="28"/>
          <w:szCs w:val="28"/>
          <w:highlight w:val="none"/>
        </w:rPr>
        <w:t>竣工退场</w:t>
      </w:r>
      <w:bookmarkEnd w:id="1028"/>
      <w:bookmarkEnd w:id="1029"/>
      <w:bookmarkEnd w:id="1030"/>
      <w:bookmarkEnd w:id="1031"/>
      <w:bookmarkEnd w:id="1032"/>
      <w:bookmarkEnd w:id="1033"/>
      <w:bookmarkEnd w:id="1034"/>
    </w:p>
    <w:p w14:paraId="1199EFFE">
      <w:pPr>
        <w:pStyle w:val="78"/>
        <w:spacing w:line="360" w:lineRule="auto"/>
        <w:ind w:firstLine="420" w:firstLineChars="200"/>
        <w:jc w:val="left"/>
        <w:outlineLvl w:val="0"/>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13.6.1 </w:t>
      </w:r>
      <w:r>
        <w:rPr>
          <w:rStyle w:val="32"/>
          <w:rFonts w:hint="eastAsia" w:ascii="Calibri" w:hAnsi="宋体" w:eastAsia="宋体" w:cs="宋体"/>
          <w:color w:val="auto"/>
          <w:kern w:val="0"/>
          <w:highlight w:val="none"/>
        </w:rPr>
        <w:t>竣工退场</w:t>
      </w:r>
    </w:p>
    <w:p w14:paraId="7FE2B4DF">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承包人完成竣工退场的期限：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按《通用合同条款》条执行</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kern w:val="0"/>
          <w:highlight w:val="none"/>
        </w:rPr>
        <w:t>。</w:t>
      </w:r>
    </w:p>
    <w:p w14:paraId="3FF6CD87">
      <w:pPr>
        <w:pStyle w:val="98"/>
        <w:spacing w:before="0" w:after="0" w:line="360" w:lineRule="auto"/>
        <w:rPr>
          <w:rStyle w:val="32"/>
          <w:rFonts w:cs="Times New Roman"/>
          <w:color w:val="auto"/>
          <w:highlight w:val="none"/>
        </w:rPr>
      </w:pPr>
      <w:bookmarkStart w:id="1035" w:name="_Toc373227758"/>
      <w:bookmarkStart w:id="1036" w:name="_Toc1385490858"/>
      <w:bookmarkStart w:id="1037" w:name="_Toc1950258056"/>
      <w:bookmarkStart w:id="1038" w:name="_Toc351203646"/>
      <w:bookmarkStart w:id="1039" w:name="_Toc407135261"/>
      <w:bookmarkStart w:id="1040" w:name="_Toc373478405"/>
      <w:bookmarkStart w:id="1041" w:name="_Toc389065323"/>
      <w:bookmarkStart w:id="1042" w:name="_Toc78449847"/>
      <w:r>
        <w:rPr>
          <w:rStyle w:val="32"/>
          <w:rFonts w:cs="Times New Roman"/>
          <w:color w:val="auto"/>
          <w:highlight w:val="none"/>
        </w:rPr>
        <w:t xml:space="preserve">14. </w:t>
      </w:r>
      <w:r>
        <w:rPr>
          <w:rStyle w:val="32"/>
          <w:rFonts w:hint="eastAsia" w:hAnsi="宋体" w:cs="黑体"/>
          <w:color w:val="auto"/>
          <w:sz w:val="28"/>
          <w:szCs w:val="18"/>
          <w:highlight w:val="none"/>
        </w:rPr>
        <w:t>竣工结算</w:t>
      </w:r>
      <w:bookmarkEnd w:id="1035"/>
      <w:bookmarkEnd w:id="1036"/>
      <w:bookmarkEnd w:id="1037"/>
      <w:bookmarkEnd w:id="1038"/>
      <w:bookmarkEnd w:id="1039"/>
      <w:bookmarkEnd w:id="1040"/>
      <w:bookmarkEnd w:id="1041"/>
      <w:bookmarkEnd w:id="1042"/>
    </w:p>
    <w:p w14:paraId="51085303">
      <w:pPr>
        <w:pStyle w:val="99"/>
        <w:spacing w:before="0" w:after="0" w:line="360" w:lineRule="auto"/>
        <w:rPr>
          <w:rStyle w:val="32"/>
          <w:rFonts w:ascii="Calibri" w:hAnsi="Calibri" w:eastAsia="宋体" w:cs="Times New Roman"/>
          <w:color w:val="auto"/>
          <w:highlight w:val="none"/>
        </w:rPr>
      </w:pPr>
      <w:bookmarkStart w:id="1043" w:name="_Toc174652718"/>
      <w:bookmarkStart w:id="1044" w:name="_Toc78449848"/>
      <w:bookmarkStart w:id="1045" w:name="_Toc389065324"/>
      <w:bookmarkStart w:id="1046" w:name="_Toc407135262"/>
      <w:bookmarkStart w:id="1047" w:name="_Toc1973954660"/>
      <w:bookmarkStart w:id="1048" w:name="_Toc373478406"/>
      <w:bookmarkStart w:id="1049" w:name="_Toc373227759"/>
      <w:r>
        <w:rPr>
          <w:rStyle w:val="32"/>
          <w:rFonts w:ascii="Calibri" w:hAnsi="Calibri" w:eastAsia="宋体" w:cs="Times New Roman"/>
          <w:color w:val="auto"/>
          <w:highlight w:val="none"/>
        </w:rPr>
        <w:t xml:space="preserve">14.1 </w:t>
      </w:r>
      <w:r>
        <w:rPr>
          <w:rStyle w:val="32"/>
          <w:rFonts w:hint="eastAsia" w:ascii="Calibri" w:hAnsi="宋体" w:eastAsia="宋体" w:cs="黑体"/>
          <w:color w:val="auto"/>
          <w:sz w:val="28"/>
          <w:szCs w:val="28"/>
          <w:highlight w:val="none"/>
        </w:rPr>
        <w:t>竣工付款申请</w:t>
      </w:r>
      <w:bookmarkEnd w:id="1043"/>
      <w:bookmarkEnd w:id="1044"/>
      <w:bookmarkEnd w:id="1045"/>
      <w:bookmarkEnd w:id="1046"/>
      <w:bookmarkEnd w:id="1047"/>
      <w:bookmarkEnd w:id="1048"/>
      <w:bookmarkEnd w:id="1049"/>
    </w:p>
    <w:p w14:paraId="5E5765B2">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承包人提交竣工付款申请单的期限：</w:t>
      </w:r>
      <w:r>
        <w:rPr>
          <w:rStyle w:val="32"/>
          <w:rFonts w:hint="eastAsia" w:ascii="Calibri" w:hAnsi="Calibri" w:eastAsia="宋体" w:cs="Times New Roman"/>
          <w:color w:val="auto"/>
          <w:highlight w:val="none"/>
          <w:u w:val="single"/>
        </w:rPr>
        <w:t>承包人应在工程竣工验收合格之日起 28 天内向发包人和监理人提交竣工结算申请单</w:t>
      </w:r>
      <w:r>
        <w:rPr>
          <w:rStyle w:val="32"/>
          <w:rFonts w:hint="eastAsia" w:ascii="Calibri" w:hAnsi="宋体" w:eastAsia="宋体" w:cs="宋体"/>
          <w:color w:val="auto"/>
          <w:highlight w:val="none"/>
        </w:rPr>
        <w:t>。</w:t>
      </w:r>
    </w:p>
    <w:p w14:paraId="0DF3CC95">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竣工付款申请单应包括的内容：</w:t>
      </w:r>
      <w:r>
        <w:rPr>
          <w:rStyle w:val="32"/>
          <w:rFonts w:hint="eastAsia" w:ascii="Calibri" w:hAnsi="宋体" w:eastAsia="宋体" w:cs="宋体"/>
          <w:color w:val="auto"/>
          <w:highlight w:val="none"/>
          <w:u w:val="single"/>
        </w:rPr>
        <w:t>（1）竣工结算合同价格；（2）发包人已支付承包人的款项；（3）应扣留的质量保证金；（4）发包人应支付承包人的合同价款</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。竣工结算款支付申请（核准）表见合同附件12。</w:t>
      </w:r>
    </w:p>
    <w:p w14:paraId="110EDD44">
      <w:pPr>
        <w:pStyle w:val="99"/>
        <w:spacing w:before="0" w:after="0" w:line="360" w:lineRule="auto"/>
        <w:rPr>
          <w:rStyle w:val="32"/>
          <w:rFonts w:ascii="Calibri" w:hAnsi="Calibri" w:eastAsia="宋体" w:cs="Times New Roman"/>
          <w:color w:val="auto"/>
          <w:highlight w:val="none"/>
        </w:rPr>
      </w:pPr>
      <w:bookmarkStart w:id="1050" w:name="_Toc407135263"/>
      <w:bookmarkStart w:id="1051" w:name="_Toc667492935"/>
      <w:bookmarkStart w:id="1052" w:name="_Toc489920513"/>
      <w:bookmarkStart w:id="1053" w:name="_Toc78449849"/>
      <w:bookmarkStart w:id="1054" w:name="_Toc373227760"/>
      <w:bookmarkStart w:id="1055" w:name="_Toc373478407"/>
      <w:bookmarkStart w:id="1056" w:name="_Toc389065325"/>
      <w:r>
        <w:rPr>
          <w:rStyle w:val="32"/>
          <w:rFonts w:ascii="Calibri" w:hAnsi="Calibri" w:eastAsia="宋体" w:cs="Times New Roman"/>
          <w:color w:val="auto"/>
          <w:highlight w:val="none"/>
        </w:rPr>
        <w:t xml:space="preserve">14.2 </w:t>
      </w:r>
      <w:r>
        <w:rPr>
          <w:rStyle w:val="32"/>
          <w:rFonts w:hint="eastAsia" w:ascii="Calibri" w:hAnsi="宋体" w:eastAsia="宋体" w:cs="黑体"/>
          <w:color w:val="auto"/>
          <w:sz w:val="28"/>
          <w:szCs w:val="28"/>
          <w:highlight w:val="none"/>
        </w:rPr>
        <w:t>竣工结算审核</w:t>
      </w:r>
      <w:bookmarkEnd w:id="1050"/>
      <w:bookmarkEnd w:id="1051"/>
      <w:bookmarkEnd w:id="1052"/>
      <w:bookmarkEnd w:id="1053"/>
      <w:bookmarkEnd w:id="1054"/>
      <w:bookmarkEnd w:id="1055"/>
      <w:bookmarkEnd w:id="1056"/>
    </w:p>
    <w:p w14:paraId="7F683EE2">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发包人审批竣工付款申请单的期限：</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ACB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8FC95FF">
            <w:pPr>
              <w:pStyle w:val="78"/>
              <w:spacing w:line="360" w:lineRule="auto"/>
              <w:rPr>
                <w:rStyle w:val="32"/>
                <w:rFonts w:ascii="Calibri" w:hAnsi="Calibri" w:eastAsia="宋体" w:cs="Times New Roman"/>
                <w:color w:val="auto"/>
                <w:highlight w:val="none"/>
              </w:rPr>
            </w:pPr>
          </w:p>
        </w:tc>
        <w:tc>
          <w:tcPr>
            <w:tcW w:w="2466" w:type="dxa"/>
            <w:noWrap w:val="0"/>
            <w:vAlign w:val="center"/>
          </w:tcPr>
          <w:p w14:paraId="52C36584">
            <w:pPr>
              <w:pStyle w:val="78"/>
              <w:spacing w:line="360" w:lineRule="auto"/>
              <w:ind w:firstLine="27" w:firstLineChars="13"/>
              <w:jc w:val="center"/>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工程竣工结算报告金额</w:t>
            </w:r>
          </w:p>
        </w:tc>
        <w:tc>
          <w:tcPr>
            <w:tcW w:w="5967" w:type="dxa"/>
            <w:noWrap w:val="0"/>
            <w:vAlign w:val="center"/>
          </w:tcPr>
          <w:p w14:paraId="7B5CCB3F">
            <w:pPr>
              <w:pStyle w:val="78"/>
              <w:spacing w:line="360" w:lineRule="auto"/>
              <w:ind w:firstLine="441" w:firstLineChars="210"/>
              <w:jc w:val="center"/>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发包人审查时间</w:t>
            </w:r>
          </w:p>
        </w:tc>
      </w:tr>
      <w:tr w14:paraId="67C3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573DCB0">
            <w:pPr>
              <w:pStyle w:val="78"/>
              <w:spacing w:line="360" w:lineRule="auto"/>
              <w:jc w:val="center"/>
              <w:rPr>
                <w:rStyle w:val="32"/>
                <w:rFonts w:ascii="Calibri" w:hAnsi="Calibri" w:eastAsia="宋体" w:cs="Times New Roman"/>
                <w:color w:val="auto"/>
                <w:highlight w:val="none"/>
              </w:rPr>
            </w:pPr>
            <w:r>
              <w:rPr>
                <w:rStyle w:val="32"/>
                <w:rFonts w:ascii="Calibri" w:hAnsi="Calibri" w:eastAsia="宋体" w:cs="Times New Roman"/>
                <w:color w:val="auto"/>
                <w:highlight w:val="none"/>
              </w:rPr>
              <w:t>1</w:t>
            </w:r>
          </w:p>
        </w:tc>
        <w:tc>
          <w:tcPr>
            <w:tcW w:w="2466" w:type="dxa"/>
            <w:noWrap w:val="0"/>
            <w:vAlign w:val="center"/>
          </w:tcPr>
          <w:p w14:paraId="41199C15">
            <w:pPr>
              <w:pStyle w:val="78"/>
              <w:spacing w:line="360" w:lineRule="auto"/>
              <w:ind w:firstLine="27" w:firstLineChars="13"/>
              <w:jc w:val="center"/>
              <w:rPr>
                <w:rStyle w:val="32"/>
                <w:rFonts w:ascii="Calibri" w:hAnsi="Calibri" w:eastAsia="宋体" w:cs="Times New Roman"/>
                <w:color w:val="auto"/>
                <w:highlight w:val="none"/>
              </w:rPr>
            </w:pPr>
            <w:r>
              <w:rPr>
                <w:rStyle w:val="32"/>
                <w:rFonts w:ascii="Calibri" w:hAnsi="Calibri" w:eastAsia="宋体" w:cs="Times New Roman"/>
                <w:color w:val="auto"/>
                <w:highlight w:val="none"/>
              </w:rPr>
              <w:t>500</w:t>
            </w:r>
            <w:r>
              <w:rPr>
                <w:rStyle w:val="32"/>
                <w:rFonts w:hint="eastAsia" w:ascii="Calibri" w:hAnsi="宋体" w:eastAsia="宋体" w:cs="宋体"/>
                <w:color w:val="auto"/>
                <w:highlight w:val="none"/>
              </w:rPr>
              <w:t>万元以下</w:t>
            </w:r>
          </w:p>
        </w:tc>
        <w:tc>
          <w:tcPr>
            <w:tcW w:w="5967" w:type="dxa"/>
            <w:noWrap w:val="0"/>
            <w:vAlign w:val="center"/>
          </w:tcPr>
          <w:p w14:paraId="5343E4C5">
            <w:pPr>
              <w:pStyle w:val="78"/>
              <w:spacing w:line="360" w:lineRule="auto"/>
              <w:ind w:firstLine="441" w:firstLineChars="210"/>
              <w:jc w:val="center"/>
              <w:rPr>
                <w:rStyle w:val="32"/>
                <w:rFonts w:ascii="Calibri" w:hAnsi="Calibri" w:eastAsia="宋体" w:cs="Times New Roman"/>
                <w:color w:val="auto"/>
                <w:highlight w:val="none"/>
              </w:rPr>
            </w:pPr>
            <w:r>
              <w:rPr>
                <w:rStyle w:val="32"/>
                <w:rFonts w:hint="eastAsia" w:ascii="Calibri" w:hAnsi="宋体" w:eastAsia="宋体" w:cs="宋体"/>
                <w:color w:val="auto"/>
                <w:highlight w:val="none"/>
              </w:rPr>
              <w:t>从接到竣工结算报告和完整的竣工结算资料之日起</w:t>
            </w:r>
            <w:r>
              <w:rPr>
                <w:rStyle w:val="32"/>
                <w:rFonts w:ascii="Calibri" w:hAnsi="Calibri" w:eastAsia="宋体" w:cs="Times New Roman"/>
                <w:color w:val="auto"/>
                <w:highlight w:val="none"/>
              </w:rPr>
              <w:t>20</w:t>
            </w:r>
            <w:r>
              <w:rPr>
                <w:rStyle w:val="32"/>
                <w:rFonts w:hint="eastAsia" w:ascii="Calibri" w:hAnsi="宋体" w:eastAsia="宋体" w:cs="宋体"/>
                <w:color w:val="auto"/>
                <w:highlight w:val="none"/>
              </w:rPr>
              <w:t>天</w:t>
            </w:r>
          </w:p>
        </w:tc>
      </w:tr>
      <w:tr w14:paraId="3B5A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1148CF8">
            <w:pPr>
              <w:pStyle w:val="78"/>
              <w:spacing w:line="360" w:lineRule="auto"/>
              <w:jc w:val="center"/>
              <w:rPr>
                <w:rStyle w:val="32"/>
                <w:rFonts w:ascii="Calibri" w:hAnsi="Calibri" w:eastAsia="宋体" w:cs="Times New Roman"/>
                <w:color w:val="auto"/>
                <w:highlight w:val="none"/>
              </w:rPr>
            </w:pPr>
            <w:r>
              <w:rPr>
                <w:rStyle w:val="32"/>
                <w:rFonts w:ascii="Calibri" w:hAnsi="Calibri" w:eastAsia="宋体" w:cs="Times New Roman"/>
                <w:color w:val="auto"/>
                <w:highlight w:val="none"/>
              </w:rPr>
              <w:t>2</w:t>
            </w:r>
          </w:p>
        </w:tc>
        <w:tc>
          <w:tcPr>
            <w:tcW w:w="2466" w:type="dxa"/>
            <w:noWrap w:val="0"/>
            <w:vAlign w:val="center"/>
          </w:tcPr>
          <w:p w14:paraId="162D9BCC">
            <w:pPr>
              <w:pStyle w:val="78"/>
              <w:spacing w:line="360" w:lineRule="auto"/>
              <w:ind w:firstLine="27" w:firstLineChars="13"/>
              <w:jc w:val="center"/>
              <w:rPr>
                <w:rStyle w:val="32"/>
                <w:rFonts w:ascii="Calibri" w:hAnsi="Calibri" w:eastAsia="宋体" w:cs="Times New Roman"/>
                <w:color w:val="auto"/>
                <w:highlight w:val="none"/>
              </w:rPr>
            </w:pPr>
            <w:r>
              <w:rPr>
                <w:rStyle w:val="32"/>
                <w:rFonts w:ascii="Calibri" w:hAnsi="Calibri" w:eastAsia="宋体" w:cs="Times New Roman"/>
                <w:color w:val="auto"/>
                <w:highlight w:val="none"/>
              </w:rPr>
              <w:t>500</w:t>
            </w:r>
            <w:r>
              <w:rPr>
                <w:rStyle w:val="32"/>
                <w:rFonts w:hint="eastAsia" w:ascii="Calibri" w:hAnsi="宋体" w:eastAsia="宋体" w:cs="宋体"/>
                <w:color w:val="auto"/>
                <w:highlight w:val="none"/>
              </w:rPr>
              <w:t>万元</w:t>
            </w:r>
            <w:r>
              <w:rPr>
                <w:rStyle w:val="32"/>
                <w:rFonts w:ascii="Calibri" w:hAnsi="Calibri" w:eastAsia="宋体" w:cs="Times New Roman"/>
                <w:color w:val="auto"/>
                <w:highlight w:val="none"/>
              </w:rPr>
              <w:t>-2000</w:t>
            </w:r>
            <w:r>
              <w:rPr>
                <w:rStyle w:val="32"/>
                <w:rFonts w:hint="eastAsia" w:ascii="Calibri" w:hAnsi="宋体" w:eastAsia="宋体" w:cs="宋体"/>
                <w:color w:val="auto"/>
                <w:highlight w:val="none"/>
              </w:rPr>
              <w:t>万元</w:t>
            </w:r>
          </w:p>
        </w:tc>
        <w:tc>
          <w:tcPr>
            <w:tcW w:w="5967" w:type="dxa"/>
            <w:noWrap w:val="0"/>
            <w:vAlign w:val="center"/>
          </w:tcPr>
          <w:p w14:paraId="2C3253BB">
            <w:pPr>
              <w:pStyle w:val="78"/>
              <w:spacing w:line="360" w:lineRule="auto"/>
              <w:ind w:firstLine="441" w:firstLineChars="210"/>
              <w:jc w:val="center"/>
              <w:rPr>
                <w:rStyle w:val="32"/>
                <w:rFonts w:ascii="Calibri" w:hAnsi="Calibri" w:eastAsia="宋体" w:cs="Times New Roman"/>
                <w:color w:val="auto"/>
                <w:highlight w:val="none"/>
              </w:rPr>
            </w:pPr>
            <w:r>
              <w:rPr>
                <w:rStyle w:val="32"/>
                <w:rFonts w:hint="eastAsia" w:ascii="Calibri" w:hAnsi="宋体" w:eastAsia="宋体" w:cs="宋体"/>
                <w:color w:val="auto"/>
                <w:highlight w:val="none"/>
              </w:rPr>
              <w:t>从接到竣工结算报告和完整的竣工结算资料之日起</w:t>
            </w:r>
            <w:r>
              <w:rPr>
                <w:rStyle w:val="32"/>
                <w:rFonts w:ascii="Calibri" w:hAnsi="Calibri" w:eastAsia="宋体" w:cs="Times New Roman"/>
                <w:color w:val="auto"/>
                <w:highlight w:val="none"/>
              </w:rPr>
              <w:t>30</w:t>
            </w:r>
            <w:r>
              <w:rPr>
                <w:rStyle w:val="32"/>
                <w:rFonts w:hint="eastAsia" w:ascii="Calibri" w:hAnsi="宋体" w:eastAsia="宋体" w:cs="宋体"/>
                <w:color w:val="auto"/>
                <w:highlight w:val="none"/>
              </w:rPr>
              <w:t>天</w:t>
            </w:r>
          </w:p>
        </w:tc>
      </w:tr>
      <w:tr w14:paraId="0A3F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952E8F0">
            <w:pPr>
              <w:pStyle w:val="78"/>
              <w:spacing w:line="360" w:lineRule="auto"/>
              <w:jc w:val="center"/>
              <w:rPr>
                <w:rStyle w:val="32"/>
                <w:rFonts w:ascii="Calibri" w:hAnsi="Calibri" w:eastAsia="宋体" w:cs="Times New Roman"/>
                <w:color w:val="auto"/>
                <w:highlight w:val="none"/>
              </w:rPr>
            </w:pPr>
            <w:r>
              <w:rPr>
                <w:rStyle w:val="32"/>
                <w:rFonts w:ascii="Calibri" w:hAnsi="Calibri" w:eastAsia="宋体" w:cs="Times New Roman"/>
                <w:color w:val="auto"/>
                <w:highlight w:val="none"/>
              </w:rPr>
              <w:t>3</w:t>
            </w:r>
          </w:p>
        </w:tc>
        <w:tc>
          <w:tcPr>
            <w:tcW w:w="2466" w:type="dxa"/>
            <w:noWrap w:val="0"/>
            <w:vAlign w:val="center"/>
          </w:tcPr>
          <w:p w14:paraId="764C25DE">
            <w:pPr>
              <w:pStyle w:val="78"/>
              <w:spacing w:line="360" w:lineRule="auto"/>
              <w:ind w:firstLine="27" w:firstLineChars="13"/>
              <w:jc w:val="center"/>
              <w:rPr>
                <w:rStyle w:val="32"/>
                <w:rFonts w:ascii="Calibri" w:hAnsi="Calibri" w:eastAsia="宋体" w:cs="Times New Roman"/>
                <w:color w:val="auto"/>
                <w:highlight w:val="none"/>
              </w:rPr>
            </w:pPr>
            <w:r>
              <w:rPr>
                <w:rStyle w:val="32"/>
                <w:rFonts w:ascii="Calibri" w:hAnsi="Calibri" w:eastAsia="宋体" w:cs="Times New Roman"/>
                <w:color w:val="auto"/>
                <w:highlight w:val="none"/>
              </w:rPr>
              <w:t>2000</w:t>
            </w:r>
            <w:r>
              <w:rPr>
                <w:rStyle w:val="32"/>
                <w:rFonts w:hint="eastAsia" w:ascii="Calibri" w:hAnsi="宋体" w:eastAsia="宋体" w:cs="宋体"/>
                <w:color w:val="auto"/>
                <w:highlight w:val="none"/>
              </w:rPr>
              <w:t>万元</w:t>
            </w:r>
            <w:r>
              <w:rPr>
                <w:rStyle w:val="32"/>
                <w:rFonts w:ascii="Calibri" w:hAnsi="Calibri" w:eastAsia="宋体" w:cs="Times New Roman"/>
                <w:color w:val="auto"/>
                <w:highlight w:val="none"/>
              </w:rPr>
              <w:t>-5000</w:t>
            </w:r>
            <w:r>
              <w:rPr>
                <w:rStyle w:val="32"/>
                <w:rFonts w:hint="eastAsia" w:ascii="Calibri" w:hAnsi="宋体" w:eastAsia="宋体" w:cs="宋体"/>
                <w:color w:val="auto"/>
                <w:highlight w:val="none"/>
              </w:rPr>
              <w:t>万元</w:t>
            </w:r>
          </w:p>
        </w:tc>
        <w:tc>
          <w:tcPr>
            <w:tcW w:w="5967" w:type="dxa"/>
            <w:noWrap w:val="0"/>
            <w:vAlign w:val="center"/>
          </w:tcPr>
          <w:p w14:paraId="188C775C">
            <w:pPr>
              <w:pStyle w:val="78"/>
              <w:spacing w:line="360" w:lineRule="auto"/>
              <w:ind w:firstLine="441" w:firstLineChars="210"/>
              <w:jc w:val="center"/>
              <w:rPr>
                <w:rStyle w:val="32"/>
                <w:rFonts w:ascii="Calibri" w:hAnsi="Calibri" w:eastAsia="宋体" w:cs="Times New Roman"/>
                <w:color w:val="auto"/>
                <w:highlight w:val="none"/>
              </w:rPr>
            </w:pPr>
            <w:r>
              <w:rPr>
                <w:rStyle w:val="32"/>
                <w:rFonts w:hint="eastAsia" w:ascii="Calibri" w:hAnsi="宋体" w:eastAsia="宋体" w:cs="宋体"/>
                <w:color w:val="auto"/>
                <w:highlight w:val="none"/>
              </w:rPr>
              <w:t>从接到竣工结算报告和完整的竣工结算资料之日起</w:t>
            </w:r>
            <w:r>
              <w:rPr>
                <w:rStyle w:val="32"/>
                <w:rFonts w:ascii="Calibri" w:hAnsi="Calibri" w:eastAsia="宋体" w:cs="Times New Roman"/>
                <w:color w:val="auto"/>
                <w:highlight w:val="none"/>
              </w:rPr>
              <w:t>45</w:t>
            </w:r>
            <w:r>
              <w:rPr>
                <w:rStyle w:val="32"/>
                <w:rFonts w:hint="eastAsia" w:ascii="Calibri" w:hAnsi="宋体" w:eastAsia="宋体" w:cs="宋体"/>
                <w:color w:val="auto"/>
                <w:highlight w:val="none"/>
              </w:rPr>
              <w:t>天</w:t>
            </w:r>
          </w:p>
        </w:tc>
      </w:tr>
      <w:tr w14:paraId="6B94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72B613C">
            <w:pPr>
              <w:pStyle w:val="78"/>
              <w:spacing w:line="360" w:lineRule="auto"/>
              <w:jc w:val="center"/>
              <w:rPr>
                <w:rStyle w:val="32"/>
                <w:rFonts w:ascii="Calibri" w:hAnsi="Calibri" w:eastAsia="宋体" w:cs="Times New Roman"/>
                <w:color w:val="auto"/>
                <w:highlight w:val="none"/>
              </w:rPr>
            </w:pPr>
            <w:r>
              <w:rPr>
                <w:rStyle w:val="32"/>
                <w:rFonts w:ascii="Calibri" w:hAnsi="Calibri" w:eastAsia="宋体" w:cs="Times New Roman"/>
                <w:color w:val="auto"/>
                <w:highlight w:val="none"/>
              </w:rPr>
              <w:t>4</w:t>
            </w:r>
          </w:p>
        </w:tc>
        <w:tc>
          <w:tcPr>
            <w:tcW w:w="2466" w:type="dxa"/>
            <w:noWrap w:val="0"/>
            <w:vAlign w:val="center"/>
          </w:tcPr>
          <w:p w14:paraId="2FF4ED2E">
            <w:pPr>
              <w:pStyle w:val="78"/>
              <w:spacing w:line="360" w:lineRule="auto"/>
              <w:ind w:firstLine="27" w:firstLineChars="13"/>
              <w:jc w:val="center"/>
              <w:rPr>
                <w:rStyle w:val="32"/>
                <w:rFonts w:ascii="Calibri" w:hAnsi="Calibri" w:eastAsia="宋体" w:cs="Times New Roman"/>
                <w:color w:val="auto"/>
                <w:highlight w:val="none"/>
              </w:rPr>
            </w:pPr>
            <w:r>
              <w:rPr>
                <w:rStyle w:val="32"/>
                <w:rFonts w:ascii="Calibri" w:hAnsi="Calibri" w:eastAsia="宋体" w:cs="Times New Roman"/>
                <w:color w:val="auto"/>
                <w:highlight w:val="none"/>
              </w:rPr>
              <w:t>5000</w:t>
            </w:r>
            <w:r>
              <w:rPr>
                <w:rStyle w:val="32"/>
                <w:rFonts w:hint="eastAsia" w:ascii="Calibri" w:hAnsi="宋体" w:eastAsia="宋体" w:cs="宋体"/>
                <w:color w:val="auto"/>
                <w:highlight w:val="none"/>
              </w:rPr>
              <w:t>万元以上</w:t>
            </w:r>
          </w:p>
        </w:tc>
        <w:tc>
          <w:tcPr>
            <w:tcW w:w="5967" w:type="dxa"/>
            <w:noWrap w:val="0"/>
            <w:vAlign w:val="center"/>
          </w:tcPr>
          <w:p w14:paraId="234B1F46">
            <w:pPr>
              <w:pStyle w:val="78"/>
              <w:spacing w:line="360" w:lineRule="auto"/>
              <w:ind w:firstLine="441" w:firstLineChars="210"/>
              <w:jc w:val="center"/>
              <w:rPr>
                <w:rStyle w:val="32"/>
                <w:rFonts w:ascii="Calibri" w:hAnsi="Calibri" w:eastAsia="宋体" w:cs="Times New Roman"/>
                <w:color w:val="auto"/>
                <w:highlight w:val="none"/>
              </w:rPr>
            </w:pPr>
            <w:r>
              <w:rPr>
                <w:rStyle w:val="32"/>
                <w:rFonts w:hint="eastAsia" w:ascii="Calibri" w:hAnsi="宋体" w:eastAsia="宋体" w:cs="宋体"/>
                <w:color w:val="auto"/>
                <w:highlight w:val="none"/>
              </w:rPr>
              <w:t>从接到竣工结算报告和完整的竣工结算资料之日起</w:t>
            </w:r>
            <w:r>
              <w:rPr>
                <w:rStyle w:val="32"/>
                <w:rFonts w:ascii="Calibri" w:hAnsi="Calibri" w:eastAsia="宋体" w:cs="Times New Roman"/>
                <w:color w:val="auto"/>
                <w:highlight w:val="none"/>
              </w:rPr>
              <w:t>60</w:t>
            </w:r>
            <w:r>
              <w:rPr>
                <w:rStyle w:val="32"/>
                <w:rFonts w:hint="eastAsia" w:ascii="Calibri" w:hAnsi="宋体" w:eastAsia="宋体" w:cs="宋体"/>
                <w:color w:val="auto"/>
                <w:highlight w:val="none"/>
              </w:rPr>
              <w:t>天</w:t>
            </w:r>
          </w:p>
        </w:tc>
      </w:tr>
      <w:tr w14:paraId="5345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532F759">
            <w:pPr>
              <w:pStyle w:val="78"/>
              <w:spacing w:line="360" w:lineRule="auto"/>
              <w:jc w:val="center"/>
              <w:rPr>
                <w:rStyle w:val="32"/>
                <w:rFonts w:ascii="Calibri" w:hAnsi="Calibri" w:eastAsia="宋体" w:cs="Times New Roman"/>
                <w:color w:val="auto"/>
                <w:highlight w:val="none"/>
              </w:rPr>
            </w:pPr>
            <w:r>
              <w:rPr>
                <w:rStyle w:val="32"/>
                <w:rFonts w:hint="eastAsia" w:ascii="Calibri" w:hAnsi="Calibri" w:eastAsia="宋体" w:cs="Times New Roman"/>
                <w:color w:val="auto"/>
                <w:highlight w:val="none"/>
              </w:rPr>
              <w:t>5</w:t>
            </w:r>
          </w:p>
        </w:tc>
        <w:tc>
          <w:tcPr>
            <w:tcW w:w="2466" w:type="dxa"/>
            <w:noWrap w:val="0"/>
            <w:vAlign w:val="center"/>
          </w:tcPr>
          <w:p w14:paraId="12498F2F">
            <w:pPr>
              <w:pStyle w:val="78"/>
              <w:spacing w:line="360" w:lineRule="auto"/>
              <w:ind w:firstLine="27" w:firstLineChars="13"/>
              <w:jc w:val="center"/>
              <w:rPr>
                <w:rStyle w:val="32"/>
                <w:rFonts w:ascii="Calibri" w:hAnsi="Calibri" w:eastAsia="宋体" w:cs="Times New Roman"/>
                <w:color w:val="auto"/>
                <w:highlight w:val="none"/>
              </w:rPr>
            </w:pPr>
            <w:r>
              <w:rPr>
                <w:rStyle w:val="32"/>
                <w:rFonts w:hint="eastAsia" w:ascii="Calibri" w:hAnsi="Calibri" w:eastAsia="宋体" w:cs="Times New Roman"/>
                <w:color w:val="auto"/>
                <w:highlight w:val="none"/>
              </w:rPr>
              <w:t>5000万以上每增加</w:t>
            </w:r>
            <w:r>
              <w:rPr>
                <w:rStyle w:val="32"/>
                <w:rFonts w:ascii="Calibri" w:hAnsi="Calibri" w:eastAsia="宋体" w:cs="Times New Roman"/>
                <w:color w:val="auto"/>
                <w:highlight w:val="none"/>
              </w:rPr>
              <w:t>0.5</w:t>
            </w:r>
            <w:r>
              <w:rPr>
                <w:rStyle w:val="32"/>
                <w:rFonts w:hint="eastAsia" w:ascii="Calibri" w:hAnsi="Calibri" w:eastAsia="宋体" w:cs="Times New Roman"/>
                <w:color w:val="auto"/>
                <w:highlight w:val="none"/>
              </w:rPr>
              <w:t>亿(不足0.5亿不增加)</w:t>
            </w:r>
          </w:p>
        </w:tc>
        <w:tc>
          <w:tcPr>
            <w:tcW w:w="5967" w:type="dxa"/>
            <w:noWrap w:val="0"/>
            <w:vAlign w:val="center"/>
          </w:tcPr>
          <w:p w14:paraId="35B3DE01">
            <w:pPr>
              <w:pStyle w:val="78"/>
              <w:spacing w:line="360" w:lineRule="auto"/>
              <w:ind w:firstLine="441" w:firstLineChars="210"/>
              <w:jc w:val="center"/>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增加10天</w:t>
            </w:r>
          </w:p>
        </w:tc>
      </w:tr>
    </w:tbl>
    <w:p w14:paraId="325177E7">
      <w:pPr>
        <w:pStyle w:val="78"/>
        <w:spacing w:line="360" w:lineRule="auto"/>
        <w:ind w:firstLine="420" w:firstLineChars="200"/>
        <w:jc w:val="left"/>
        <w:rPr>
          <w:rStyle w:val="32"/>
          <w:rFonts w:ascii="Calibri" w:hAnsi="宋体" w:eastAsia="宋体" w:cs="Times New Roman"/>
          <w:color w:val="auto"/>
          <w:highlight w:val="none"/>
        </w:rPr>
      </w:pPr>
      <w:r>
        <w:rPr>
          <w:rStyle w:val="32"/>
          <w:rFonts w:hint="eastAsia" w:ascii="Calibri" w:hAnsi="宋体" w:eastAsia="宋体" w:cs="宋体"/>
          <w:color w:val="auto"/>
          <w:highlight w:val="none"/>
        </w:rPr>
        <w:t>因承包人提供的结算资料不完整而需要补充或承包人不按时对账耽误时间时，审查时间应相应顺延。</w:t>
      </w:r>
    </w:p>
    <w:p w14:paraId="7509B0D6">
      <w:pPr>
        <w:pStyle w:val="78"/>
        <w:spacing w:line="400" w:lineRule="exact"/>
        <w:ind w:firstLine="411" w:firstLineChars="196"/>
        <w:rPr>
          <w:rStyle w:val="32"/>
          <w:rFonts w:hint="eastAsia" w:ascii="Times New Roman" w:hAnsi="宋体" w:eastAsia="宋体" w:cs="宋体"/>
          <w:i w:val="0"/>
          <w:caps w:val="0"/>
          <w:color w:val="auto"/>
          <w:spacing w:val="0"/>
          <w:sz w:val="21"/>
          <w:szCs w:val="21"/>
          <w:highlight w:val="none"/>
        </w:rPr>
      </w:pPr>
      <w:r>
        <w:rPr>
          <w:rStyle w:val="32"/>
          <w:rFonts w:hint="eastAsia" w:ascii="Calibri" w:hAnsi="宋体" w:eastAsia="宋体" w:cs="宋体"/>
          <w:color w:val="auto"/>
          <w:highlight w:val="none"/>
        </w:rPr>
        <w:t>竣工结算审核约定：</w:t>
      </w:r>
      <w:r>
        <w:rPr>
          <w:rStyle w:val="32"/>
          <w:rFonts w:hint="eastAsia" w:ascii="Times New Roman"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063363E1">
      <w:pPr>
        <w:pStyle w:val="78"/>
        <w:spacing w:line="400" w:lineRule="exact"/>
        <w:ind w:firstLine="411" w:firstLineChars="196"/>
        <w:rPr>
          <w:rStyle w:val="32"/>
          <w:rFonts w:hint="eastAsia" w:ascii="Times New Roman" w:hAnsi="宋体" w:eastAsia="宋体" w:cs="宋体"/>
          <w:color w:val="auto"/>
          <w:szCs w:val="21"/>
          <w:highlight w:val="none"/>
        </w:rPr>
      </w:pPr>
      <w:r>
        <w:rPr>
          <w:rStyle w:val="32"/>
          <w:rFonts w:ascii="宋体" w:hAnsi="宋体" w:eastAsia="宋体" w:cs="宋体"/>
          <w:color w:val="auto"/>
          <w:kern w:val="0"/>
          <w:sz w:val="21"/>
          <w:szCs w:val="21"/>
          <w:highlight w:val="none"/>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5230520F">
      <w:pPr>
        <w:pStyle w:val="78"/>
        <w:spacing w:line="400" w:lineRule="exact"/>
        <w:ind w:firstLine="411" w:firstLineChars="196"/>
        <w:rPr>
          <w:rStyle w:val="32"/>
          <w:rFonts w:hint="eastAsia" w:ascii="Calibri" w:hAnsi="宋体" w:eastAsia="宋体" w:cs="宋体"/>
          <w:color w:val="auto"/>
          <w:highlight w:val="none"/>
          <w:u w:val="none"/>
          <w:lang w:val="en-US" w:eastAsia="zh-CN"/>
        </w:rPr>
      </w:pPr>
      <w:r>
        <w:rPr>
          <w:rStyle w:val="32"/>
          <w:rFonts w:ascii="Calibri" w:hAnsi="宋体" w:eastAsia="宋体" w:cs="Times New Roman"/>
          <w:color w:val="auto"/>
          <w:highlight w:val="none"/>
          <w:u w:val="none"/>
        </w:rPr>
        <w:t>1</w:t>
      </w:r>
      <w:r>
        <w:rPr>
          <w:rStyle w:val="32"/>
          <w:rFonts w:hint="eastAsia" w:ascii="Calibri" w:hAnsi="宋体" w:eastAsia="宋体" w:cs="宋体"/>
          <w:color w:val="auto"/>
          <w:highlight w:val="none"/>
          <w:u w:val="none"/>
        </w:rPr>
        <w:t>、工程竣工验收报告经发包人认可后</w:t>
      </w:r>
      <w:r>
        <w:rPr>
          <w:rStyle w:val="32"/>
          <w:rFonts w:hint="eastAsia" w:hAnsi="宋体" w:cs="Times New Roman"/>
          <w:color w:val="auto"/>
          <w:highlight w:val="none"/>
          <w:u w:val="none"/>
          <w:lang w:val="en-US" w:eastAsia="zh-CN"/>
        </w:rPr>
        <w:t>28</w:t>
      </w:r>
      <w:r>
        <w:rPr>
          <w:rStyle w:val="32"/>
          <w:rFonts w:hint="eastAsia" w:ascii="Calibri" w:hAnsi="宋体" w:eastAsia="宋体" w:cs="宋体"/>
          <w:color w:val="auto"/>
          <w:highlight w:val="none"/>
          <w:u w:val="none"/>
        </w:rPr>
        <w:t>天内，承包人向发包人递交竣工验收合格资料及完整的结算资料和报告，双方按照本工程合同约定的价格形式及价款调整办法进行工程竣工结算。</w:t>
      </w:r>
      <w:r>
        <w:rPr>
          <w:rStyle w:val="32"/>
          <w:rFonts w:ascii="Calibri" w:hAnsi="宋体" w:eastAsia="宋体" w:cs="Times New Roman"/>
          <w:color w:val="auto"/>
          <w:highlight w:val="none"/>
          <w:u w:val="none"/>
        </w:rPr>
        <w:t>2</w:t>
      </w:r>
      <w:r>
        <w:rPr>
          <w:rStyle w:val="32"/>
          <w:rFonts w:hint="eastAsia" w:ascii="Calibri" w:hAnsi="宋体" w:eastAsia="宋体" w:cs="宋体"/>
          <w:color w:val="auto"/>
          <w:highlight w:val="none"/>
          <w:u w:val="none"/>
        </w:rPr>
        <w:t>、发包人收到承包人递交的竣工结算报告及结算资料之日起</w:t>
      </w:r>
      <w:r>
        <w:rPr>
          <w:rStyle w:val="32"/>
          <w:rFonts w:hint="eastAsia" w:ascii="Calibri" w:hAnsi="宋体" w:eastAsia="宋体" w:cs="宋体"/>
          <w:color w:val="auto"/>
          <w:highlight w:val="none"/>
          <w:u w:val="none"/>
          <w:lang w:val="en-US" w:eastAsia="zh-CN"/>
        </w:rPr>
        <w:t xml:space="preserve"> </w:t>
      </w:r>
      <w:r>
        <w:rPr>
          <w:rStyle w:val="32"/>
          <w:rFonts w:hint="eastAsia" w:hAnsi="宋体" w:cs="宋体"/>
          <w:color w:val="auto"/>
          <w:highlight w:val="none"/>
          <w:u w:val="none"/>
          <w:lang w:val="en-US" w:eastAsia="zh-CN"/>
        </w:rPr>
        <w:t>28</w:t>
      </w:r>
      <w:r>
        <w:rPr>
          <w:rStyle w:val="32"/>
          <w:rFonts w:ascii="Calibri" w:hAnsi="宋体" w:eastAsia="宋体" w:cs="Times New Roman"/>
          <w:color w:val="auto"/>
          <w:highlight w:val="none"/>
          <w:u w:val="none"/>
        </w:rPr>
        <w:t xml:space="preserve"> </w:t>
      </w:r>
      <w:r>
        <w:rPr>
          <w:rStyle w:val="32"/>
          <w:rFonts w:hint="eastAsia" w:ascii="Calibri" w:hAnsi="宋体" w:eastAsia="宋体" w:cs="宋体"/>
          <w:color w:val="auto"/>
          <w:highlight w:val="none"/>
          <w:u w:val="non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Style w:val="32"/>
          <w:rFonts w:ascii="Calibri" w:hAnsi="宋体" w:eastAsia="宋体" w:cs="宋体"/>
          <w:color w:val="auto"/>
          <w:highlight w:val="none"/>
          <w:u w:val="none"/>
        </w:rPr>
        <w:t xml:space="preserve"> </w:t>
      </w:r>
      <w:r>
        <w:rPr>
          <w:rStyle w:val="32"/>
          <w:rFonts w:hint="eastAsia" w:hAnsi="宋体" w:cs="宋体"/>
          <w:color w:val="auto"/>
          <w:highlight w:val="none"/>
          <w:u w:val="none"/>
          <w:lang w:val="en-US" w:eastAsia="zh-CN"/>
        </w:rPr>
        <w:t>28</w:t>
      </w:r>
      <w:r>
        <w:rPr>
          <w:rStyle w:val="32"/>
          <w:rFonts w:ascii="Calibri" w:hAnsi="宋体" w:eastAsia="宋体" w:cs="宋体"/>
          <w:color w:val="auto"/>
          <w:highlight w:val="none"/>
          <w:u w:val="none"/>
        </w:rPr>
        <w:t xml:space="preserve"> </w:t>
      </w:r>
      <w:r>
        <w:rPr>
          <w:rStyle w:val="32"/>
          <w:rFonts w:hint="eastAsia" w:ascii="Calibri" w:hAnsi="宋体" w:eastAsia="宋体" w:cs="宋体"/>
          <w:color w:val="auto"/>
          <w:highlight w:val="none"/>
          <w:u w:val="non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Style w:val="32"/>
          <w:rFonts w:hint="eastAsia" w:ascii="Calibri" w:hAnsi="宋体" w:eastAsia="宋体" w:cs="Times New Roman"/>
          <w:color w:val="auto"/>
          <w:highlight w:val="none"/>
          <w:u w:val="none"/>
        </w:rPr>
        <w:t xml:space="preserve"> </w:t>
      </w:r>
      <w:r>
        <w:rPr>
          <w:rStyle w:val="32"/>
          <w:rFonts w:hint="eastAsia" w:hAnsi="宋体" w:cs="Times New Roman"/>
          <w:color w:val="auto"/>
          <w:highlight w:val="none"/>
          <w:u w:val="none"/>
          <w:lang w:val="en-US" w:eastAsia="zh-CN"/>
        </w:rPr>
        <w:t>28</w:t>
      </w:r>
      <w:r>
        <w:rPr>
          <w:rStyle w:val="32"/>
          <w:rFonts w:hint="eastAsia" w:ascii="Calibri" w:hAnsi="宋体" w:eastAsia="宋体" w:cs="Times New Roman"/>
          <w:color w:val="auto"/>
          <w:highlight w:val="none"/>
          <w:u w:val="none"/>
        </w:rPr>
        <w:t xml:space="preserve"> </w:t>
      </w:r>
      <w:r>
        <w:rPr>
          <w:rStyle w:val="32"/>
          <w:rFonts w:hint="eastAsia" w:ascii="Calibri" w:hAnsi="宋体" w:eastAsia="宋体" w:cs="宋体"/>
          <w:color w:val="auto"/>
          <w:highlight w:val="none"/>
          <w:u w:val="none"/>
        </w:rPr>
        <w:t>天内，发包人按审定后的竣工结算价款，通知经办银行向承包人支付结算价款。</w:t>
      </w:r>
      <w:r>
        <w:rPr>
          <w:rStyle w:val="32"/>
          <w:rFonts w:hint="eastAsia" w:ascii="Calibri" w:hAnsi="宋体" w:eastAsia="宋体" w:cs="宋体"/>
          <w:color w:val="auto"/>
          <w:highlight w:val="none"/>
          <w:u w:val="none"/>
          <w:lang w:val="en-US" w:eastAsia="zh-CN"/>
        </w:rPr>
        <w:t>4.</w:t>
      </w:r>
      <w:r>
        <w:rPr>
          <w:rStyle w:val="32"/>
          <w:rFonts w:hint="eastAsia" w:ascii="Calibri" w:hAnsi="宋体" w:eastAsia="宋体" w:cs="宋体"/>
          <w:color w:val="auto"/>
          <w:highlight w:val="none"/>
          <w:u w:val="none"/>
        </w:rPr>
        <w:t>竣工结算按乙方所提供发票的税率，据实调整结算价款</w:t>
      </w:r>
      <w:r>
        <w:rPr>
          <w:rStyle w:val="32"/>
          <w:rFonts w:hint="eastAsia" w:ascii="Calibri" w:hAnsi="宋体" w:eastAsia="宋体" w:cs="宋体"/>
          <w:color w:val="auto"/>
          <w:highlight w:val="none"/>
          <w:u w:val="none"/>
          <w:lang w:eastAsia="zh-CN"/>
        </w:rPr>
        <w:t>。</w:t>
      </w:r>
      <w:r>
        <w:rPr>
          <w:rStyle w:val="32"/>
          <w:rFonts w:hint="eastAsia" w:ascii="Calibri" w:hAnsi="宋体" w:eastAsia="宋体" w:cs="宋体"/>
          <w:color w:val="auto"/>
          <w:highlight w:val="none"/>
          <w:u w:val="none"/>
          <w:lang w:val="en-US" w:eastAsia="zh-CN"/>
        </w:rPr>
        <w:t>5.乙方编制</w:t>
      </w:r>
      <w:r>
        <w:rPr>
          <w:rStyle w:val="32"/>
          <w:rFonts w:hint="eastAsia" w:ascii="Calibri" w:hAnsi="宋体" w:eastAsia="宋体" w:cs="宋体"/>
          <w:color w:val="auto"/>
          <w:highlight w:val="none"/>
          <w:u w:val="none"/>
        </w:rPr>
        <w:t>竣工结算</w:t>
      </w:r>
      <w:r>
        <w:rPr>
          <w:rStyle w:val="32"/>
          <w:rFonts w:hint="eastAsia" w:ascii="Calibri" w:hAnsi="宋体" w:eastAsia="宋体" w:cs="宋体"/>
          <w:color w:val="auto"/>
          <w:highlight w:val="none"/>
          <w:u w:val="none"/>
          <w:lang w:val="en-US" w:eastAsia="zh-CN"/>
        </w:rPr>
        <w:t>书交由甲方审计科实施结算审计，并出具结算审计意见。经审计后，审增（减）率低于7%（含7%），视为该结算书编报合理，审计费用由甲方承担；审增（减）率高于7%，视为该结算书编报不合理，超出部分审计费由乙方承担，并从工程结算款中扣除。超出部分审计费的计算方式为：送审结算金额*（审增（减）率-7%）*（基本费费率+效益费费率）。</w:t>
      </w:r>
    </w:p>
    <w:p w14:paraId="6BA67112">
      <w:pPr>
        <w:pStyle w:val="78"/>
        <w:spacing w:line="360" w:lineRule="auto"/>
        <w:ind w:firstLine="420" w:firstLineChars="200"/>
        <w:jc w:val="left"/>
        <w:rPr>
          <w:rStyle w:val="32"/>
          <w:rFonts w:hint="eastAsia" w:ascii="Calibri" w:hAnsi="Calibri" w:eastAsia="宋体" w:cs="Times New Roman"/>
          <w:color w:val="auto"/>
          <w:highlight w:val="none"/>
          <w:u w:val="single"/>
          <w:lang w:eastAsia="zh-CN"/>
        </w:rPr>
      </w:pPr>
      <w:r>
        <w:rPr>
          <w:rStyle w:val="32"/>
          <w:rFonts w:hint="eastAsia" w:ascii="Calibri" w:hAnsi="宋体" w:eastAsia="宋体" w:cs="宋体"/>
          <w:color w:val="auto"/>
          <w:highlight w:val="none"/>
        </w:rPr>
        <w:t>备注：对于国有投资项目结算审核约定，双方可结合各地政府或有关部门出台的管理规定进行局部调整</w:t>
      </w:r>
      <w:r>
        <w:rPr>
          <w:rStyle w:val="32"/>
          <w:rFonts w:hint="eastAsia" w:hAnsi="宋体" w:cs="宋体"/>
          <w:color w:val="auto"/>
          <w:highlight w:val="none"/>
          <w:lang w:eastAsia="zh-CN"/>
        </w:rPr>
        <w:t>。</w:t>
      </w:r>
    </w:p>
    <w:p w14:paraId="4B3DC46B">
      <w:pPr>
        <w:pStyle w:val="99"/>
        <w:spacing w:before="0" w:after="0" w:line="360" w:lineRule="auto"/>
        <w:rPr>
          <w:rStyle w:val="32"/>
          <w:rFonts w:ascii="Calibri" w:hAnsi="Calibri" w:eastAsia="宋体" w:cs="Times New Roman"/>
          <w:color w:val="auto"/>
          <w:highlight w:val="none"/>
        </w:rPr>
      </w:pPr>
      <w:bookmarkStart w:id="1057" w:name="_Toc389065326"/>
      <w:bookmarkStart w:id="1058" w:name="_Toc373227761"/>
      <w:bookmarkStart w:id="1059" w:name="_Toc1203653078"/>
      <w:bookmarkStart w:id="1060" w:name="_Toc78449850"/>
      <w:bookmarkStart w:id="1061" w:name="_Toc540165641"/>
      <w:bookmarkStart w:id="1062" w:name="_Toc407135264"/>
      <w:bookmarkStart w:id="1063" w:name="_Toc373478408"/>
      <w:r>
        <w:rPr>
          <w:rStyle w:val="32"/>
          <w:rFonts w:ascii="Calibri" w:hAnsi="Calibri" w:eastAsia="宋体" w:cs="Times New Roman"/>
          <w:color w:val="auto"/>
          <w:highlight w:val="none"/>
        </w:rPr>
        <w:t xml:space="preserve">14.4 </w:t>
      </w:r>
      <w:r>
        <w:rPr>
          <w:rStyle w:val="32"/>
          <w:rFonts w:hint="eastAsia" w:ascii="Calibri" w:hAnsi="宋体" w:eastAsia="宋体" w:cs="黑体"/>
          <w:color w:val="auto"/>
          <w:sz w:val="28"/>
          <w:szCs w:val="28"/>
          <w:highlight w:val="none"/>
        </w:rPr>
        <w:t>最终结清</w:t>
      </w:r>
      <w:bookmarkEnd w:id="1057"/>
      <w:bookmarkEnd w:id="1058"/>
      <w:bookmarkEnd w:id="1059"/>
      <w:bookmarkEnd w:id="1060"/>
      <w:bookmarkEnd w:id="1061"/>
      <w:bookmarkEnd w:id="1062"/>
      <w:bookmarkEnd w:id="1063"/>
    </w:p>
    <w:p w14:paraId="69D8DEE1">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14.4.1 </w:t>
      </w:r>
      <w:r>
        <w:rPr>
          <w:rStyle w:val="32"/>
          <w:rFonts w:hint="eastAsia" w:ascii="Calibri" w:hAnsi="宋体" w:eastAsia="宋体" w:cs="宋体"/>
          <w:color w:val="auto"/>
          <w:kern w:val="0"/>
          <w:highlight w:val="none"/>
        </w:rPr>
        <w:t>最终结清申请单</w:t>
      </w:r>
    </w:p>
    <w:p w14:paraId="290538FE">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承包人提交最终结清申请单的份数：</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一式六份</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9A08111">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kern w:val="0"/>
          <w:highlight w:val="none"/>
        </w:rPr>
        <w:t>承包人提交最终结算申请单的期限：</w:t>
      </w:r>
      <w:r>
        <w:rPr>
          <w:rStyle w:val="32"/>
          <w:rFonts w:ascii="Calibri" w:hAnsi="Calibri" w:eastAsia="宋体" w:cs="Times New Roman"/>
          <w:color w:val="auto"/>
          <w:highlight w:val="none"/>
          <w:u w:val="single"/>
        </w:rPr>
        <w:t xml:space="preserve"> </w:t>
      </w:r>
      <w:r>
        <w:rPr>
          <w:rStyle w:val="32"/>
          <w:rFonts w:hint="eastAsia" w:ascii="Times New Roman" w:hAnsi="Times New Roman" w:cs="Times New Roman"/>
          <w:color w:val="auto"/>
          <w:highlight w:val="none"/>
          <w:u w:val="single"/>
          <w:lang w:val="en-US" w:eastAsia="zh-CN"/>
        </w:rPr>
        <w:t>结算审定</w:t>
      </w:r>
      <w:r>
        <w:rPr>
          <w:rStyle w:val="32"/>
          <w:rFonts w:hint="eastAsia" w:ascii="Times New Roman" w:hAnsi="Times New Roman" w:eastAsia="宋体" w:cs="Times New Roman"/>
          <w:color w:val="auto"/>
          <w:highlight w:val="none"/>
          <w:u w:val="single"/>
          <w:lang w:val="en-US" w:eastAsia="zh-CN"/>
        </w:rPr>
        <w:t xml:space="preserve">后 </w:t>
      </w:r>
      <w:r>
        <w:rPr>
          <w:rStyle w:val="32"/>
          <w:rFonts w:hint="eastAsia" w:ascii="Times New Roman" w:hAnsi="Times New Roman" w:cs="Times New Roman"/>
          <w:color w:val="auto"/>
          <w:highlight w:val="none"/>
          <w:u w:val="single"/>
          <w:lang w:val="en-US" w:eastAsia="zh-CN"/>
        </w:rPr>
        <w:t>7</w:t>
      </w:r>
      <w:r>
        <w:rPr>
          <w:rStyle w:val="32"/>
          <w:rFonts w:hint="eastAsia" w:ascii="Times New Roman" w:hAnsi="Times New Roman" w:eastAsia="宋体" w:cs="Times New Roman"/>
          <w:color w:val="auto"/>
          <w:highlight w:val="none"/>
          <w:u w:val="single"/>
          <w:lang w:val="en-US" w:eastAsia="zh-CN"/>
        </w:rPr>
        <w:t xml:space="preserve"> 天内</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14BB0A5">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14.4.2 </w:t>
      </w:r>
      <w:r>
        <w:rPr>
          <w:rStyle w:val="32"/>
          <w:rFonts w:hint="eastAsia" w:ascii="Calibri" w:hAnsi="宋体" w:eastAsia="宋体" w:cs="宋体"/>
          <w:color w:val="auto"/>
          <w:highlight w:val="none"/>
        </w:rPr>
        <w:t>最终结清证书和支付</w:t>
      </w:r>
    </w:p>
    <w:p w14:paraId="05225B5B">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1</w:t>
      </w:r>
      <w:r>
        <w:rPr>
          <w:rStyle w:val="32"/>
          <w:rFonts w:hint="eastAsia" w:ascii="Calibri" w:hAnsi="宋体" w:eastAsia="宋体" w:cs="宋体"/>
          <w:color w:val="auto"/>
          <w:highlight w:val="none"/>
        </w:rPr>
        <w:t>）发包人完成最终结清申请单的审批并颁发最终结清证书的期限：</w:t>
      </w:r>
      <w:r>
        <w:rPr>
          <w:rStyle w:val="32"/>
          <w:rFonts w:hint="eastAsia" w:ascii="Calibri" w:hAnsi="宋体" w:eastAsia="宋体" w:cs="宋体"/>
          <w:color w:val="auto"/>
          <w:highlight w:val="none"/>
          <w:u w:val="single"/>
        </w:rPr>
        <w:t>收到该申请 28 天内</w:t>
      </w:r>
      <w:r>
        <w:rPr>
          <w:rStyle w:val="32"/>
          <w:rFonts w:hint="eastAsia" w:hAnsi="宋体" w:cs="宋体"/>
          <w:color w:val="auto"/>
          <w:highlight w:val="none"/>
          <w:u w:val="single"/>
          <w:lang w:val="en-US" w:eastAsia="zh-CN"/>
        </w:rPr>
        <w:t xml:space="preserve">，若承包人提交材料漏缺，时间相应顺延 </w:t>
      </w:r>
      <w:r>
        <w:rPr>
          <w:rStyle w:val="32"/>
          <w:rFonts w:hint="eastAsia" w:ascii="Calibri" w:hAnsi="宋体" w:eastAsia="宋体" w:cs="宋体"/>
          <w:color w:val="auto"/>
          <w:highlight w:val="none"/>
        </w:rPr>
        <w:t>。</w:t>
      </w:r>
    </w:p>
    <w:p w14:paraId="545B424D">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2</w:t>
      </w:r>
      <w:r>
        <w:rPr>
          <w:rStyle w:val="32"/>
          <w:rFonts w:hint="eastAsia" w:ascii="Calibri" w:hAnsi="宋体" w:eastAsia="宋体" w:cs="宋体"/>
          <w:color w:val="auto"/>
          <w:highlight w:val="none"/>
        </w:rPr>
        <w:t>）发包人完成支付的期限：</w:t>
      </w:r>
      <w:r>
        <w:rPr>
          <w:rStyle w:val="32"/>
          <w:rFonts w:hint="eastAsia" w:ascii="Calibri" w:hAnsi="宋体" w:eastAsia="宋体" w:cs="宋体"/>
          <w:color w:val="auto"/>
          <w:highlight w:val="none"/>
          <w:u w:val="single"/>
        </w:rPr>
        <w:t>发包人应在颁发最终结清证书后报财政局审批完成支付</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bookmarkEnd w:id="1008"/>
    <w:bookmarkEnd w:id="1009"/>
    <w:bookmarkEnd w:id="1010"/>
    <w:bookmarkEnd w:id="1011"/>
    <w:bookmarkEnd w:id="1012"/>
    <w:bookmarkEnd w:id="1013"/>
    <w:bookmarkEnd w:id="1014"/>
    <w:bookmarkEnd w:id="1020"/>
    <w:p w14:paraId="1E795CB8">
      <w:pPr>
        <w:pStyle w:val="98"/>
        <w:spacing w:before="0" w:after="0" w:line="360" w:lineRule="auto"/>
        <w:rPr>
          <w:rStyle w:val="32"/>
          <w:rFonts w:cs="Times New Roman"/>
          <w:color w:val="auto"/>
          <w:highlight w:val="none"/>
        </w:rPr>
      </w:pPr>
      <w:bookmarkStart w:id="1064" w:name="_Toc373227762"/>
      <w:bookmarkStart w:id="1065" w:name="_Toc389065327"/>
      <w:bookmarkStart w:id="1066" w:name="_Toc407135265"/>
      <w:bookmarkStart w:id="1067" w:name="_Toc351203647"/>
      <w:bookmarkStart w:id="1068" w:name="_Toc1294213766"/>
      <w:bookmarkStart w:id="1069" w:name="_Toc78449851"/>
      <w:bookmarkStart w:id="1070" w:name="_Toc905081407"/>
      <w:bookmarkStart w:id="1071" w:name="_Toc373478409"/>
      <w:bookmarkStart w:id="1072" w:name="_Toc267251483"/>
      <w:bookmarkStart w:id="1073" w:name="_Toc267251484"/>
      <w:bookmarkStart w:id="1074" w:name="_Toc267251482"/>
      <w:bookmarkStart w:id="1075" w:name="_Toc267251485"/>
      <w:bookmarkStart w:id="1076" w:name="_Toc267251488"/>
      <w:bookmarkStart w:id="1077" w:name="_Toc267251490"/>
      <w:bookmarkStart w:id="1078" w:name="_Toc267251489"/>
      <w:bookmarkStart w:id="1079" w:name="_Toc267251486"/>
      <w:bookmarkStart w:id="1080" w:name="_Toc267251495"/>
      <w:bookmarkStart w:id="1081" w:name="_Toc267251497"/>
      <w:bookmarkStart w:id="1082" w:name="_Toc267251503"/>
      <w:bookmarkStart w:id="1083" w:name="_Toc267251493"/>
      <w:bookmarkStart w:id="1084" w:name="_Toc267251498"/>
      <w:bookmarkStart w:id="1085" w:name="_Toc267251491"/>
      <w:bookmarkStart w:id="1086" w:name="_Toc267251502"/>
      <w:bookmarkStart w:id="1087" w:name="_Toc267251492"/>
      <w:bookmarkStart w:id="1088" w:name="_Toc267251501"/>
      <w:bookmarkStart w:id="1089" w:name="_Toc267251499"/>
      <w:bookmarkStart w:id="1090" w:name="_Toc267251496"/>
      <w:bookmarkStart w:id="1091" w:name="_Toc267251494"/>
      <w:bookmarkStart w:id="1092" w:name="_Toc267251506"/>
      <w:bookmarkStart w:id="1093" w:name="_Toc267251504"/>
      <w:bookmarkStart w:id="1094" w:name="_Toc267251507"/>
      <w:bookmarkStart w:id="1095" w:name="_Toc267251508"/>
      <w:bookmarkStart w:id="1096" w:name="_Toc267251511"/>
      <w:bookmarkStart w:id="1097" w:name="_Toc267251514"/>
      <w:bookmarkStart w:id="1098" w:name="_Toc267251515"/>
      <w:bookmarkStart w:id="1099" w:name="_Toc267251509"/>
      <w:bookmarkStart w:id="1100" w:name="_Toc267251510"/>
      <w:bookmarkStart w:id="1101" w:name="_Toc267251513"/>
      <w:r>
        <w:rPr>
          <w:rStyle w:val="32"/>
          <w:rFonts w:cs="Times New Roman"/>
          <w:color w:val="auto"/>
          <w:highlight w:val="none"/>
        </w:rPr>
        <w:t xml:space="preserve">15. </w:t>
      </w:r>
      <w:r>
        <w:rPr>
          <w:rStyle w:val="32"/>
          <w:rFonts w:hint="eastAsia" w:cs="黑体"/>
          <w:color w:val="auto"/>
          <w:sz w:val="28"/>
          <w:szCs w:val="18"/>
          <w:highlight w:val="none"/>
        </w:rPr>
        <w:t>缺陷责任期与保修</w:t>
      </w:r>
      <w:bookmarkEnd w:id="1064"/>
      <w:bookmarkEnd w:id="1065"/>
      <w:bookmarkEnd w:id="1066"/>
      <w:bookmarkEnd w:id="1067"/>
      <w:bookmarkEnd w:id="1068"/>
      <w:bookmarkEnd w:id="1069"/>
      <w:bookmarkEnd w:id="1070"/>
      <w:bookmarkEnd w:id="1071"/>
    </w:p>
    <w:p w14:paraId="3C43EFC4">
      <w:pPr>
        <w:pStyle w:val="99"/>
        <w:spacing w:before="0" w:after="0" w:line="360" w:lineRule="auto"/>
        <w:rPr>
          <w:rStyle w:val="32"/>
          <w:rFonts w:ascii="Calibri" w:hAnsi="Calibri" w:eastAsia="宋体" w:cs="Times New Roman"/>
          <w:color w:val="auto"/>
          <w:highlight w:val="none"/>
        </w:rPr>
      </w:pPr>
      <w:bookmarkStart w:id="1102" w:name="_Toc1845278067"/>
      <w:bookmarkStart w:id="1103" w:name="_Toc1468458868"/>
      <w:bookmarkStart w:id="1104" w:name="_Toc373478410"/>
      <w:bookmarkStart w:id="1105" w:name="_Toc78449852"/>
      <w:bookmarkStart w:id="1106" w:name="_Toc389065328"/>
      <w:bookmarkStart w:id="1107" w:name="_Toc373227763"/>
      <w:bookmarkStart w:id="1108" w:name="_Toc407135266"/>
      <w:r>
        <w:rPr>
          <w:rStyle w:val="32"/>
          <w:rFonts w:ascii="Calibri" w:hAnsi="Calibri" w:eastAsia="宋体" w:cs="Times New Roman"/>
          <w:color w:val="auto"/>
          <w:highlight w:val="none"/>
        </w:rPr>
        <w:t xml:space="preserve">15.2 </w:t>
      </w:r>
      <w:r>
        <w:rPr>
          <w:rStyle w:val="32"/>
          <w:rFonts w:hint="eastAsia" w:ascii="Calibri" w:hAnsi="宋体" w:eastAsia="宋体" w:cs="黑体"/>
          <w:color w:val="auto"/>
          <w:sz w:val="28"/>
          <w:szCs w:val="28"/>
          <w:highlight w:val="none"/>
        </w:rPr>
        <w:t>缺陷责任期</w:t>
      </w:r>
      <w:bookmarkEnd w:id="1072"/>
      <w:bookmarkEnd w:id="1102"/>
      <w:bookmarkEnd w:id="1103"/>
      <w:bookmarkEnd w:id="1104"/>
      <w:bookmarkEnd w:id="1105"/>
      <w:bookmarkEnd w:id="1106"/>
      <w:bookmarkEnd w:id="1107"/>
      <w:bookmarkEnd w:id="1108"/>
    </w:p>
    <w:p w14:paraId="08F49D87">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缺陷责任期的具体期限：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自工程竣工验收合格之日起 24 个月</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7A6B4192">
      <w:pPr>
        <w:pStyle w:val="99"/>
        <w:spacing w:before="0" w:after="0" w:line="360" w:lineRule="auto"/>
        <w:rPr>
          <w:rStyle w:val="32"/>
          <w:rFonts w:ascii="Calibri" w:hAnsi="Calibri" w:eastAsia="宋体" w:cs="Times New Roman"/>
          <w:color w:val="auto"/>
          <w:highlight w:val="none"/>
        </w:rPr>
      </w:pPr>
      <w:bookmarkStart w:id="1109" w:name="_Toc373478411"/>
      <w:bookmarkStart w:id="1110" w:name="_Toc373227764"/>
      <w:bookmarkStart w:id="1111" w:name="_Toc1004692311"/>
      <w:bookmarkStart w:id="1112" w:name="_Toc407135267"/>
      <w:bookmarkStart w:id="1113" w:name="_Toc389065329"/>
      <w:bookmarkStart w:id="1114" w:name="_Toc666080472"/>
      <w:bookmarkStart w:id="1115" w:name="_Toc78449853"/>
      <w:r>
        <w:rPr>
          <w:rStyle w:val="32"/>
          <w:rFonts w:ascii="Calibri" w:hAnsi="Calibri" w:eastAsia="宋体" w:cs="Times New Roman"/>
          <w:color w:val="auto"/>
          <w:highlight w:val="none"/>
        </w:rPr>
        <w:t xml:space="preserve">15.3 </w:t>
      </w:r>
      <w:r>
        <w:rPr>
          <w:rStyle w:val="32"/>
          <w:rFonts w:hint="eastAsia" w:ascii="Calibri" w:hAnsi="宋体" w:eastAsia="宋体" w:cs="黑体"/>
          <w:color w:val="auto"/>
          <w:sz w:val="28"/>
          <w:szCs w:val="28"/>
          <w:highlight w:val="none"/>
        </w:rPr>
        <w:t>质量保证金</w:t>
      </w:r>
      <w:bookmarkEnd w:id="1109"/>
      <w:bookmarkEnd w:id="1110"/>
      <w:bookmarkEnd w:id="1111"/>
      <w:bookmarkEnd w:id="1112"/>
      <w:bookmarkEnd w:id="1113"/>
      <w:bookmarkEnd w:id="1114"/>
      <w:bookmarkEnd w:id="1115"/>
    </w:p>
    <w:p w14:paraId="50AF3F3F">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关于是否扣留质量保证金的约定：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扣留</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D551B87">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在工程项目竣工前，承包人按专用合同条款第3.7条提供履约担保的，发包人不得同时预留工程质量保证金。</w:t>
      </w:r>
    </w:p>
    <w:p w14:paraId="39EF40E6">
      <w:pPr>
        <w:pStyle w:val="78"/>
        <w:spacing w:line="360" w:lineRule="auto"/>
        <w:ind w:firstLine="420" w:firstLineChars="200"/>
        <w:jc w:val="left"/>
        <w:outlineLvl w:val="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15.3.1 </w:t>
      </w:r>
      <w:r>
        <w:rPr>
          <w:rStyle w:val="32"/>
          <w:rFonts w:hint="eastAsia" w:ascii="Calibri" w:hAnsi="宋体" w:eastAsia="宋体" w:cs="宋体"/>
          <w:color w:val="auto"/>
          <w:highlight w:val="none"/>
        </w:rPr>
        <w:t>承包人提供质量保证金的方式</w:t>
      </w:r>
    </w:p>
    <w:p w14:paraId="4C9A2691">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质量保证金采用以下第</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eastAsia="zh-CN"/>
        </w:rPr>
        <w:t>（</w:t>
      </w:r>
      <w:r>
        <w:rPr>
          <w:rStyle w:val="32"/>
          <w:rFonts w:hint="eastAsia" w:ascii="Calibri" w:hAnsi="Calibri" w:eastAsia="宋体" w:cs="Times New Roman"/>
          <w:color w:val="auto"/>
          <w:highlight w:val="none"/>
          <w:u w:val="single"/>
          <w:lang w:val="en-US" w:eastAsia="zh-CN"/>
        </w:rPr>
        <w:t>2</w:t>
      </w:r>
      <w:r>
        <w:rPr>
          <w:rStyle w:val="32"/>
          <w:rFonts w:hint="eastAsia" w:ascii="Calibri" w:hAnsi="Calibri" w:eastAsia="宋体" w:cs="Times New Roman"/>
          <w:color w:val="auto"/>
          <w:highlight w:val="none"/>
          <w:u w:val="single"/>
          <w:lang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种方式：</w:t>
      </w:r>
    </w:p>
    <w:p w14:paraId="3CC18E94">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1</w:t>
      </w:r>
      <w:r>
        <w:rPr>
          <w:rStyle w:val="32"/>
          <w:rFonts w:hint="eastAsia" w:ascii="Calibri" w:hAnsi="宋体" w:eastAsia="宋体" w:cs="宋体"/>
          <w:color w:val="auto"/>
          <w:kern w:val="0"/>
          <w:highlight w:val="none"/>
        </w:rPr>
        <w:t>）质量保证金保函</w:t>
      </w:r>
      <w:r>
        <w:rPr>
          <w:rStyle w:val="32"/>
          <w:rFonts w:hint="eastAsia" w:ascii="Times New Roman" w:hAnsi="宋体" w:eastAsia="宋体" w:cs="宋体"/>
          <w:color w:val="auto"/>
          <w:highlight w:val="none"/>
        </w:rPr>
        <w:t>（银行保函、电子保函、保证保险保函、工程担保保函</w:t>
      </w:r>
      <w:r>
        <w:rPr>
          <w:rStyle w:val="32"/>
          <w:rFonts w:hint="eastAsia" w:ascii="Times New Roman" w:hAnsi="宋体" w:eastAsia="宋体" w:cs="宋体"/>
          <w:color w:val="auto"/>
          <w:highlight w:val="none"/>
          <w:lang w:eastAsia="zh-CN"/>
        </w:rPr>
        <w:t>，</w:t>
      </w:r>
      <w:r>
        <w:rPr>
          <w:rStyle w:val="32"/>
          <w:rFonts w:hint="eastAsia" w:ascii="Calibri" w:hAnsi="宋体" w:eastAsia="宋体" w:cs="宋体"/>
          <w:color w:val="auto"/>
          <w:kern w:val="0"/>
          <w:highlight w:val="none"/>
        </w:rPr>
        <w:t>工程担保保证人应将出具的保函相关信息录入“广西建筑市场监管云”平台（http://gxjzsc.caihcloud.com），以实现保函查询及验真功能</w:t>
      </w:r>
      <w:r>
        <w:rPr>
          <w:rStyle w:val="32"/>
          <w:rFonts w:hint="eastAsia" w:ascii="Calibri" w:hAnsi="宋体" w:eastAsia="宋体" w:cs="宋体"/>
          <w:color w:val="auto"/>
          <w:kern w:val="0"/>
          <w:highlight w:val="none"/>
          <w:lang w:eastAsia="zh-CN"/>
        </w:rPr>
        <w:t>。</w:t>
      </w:r>
      <w:r>
        <w:rPr>
          <w:rStyle w:val="32"/>
          <w:rFonts w:hint="eastAsia" w:ascii="Times New Roman" w:hAnsi="宋体" w:eastAsia="宋体" w:cs="宋体"/>
          <w:color w:val="auto"/>
          <w:highlight w:val="none"/>
        </w:rPr>
        <w:t>）</w:t>
      </w:r>
      <w:r>
        <w:rPr>
          <w:rStyle w:val="32"/>
          <w:rFonts w:hint="eastAsia" w:ascii="Calibri" w:hAnsi="宋体" w:eastAsia="宋体" w:cs="宋体"/>
          <w:color w:val="auto"/>
          <w:kern w:val="0"/>
          <w:highlight w:val="none"/>
        </w:rPr>
        <w:t>，保证金额为：</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lang w:val="en-US" w:eastAsia="zh-CN"/>
        </w:rPr>
        <w:t>/</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19A3C7D7">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2</w:t>
      </w:r>
      <w:r>
        <w:rPr>
          <w:rStyle w:val="32"/>
          <w:rFonts w:hint="eastAsia" w:ascii="Calibri" w:hAnsi="宋体" w:eastAsia="宋体" w:cs="宋体"/>
          <w:color w:val="auto"/>
          <w:kern w:val="0"/>
          <w:highlight w:val="none"/>
        </w:rPr>
        <w:t>）</w:t>
      </w:r>
      <w:r>
        <w:rPr>
          <w:rStyle w:val="32"/>
          <w:rFonts w:hint="eastAsia" w:ascii="Calibri" w:hAnsi="宋体" w:eastAsia="宋体" w:cs="宋体"/>
          <w:color w:val="auto"/>
          <w:highlight w:val="none"/>
        </w:rPr>
        <w:t>发包人按工程价款结算总额的</w:t>
      </w:r>
      <w:r>
        <w:rPr>
          <w:rStyle w:val="32"/>
          <w:rFonts w:ascii="Calibri" w:hAnsi="宋体" w:eastAsia="宋体" w:cs="Times New Roman"/>
          <w:color w:val="auto"/>
          <w:highlight w:val="none"/>
          <w:u w:val="single"/>
        </w:rPr>
        <w:t xml:space="preserve"> </w:t>
      </w:r>
      <w:r>
        <w:rPr>
          <w:rStyle w:val="32"/>
          <w:rFonts w:hint="eastAsia" w:ascii="Calibri" w:hAnsi="宋体" w:eastAsia="宋体" w:cs="Times New Roman"/>
          <w:color w:val="auto"/>
          <w:highlight w:val="none"/>
          <w:u w:val="single"/>
          <w:lang w:val="en-US" w:eastAsia="zh-CN"/>
        </w:rPr>
        <w:t>3</w:t>
      </w:r>
      <w:r>
        <w:rPr>
          <w:rStyle w:val="32"/>
          <w:rFonts w:ascii="Calibri" w:hAnsi="宋体" w:eastAsia="宋体" w:cs="Times New Roman"/>
          <w:color w:val="auto"/>
          <w:highlight w:val="none"/>
          <w:u w:val="single"/>
        </w:rPr>
        <w:t xml:space="preserve">  </w:t>
      </w:r>
      <w:r>
        <w:rPr>
          <w:rStyle w:val="32"/>
          <w:rFonts w:ascii="Calibri" w:hAnsi="Calibri" w:eastAsia="宋体" w:cs="Times New Roman"/>
          <w:color w:val="auto"/>
          <w:highlight w:val="none"/>
        </w:rPr>
        <w:t>%</w:t>
      </w:r>
      <w:r>
        <w:rPr>
          <w:rStyle w:val="32"/>
          <w:rFonts w:hint="eastAsia" w:ascii="Calibri" w:hAnsi="Calibri" w:eastAsia="宋体" w:cs="宋体"/>
          <w:color w:val="auto"/>
          <w:highlight w:val="none"/>
        </w:rPr>
        <w:t>（不得超过</w:t>
      </w:r>
      <w:r>
        <w:rPr>
          <w:rStyle w:val="32"/>
          <w:rFonts w:ascii="Calibri" w:hAnsi="Calibri" w:eastAsia="宋体" w:cs="Times New Roman"/>
          <w:color w:val="auto"/>
          <w:highlight w:val="none"/>
        </w:rPr>
        <w:t>3%</w:t>
      </w:r>
      <w:r>
        <w:rPr>
          <w:rStyle w:val="32"/>
          <w:rFonts w:hint="eastAsia" w:ascii="Calibri" w:hAnsi="Calibri" w:eastAsia="宋体" w:cs="宋体"/>
          <w:color w:val="auto"/>
          <w:highlight w:val="none"/>
        </w:rPr>
        <w:t>）</w:t>
      </w:r>
      <w:r>
        <w:rPr>
          <w:rStyle w:val="32"/>
          <w:rFonts w:hint="eastAsia" w:ascii="Calibri" w:hAnsi="宋体" w:eastAsia="宋体" w:cs="宋体"/>
          <w:color w:val="auto"/>
          <w:highlight w:val="none"/>
        </w:rPr>
        <w:t>预留工程质量保证金，待缺陷责任期满后返还，是否付息及利息计算方式为：</w:t>
      </w:r>
      <w:r>
        <w:rPr>
          <w:rStyle w:val="32"/>
          <w:rFonts w:hint="eastAsia" w:ascii="Calibri" w:hAnsi="宋体" w:eastAsia="宋体" w:cs="宋体"/>
          <w:color w:val="auto"/>
          <w:highlight w:val="none"/>
          <w:u w:val="single"/>
        </w:rPr>
        <w:t xml:space="preserve">  </w:t>
      </w:r>
      <w:r>
        <w:rPr>
          <w:rStyle w:val="32"/>
          <w:rFonts w:hint="eastAsia" w:ascii="Calibri" w:hAnsi="宋体" w:eastAsia="宋体" w:cs="宋体"/>
          <w:color w:val="auto"/>
          <w:highlight w:val="none"/>
          <w:u w:val="single"/>
          <w:lang w:val="en-US" w:eastAsia="zh-CN"/>
        </w:rPr>
        <w:t>无息</w:t>
      </w:r>
      <w:r>
        <w:rPr>
          <w:rStyle w:val="32"/>
          <w:rFonts w:hint="eastAsia" w:ascii="Calibri" w:hAnsi="宋体" w:eastAsia="宋体" w:cs="宋体"/>
          <w:color w:val="auto"/>
          <w:highlight w:val="none"/>
          <w:u w:val="single"/>
        </w:rPr>
        <w:t xml:space="preserve">  </w:t>
      </w:r>
      <w:r>
        <w:rPr>
          <w:rStyle w:val="32"/>
          <w:rFonts w:hint="eastAsia" w:ascii="Calibri" w:hAnsi="宋体" w:eastAsia="宋体" w:cs="宋体"/>
          <w:color w:val="auto"/>
          <w:kern w:val="0"/>
          <w:highlight w:val="none"/>
        </w:rPr>
        <w:t>；</w:t>
      </w:r>
    </w:p>
    <w:p w14:paraId="66EFF23C">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3</w:t>
      </w:r>
      <w:r>
        <w:rPr>
          <w:rStyle w:val="32"/>
          <w:rFonts w:hint="eastAsia" w:ascii="Calibri" w:hAnsi="宋体" w:eastAsia="宋体" w:cs="宋体"/>
          <w:color w:val="auto"/>
          <w:kern w:val="0"/>
          <w:highlight w:val="none"/>
        </w:rPr>
        <w:t>）其他方式</w:t>
      </w:r>
      <w:r>
        <w:rPr>
          <w:rStyle w:val="32"/>
          <w:rFonts w:hint="eastAsia" w:ascii="Calibri" w:hAnsi="Calibri" w:eastAsia="宋体" w:cs="宋体"/>
          <w:color w:val="auto"/>
          <w:kern w:val="0"/>
          <w:highlight w:val="none"/>
        </w:rPr>
        <w:t>：</w:t>
      </w:r>
      <w:r>
        <w:rPr>
          <w:rStyle w:val="32"/>
          <w:rFonts w:hint="eastAsia" w:ascii="Times New Roman" w:hAnsi="宋体" w:eastAsia="宋体" w:cs="宋体"/>
          <w:color w:val="auto"/>
          <w:highlight w:val="none"/>
        </w:rPr>
        <w:t>银行转账、电汇或网上支付等</w:t>
      </w:r>
      <w:r>
        <w:rPr>
          <w:rStyle w:val="32"/>
          <w:rFonts w:hint="eastAsia" w:ascii="Times New Roman" w:hAnsi="宋体" w:eastAsia="宋体" w:cs="宋体"/>
          <w:color w:val="auto"/>
          <w:highlight w:val="none"/>
          <w:lang w:eastAsia="zh-CN"/>
        </w:rPr>
        <w:t>形</w:t>
      </w:r>
      <w:r>
        <w:rPr>
          <w:rStyle w:val="32"/>
          <w:rFonts w:hint="eastAsia" w:ascii="Times New Roman" w:hAnsi="宋体" w:eastAsia="宋体" w:cs="宋体"/>
          <w:color w:val="auto"/>
          <w:highlight w:val="none"/>
        </w:rPr>
        <w:t>式</w:t>
      </w:r>
      <w:r>
        <w:rPr>
          <w:rStyle w:val="32"/>
          <w:rFonts w:hint="eastAsia" w:ascii="Calibri" w:hAnsi="宋体" w:eastAsia="宋体" w:cs="宋体"/>
          <w:color w:val="auto"/>
          <w:highlight w:val="none"/>
        </w:rPr>
        <w:t>。</w:t>
      </w:r>
    </w:p>
    <w:p w14:paraId="1B8CDA05">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15.3.2 </w:t>
      </w:r>
      <w:r>
        <w:rPr>
          <w:rStyle w:val="32"/>
          <w:rFonts w:hint="eastAsia" w:ascii="Calibri" w:hAnsi="宋体" w:eastAsia="宋体" w:cs="宋体"/>
          <w:color w:val="auto"/>
          <w:highlight w:val="none"/>
        </w:rPr>
        <w:t>质量保证金的扣留</w:t>
      </w:r>
    </w:p>
    <w:p w14:paraId="6D5AD6C9">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质量保证金的扣留采取以下第</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(2)</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种方式：</w:t>
      </w:r>
    </w:p>
    <w:p w14:paraId="4BF69270">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1</w:t>
      </w:r>
      <w:r>
        <w:rPr>
          <w:rStyle w:val="32"/>
          <w:rFonts w:hint="eastAsia" w:ascii="Calibri" w:hAnsi="宋体" w:eastAsia="宋体" w:cs="宋体"/>
          <w:color w:val="auto"/>
          <w:kern w:val="0"/>
          <w:highlight w:val="none"/>
        </w:rPr>
        <w:t>）在</w:t>
      </w:r>
      <w:r>
        <w:rPr>
          <w:rStyle w:val="32"/>
          <w:rFonts w:ascii="Calibri" w:hAnsi="宋体" w:eastAsia="宋体" w:cs="宋体"/>
          <w:color w:val="auto"/>
          <w:kern w:val="0"/>
          <w:highlight w:val="none"/>
        </w:rPr>
        <w:t>不缴纳履</w:t>
      </w:r>
      <w:r>
        <w:rPr>
          <w:rStyle w:val="32"/>
          <w:rFonts w:hint="eastAsia" w:ascii="Calibri" w:hAnsi="宋体" w:eastAsia="宋体" w:cs="宋体"/>
          <w:color w:val="auto"/>
          <w:kern w:val="0"/>
          <w:highlight w:val="none"/>
        </w:rPr>
        <w:t>保</w:t>
      </w:r>
      <w:r>
        <w:rPr>
          <w:rStyle w:val="32"/>
          <w:rFonts w:ascii="Calibri" w:hAnsi="宋体" w:eastAsia="宋体" w:cs="宋体"/>
          <w:color w:val="auto"/>
          <w:kern w:val="0"/>
          <w:highlight w:val="none"/>
        </w:rPr>
        <w:t>证金情况下</w:t>
      </w:r>
      <w:r>
        <w:rPr>
          <w:rStyle w:val="32"/>
          <w:rFonts w:hint="eastAsia" w:ascii="Calibri" w:hAnsi="宋体" w:eastAsia="宋体" w:cs="宋体"/>
          <w:color w:val="auto"/>
          <w:kern w:val="0"/>
          <w:highlight w:val="none"/>
        </w:rPr>
        <w:t>，按支付工程进度款时逐次扣留，质量保证金的计算基数不包括预付款的支付、扣回以及价格调整的金额；</w:t>
      </w:r>
    </w:p>
    <w:p w14:paraId="51FDA748">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2</w:t>
      </w:r>
      <w:r>
        <w:rPr>
          <w:rStyle w:val="32"/>
          <w:rFonts w:hint="eastAsia" w:ascii="Calibri" w:hAnsi="宋体" w:eastAsia="宋体" w:cs="宋体"/>
          <w:color w:val="auto"/>
          <w:kern w:val="0"/>
          <w:highlight w:val="none"/>
        </w:rPr>
        <w:t>）工程竣工结算时，一次性扣留质量保证金；</w:t>
      </w:r>
    </w:p>
    <w:p w14:paraId="0FC03B01">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3</w:t>
      </w:r>
      <w:r>
        <w:rPr>
          <w:rStyle w:val="32"/>
          <w:rFonts w:hint="eastAsia" w:ascii="Calibri" w:hAnsi="宋体" w:eastAsia="宋体" w:cs="宋体"/>
          <w:color w:val="auto"/>
          <w:kern w:val="0"/>
          <w:highlight w:val="none"/>
        </w:rPr>
        <w:t>）其他扣留方式</w:t>
      </w:r>
      <w:r>
        <w:rPr>
          <w:rStyle w:val="32"/>
          <w:rFonts w:ascii="Calibri" w:hAnsi="Calibri" w:eastAsia="宋体" w:cs="Times New Roman"/>
          <w:color w:val="auto"/>
          <w:kern w:val="0"/>
          <w:highlight w:val="none"/>
        </w:rPr>
        <w:t>:</w:t>
      </w:r>
      <w:r>
        <w:rPr>
          <w:rStyle w:val="32"/>
          <w:rFonts w:ascii="Calibri" w:hAnsi="Calibri" w:eastAsia="宋体" w:cs="Times New Roman"/>
          <w:color w:val="auto"/>
          <w:kern w:val="0"/>
          <w:highlight w:val="none"/>
          <w:u w:val="single"/>
        </w:rPr>
        <w:t xml:space="preserve"> </w:t>
      </w:r>
      <w:r>
        <w:rPr>
          <w:rStyle w:val="32"/>
          <w:rFonts w:hint="eastAsia" w:ascii="Times New Roman" w:hAnsi="宋体" w:eastAsia="宋体" w:cs="宋体"/>
          <w:color w:val="auto"/>
          <w:highlight w:val="none"/>
        </w:rPr>
        <w:t>银行转账、电汇或网上支付、保函（银行保函、电子保函、保证保险保函、工程担保保函）等</w:t>
      </w:r>
      <w:r>
        <w:rPr>
          <w:rStyle w:val="32"/>
          <w:rFonts w:hint="eastAsia" w:ascii="Times New Roman" w:hAnsi="宋体" w:eastAsia="宋体" w:cs="宋体"/>
          <w:color w:val="auto"/>
          <w:highlight w:val="none"/>
          <w:lang w:eastAsia="zh-CN"/>
        </w:rPr>
        <w:t>形</w:t>
      </w:r>
      <w:r>
        <w:rPr>
          <w:rStyle w:val="32"/>
          <w:rFonts w:hint="eastAsia" w:ascii="Times New Roman" w:hAnsi="宋体" w:eastAsia="宋体" w:cs="宋体"/>
          <w:color w:val="auto"/>
          <w:highlight w:val="none"/>
        </w:rPr>
        <w:t>式</w:t>
      </w:r>
      <w:r>
        <w:rPr>
          <w:rStyle w:val="32"/>
          <w:rFonts w:hint="eastAsia" w:ascii="Calibri" w:hAnsi="宋体" w:eastAsia="宋体" w:cs="宋体"/>
          <w:color w:val="auto"/>
          <w:kern w:val="0"/>
          <w:highlight w:val="none"/>
        </w:rPr>
        <w:t>。</w:t>
      </w:r>
    </w:p>
    <w:p w14:paraId="77E671EA">
      <w:pPr>
        <w:pStyle w:val="78"/>
        <w:spacing w:line="360" w:lineRule="auto"/>
        <w:ind w:firstLine="420" w:firstLineChars="200"/>
        <w:jc w:val="left"/>
        <w:rPr>
          <w:rStyle w:val="32"/>
          <w:rFonts w:ascii="Calibri" w:hAnsi="Calibri" w:eastAsia="宋体" w:cs="Times New Roman"/>
          <w:color w:val="auto"/>
          <w:kern w:val="0"/>
          <w:highlight w:val="none"/>
          <w:u w:val="single"/>
        </w:rPr>
      </w:pPr>
      <w:r>
        <w:rPr>
          <w:rStyle w:val="32"/>
          <w:rFonts w:hint="eastAsia" w:ascii="Calibri" w:hAnsi="宋体" w:eastAsia="宋体" w:cs="宋体"/>
          <w:color w:val="auto"/>
          <w:highlight w:val="none"/>
        </w:rPr>
        <w:t>关于质量保证金的补充约定：</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lang w:val="en-US" w:eastAsia="zh-CN"/>
        </w:rPr>
        <w:t>无</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bookmarkEnd w:id="1073"/>
    <w:bookmarkEnd w:id="1074"/>
    <w:p w14:paraId="34B7FFD8">
      <w:pPr>
        <w:pStyle w:val="99"/>
        <w:spacing w:before="0" w:after="0" w:line="360" w:lineRule="auto"/>
        <w:rPr>
          <w:rStyle w:val="32"/>
          <w:rFonts w:ascii="Calibri" w:hAnsi="Calibri" w:eastAsia="宋体" w:cs="Times New Roman"/>
          <w:color w:val="auto"/>
          <w:highlight w:val="none"/>
        </w:rPr>
      </w:pPr>
      <w:bookmarkStart w:id="1116" w:name="_Toc1902722111"/>
      <w:bookmarkStart w:id="1117" w:name="_Toc78449854"/>
      <w:bookmarkStart w:id="1118" w:name="_Toc373478412"/>
      <w:bookmarkStart w:id="1119" w:name="_Toc407135268"/>
      <w:bookmarkStart w:id="1120" w:name="_Toc389065330"/>
      <w:bookmarkStart w:id="1121" w:name="_Toc373227765"/>
      <w:bookmarkStart w:id="1122" w:name="_Toc196306762"/>
      <w:r>
        <w:rPr>
          <w:rStyle w:val="32"/>
          <w:rFonts w:ascii="Calibri" w:hAnsi="Calibri" w:eastAsia="宋体" w:cs="Times New Roman"/>
          <w:color w:val="auto"/>
          <w:highlight w:val="none"/>
        </w:rPr>
        <w:t xml:space="preserve">15.4 </w:t>
      </w:r>
      <w:r>
        <w:rPr>
          <w:rStyle w:val="32"/>
          <w:rFonts w:hint="eastAsia" w:ascii="Calibri" w:hAnsi="宋体" w:eastAsia="宋体" w:cs="黑体"/>
          <w:color w:val="auto"/>
          <w:sz w:val="28"/>
          <w:szCs w:val="28"/>
          <w:highlight w:val="none"/>
        </w:rPr>
        <w:t>保修</w:t>
      </w:r>
      <w:bookmarkEnd w:id="1116"/>
      <w:bookmarkEnd w:id="1117"/>
      <w:bookmarkEnd w:id="1118"/>
      <w:bookmarkEnd w:id="1119"/>
      <w:bookmarkEnd w:id="1120"/>
      <w:bookmarkEnd w:id="1121"/>
      <w:bookmarkEnd w:id="1122"/>
    </w:p>
    <w:bookmarkEnd w:id="1075"/>
    <w:p w14:paraId="6CB10061">
      <w:pPr>
        <w:pStyle w:val="78"/>
        <w:spacing w:line="360" w:lineRule="auto"/>
        <w:ind w:firstLine="409" w:firstLineChars="195"/>
        <w:jc w:val="left"/>
        <w:outlineLvl w:val="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15.4.1 </w:t>
      </w:r>
      <w:r>
        <w:rPr>
          <w:rStyle w:val="32"/>
          <w:rFonts w:hint="eastAsia" w:ascii="Calibri" w:hAnsi="宋体" w:eastAsia="宋体" w:cs="宋体"/>
          <w:color w:val="auto"/>
          <w:highlight w:val="none"/>
        </w:rPr>
        <w:t>保修责任</w:t>
      </w:r>
    </w:p>
    <w:p w14:paraId="7095AACF">
      <w:pPr>
        <w:pStyle w:val="78"/>
        <w:spacing w:line="360" w:lineRule="auto"/>
        <w:ind w:firstLine="409" w:firstLineChars="195"/>
        <w:jc w:val="left"/>
        <w:rPr>
          <w:rStyle w:val="32"/>
          <w:rFonts w:ascii="Calibri" w:hAnsi="宋体" w:eastAsia="宋体" w:cs="Times New Roman"/>
          <w:color w:val="auto"/>
          <w:kern w:val="0"/>
          <w:highlight w:val="none"/>
        </w:rPr>
      </w:pPr>
      <w:r>
        <w:rPr>
          <w:rStyle w:val="32"/>
          <w:rFonts w:hint="eastAsia" w:ascii="Calibri" w:hAnsi="宋体" w:eastAsia="宋体" w:cs="宋体"/>
          <w:color w:val="auto"/>
          <w:highlight w:val="none"/>
        </w:rPr>
        <w:t>工程保修期为：</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rPr>
        <w:t>质量保修期从工程实际竣工验收合格之日算起。分单项竣工验收的工程，按单项工程分别计算质量保修期</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69907143">
      <w:pPr>
        <w:pStyle w:val="78"/>
        <w:spacing w:line="360" w:lineRule="auto"/>
        <w:ind w:firstLine="409" w:firstLineChars="195"/>
        <w:jc w:val="left"/>
        <w:rPr>
          <w:rStyle w:val="32"/>
          <w:rFonts w:ascii="Calibri" w:hAnsi="Calibri" w:eastAsia="宋体" w:cs="Times New Roman"/>
          <w:color w:val="auto"/>
          <w:kern w:val="0"/>
          <w:highlight w:val="none"/>
          <w:u w:val="single"/>
        </w:rPr>
      </w:pPr>
      <w:r>
        <w:rPr>
          <w:rStyle w:val="32"/>
          <w:rFonts w:hint="eastAsia" w:ascii="宋体" w:hAnsi="宋体" w:eastAsia="宋体" w:cs="宋体"/>
          <w:color w:val="auto"/>
          <w:highlight w:val="none"/>
        </w:rPr>
        <w:t>工程保修书具体内容见合同附件2。</w:t>
      </w:r>
    </w:p>
    <w:p w14:paraId="78A41646">
      <w:pPr>
        <w:pStyle w:val="78"/>
        <w:spacing w:line="360" w:lineRule="auto"/>
        <w:ind w:firstLine="409" w:firstLineChars="195"/>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15.4.3 </w:t>
      </w:r>
      <w:r>
        <w:rPr>
          <w:rStyle w:val="32"/>
          <w:rFonts w:hint="eastAsia" w:ascii="Calibri" w:hAnsi="宋体" w:eastAsia="宋体" w:cs="宋体"/>
          <w:color w:val="auto"/>
          <w:highlight w:val="none"/>
        </w:rPr>
        <w:t>修复通知</w:t>
      </w:r>
    </w:p>
    <w:p w14:paraId="0D7E3906">
      <w:pPr>
        <w:pStyle w:val="78"/>
        <w:spacing w:line="360" w:lineRule="auto"/>
        <w:ind w:firstLine="409" w:firstLineChars="195"/>
        <w:jc w:val="left"/>
        <w:rPr>
          <w:rStyle w:val="32"/>
          <w:rFonts w:hint="eastAsia" w:ascii="Calibri" w:hAnsi="宋体" w:eastAsia="宋体" w:cs="宋体"/>
          <w:color w:val="auto"/>
          <w:kern w:val="0"/>
          <w:highlight w:val="none"/>
        </w:rPr>
      </w:pPr>
      <w:r>
        <w:rPr>
          <w:rStyle w:val="32"/>
          <w:rFonts w:hint="eastAsia" w:ascii="Calibri" w:hAnsi="宋体" w:eastAsia="宋体" w:cs="宋体"/>
          <w:color w:val="auto"/>
          <w:kern w:val="0"/>
          <w:highlight w:val="none"/>
        </w:rPr>
        <w:t>承包人收到保修通知并到达工程现场的合理时间：</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rPr>
        <w:t>接到通知后 48 小时内</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14CD04C5">
      <w:pPr>
        <w:pStyle w:val="78"/>
        <w:spacing w:line="360" w:lineRule="auto"/>
        <w:ind w:firstLine="409" w:firstLineChars="195"/>
        <w:jc w:val="left"/>
        <w:rPr>
          <w:rStyle w:val="32"/>
          <w:rFonts w:hint="eastAsia" w:ascii="Calibri" w:hAnsi="宋体" w:eastAsia="宋体" w:cs="宋体"/>
          <w:color w:val="auto"/>
          <w:kern w:val="0"/>
          <w:highlight w:val="none"/>
        </w:rPr>
      </w:pPr>
      <w:r>
        <w:rPr>
          <w:rStyle w:val="32"/>
          <w:rFonts w:hint="eastAsia" w:ascii="Calibri" w:hAnsi="宋体" w:eastAsia="宋体" w:cs="宋体"/>
          <w:color w:val="auto"/>
          <w:kern w:val="0"/>
          <w:highlight w:val="none"/>
        </w:rPr>
        <w:t>修复完成期限:收到保修通知之日起5天内。特殊情况无法在五天内完成修复的须征得发包人书面同意。</w:t>
      </w:r>
    </w:p>
    <w:bookmarkEnd w:id="1076"/>
    <w:bookmarkEnd w:id="1077"/>
    <w:bookmarkEnd w:id="1078"/>
    <w:bookmarkEnd w:id="1079"/>
    <w:p w14:paraId="373545EF">
      <w:pPr>
        <w:pStyle w:val="98"/>
        <w:spacing w:before="0" w:after="0" w:line="360" w:lineRule="auto"/>
        <w:rPr>
          <w:rStyle w:val="32"/>
          <w:rFonts w:cs="Times New Roman"/>
          <w:color w:val="auto"/>
          <w:highlight w:val="none"/>
        </w:rPr>
      </w:pPr>
      <w:bookmarkStart w:id="1123" w:name="_Toc407135269"/>
      <w:bookmarkStart w:id="1124" w:name="_Toc78449855"/>
      <w:bookmarkStart w:id="1125" w:name="_Toc1725581915"/>
      <w:bookmarkStart w:id="1126" w:name="_Toc373227766"/>
      <w:bookmarkStart w:id="1127" w:name="_Toc389065331"/>
      <w:bookmarkStart w:id="1128" w:name="_Toc1360137061"/>
      <w:bookmarkStart w:id="1129" w:name="_Toc351203648"/>
      <w:bookmarkStart w:id="1130" w:name="_Toc373478413"/>
      <w:bookmarkStart w:id="1131" w:name="_Toc280868717"/>
      <w:bookmarkStart w:id="1132" w:name="_Toc280868718"/>
      <w:r>
        <w:rPr>
          <w:rStyle w:val="32"/>
          <w:rFonts w:cs="Times New Roman"/>
          <w:color w:val="auto"/>
          <w:highlight w:val="none"/>
        </w:rPr>
        <w:t xml:space="preserve">16. </w:t>
      </w:r>
      <w:r>
        <w:rPr>
          <w:rStyle w:val="32"/>
          <w:rFonts w:hint="eastAsia" w:hAnsi="宋体" w:cs="黑体"/>
          <w:color w:val="auto"/>
          <w:sz w:val="28"/>
          <w:szCs w:val="18"/>
          <w:highlight w:val="none"/>
        </w:rPr>
        <w:t>违约</w:t>
      </w:r>
      <w:bookmarkEnd w:id="1123"/>
      <w:bookmarkEnd w:id="1124"/>
      <w:bookmarkEnd w:id="1125"/>
      <w:bookmarkEnd w:id="1126"/>
      <w:bookmarkEnd w:id="1127"/>
      <w:bookmarkEnd w:id="1128"/>
      <w:bookmarkEnd w:id="1129"/>
      <w:bookmarkEnd w:id="1130"/>
    </w:p>
    <w:p w14:paraId="0DC3AEA4">
      <w:pPr>
        <w:pStyle w:val="99"/>
        <w:spacing w:before="0" w:after="0" w:line="360" w:lineRule="auto"/>
        <w:rPr>
          <w:rStyle w:val="32"/>
          <w:rFonts w:ascii="Calibri" w:hAnsi="Calibri" w:eastAsia="宋体" w:cs="Times New Roman"/>
          <w:color w:val="auto"/>
          <w:highlight w:val="none"/>
        </w:rPr>
      </w:pPr>
      <w:bookmarkStart w:id="1133" w:name="_Toc78449856"/>
      <w:bookmarkStart w:id="1134" w:name="_Toc407135270"/>
      <w:bookmarkStart w:id="1135" w:name="_Toc389065332"/>
      <w:bookmarkStart w:id="1136" w:name="_Toc1535389315"/>
      <w:bookmarkStart w:id="1137" w:name="_Toc373227767"/>
      <w:bookmarkStart w:id="1138" w:name="_Toc1973395665"/>
      <w:bookmarkStart w:id="1139" w:name="_Toc373478414"/>
      <w:r>
        <w:rPr>
          <w:rStyle w:val="32"/>
          <w:rFonts w:ascii="Calibri" w:hAnsi="Calibri" w:eastAsia="宋体" w:cs="Times New Roman"/>
          <w:color w:val="auto"/>
          <w:highlight w:val="none"/>
        </w:rPr>
        <w:t xml:space="preserve">16.1 </w:t>
      </w:r>
      <w:r>
        <w:rPr>
          <w:rStyle w:val="32"/>
          <w:rFonts w:hint="eastAsia" w:ascii="Calibri" w:hAnsi="宋体" w:eastAsia="宋体" w:cs="黑体"/>
          <w:color w:val="auto"/>
          <w:sz w:val="28"/>
          <w:szCs w:val="28"/>
          <w:highlight w:val="none"/>
        </w:rPr>
        <w:t>发包人违约</w:t>
      </w:r>
      <w:bookmarkEnd w:id="1133"/>
      <w:bookmarkEnd w:id="1134"/>
      <w:bookmarkEnd w:id="1135"/>
      <w:bookmarkEnd w:id="1136"/>
      <w:bookmarkEnd w:id="1137"/>
      <w:bookmarkEnd w:id="1138"/>
      <w:bookmarkEnd w:id="1139"/>
    </w:p>
    <w:p w14:paraId="186D0D11">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16.1.1</w:t>
      </w:r>
      <w:r>
        <w:rPr>
          <w:rStyle w:val="32"/>
          <w:rFonts w:hint="eastAsia" w:ascii="Calibri" w:hAnsi="宋体" w:eastAsia="宋体" w:cs="宋体"/>
          <w:color w:val="auto"/>
          <w:highlight w:val="none"/>
        </w:rPr>
        <w:t>发包人违约的情形</w:t>
      </w:r>
    </w:p>
    <w:p w14:paraId="562B722B">
      <w:pPr>
        <w:pStyle w:val="78"/>
        <w:spacing w:line="360" w:lineRule="auto"/>
        <w:ind w:firstLine="420" w:firstLineChars="200"/>
        <w:jc w:val="left"/>
        <w:rPr>
          <w:rStyle w:val="32"/>
          <w:rFonts w:ascii="Calibri" w:hAnsi="宋体" w:eastAsia="宋体" w:cs="Times New Roman"/>
          <w:color w:val="auto"/>
          <w:kern w:val="0"/>
          <w:highlight w:val="none"/>
        </w:rPr>
      </w:pPr>
      <w:r>
        <w:rPr>
          <w:rStyle w:val="32"/>
          <w:rFonts w:hint="eastAsia" w:ascii="Calibri" w:hAnsi="宋体" w:eastAsia="宋体" w:cs="宋体"/>
          <w:color w:val="auto"/>
          <w:kern w:val="0"/>
          <w:highlight w:val="none"/>
        </w:rPr>
        <w:t>发包人违约的其他情形：</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rPr>
        <w:t>按《通用条款》执行</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799E2216">
      <w:pPr>
        <w:pStyle w:val="78"/>
        <w:spacing w:line="360" w:lineRule="auto"/>
        <w:ind w:firstLine="420" w:firstLineChars="200"/>
        <w:jc w:val="left"/>
        <w:outlineLvl w:val="0"/>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16.1.2 </w:t>
      </w:r>
      <w:r>
        <w:rPr>
          <w:rStyle w:val="32"/>
          <w:rFonts w:hint="eastAsia" w:ascii="Calibri" w:hAnsi="宋体" w:eastAsia="宋体" w:cs="宋体"/>
          <w:color w:val="auto"/>
          <w:kern w:val="0"/>
          <w:highlight w:val="none"/>
        </w:rPr>
        <w:t>发包人违约的责任</w:t>
      </w:r>
    </w:p>
    <w:p w14:paraId="79AA00E8">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发包人违约责任的承担方式和计算方法：</w:t>
      </w:r>
    </w:p>
    <w:p w14:paraId="52B5D14D">
      <w:pPr>
        <w:pStyle w:val="78"/>
        <w:spacing w:line="360" w:lineRule="auto"/>
        <w:ind w:firstLine="420" w:firstLineChars="200"/>
        <w:jc w:val="left"/>
        <w:rPr>
          <w:rStyle w:val="32"/>
          <w:rFonts w:ascii="Calibri" w:hAnsi="Calibri" w:eastAsia="宋体" w:cs="Times New Roman"/>
          <w:color w:val="auto"/>
          <w:kern w:val="0"/>
          <w:highlight w:val="none"/>
          <w:u w:val="singl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1</w:t>
      </w:r>
      <w:r>
        <w:rPr>
          <w:rStyle w:val="32"/>
          <w:rFonts w:hint="eastAsia" w:ascii="Calibri" w:hAnsi="宋体" w:eastAsia="宋体" w:cs="宋体"/>
          <w:color w:val="auto"/>
          <w:kern w:val="0"/>
          <w:highlight w:val="none"/>
        </w:rPr>
        <w:t>）因发包人原因未能在计划开工日期前</w:t>
      </w:r>
      <w:r>
        <w:rPr>
          <w:rStyle w:val="32"/>
          <w:rFonts w:ascii="Calibri" w:hAnsi="Calibri" w:eastAsia="宋体" w:cs="Times New Roman"/>
          <w:color w:val="auto"/>
          <w:kern w:val="0"/>
          <w:highlight w:val="none"/>
        </w:rPr>
        <w:t>7</w:t>
      </w:r>
      <w:r>
        <w:rPr>
          <w:rStyle w:val="32"/>
          <w:rFonts w:hint="eastAsia" w:ascii="Calibri" w:hAnsi="宋体" w:eastAsia="宋体" w:cs="宋体"/>
          <w:color w:val="auto"/>
          <w:kern w:val="0"/>
          <w:highlight w:val="none"/>
        </w:rPr>
        <w:t>天内下达开工通知的违约责任：</w:t>
      </w:r>
      <w:r>
        <w:rPr>
          <w:rStyle w:val="32"/>
          <w:rFonts w:hint="eastAsia" w:ascii="Calibri" w:hAnsi="宋体" w:eastAsia="宋体" w:cs="宋体"/>
          <w:color w:val="auto"/>
          <w:kern w:val="0"/>
          <w:highlight w:val="none"/>
          <w:u w:val="single"/>
        </w:rPr>
        <w:t>工期给予顺延</w:t>
      </w:r>
      <w:r>
        <w:rPr>
          <w:rStyle w:val="32"/>
          <w:rFonts w:hint="eastAsia" w:ascii="Calibri" w:hAnsi="宋体" w:eastAsia="宋体" w:cs="宋体"/>
          <w:color w:val="auto"/>
          <w:kern w:val="0"/>
          <w:highlight w:val="none"/>
        </w:rPr>
        <w:t>。</w:t>
      </w:r>
    </w:p>
    <w:p w14:paraId="0AE9F64A">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2</w:t>
      </w:r>
      <w:r>
        <w:rPr>
          <w:rStyle w:val="32"/>
          <w:rFonts w:hint="eastAsia" w:ascii="Calibri" w:hAnsi="宋体" w:eastAsia="宋体" w:cs="宋体"/>
          <w:color w:val="auto"/>
          <w:kern w:val="0"/>
          <w:highlight w:val="none"/>
        </w:rPr>
        <w:t>）因发包人原因未能按合同约定支付合同价款的违约责任：</w:t>
      </w:r>
      <w:r>
        <w:rPr>
          <w:rStyle w:val="32"/>
          <w:rFonts w:hint="eastAsia" w:ascii="Calibri" w:hAnsi="宋体" w:eastAsia="宋体" w:cs="宋体"/>
          <w:color w:val="auto"/>
          <w:kern w:val="0"/>
          <w:highlight w:val="none"/>
          <w:u w:val="single"/>
          <w:lang w:val="en-US" w:eastAsia="zh-CN"/>
        </w:rPr>
        <w:t xml:space="preserve">  </w:t>
      </w:r>
      <w:r>
        <w:rPr>
          <w:rStyle w:val="32"/>
          <w:rFonts w:hint="eastAsia" w:ascii="Calibri" w:hAnsi="宋体" w:eastAsia="宋体" w:cs="宋体"/>
          <w:color w:val="auto"/>
          <w:kern w:val="0"/>
          <w:highlight w:val="none"/>
          <w:u w:val="single"/>
        </w:rPr>
        <w:t>支付期限满且经承包人书面催款依然无法在催款书送达后的7日内支付的，违约金自支付限期满的次日起算，按当期进度款金额每日处万分之四的违约金</w:t>
      </w:r>
      <w:r>
        <w:rPr>
          <w:rStyle w:val="32"/>
          <w:rFonts w:hint="eastAsia" w:hAnsi="宋体" w:cs="宋体"/>
          <w:color w:val="auto"/>
          <w:kern w:val="0"/>
          <w:highlight w:val="none"/>
          <w:u w:val="single"/>
          <w:lang w:val="en-US" w:eastAsia="zh-CN"/>
        </w:rPr>
        <w:t xml:space="preserve">  </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1E50C9C4">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3</w:t>
      </w:r>
      <w:r>
        <w:rPr>
          <w:rStyle w:val="32"/>
          <w:rFonts w:hint="eastAsia" w:ascii="Calibri" w:hAnsi="宋体" w:eastAsia="宋体" w:cs="宋体"/>
          <w:color w:val="auto"/>
          <w:kern w:val="0"/>
          <w:highlight w:val="none"/>
        </w:rPr>
        <w:t>）发包人违反第</w:t>
      </w:r>
      <w:r>
        <w:rPr>
          <w:rStyle w:val="32"/>
          <w:rFonts w:ascii="Calibri" w:hAnsi="Calibri" w:eastAsia="宋体" w:cs="Times New Roman"/>
          <w:color w:val="auto"/>
          <w:kern w:val="0"/>
          <w:highlight w:val="none"/>
        </w:rPr>
        <w:t>10.1</w:t>
      </w:r>
      <w:r>
        <w:rPr>
          <w:rStyle w:val="32"/>
          <w:rFonts w:hint="eastAsia" w:ascii="Calibri" w:hAnsi="宋体" w:eastAsia="宋体" w:cs="宋体"/>
          <w:color w:val="auto"/>
          <w:kern w:val="0"/>
          <w:highlight w:val="none"/>
        </w:rPr>
        <w:t>款〔变更的范围〕第（</w:t>
      </w:r>
      <w:r>
        <w:rPr>
          <w:rStyle w:val="32"/>
          <w:rFonts w:ascii="Calibri" w:hAnsi="Calibri" w:eastAsia="宋体" w:cs="Times New Roman"/>
          <w:color w:val="auto"/>
          <w:kern w:val="0"/>
          <w:highlight w:val="none"/>
        </w:rPr>
        <w:t>2</w:t>
      </w:r>
      <w:r>
        <w:rPr>
          <w:rStyle w:val="32"/>
          <w:rFonts w:hint="eastAsia" w:ascii="Calibri" w:hAnsi="宋体" w:eastAsia="宋体" w:cs="宋体"/>
          <w:color w:val="auto"/>
          <w:kern w:val="0"/>
          <w:highlight w:val="none"/>
        </w:rPr>
        <w:t>）项约定，自行实施被取消的工作或转由他人实施的违约责任：</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rPr>
        <w:t>工期给予顺延</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4DFF6D57">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4</w:t>
      </w:r>
      <w:r>
        <w:rPr>
          <w:rStyle w:val="32"/>
          <w:rFonts w:hint="eastAsia" w:ascii="Calibri" w:hAnsi="宋体" w:eastAsia="宋体" w:cs="宋体"/>
          <w:color w:val="auto"/>
          <w:kern w:val="0"/>
          <w:highlight w:val="none"/>
        </w:rPr>
        <w:t>）发包人提供的材料、工程设备的规格、数量或质量不符合合同约定，或因发包人原因导致交货日期延误或交货地点变更等情况的违约责任：</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rPr>
        <w:t>工期给予顺延</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2E57F389">
      <w:pPr>
        <w:pStyle w:val="78"/>
        <w:spacing w:line="360" w:lineRule="auto"/>
        <w:ind w:firstLine="420" w:firstLineChars="200"/>
        <w:jc w:val="left"/>
        <w:rPr>
          <w:rStyle w:val="32"/>
          <w:rFonts w:ascii="Calibri" w:hAnsi="Calibri" w:eastAsia="宋体" w:cs="Times New Roman"/>
          <w:color w:val="auto"/>
          <w:kern w:val="0"/>
          <w:highlight w:val="none"/>
          <w:u w:val="singl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5</w:t>
      </w:r>
      <w:r>
        <w:rPr>
          <w:rStyle w:val="32"/>
          <w:rFonts w:hint="eastAsia" w:ascii="Calibri" w:hAnsi="宋体" w:eastAsia="宋体" w:cs="宋体"/>
          <w:color w:val="auto"/>
          <w:kern w:val="0"/>
          <w:highlight w:val="none"/>
        </w:rPr>
        <w:t>）因发包人违反合同约定造成暂停施工的违约责任：</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rPr>
        <w:t>工期给予顺延</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506A0D1B">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6</w:t>
      </w:r>
      <w:r>
        <w:rPr>
          <w:rStyle w:val="32"/>
          <w:rFonts w:hint="eastAsia" w:ascii="Calibri" w:hAnsi="宋体" w:eastAsia="宋体" w:cs="宋体"/>
          <w:color w:val="auto"/>
          <w:kern w:val="0"/>
          <w:highlight w:val="none"/>
        </w:rPr>
        <w:t>）发包人无正当理由没有在约定期限内发出复工指示，导致承包人无法复工的违约责任：</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rPr>
        <w:t>工期给予顺延</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5D35B7F7">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7</w:t>
      </w:r>
      <w:r>
        <w:rPr>
          <w:rStyle w:val="32"/>
          <w:rFonts w:hint="eastAsia" w:ascii="Calibri" w:hAnsi="宋体" w:eastAsia="宋体" w:cs="宋体"/>
          <w:color w:val="auto"/>
          <w:kern w:val="0"/>
          <w:highlight w:val="none"/>
        </w:rPr>
        <w:t>）其他：</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lang w:val="en-US" w:eastAsia="zh-CN"/>
        </w:rPr>
        <w:t>/</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177AE95C">
      <w:pPr>
        <w:pStyle w:val="78"/>
        <w:spacing w:line="360" w:lineRule="auto"/>
        <w:ind w:firstLine="420" w:firstLineChars="200"/>
        <w:jc w:val="left"/>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16.1.3 </w:t>
      </w:r>
      <w:r>
        <w:rPr>
          <w:rStyle w:val="32"/>
          <w:rFonts w:hint="eastAsia" w:ascii="Calibri" w:hAnsi="宋体" w:eastAsia="宋体" w:cs="宋体"/>
          <w:color w:val="auto"/>
          <w:highlight w:val="none"/>
        </w:rPr>
        <w:t>因发包人违约解除合同</w:t>
      </w:r>
    </w:p>
    <w:p w14:paraId="646CB7CE">
      <w:pPr>
        <w:pStyle w:val="78"/>
        <w:autoSpaceDE w:val="0"/>
        <w:autoSpaceDN w:val="0"/>
        <w:adjustRightInd w:val="0"/>
        <w:spacing w:line="360" w:lineRule="auto"/>
        <w:ind w:firstLine="420" w:firstLineChars="200"/>
        <w:jc w:val="left"/>
        <w:rPr>
          <w:rStyle w:val="32"/>
          <w:rFonts w:hint="eastAsia" w:ascii="Calibri" w:hAnsi="宋体" w:eastAsia="宋体" w:cs="宋体"/>
          <w:color w:val="auto"/>
          <w:kern w:val="0"/>
          <w:highlight w:val="none"/>
        </w:rPr>
      </w:pPr>
      <w:r>
        <w:rPr>
          <w:rStyle w:val="32"/>
          <w:rFonts w:hint="eastAsia" w:ascii="Calibri" w:hAnsi="宋体" w:eastAsia="宋体" w:cs="宋体"/>
          <w:color w:val="auto"/>
          <w:kern w:val="0"/>
          <w:highlight w:val="none"/>
        </w:rPr>
        <w:t>承包人按</w:t>
      </w:r>
      <w:r>
        <w:rPr>
          <w:rStyle w:val="32"/>
          <w:rFonts w:ascii="Calibri" w:hAnsi="Calibri" w:eastAsia="宋体" w:cs="Times New Roman"/>
          <w:color w:val="auto"/>
          <w:kern w:val="0"/>
          <w:highlight w:val="none"/>
        </w:rPr>
        <w:t>16.1.1</w:t>
      </w:r>
      <w:r>
        <w:rPr>
          <w:rStyle w:val="32"/>
          <w:rFonts w:hint="eastAsia" w:ascii="Calibri" w:hAnsi="宋体" w:eastAsia="宋体" w:cs="宋体"/>
          <w:color w:val="auto"/>
          <w:kern w:val="0"/>
          <w:highlight w:val="none"/>
        </w:rPr>
        <w:t>项〔发包人违约的情形〕约定暂停施工满</w:t>
      </w:r>
      <w:r>
        <w:rPr>
          <w:rStyle w:val="32"/>
          <w:rFonts w:ascii="Calibri" w:hAnsi="Calibri" w:eastAsia="宋体" w:cs="Times New Roman"/>
          <w:color w:val="auto"/>
          <w:kern w:val="0"/>
          <w:highlight w:val="none"/>
          <w:u w:val="single"/>
        </w:rPr>
        <w:t xml:space="preserve"> </w:t>
      </w:r>
      <w:r>
        <w:rPr>
          <w:rStyle w:val="32"/>
          <w:rFonts w:hint="eastAsia" w:cs="Times New Roman"/>
          <w:color w:val="auto"/>
          <w:kern w:val="0"/>
          <w:highlight w:val="none"/>
          <w:u w:val="single"/>
          <w:lang w:val="en-US" w:eastAsia="zh-CN"/>
        </w:rPr>
        <w:t>60</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天后发包人仍不纠正其违约行为并致使合同目的不能实现的，承包人有权解除合同。</w:t>
      </w:r>
    </w:p>
    <w:p w14:paraId="6A327BC2">
      <w:pPr>
        <w:pStyle w:val="78"/>
        <w:autoSpaceDE w:val="0"/>
        <w:autoSpaceDN w:val="0"/>
        <w:adjustRightInd w:val="0"/>
        <w:spacing w:line="360" w:lineRule="auto"/>
        <w:ind w:firstLine="420" w:firstLineChars="200"/>
        <w:jc w:val="left"/>
        <w:rPr>
          <w:rStyle w:val="32"/>
          <w:rFonts w:hint="eastAsia" w:ascii="Calibri" w:hAnsi="宋体" w:eastAsia="宋体" w:cs="宋体"/>
          <w:color w:val="auto"/>
          <w:kern w:val="0"/>
          <w:highlight w:val="none"/>
        </w:rPr>
      </w:pPr>
      <w:r>
        <w:rPr>
          <w:rStyle w:val="32"/>
          <w:rFonts w:hint="eastAsia" w:ascii="Calibri" w:hAnsi="宋体" w:eastAsia="宋体" w:cs="宋体"/>
          <w:color w:val="auto"/>
          <w:kern w:val="0"/>
          <w:highlight w:val="none"/>
        </w:rPr>
        <w:t>承包人解除合同的，双方根据已完成的合格工程量结算，结算完毕后6个月内支付工程款的97%，剩余3%作为承包人的质保金，待工程质量保修期期限届满后再无息退还。承包人应当在合同解除时将已完工工程及工程相关资料及时移交发包人，否则发包人有权暂不支付工程结算款。</w:t>
      </w:r>
    </w:p>
    <w:p w14:paraId="38E6CBFF">
      <w:pPr>
        <w:pStyle w:val="99"/>
        <w:spacing w:before="0" w:after="0" w:line="360" w:lineRule="auto"/>
        <w:rPr>
          <w:rStyle w:val="32"/>
          <w:rFonts w:ascii="Calibri" w:hAnsi="Calibri" w:eastAsia="宋体" w:cs="Times New Roman"/>
          <w:color w:val="auto"/>
          <w:highlight w:val="none"/>
        </w:rPr>
      </w:pPr>
      <w:bookmarkStart w:id="1140" w:name="_Toc78449857"/>
      <w:bookmarkStart w:id="1141" w:name="_Toc407135271"/>
      <w:bookmarkStart w:id="1142" w:name="_Toc373227768"/>
      <w:bookmarkStart w:id="1143" w:name="_Toc61078193"/>
      <w:bookmarkStart w:id="1144" w:name="_Toc247586342"/>
      <w:bookmarkStart w:id="1145" w:name="_Toc389065333"/>
      <w:bookmarkStart w:id="1146" w:name="_Toc373478415"/>
      <w:r>
        <w:rPr>
          <w:rStyle w:val="32"/>
          <w:rFonts w:ascii="Calibri" w:hAnsi="Calibri" w:eastAsia="宋体" w:cs="Times New Roman"/>
          <w:color w:val="auto"/>
          <w:highlight w:val="none"/>
        </w:rPr>
        <w:t xml:space="preserve">16.2 </w:t>
      </w:r>
      <w:r>
        <w:rPr>
          <w:rStyle w:val="32"/>
          <w:rFonts w:hint="eastAsia" w:ascii="Calibri" w:hAnsi="宋体" w:eastAsia="宋体" w:cs="黑体"/>
          <w:color w:val="auto"/>
          <w:sz w:val="28"/>
          <w:szCs w:val="28"/>
          <w:highlight w:val="none"/>
        </w:rPr>
        <w:t>承包人违约</w:t>
      </w:r>
      <w:bookmarkEnd w:id="1140"/>
      <w:bookmarkEnd w:id="1141"/>
      <w:bookmarkEnd w:id="1142"/>
      <w:bookmarkEnd w:id="1143"/>
      <w:bookmarkEnd w:id="1144"/>
      <w:bookmarkEnd w:id="1145"/>
      <w:bookmarkEnd w:id="1146"/>
    </w:p>
    <w:p w14:paraId="1730B0BC">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16.2.1 </w:t>
      </w:r>
      <w:r>
        <w:rPr>
          <w:rStyle w:val="32"/>
          <w:rFonts w:hint="eastAsia" w:ascii="Calibri" w:hAnsi="宋体" w:eastAsia="宋体" w:cs="宋体"/>
          <w:color w:val="auto"/>
          <w:kern w:val="0"/>
          <w:highlight w:val="none"/>
        </w:rPr>
        <w:t>承包人违约的情形</w:t>
      </w:r>
    </w:p>
    <w:p w14:paraId="06C4FC15">
      <w:pPr>
        <w:pStyle w:val="78"/>
        <w:spacing w:line="360" w:lineRule="auto"/>
        <w:ind w:firstLine="420" w:firstLineChars="200"/>
        <w:jc w:val="left"/>
        <w:rPr>
          <w:rStyle w:val="32"/>
          <w:rFonts w:ascii="Calibri" w:hAnsi="Calibri" w:eastAsia="宋体" w:cs="Times New Roman"/>
          <w:color w:val="auto"/>
          <w:kern w:val="0"/>
          <w:highlight w:val="none"/>
          <w:u w:val="single"/>
        </w:rPr>
      </w:pPr>
      <w:r>
        <w:rPr>
          <w:rStyle w:val="32"/>
          <w:rFonts w:hint="eastAsia" w:ascii="Calibri" w:hAnsi="宋体" w:eastAsia="宋体" w:cs="宋体"/>
          <w:color w:val="auto"/>
          <w:kern w:val="0"/>
          <w:highlight w:val="none"/>
        </w:rPr>
        <w:t>承包人违约的其他情形：</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rPr>
        <w:t>按《通用条款》执行</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13A93F52">
      <w:pPr>
        <w:pStyle w:val="78"/>
        <w:spacing w:line="360" w:lineRule="auto"/>
        <w:ind w:firstLine="420" w:firstLineChars="200"/>
        <w:jc w:val="left"/>
        <w:outlineLvl w:val="0"/>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16.2.2</w:t>
      </w:r>
      <w:r>
        <w:rPr>
          <w:rStyle w:val="32"/>
          <w:rFonts w:hint="eastAsia" w:ascii="Calibri" w:hAnsi="宋体" w:eastAsia="宋体" w:cs="宋体"/>
          <w:color w:val="auto"/>
          <w:kern w:val="0"/>
          <w:highlight w:val="none"/>
        </w:rPr>
        <w:t>承包人违约的责任</w:t>
      </w:r>
    </w:p>
    <w:p w14:paraId="2BB7E2CE">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承包人违约责任的承担方式和计算方法：</w:t>
      </w:r>
    </w:p>
    <w:p w14:paraId="323A2D85">
      <w:pPr>
        <w:pStyle w:val="78"/>
        <w:spacing w:line="360" w:lineRule="auto"/>
        <w:ind w:firstLine="420" w:firstLineChars="200"/>
        <w:jc w:val="left"/>
        <w:rPr>
          <w:rStyle w:val="32"/>
          <w:rFonts w:ascii="Calibri" w:hAnsi="宋体"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1</w:t>
      </w:r>
      <w:r>
        <w:rPr>
          <w:rStyle w:val="32"/>
          <w:rFonts w:hint="eastAsia" w:ascii="Calibri" w:hAnsi="宋体" w:eastAsia="宋体" w:cs="宋体"/>
          <w:color w:val="auto"/>
          <w:kern w:val="0"/>
          <w:highlight w:val="none"/>
        </w:rPr>
        <w:t>）承包人有本合同通用条款第</w:t>
      </w:r>
      <w:r>
        <w:rPr>
          <w:rStyle w:val="32"/>
          <w:rFonts w:ascii="Calibri" w:hAnsi="Calibri" w:eastAsia="宋体" w:cs="Times New Roman"/>
          <w:color w:val="auto"/>
          <w:kern w:val="0"/>
          <w:highlight w:val="none"/>
        </w:rPr>
        <w:t>16.2.1</w:t>
      </w: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2</w:t>
      </w: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3</w:t>
      </w:r>
      <w:r>
        <w:rPr>
          <w:rStyle w:val="32"/>
          <w:rFonts w:hint="eastAsia" w:ascii="Calibri" w:hAnsi="宋体" w:eastAsia="宋体" w:cs="宋体"/>
          <w:color w:val="auto"/>
          <w:kern w:val="0"/>
          <w:highlight w:val="none"/>
        </w:rPr>
        <w:t>）条内容情形的，承包人无条件返工处理，修复至工程质量要求并承担相关费用，并在发包人规定的时间内完成返工，否则发包人有权扣罚该分项工程</w:t>
      </w:r>
      <w:r>
        <w:rPr>
          <w:rStyle w:val="32"/>
          <w:rFonts w:ascii="Calibri" w:hAnsi="Calibri" w:eastAsia="宋体" w:cs="Times New Roman"/>
          <w:color w:val="auto"/>
          <w:kern w:val="0"/>
          <w:highlight w:val="none"/>
        </w:rPr>
        <w:t>10%</w:t>
      </w:r>
      <w:r>
        <w:rPr>
          <w:rStyle w:val="32"/>
          <w:rFonts w:hint="eastAsia" w:ascii="Calibri" w:hAnsi="宋体" w:eastAsia="宋体" w:cs="宋体"/>
          <w:color w:val="auto"/>
          <w:kern w:val="0"/>
          <w:highlight w:val="none"/>
        </w:rPr>
        <w:t>的工程款作为处罚。</w:t>
      </w:r>
    </w:p>
    <w:p w14:paraId="23EAAFAA">
      <w:pPr>
        <w:pStyle w:val="78"/>
        <w:spacing w:line="360" w:lineRule="auto"/>
        <w:ind w:firstLine="420" w:firstLineChars="200"/>
        <w:jc w:val="left"/>
        <w:rPr>
          <w:rStyle w:val="32"/>
          <w:rFonts w:ascii="Calibri" w:hAnsi="宋体"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2</w:t>
      </w:r>
      <w:r>
        <w:rPr>
          <w:rStyle w:val="32"/>
          <w:rFonts w:hint="eastAsia" w:ascii="Calibri" w:hAnsi="宋体" w:eastAsia="宋体" w:cs="宋体"/>
          <w:color w:val="auto"/>
          <w:kern w:val="0"/>
          <w:highlight w:val="none"/>
        </w:rPr>
        <w:t>）承包人有本合同通用条款第</w:t>
      </w:r>
      <w:r>
        <w:rPr>
          <w:rStyle w:val="32"/>
          <w:rFonts w:ascii="Calibri" w:hAnsi="Calibri" w:eastAsia="宋体" w:cs="Times New Roman"/>
          <w:color w:val="auto"/>
          <w:kern w:val="0"/>
          <w:highlight w:val="none"/>
        </w:rPr>
        <w:t>16.2.1</w:t>
      </w: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6</w:t>
      </w:r>
      <w:r>
        <w:rPr>
          <w:rStyle w:val="32"/>
          <w:rFonts w:hint="eastAsia" w:ascii="Calibri" w:hAnsi="宋体" w:eastAsia="宋体" w:cs="宋体"/>
          <w:color w:val="auto"/>
          <w:kern w:val="0"/>
          <w:highlight w:val="none"/>
        </w:rPr>
        <w:t>）条情形的，或经监理人检验认为修复质量不合格而承包人拒绝再进行修补的，发包人将扣除承包人全部质量保证金。</w:t>
      </w:r>
    </w:p>
    <w:p w14:paraId="1DF21B91">
      <w:pPr>
        <w:pStyle w:val="78"/>
        <w:spacing w:line="360" w:lineRule="auto"/>
        <w:ind w:firstLine="420" w:firstLineChars="200"/>
        <w:jc w:val="left"/>
        <w:rPr>
          <w:rStyle w:val="32"/>
          <w:rFonts w:ascii="Calibri" w:hAnsi="宋体" w:eastAsia="宋体" w:cs="Times New Roman"/>
          <w:color w:val="auto"/>
          <w:kern w:val="0"/>
          <w:highlight w:val="none"/>
        </w:rPr>
      </w:pP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3</w:t>
      </w:r>
      <w:r>
        <w:rPr>
          <w:rStyle w:val="32"/>
          <w:rFonts w:hint="eastAsia" w:ascii="Calibri" w:hAnsi="宋体" w:eastAsia="宋体" w:cs="宋体"/>
          <w:color w:val="auto"/>
          <w:kern w:val="0"/>
          <w:highlight w:val="none"/>
        </w:rPr>
        <w:t>）承包人有本专用合同条款</w:t>
      </w:r>
      <w:r>
        <w:rPr>
          <w:rStyle w:val="32"/>
          <w:rFonts w:ascii="Calibri" w:hAnsi="Calibri" w:eastAsia="宋体" w:cs="Times New Roman"/>
          <w:color w:val="auto"/>
          <w:kern w:val="0"/>
          <w:highlight w:val="none"/>
        </w:rPr>
        <w:t>3.2</w:t>
      </w:r>
      <w:r>
        <w:rPr>
          <w:rStyle w:val="32"/>
          <w:rFonts w:hint="eastAsia" w:ascii="Calibri" w:hAnsi="宋体" w:eastAsia="宋体" w:cs="宋体"/>
          <w:color w:val="auto"/>
          <w:kern w:val="0"/>
          <w:highlight w:val="none"/>
        </w:rPr>
        <w:t>、</w:t>
      </w:r>
      <w:r>
        <w:rPr>
          <w:rStyle w:val="32"/>
          <w:rFonts w:ascii="Calibri" w:hAnsi="Calibri" w:eastAsia="宋体" w:cs="Times New Roman"/>
          <w:color w:val="auto"/>
          <w:kern w:val="0"/>
          <w:highlight w:val="none"/>
        </w:rPr>
        <w:t>3.3</w:t>
      </w:r>
      <w:r>
        <w:rPr>
          <w:rStyle w:val="32"/>
          <w:rFonts w:hint="eastAsia" w:ascii="Calibri" w:hAnsi="宋体" w:eastAsia="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706BE670">
      <w:pPr>
        <w:pStyle w:val="78"/>
        <w:spacing w:line="360" w:lineRule="auto"/>
        <w:ind w:firstLine="420" w:firstLineChars="200"/>
        <w:jc w:val="left"/>
        <w:rPr>
          <w:rStyle w:val="32"/>
          <w:rFonts w:ascii="Calibri" w:hAnsi="宋体" w:eastAsia="宋体" w:cs="Times New Roman"/>
          <w:color w:val="auto"/>
          <w:highlight w:val="none"/>
        </w:rPr>
      </w:pPr>
      <w:r>
        <w:rPr>
          <w:rStyle w:val="32"/>
          <w:rFonts w:ascii="Calibri" w:hAnsi="Calibri" w:eastAsia="宋体" w:cs="Times New Roman"/>
          <w:color w:val="auto"/>
          <w:highlight w:val="none"/>
        </w:rPr>
        <w:t xml:space="preserve">16.2.3 </w:t>
      </w:r>
      <w:r>
        <w:rPr>
          <w:rStyle w:val="32"/>
          <w:rFonts w:hint="eastAsia" w:ascii="Calibri" w:hAnsi="宋体" w:eastAsia="宋体" w:cs="宋体"/>
          <w:color w:val="auto"/>
          <w:highlight w:val="none"/>
        </w:rPr>
        <w:t>因承包人违约解除合同</w:t>
      </w:r>
    </w:p>
    <w:p w14:paraId="20F625E1">
      <w:pPr>
        <w:pStyle w:val="78"/>
        <w:spacing w:line="360" w:lineRule="auto"/>
        <w:ind w:firstLine="420" w:firstLineChars="200"/>
        <w:jc w:val="left"/>
        <w:rPr>
          <w:rStyle w:val="32"/>
          <w:rFonts w:ascii="Calibri" w:hAnsi="宋体" w:eastAsia="宋体" w:cs="Times New Roman"/>
          <w:color w:val="auto"/>
          <w:kern w:val="0"/>
          <w:highlight w:val="none"/>
        </w:rPr>
      </w:pPr>
      <w:r>
        <w:rPr>
          <w:rStyle w:val="32"/>
          <w:rFonts w:hint="eastAsia" w:ascii="Calibri" w:hAnsi="宋体" w:eastAsia="宋体" w:cs="宋体"/>
          <w:color w:val="auto"/>
          <w:kern w:val="0"/>
          <w:highlight w:val="none"/>
        </w:rPr>
        <w:t>关于承包人违约解除合同的特别约定：</w:t>
      </w:r>
      <w:r>
        <w:rPr>
          <w:rStyle w:val="32"/>
          <w:rFonts w:hint="eastAsia" w:ascii="Calibri" w:hAnsi="宋体" w:eastAsia="宋体" w:cs="宋体"/>
          <w:color w:val="auto"/>
          <w:kern w:val="0"/>
          <w:highlight w:val="none"/>
          <w:u w:val="single"/>
        </w:rPr>
        <w:t>承包人有违反以下情况之一的，发包人有权解除合同，并没收其全部履约保证金</w:t>
      </w:r>
      <w:r>
        <w:rPr>
          <w:rStyle w:val="32"/>
          <w:rFonts w:hint="eastAsia" w:ascii="Calibri" w:hAnsi="宋体" w:eastAsia="宋体" w:cs="宋体"/>
          <w:color w:val="auto"/>
          <w:kern w:val="0"/>
          <w:highlight w:val="none"/>
        </w:rPr>
        <w:t>。</w:t>
      </w:r>
    </w:p>
    <w:p w14:paraId="1DB268C0">
      <w:pPr>
        <w:pStyle w:val="78"/>
        <w:spacing w:line="360" w:lineRule="auto"/>
        <w:ind w:firstLine="420" w:firstLineChars="200"/>
        <w:jc w:val="left"/>
        <w:rPr>
          <w:rStyle w:val="32"/>
          <w:rFonts w:ascii="Calibri" w:hAnsi="宋体" w:eastAsia="宋体" w:cs="Times New Roman"/>
          <w:color w:val="auto"/>
          <w:kern w:val="0"/>
          <w:highlight w:val="none"/>
        </w:rPr>
      </w:pPr>
      <w:r>
        <w:rPr>
          <w:rStyle w:val="32"/>
          <w:rFonts w:ascii="Calibri" w:hAnsi="Calibri" w:eastAsia="宋体" w:cs="Times New Roman"/>
          <w:color w:val="auto"/>
          <w:kern w:val="0"/>
          <w:highlight w:val="none"/>
        </w:rPr>
        <w:t>(1)</w:t>
      </w:r>
      <w:r>
        <w:rPr>
          <w:rStyle w:val="32"/>
          <w:rFonts w:hint="eastAsia" w:ascii="Calibri" w:hAnsi="宋体" w:eastAsia="宋体" w:cs="宋体"/>
          <w:color w:val="auto"/>
          <w:kern w:val="0"/>
          <w:highlight w:val="none"/>
        </w:rPr>
        <w:t>承包人无正当理由不按开工通知的要求及时进场组织施工和不按签订协议书时商定的进度计划有效地开展施工准备，造成工期延误的；</w:t>
      </w:r>
    </w:p>
    <w:p w14:paraId="233F2BA9">
      <w:pPr>
        <w:pStyle w:val="78"/>
        <w:spacing w:line="360" w:lineRule="auto"/>
        <w:ind w:firstLine="420" w:firstLineChars="200"/>
        <w:jc w:val="left"/>
        <w:rPr>
          <w:rStyle w:val="32"/>
          <w:rFonts w:ascii="Calibri" w:hAnsi="宋体" w:eastAsia="宋体" w:cs="Times New Roman"/>
          <w:color w:val="auto"/>
          <w:kern w:val="0"/>
          <w:highlight w:val="none"/>
        </w:rPr>
      </w:pPr>
      <w:r>
        <w:rPr>
          <w:rStyle w:val="32"/>
          <w:rFonts w:ascii="Calibri" w:hAnsi="Calibri" w:eastAsia="宋体" w:cs="Times New Roman"/>
          <w:color w:val="auto"/>
          <w:kern w:val="0"/>
          <w:highlight w:val="none"/>
        </w:rPr>
        <w:t>(2)</w:t>
      </w:r>
      <w:r>
        <w:rPr>
          <w:rStyle w:val="32"/>
          <w:rFonts w:hint="eastAsia" w:ascii="Calibri" w:hAnsi="宋体" w:eastAsia="宋体" w:cs="宋体"/>
          <w:color w:val="auto"/>
          <w:kern w:val="0"/>
          <w:highlight w:val="none"/>
        </w:rPr>
        <w:t>承包人违反本合同通用条款第</w:t>
      </w:r>
      <w:r>
        <w:rPr>
          <w:rStyle w:val="32"/>
          <w:rFonts w:ascii="Calibri" w:hAnsi="Calibri" w:eastAsia="宋体" w:cs="Times New Roman"/>
          <w:color w:val="auto"/>
          <w:kern w:val="0"/>
          <w:highlight w:val="none"/>
        </w:rPr>
        <w:t>3.5</w:t>
      </w:r>
      <w:r>
        <w:rPr>
          <w:rStyle w:val="32"/>
          <w:rFonts w:hint="eastAsia" w:ascii="Calibri" w:hAnsi="宋体" w:eastAsia="宋体" w:cs="宋体"/>
          <w:color w:val="auto"/>
          <w:kern w:val="0"/>
          <w:highlight w:val="none"/>
        </w:rPr>
        <w:t>条规定私自将合同或合同的任何部分或任何权利转让给其他人，或私自将工程或工程的一部分分包出去的；</w:t>
      </w:r>
    </w:p>
    <w:p w14:paraId="4935F3A3">
      <w:pPr>
        <w:pStyle w:val="78"/>
        <w:spacing w:line="360" w:lineRule="auto"/>
        <w:ind w:firstLine="420" w:firstLineChars="200"/>
        <w:jc w:val="left"/>
        <w:rPr>
          <w:rStyle w:val="32"/>
          <w:rFonts w:ascii="Calibri" w:hAnsi="宋体" w:eastAsia="宋体" w:cs="Times New Roman"/>
          <w:color w:val="auto"/>
          <w:kern w:val="0"/>
          <w:highlight w:val="none"/>
        </w:rPr>
      </w:pPr>
      <w:r>
        <w:rPr>
          <w:rStyle w:val="32"/>
          <w:rFonts w:ascii="Calibri" w:hAnsi="Calibri" w:eastAsia="宋体" w:cs="Times New Roman"/>
          <w:color w:val="auto"/>
          <w:kern w:val="0"/>
          <w:highlight w:val="none"/>
        </w:rPr>
        <w:t>(3)</w:t>
      </w:r>
      <w:r>
        <w:rPr>
          <w:rStyle w:val="32"/>
          <w:rFonts w:hint="eastAsia" w:ascii="Calibri" w:hAnsi="宋体" w:eastAsia="宋体" w:cs="宋体"/>
          <w:color w:val="auto"/>
          <w:kern w:val="0"/>
          <w:highlight w:val="none"/>
        </w:rPr>
        <w:t>未经监理人批准，承包人私自将已按投标文件承诺进入工地的工程设备、施工设备、临时工程或材料撤离工地的；</w:t>
      </w:r>
    </w:p>
    <w:p w14:paraId="1F0E764F">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(4)</w:t>
      </w:r>
      <w:r>
        <w:rPr>
          <w:rStyle w:val="32"/>
          <w:rFonts w:hint="eastAsia" w:ascii="Calibri" w:hAnsi="宋体" w:eastAsia="宋体" w:cs="宋体"/>
          <w:color w:val="auto"/>
          <w:kern w:val="0"/>
          <w:highlight w:val="none"/>
        </w:rPr>
        <w:t>由于承包人原因拒绝按合同进度计划及时完成合同规定的工程，而又未采取有效措施赶上进度，造成工期严重延误的；</w:t>
      </w:r>
    </w:p>
    <w:p w14:paraId="319FEFE8">
      <w:pPr>
        <w:pStyle w:val="78"/>
        <w:spacing w:line="360" w:lineRule="auto"/>
        <w:ind w:firstLine="420" w:firstLineChars="200"/>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(5)</w:t>
      </w:r>
      <w:r>
        <w:rPr>
          <w:rStyle w:val="32"/>
          <w:rFonts w:hint="eastAsia" w:ascii="Calibri" w:hAnsi="宋体" w:eastAsia="宋体" w:cs="宋体"/>
          <w:color w:val="auto"/>
          <w:kern w:val="0"/>
          <w:highlight w:val="none"/>
        </w:rPr>
        <w:t>承包人否认合同有效或拒绝履行合同规定的承包人义务，或由于法律、财务等原因导致承包人无法继续履行或实质上已停止履行合同的义务的；</w:t>
      </w:r>
    </w:p>
    <w:p w14:paraId="3387B0DB">
      <w:pPr>
        <w:pStyle w:val="78"/>
        <w:spacing w:line="360" w:lineRule="auto"/>
        <w:ind w:firstLine="420" w:firstLineChars="200"/>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(6)</w:t>
      </w:r>
      <w:r>
        <w:rPr>
          <w:rStyle w:val="32"/>
          <w:rFonts w:hint="eastAsia" w:ascii="Calibri" w:hAnsi="宋体" w:eastAsia="宋体" w:cs="宋体"/>
          <w:color w:val="auto"/>
          <w:kern w:val="0"/>
          <w:highlight w:val="none"/>
        </w:rPr>
        <w:t>合同签订</w:t>
      </w:r>
      <w:r>
        <w:rPr>
          <w:rStyle w:val="32"/>
          <w:rFonts w:hint="eastAsia" w:ascii="仿宋_GB2312" w:hAnsi="宋体" w:eastAsia="宋体" w:cs="宋体"/>
          <w:color w:val="auto"/>
          <w:highlight w:val="none"/>
        </w:rPr>
        <w:t>且具备法定开工条件后</w:t>
      </w:r>
      <w:r>
        <w:rPr>
          <w:rStyle w:val="32"/>
          <w:rFonts w:hint="eastAsia" w:ascii="Calibri" w:hAnsi="宋体" w:eastAsia="宋体" w:cs="宋体"/>
          <w:color w:val="auto"/>
          <w:kern w:val="0"/>
          <w:highlight w:val="none"/>
        </w:rPr>
        <w:t>之日起十五日内，承包人无法按合同规定及投标文件的承诺进场经监理工程师认可的该</w:t>
      </w:r>
      <w:r>
        <w:rPr>
          <w:rStyle w:val="32"/>
          <w:rFonts w:ascii="Calibri" w:hAnsi="宋体" w:eastAsia="宋体" w:cs="宋体"/>
          <w:color w:val="auto"/>
          <w:kern w:val="0"/>
          <w:highlight w:val="none"/>
        </w:rPr>
        <w:t>施工</w:t>
      </w:r>
      <w:r>
        <w:rPr>
          <w:rStyle w:val="32"/>
          <w:rFonts w:hint="eastAsia" w:ascii="Calibri" w:hAnsi="宋体" w:eastAsia="宋体" w:cs="宋体"/>
          <w:color w:val="auto"/>
          <w:kern w:val="0"/>
          <w:highlight w:val="none"/>
        </w:rPr>
        <w:t>阶段</w:t>
      </w:r>
      <w:r>
        <w:rPr>
          <w:rStyle w:val="32"/>
          <w:rFonts w:ascii="Calibri" w:hAnsi="宋体" w:eastAsia="宋体" w:cs="宋体"/>
          <w:color w:val="auto"/>
          <w:kern w:val="0"/>
          <w:highlight w:val="none"/>
        </w:rPr>
        <w:t>应有的</w:t>
      </w:r>
      <w:r>
        <w:rPr>
          <w:rStyle w:val="32"/>
          <w:rFonts w:hint="eastAsia" w:ascii="Calibri" w:hAnsi="宋体" w:eastAsia="宋体" w:cs="宋体"/>
          <w:color w:val="auto"/>
          <w:kern w:val="0"/>
          <w:highlight w:val="none"/>
        </w:rPr>
        <w:t>全部人员和机械的。</w:t>
      </w:r>
    </w:p>
    <w:p w14:paraId="40792FDE">
      <w:pPr>
        <w:pStyle w:val="78"/>
        <w:spacing w:line="360" w:lineRule="auto"/>
        <w:ind w:firstLine="420" w:firstLineChars="200"/>
        <w:rPr>
          <w:rStyle w:val="32"/>
          <w:rFonts w:ascii="Calibri" w:hAnsi="Calibri" w:eastAsia="宋体" w:cs="Times New Roman"/>
          <w:color w:val="auto"/>
          <w:kern w:val="0"/>
          <w:highlight w:val="none"/>
        </w:rPr>
      </w:pPr>
      <w:r>
        <w:rPr>
          <w:rStyle w:val="32"/>
          <w:rFonts w:hint="eastAsia" w:ascii="Calibri" w:hAnsi="宋体" w:eastAsia="宋体" w:cs="宋体"/>
          <w:color w:val="auto"/>
          <w:kern w:val="0"/>
          <w:highlight w:val="none"/>
        </w:rPr>
        <w:t>发包人继续使用承包人在施工现场的材料、设备、临时工程、承包人文件和由承包人或以其名义编制的其他文件的费用承担方式：</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rPr>
        <w:t>双方协商确定</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52DFDE56">
      <w:pPr>
        <w:pStyle w:val="98"/>
        <w:spacing w:before="0" w:after="0" w:line="360" w:lineRule="auto"/>
        <w:rPr>
          <w:rStyle w:val="32"/>
          <w:rFonts w:cs="Times New Roman"/>
          <w:color w:val="auto"/>
          <w:highlight w:val="none"/>
        </w:rPr>
      </w:pPr>
      <w:bookmarkStart w:id="1147" w:name="_Toc389065334"/>
      <w:bookmarkStart w:id="1148" w:name="_Toc407135272"/>
      <w:bookmarkStart w:id="1149" w:name="_Toc1753556740"/>
      <w:bookmarkStart w:id="1150" w:name="_Toc78449858"/>
      <w:bookmarkStart w:id="1151" w:name="_Toc351203649"/>
      <w:bookmarkStart w:id="1152" w:name="_Toc1117922953"/>
      <w:bookmarkStart w:id="1153" w:name="_Toc373227769"/>
      <w:bookmarkStart w:id="1154" w:name="_Toc373478416"/>
      <w:r>
        <w:rPr>
          <w:rStyle w:val="32"/>
          <w:rFonts w:cs="Times New Roman"/>
          <w:color w:val="auto"/>
          <w:highlight w:val="none"/>
        </w:rPr>
        <w:t xml:space="preserve">17. </w:t>
      </w:r>
      <w:r>
        <w:rPr>
          <w:rStyle w:val="32"/>
          <w:rFonts w:hint="eastAsia" w:hAnsi="宋体" w:cs="黑体"/>
          <w:color w:val="auto"/>
          <w:sz w:val="28"/>
          <w:szCs w:val="18"/>
          <w:highlight w:val="none"/>
        </w:rPr>
        <w:t>不可抗力</w:t>
      </w:r>
      <w:bookmarkEnd w:id="1147"/>
      <w:bookmarkEnd w:id="1148"/>
      <w:bookmarkEnd w:id="1149"/>
      <w:bookmarkEnd w:id="1150"/>
      <w:bookmarkEnd w:id="1151"/>
      <w:bookmarkEnd w:id="1152"/>
      <w:bookmarkEnd w:id="1153"/>
      <w:bookmarkEnd w:id="1154"/>
      <w:r>
        <w:rPr>
          <w:rStyle w:val="32"/>
          <w:rFonts w:cs="Times New Roman"/>
          <w:color w:val="auto"/>
          <w:highlight w:val="none"/>
        </w:rPr>
        <w:t xml:space="preserve"> </w:t>
      </w:r>
      <w:bookmarkEnd w:id="1131"/>
    </w:p>
    <w:p w14:paraId="082F44A7">
      <w:pPr>
        <w:pStyle w:val="99"/>
        <w:spacing w:before="0" w:after="0" w:line="360" w:lineRule="auto"/>
        <w:rPr>
          <w:rStyle w:val="32"/>
          <w:rFonts w:ascii="Calibri" w:hAnsi="Calibri" w:eastAsia="宋体" w:cs="Times New Roman"/>
          <w:color w:val="auto"/>
          <w:highlight w:val="none"/>
        </w:rPr>
      </w:pPr>
      <w:bookmarkStart w:id="1155" w:name="_Toc373478417"/>
      <w:bookmarkStart w:id="1156" w:name="_Toc373227770"/>
      <w:bookmarkStart w:id="1157" w:name="_Toc429574049"/>
      <w:bookmarkStart w:id="1158" w:name="_Toc666312941"/>
      <w:bookmarkStart w:id="1159" w:name="_Toc389065335"/>
      <w:bookmarkStart w:id="1160" w:name="_Toc407135273"/>
      <w:bookmarkStart w:id="1161" w:name="_Toc78449859"/>
      <w:r>
        <w:rPr>
          <w:rStyle w:val="32"/>
          <w:rFonts w:ascii="Calibri" w:hAnsi="Calibri" w:eastAsia="宋体" w:cs="Times New Roman"/>
          <w:color w:val="auto"/>
          <w:highlight w:val="none"/>
        </w:rPr>
        <w:t xml:space="preserve">17.1 </w:t>
      </w:r>
      <w:r>
        <w:rPr>
          <w:rStyle w:val="32"/>
          <w:rFonts w:hint="eastAsia" w:ascii="Calibri" w:hAnsi="Calibri" w:eastAsia="宋体" w:cs="黑体"/>
          <w:color w:val="auto"/>
          <w:sz w:val="28"/>
          <w:szCs w:val="28"/>
          <w:highlight w:val="none"/>
        </w:rPr>
        <w:t>不可抗力的确认</w:t>
      </w:r>
      <w:bookmarkEnd w:id="1155"/>
      <w:bookmarkEnd w:id="1156"/>
      <w:bookmarkEnd w:id="1157"/>
      <w:bookmarkEnd w:id="1158"/>
      <w:bookmarkEnd w:id="1159"/>
      <w:bookmarkEnd w:id="1160"/>
      <w:bookmarkEnd w:id="1161"/>
    </w:p>
    <w:p w14:paraId="5D5BF11B">
      <w:pPr>
        <w:pStyle w:val="78"/>
        <w:spacing w:line="360" w:lineRule="auto"/>
        <w:ind w:firstLine="420" w:firstLineChars="200"/>
        <w:jc w:val="left"/>
        <w:rPr>
          <w:rStyle w:val="32"/>
          <w:rFonts w:ascii="Calibri" w:hAnsi="Calibri" w:eastAsia="宋体" w:cs="Times New Roman"/>
          <w:color w:val="auto"/>
          <w:kern w:val="0"/>
          <w:highlight w:val="none"/>
          <w:u w:val="single"/>
        </w:rPr>
      </w:pPr>
      <w:r>
        <w:rPr>
          <w:rStyle w:val="32"/>
          <w:rFonts w:hint="eastAsia" w:ascii="Calibri" w:hAnsi="宋体" w:eastAsia="宋体" w:cs="宋体"/>
          <w:color w:val="auto"/>
          <w:highlight w:val="none"/>
        </w:rPr>
        <w:t>除通用合同条款约定的不可抗力事件之外，视为不可抗力的其他情形：</w:t>
      </w:r>
    </w:p>
    <w:p w14:paraId="2226B47B">
      <w:pPr>
        <w:pStyle w:val="78"/>
        <w:spacing w:line="360" w:lineRule="auto"/>
        <w:ind w:firstLine="420" w:firstLineChars="200"/>
        <w:jc w:val="left"/>
        <w:rPr>
          <w:rStyle w:val="32"/>
          <w:rFonts w:hint="eastAsia" w:ascii="Calibri" w:hAnsi="Calibri" w:eastAsia="宋体" w:cs="Times New Roman"/>
          <w:color w:val="auto"/>
          <w:kern w:val="0"/>
          <w:highlight w:val="none"/>
          <w:u w:val="single"/>
        </w:rPr>
      </w:pPr>
      <w:r>
        <w:rPr>
          <w:rStyle w:val="32"/>
          <w:rFonts w:hint="eastAsia" w:ascii="Calibri" w:hAnsi="Calibri" w:eastAsia="宋体" w:cs="Times New Roman"/>
          <w:color w:val="auto"/>
          <w:kern w:val="0"/>
          <w:highlight w:val="none"/>
          <w:u w:val="single"/>
        </w:rPr>
        <w:t>（1）发生烈度 6 级（含 6 级）以上的地震；</w:t>
      </w:r>
    </w:p>
    <w:p w14:paraId="3DC32932">
      <w:pPr>
        <w:pStyle w:val="78"/>
        <w:spacing w:line="360" w:lineRule="auto"/>
        <w:ind w:firstLine="420" w:firstLineChars="200"/>
        <w:jc w:val="left"/>
        <w:rPr>
          <w:rStyle w:val="32"/>
          <w:rFonts w:hint="eastAsia" w:ascii="Calibri" w:hAnsi="Calibri" w:eastAsia="宋体" w:cs="Times New Roman"/>
          <w:color w:val="auto"/>
          <w:kern w:val="0"/>
          <w:highlight w:val="none"/>
          <w:u w:val="single"/>
        </w:rPr>
      </w:pPr>
      <w:r>
        <w:rPr>
          <w:rStyle w:val="32"/>
          <w:rFonts w:hint="eastAsia" w:ascii="Calibri" w:hAnsi="Calibri" w:eastAsia="宋体" w:cs="Times New Roman"/>
          <w:color w:val="auto"/>
          <w:kern w:val="0"/>
          <w:highlight w:val="none"/>
          <w:u w:val="single"/>
        </w:rPr>
        <w:t>（2）10 级以上持续 1 天的大风；</w:t>
      </w:r>
    </w:p>
    <w:p w14:paraId="3C528B02">
      <w:pPr>
        <w:pStyle w:val="78"/>
        <w:spacing w:line="360" w:lineRule="auto"/>
        <w:ind w:firstLine="420" w:firstLineChars="200"/>
        <w:jc w:val="left"/>
        <w:rPr>
          <w:rStyle w:val="32"/>
          <w:rFonts w:hint="eastAsia" w:ascii="Calibri" w:hAnsi="Calibri" w:eastAsia="宋体" w:cs="Times New Roman"/>
          <w:color w:val="auto"/>
          <w:kern w:val="0"/>
          <w:highlight w:val="none"/>
          <w:u w:val="single"/>
        </w:rPr>
      </w:pPr>
      <w:r>
        <w:rPr>
          <w:rStyle w:val="32"/>
          <w:rFonts w:hint="eastAsia" w:ascii="Calibri" w:hAnsi="Calibri" w:eastAsia="宋体" w:cs="Times New Roman"/>
          <w:color w:val="auto"/>
          <w:kern w:val="0"/>
          <w:highlight w:val="none"/>
          <w:u w:val="single"/>
        </w:rPr>
        <w:t>（3）暴雨级以上持续 1 天的大雨；</w:t>
      </w:r>
    </w:p>
    <w:p w14:paraId="6ACD0D02">
      <w:pPr>
        <w:pStyle w:val="78"/>
        <w:spacing w:line="360" w:lineRule="auto"/>
        <w:ind w:firstLine="420" w:firstLineChars="200"/>
        <w:jc w:val="left"/>
        <w:rPr>
          <w:rStyle w:val="32"/>
          <w:rFonts w:hint="eastAsia" w:ascii="Calibri" w:hAnsi="Calibri" w:eastAsia="宋体" w:cs="Times New Roman"/>
          <w:color w:val="auto"/>
          <w:kern w:val="0"/>
          <w:highlight w:val="none"/>
          <w:u w:val="single"/>
        </w:rPr>
      </w:pPr>
      <w:r>
        <w:rPr>
          <w:rStyle w:val="32"/>
          <w:rFonts w:hint="eastAsia" w:ascii="Calibri" w:hAnsi="Calibri" w:eastAsia="宋体" w:cs="Times New Roman"/>
          <w:color w:val="auto"/>
          <w:kern w:val="0"/>
          <w:highlight w:val="none"/>
          <w:u w:val="single"/>
        </w:rPr>
        <w:t>（4）50 年以上未发生过，持续 2 天的高温（40℃）天气；</w:t>
      </w:r>
    </w:p>
    <w:p w14:paraId="2C3BF8E6">
      <w:pPr>
        <w:pStyle w:val="78"/>
        <w:spacing w:line="360" w:lineRule="auto"/>
        <w:ind w:firstLine="420" w:firstLineChars="200"/>
        <w:jc w:val="left"/>
        <w:rPr>
          <w:rStyle w:val="32"/>
          <w:rFonts w:hint="eastAsia" w:ascii="Calibri" w:hAnsi="Calibri" w:eastAsia="宋体" w:cs="Times New Roman"/>
          <w:color w:val="auto"/>
          <w:kern w:val="0"/>
          <w:highlight w:val="none"/>
          <w:u w:val="single"/>
        </w:rPr>
      </w:pPr>
      <w:r>
        <w:rPr>
          <w:rStyle w:val="32"/>
          <w:rFonts w:hint="eastAsia" w:ascii="Calibri" w:hAnsi="Calibri" w:eastAsia="宋体" w:cs="Times New Roman"/>
          <w:color w:val="auto"/>
          <w:kern w:val="0"/>
          <w:highlight w:val="none"/>
          <w:u w:val="single"/>
        </w:rPr>
        <w:t>（5）50 年以上未发生过，持续 2 天的低温天气；</w:t>
      </w:r>
    </w:p>
    <w:p w14:paraId="756040D1">
      <w:pPr>
        <w:pStyle w:val="78"/>
        <w:spacing w:line="360" w:lineRule="auto"/>
        <w:ind w:firstLine="420" w:firstLineChars="200"/>
        <w:jc w:val="left"/>
        <w:rPr>
          <w:rStyle w:val="32"/>
          <w:rFonts w:hint="eastAsia" w:ascii="Calibri" w:hAnsi="Calibri" w:eastAsia="宋体" w:cs="Times New Roman"/>
          <w:color w:val="auto"/>
          <w:kern w:val="0"/>
          <w:highlight w:val="none"/>
          <w:u w:val="single"/>
        </w:rPr>
      </w:pPr>
      <w:r>
        <w:rPr>
          <w:rStyle w:val="32"/>
          <w:rFonts w:hint="eastAsia" w:ascii="Calibri" w:hAnsi="Calibri" w:eastAsia="宋体" w:cs="Times New Roman"/>
          <w:color w:val="auto"/>
          <w:kern w:val="0"/>
          <w:highlight w:val="none"/>
          <w:u w:val="single"/>
        </w:rPr>
        <w:t xml:space="preserve">（6）100 年以上未发生过的洪水； </w:t>
      </w:r>
    </w:p>
    <w:p w14:paraId="5C20E81C">
      <w:pPr>
        <w:pStyle w:val="78"/>
        <w:spacing w:line="360" w:lineRule="auto"/>
        <w:ind w:firstLine="420" w:firstLineChars="200"/>
        <w:jc w:val="left"/>
        <w:rPr>
          <w:rStyle w:val="32"/>
          <w:rFonts w:hint="eastAsia" w:ascii="Calibri" w:hAnsi="Calibri" w:eastAsia="宋体" w:cs="Times New Roman"/>
          <w:color w:val="auto"/>
          <w:kern w:val="0"/>
          <w:highlight w:val="none"/>
          <w:u w:val="single"/>
        </w:rPr>
      </w:pPr>
      <w:r>
        <w:rPr>
          <w:rStyle w:val="32"/>
          <w:rFonts w:hint="eastAsia" w:ascii="Calibri" w:hAnsi="Calibri" w:eastAsia="宋体" w:cs="Times New Roman"/>
          <w:color w:val="auto"/>
          <w:kern w:val="0"/>
          <w:highlight w:val="none"/>
          <w:u w:val="single"/>
        </w:rPr>
        <w:t xml:space="preserve">（7）战争、恐怖主义、动乱、空中飞行物体坠落； </w:t>
      </w:r>
    </w:p>
    <w:p w14:paraId="6AE14A1F">
      <w:pPr>
        <w:pStyle w:val="78"/>
        <w:spacing w:line="360" w:lineRule="auto"/>
        <w:ind w:firstLine="420" w:firstLineChars="200"/>
        <w:jc w:val="left"/>
        <w:rPr>
          <w:rStyle w:val="32"/>
          <w:rFonts w:ascii="Calibri" w:hAnsi="Calibri" w:eastAsia="宋体" w:cs="Times New Roman"/>
          <w:color w:val="auto"/>
          <w:kern w:val="0"/>
          <w:highlight w:val="none"/>
          <w:u w:val="single"/>
        </w:rPr>
      </w:pPr>
      <w:r>
        <w:rPr>
          <w:rStyle w:val="32"/>
          <w:rFonts w:hint="eastAsia" w:ascii="Calibri" w:hAnsi="Calibri" w:eastAsia="宋体" w:cs="Times New Roman"/>
          <w:color w:val="auto"/>
          <w:kern w:val="0"/>
          <w:highlight w:val="none"/>
          <w:u w:val="single"/>
        </w:rPr>
        <w:t>（8）当地气象部门规定的情况，当地地震部门规定的情况，当地卫生部门规定的情况。</w:t>
      </w:r>
    </w:p>
    <w:p w14:paraId="74A34967">
      <w:pPr>
        <w:pStyle w:val="99"/>
        <w:spacing w:before="0" w:after="0" w:line="360" w:lineRule="auto"/>
        <w:rPr>
          <w:rStyle w:val="32"/>
          <w:rFonts w:ascii="Calibri" w:hAnsi="Calibri" w:eastAsia="宋体" w:cs="Times New Roman"/>
          <w:color w:val="auto"/>
          <w:highlight w:val="none"/>
        </w:rPr>
      </w:pPr>
      <w:bookmarkStart w:id="1162" w:name="_Toc389065336"/>
      <w:bookmarkStart w:id="1163" w:name="_Toc373227771"/>
      <w:bookmarkStart w:id="1164" w:name="_Toc658729758"/>
      <w:bookmarkStart w:id="1165" w:name="_Toc407135274"/>
      <w:bookmarkStart w:id="1166" w:name="_Toc78449860"/>
      <w:bookmarkStart w:id="1167" w:name="_Toc373478418"/>
      <w:bookmarkStart w:id="1168" w:name="_Toc1951449751"/>
      <w:r>
        <w:rPr>
          <w:rStyle w:val="32"/>
          <w:rFonts w:ascii="Calibri" w:hAnsi="Calibri" w:eastAsia="宋体" w:cs="Times New Roman"/>
          <w:color w:val="auto"/>
          <w:highlight w:val="none"/>
        </w:rPr>
        <w:t xml:space="preserve">17.4 </w:t>
      </w:r>
      <w:r>
        <w:rPr>
          <w:rStyle w:val="32"/>
          <w:rFonts w:hint="eastAsia" w:ascii="Calibri" w:hAnsi="Calibri" w:eastAsia="宋体" w:cs="黑体"/>
          <w:color w:val="auto"/>
          <w:sz w:val="28"/>
          <w:szCs w:val="28"/>
          <w:highlight w:val="none"/>
        </w:rPr>
        <w:t>因不可抗力解除合同</w:t>
      </w:r>
      <w:bookmarkEnd w:id="1162"/>
      <w:bookmarkEnd w:id="1163"/>
      <w:bookmarkEnd w:id="1164"/>
      <w:bookmarkEnd w:id="1165"/>
      <w:bookmarkEnd w:id="1166"/>
      <w:bookmarkEnd w:id="1167"/>
      <w:bookmarkEnd w:id="1168"/>
    </w:p>
    <w:p w14:paraId="6E7F5BC2">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合同解除后，发包人应在商定或确定发包人应支付款项后</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30</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天内完成款项的支付。</w:t>
      </w:r>
    </w:p>
    <w:p w14:paraId="5E553E18">
      <w:pPr>
        <w:pStyle w:val="98"/>
        <w:spacing w:before="0" w:after="0" w:line="360" w:lineRule="auto"/>
        <w:rPr>
          <w:rStyle w:val="32"/>
          <w:rFonts w:cs="Times New Roman"/>
          <w:color w:val="auto"/>
          <w:highlight w:val="none"/>
        </w:rPr>
      </w:pPr>
      <w:bookmarkStart w:id="1169" w:name="_Toc78449861"/>
      <w:bookmarkStart w:id="1170" w:name="_Toc389065337"/>
      <w:bookmarkStart w:id="1171" w:name="_Toc373478419"/>
      <w:bookmarkStart w:id="1172" w:name="_Toc351203650"/>
      <w:bookmarkStart w:id="1173" w:name="_Toc56822299"/>
      <w:bookmarkStart w:id="1174" w:name="_Toc612072600"/>
      <w:bookmarkStart w:id="1175" w:name="_Toc407135275"/>
      <w:bookmarkStart w:id="1176" w:name="_Toc373227772"/>
      <w:r>
        <w:rPr>
          <w:rStyle w:val="32"/>
          <w:rFonts w:cs="Times New Roman"/>
          <w:color w:val="auto"/>
          <w:highlight w:val="none"/>
        </w:rPr>
        <w:t xml:space="preserve">18. </w:t>
      </w:r>
      <w:r>
        <w:rPr>
          <w:rStyle w:val="32"/>
          <w:rFonts w:hint="eastAsia" w:hAnsi="宋体" w:cs="黑体"/>
          <w:color w:val="auto"/>
          <w:sz w:val="28"/>
          <w:szCs w:val="18"/>
          <w:highlight w:val="none"/>
        </w:rPr>
        <w:t>保险</w:t>
      </w:r>
      <w:bookmarkEnd w:id="1169"/>
      <w:bookmarkEnd w:id="1170"/>
      <w:bookmarkEnd w:id="1171"/>
      <w:bookmarkEnd w:id="1172"/>
      <w:bookmarkEnd w:id="1173"/>
      <w:bookmarkEnd w:id="1174"/>
      <w:bookmarkEnd w:id="1175"/>
      <w:bookmarkEnd w:id="1176"/>
    </w:p>
    <w:bookmarkEnd w:id="1132"/>
    <w:p w14:paraId="61C92949">
      <w:pPr>
        <w:pStyle w:val="99"/>
        <w:spacing w:before="0" w:after="0" w:line="360" w:lineRule="auto"/>
        <w:rPr>
          <w:rStyle w:val="32"/>
          <w:rFonts w:ascii="Calibri" w:hAnsi="Calibri" w:eastAsia="宋体" w:cs="Times New Roman"/>
          <w:color w:val="auto"/>
          <w:highlight w:val="none"/>
        </w:rPr>
      </w:pPr>
      <w:bookmarkStart w:id="1177" w:name="_Toc373478420"/>
      <w:bookmarkStart w:id="1178" w:name="_Toc407135276"/>
      <w:bookmarkStart w:id="1179" w:name="_Toc373227773"/>
      <w:bookmarkStart w:id="1180" w:name="_Toc78449862"/>
      <w:bookmarkStart w:id="1181" w:name="_Toc2075285517"/>
      <w:bookmarkStart w:id="1182" w:name="_Toc1446953302"/>
      <w:bookmarkStart w:id="1183" w:name="_Toc389065338"/>
      <w:r>
        <w:rPr>
          <w:rStyle w:val="32"/>
          <w:rFonts w:ascii="Calibri" w:hAnsi="Calibri" w:eastAsia="宋体" w:cs="Times New Roman"/>
          <w:color w:val="auto"/>
          <w:highlight w:val="none"/>
        </w:rPr>
        <w:t xml:space="preserve">18.1 </w:t>
      </w:r>
      <w:r>
        <w:rPr>
          <w:rStyle w:val="32"/>
          <w:rFonts w:hint="eastAsia" w:ascii="Calibri" w:hAnsi="宋体" w:eastAsia="宋体" w:cs="黑体"/>
          <w:color w:val="auto"/>
          <w:sz w:val="28"/>
          <w:szCs w:val="28"/>
          <w:highlight w:val="none"/>
        </w:rPr>
        <w:t>工程保险</w:t>
      </w:r>
      <w:bookmarkEnd w:id="1177"/>
      <w:bookmarkEnd w:id="1178"/>
      <w:bookmarkEnd w:id="1179"/>
      <w:bookmarkEnd w:id="1180"/>
      <w:bookmarkEnd w:id="1181"/>
      <w:bookmarkEnd w:id="1182"/>
      <w:bookmarkEnd w:id="1183"/>
    </w:p>
    <w:p w14:paraId="1F359CCE">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关于工程保险的特别约定：</w:t>
      </w:r>
      <w:r>
        <w:rPr>
          <w:rStyle w:val="32"/>
          <w:rFonts w:ascii="Calibri" w:hAnsi="Calibri" w:eastAsia="宋体" w:cs="Times New Roman"/>
          <w:color w:val="auto"/>
          <w:kern w:val="0"/>
          <w:highlight w:val="none"/>
          <w:u w:val="single"/>
        </w:rPr>
        <w:t xml:space="preserve">      </w:t>
      </w:r>
      <w:r>
        <w:rPr>
          <w:rStyle w:val="32"/>
          <w:rFonts w:hint="eastAsia" w:ascii="Calibri" w:hAnsi="Calibri" w:eastAsia="宋体" w:cs="Times New Roman"/>
          <w:color w:val="auto"/>
          <w:kern w:val="0"/>
          <w:highlight w:val="none"/>
          <w:u w:val="single"/>
          <w:lang w:val="en-US" w:eastAsia="zh-CN"/>
        </w:rPr>
        <w:t>/</w:t>
      </w:r>
      <w:r>
        <w:rPr>
          <w:rStyle w:val="32"/>
          <w:rFonts w:ascii="Calibri" w:hAnsi="Calibri" w:eastAsia="宋体" w:cs="Times New Roman"/>
          <w:color w:val="auto"/>
          <w:kern w:val="0"/>
          <w:highlight w:val="none"/>
          <w:u w:val="single"/>
        </w:rPr>
        <w:t xml:space="preserve">       </w:t>
      </w:r>
      <w:r>
        <w:rPr>
          <w:rStyle w:val="32"/>
          <w:rFonts w:hint="eastAsia" w:ascii="Calibri" w:hAnsi="宋体" w:eastAsia="宋体" w:cs="宋体"/>
          <w:color w:val="auto"/>
          <w:kern w:val="0"/>
          <w:highlight w:val="none"/>
        </w:rPr>
        <w:t>。</w:t>
      </w:r>
    </w:p>
    <w:p w14:paraId="0642BE3F">
      <w:pPr>
        <w:pStyle w:val="99"/>
        <w:spacing w:before="0" w:after="0" w:line="360" w:lineRule="auto"/>
        <w:rPr>
          <w:rStyle w:val="32"/>
          <w:rFonts w:ascii="Calibri" w:hAnsi="Calibri" w:eastAsia="宋体" w:cs="Times New Roman"/>
          <w:color w:val="auto"/>
          <w:highlight w:val="none"/>
        </w:rPr>
      </w:pPr>
      <w:bookmarkStart w:id="1184" w:name="_Toc389065339"/>
      <w:bookmarkStart w:id="1185" w:name="_Toc373478421"/>
      <w:bookmarkStart w:id="1186" w:name="_Toc454766369"/>
      <w:bookmarkStart w:id="1187" w:name="_Toc407135277"/>
      <w:bookmarkStart w:id="1188" w:name="_Toc373227774"/>
      <w:bookmarkStart w:id="1189" w:name="_Toc78449863"/>
      <w:bookmarkStart w:id="1190" w:name="_Toc2001387503"/>
      <w:r>
        <w:rPr>
          <w:rStyle w:val="32"/>
          <w:rFonts w:ascii="Calibri" w:hAnsi="Calibri" w:eastAsia="宋体" w:cs="Times New Roman"/>
          <w:color w:val="auto"/>
          <w:highlight w:val="none"/>
        </w:rPr>
        <w:t xml:space="preserve">18.3 </w:t>
      </w:r>
      <w:r>
        <w:rPr>
          <w:rStyle w:val="32"/>
          <w:rFonts w:hint="eastAsia" w:ascii="Calibri" w:hAnsi="宋体" w:eastAsia="宋体" w:cs="黑体"/>
          <w:color w:val="auto"/>
          <w:sz w:val="28"/>
          <w:szCs w:val="28"/>
          <w:highlight w:val="none"/>
        </w:rPr>
        <w:t>其他保险</w:t>
      </w:r>
      <w:bookmarkEnd w:id="1184"/>
      <w:bookmarkEnd w:id="1185"/>
      <w:bookmarkEnd w:id="1186"/>
      <w:bookmarkEnd w:id="1187"/>
      <w:bookmarkEnd w:id="1188"/>
      <w:bookmarkEnd w:id="1189"/>
      <w:bookmarkEnd w:id="1190"/>
    </w:p>
    <w:p w14:paraId="083DD9DF">
      <w:pPr>
        <w:pStyle w:val="78"/>
        <w:spacing w:line="360" w:lineRule="auto"/>
        <w:ind w:firstLine="420" w:firstLineChars="200"/>
        <w:jc w:val="left"/>
        <w:rPr>
          <w:rStyle w:val="32"/>
          <w:rFonts w:ascii="Calibri" w:hAnsi="Calibri" w:eastAsia="宋体" w:cs="Times New Roman"/>
          <w:color w:val="auto"/>
          <w:kern w:val="0"/>
          <w:highlight w:val="none"/>
        </w:rPr>
      </w:pPr>
      <w:r>
        <w:rPr>
          <w:rStyle w:val="32"/>
          <w:rFonts w:hint="eastAsia" w:ascii="Calibri" w:hAnsi="宋体" w:eastAsia="宋体" w:cs="宋体"/>
          <w:color w:val="auto"/>
          <w:highlight w:val="none"/>
        </w:rPr>
        <w:t>关于其他保险的约定：</w:t>
      </w:r>
      <w:r>
        <w:rPr>
          <w:rStyle w:val="32"/>
          <w:rFonts w:ascii="Calibri" w:hAnsi="宋体" w:eastAsia="宋体" w:cs="Times New Roman"/>
          <w:color w:val="auto"/>
          <w:highlight w:val="none"/>
          <w:u w:val="single"/>
        </w:rPr>
        <w:t xml:space="preserve"> </w:t>
      </w:r>
      <w:r>
        <w:rPr>
          <w:rStyle w:val="32"/>
          <w:rFonts w:hint="eastAsia" w:ascii="Calibri" w:hAnsi="宋体" w:eastAsia="宋体" w:cs="Times New Roman"/>
          <w:color w:val="auto"/>
          <w:highlight w:val="none"/>
          <w:u w:val="single"/>
        </w:rPr>
        <w:t>承包人为其施工现场的全部人员办理意外伤害保险并支付保险费，包括其员工及为履行合同聘请的第三方的人员</w:t>
      </w:r>
      <w:r>
        <w:rPr>
          <w:rStyle w:val="32"/>
          <w:rFonts w:ascii="Calibri" w:hAnsi="宋体"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81F2015">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承包人是否应为其施工设备等办理财产保险：</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rPr>
        <w:t>由承包人自行决定是否投保</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65D7938C">
      <w:pPr>
        <w:pStyle w:val="99"/>
        <w:spacing w:before="0" w:after="0" w:line="360" w:lineRule="auto"/>
        <w:rPr>
          <w:rStyle w:val="32"/>
          <w:rFonts w:ascii="Calibri" w:hAnsi="Calibri" w:eastAsia="宋体" w:cs="Times New Roman"/>
          <w:color w:val="auto"/>
          <w:highlight w:val="none"/>
        </w:rPr>
      </w:pPr>
      <w:bookmarkStart w:id="1191" w:name="_Toc373227775"/>
      <w:bookmarkStart w:id="1192" w:name="_Toc407135278"/>
      <w:bookmarkStart w:id="1193" w:name="_Toc78449864"/>
      <w:bookmarkStart w:id="1194" w:name="_Toc2102614655"/>
      <w:bookmarkStart w:id="1195" w:name="_Toc1114527236"/>
      <w:bookmarkStart w:id="1196" w:name="_Toc389065340"/>
      <w:bookmarkStart w:id="1197" w:name="_Toc373478422"/>
      <w:r>
        <w:rPr>
          <w:rStyle w:val="32"/>
          <w:rFonts w:ascii="Calibri" w:hAnsi="Calibri" w:eastAsia="宋体" w:cs="Times New Roman"/>
          <w:color w:val="auto"/>
          <w:highlight w:val="none"/>
        </w:rPr>
        <w:t xml:space="preserve">18.7 </w:t>
      </w:r>
      <w:r>
        <w:rPr>
          <w:rStyle w:val="32"/>
          <w:rFonts w:hint="eastAsia" w:ascii="Calibri" w:hAnsi="宋体" w:eastAsia="宋体" w:cs="黑体"/>
          <w:color w:val="auto"/>
          <w:sz w:val="28"/>
          <w:szCs w:val="28"/>
          <w:highlight w:val="none"/>
        </w:rPr>
        <w:t>通知义务</w:t>
      </w:r>
      <w:bookmarkEnd w:id="1191"/>
      <w:bookmarkEnd w:id="1192"/>
      <w:bookmarkEnd w:id="1193"/>
      <w:bookmarkEnd w:id="1194"/>
      <w:bookmarkEnd w:id="1195"/>
      <w:bookmarkEnd w:id="1196"/>
      <w:bookmarkEnd w:id="1197"/>
    </w:p>
    <w:p w14:paraId="50214842">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kern w:val="0"/>
          <w:highlight w:val="none"/>
        </w:rPr>
        <w:t>关于变更保险合同时的通知义务的约定：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bookmarkEnd w:id="1080"/>
    <w:bookmarkEnd w:id="1081"/>
    <w:bookmarkEnd w:id="1082"/>
    <w:bookmarkEnd w:id="1083"/>
    <w:bookmarkEnd w:id="1084"/>
    <w:bookmarkEnd w:id="1085"/>
    <w:bookmarkEnd w:id="1086"/>
    <w:bookmarkEnd w:id="1087"/>
    <w:bookmarkEnd w:id="1088"/>
    <w:bookmarkEnd w:id="1089"/>
    <w:bookmarkEnd w:id="1090"/>
    <w:bookmarkEnd w:id="1091"/>
    <w:p w14:paraId="5656EE79">
      <w:pPr>
        <w:pStyle w:val="98"/>
        <w:spacing w:before="0" w:after="0" w:line="360" w:lineRule="auto"/>
        <w:rPr>
          <w:rStyle w:val="32"/>
          <w:rFonts w:cs="Times New Roman"/>
          <w:color w:val="auto"/>
          <w:highlight w:val="none"/>
        </w:rPr>
      </w:pPr>
      <w:bookmarkStart w:id="1198" w:name="_Toc389065341"/>
      <w:bookmarkStart w:id="1199" w:name="_Toc78449865"/>
      <w:bookmarkStart w:id="1200" w:name="_Toc1430568476"/>
      <w:bookmarkStart w:id="1201" w:name="_Toc373227776"/>
      <w:bookmarkStart w:id="1202" w:name="_Toc1959910599"/>
      <w:bookmarkStart w:id="1203" w:name="_Toc351203651"/>
      <w:bookmarkStart w:id="1204" w:name="_Toc373478423"/>
      <w:bookmarkStart w:id="1205" w:name="_Toc407135279"/>
      <w:r>
        <w:rPr>
          <w:rStyle w:val="32"/>
          <w:rFonts w:cs="Times New Roman"/>
          <w:color w:val="auto"/>
          <w:highlight w:val="none"/>
        </w:rPr>
        <w:t xml:space="preserve">20. </w:t>
      </w:r>
      <w:r>
        <w:rPr>
          <w:rStyle w:val="32"/>
          <w:rFonts w:hint="eastAsia" w:hAnsi="宋体" w:cs="黑体"/>
          <w:color w:val="auto"/>
          <w:sz w:val="28"/>
          <w:szCs w:val="18"/>
          <w:highlight w:val="none"/>
        </w:rPr>
        <w:t>争议解决</w:t>
      </w:r>
      <w:bookmarkEnd w:id="1198"/>
      <w:bookmarkEnd w:id="1199"/>
      <w:bookmarkEnd w:id="1200"/>
      <w:bookmarkEnd w:id="1201"/>
      <w:bookmarkEnd w:id="1202"/>
      <w:bookmarkEnd w:id="1203"/>
      <w:bookmarkEnd w:id="1204"/>
      <w:bookmarkEnd w:id="1205"/>
    </w:p>
    <w:bookmarkEnd w:id="1092"/>
    <w:bookmarkEnd w:id="1093"/>
    <w:p w14:paraId="1777A62F">
      <w:pPr>
        <w:pStyle w:val="99"/>
        <w:spacing w:before="0" w:after="0" w:line="360" w:lineRule="auto"/>
        <w:rPr>
          <w:rStyle w:val="32"/>
          <w:rFonts w:ascii="Calibri" w:hAnsi="Calibri" w:eastAsia="宋体" w:cs="Times New Roman"/>
          <w:color w:val="auto"/>
          <w:highlight w:val="none"/>
        </w:rPr>
      </w:pPr>
      <w:bookmarkStart w:id="1206" w:name="_Toc1645489822"/>
      <w:bookmarkStart w:id="1207" w:name="_Toc407135280"/>
      <w:bookmarkStart w:id="1208" w:name="_Toc373478424"/>
      <w:bookmarkStart w:id="1209" w:name="_Toc389065342"/>
      <w:bookmarkStart w:id="1210" w:name="_Toc78449866"/>
      <w:bookmarkStart w:id="1211" w:name="_Toc373227777"/>
      <w:bookmarkStart w:id="1212" w:name="_Toc2138124043"/>
      <w:r>
        <w:rPr>
          <w:rStyle w:val="32"/>
          <w:rFonts w:ascii="Calibri" w:hAnsi="Calibri" w:eastAsia="宋体" w:cs="Times New Roman"/>
          <w:color w:val="auto"/>
          <w:highlight w:val="none"/>
        </w:rPr>
        <w:t xml:space="preserve">20.3 </w:t>
      </w:r>
      <w:r>
        <w:rPr>
          <w:rStyle w:val="32"/>
          <w:rFonts w:hint="eastAsia" w:ascii="Calibri" w:hAnsi="宋体" w:eastAsia="宋体" w:cs="黑体"/>
          <w:color w:val="auto"/>
          <w:sz w:val="28"/>
          <w:szCs w:val="28"/>
          <w:highlight w:val="none"/>
        </w:rPr>
        <w:t>争</w:t>
      </w:r>
      <w:bookmarkEnd w:id="1094"/>
      <w:r>
        <w:rPr>
          <w:rStyle w:val="32"/>
          <w:rFonts w:hint="eastAsia" w:ascii="Calibri" w:hAnsi="宋体" w:eastAsia="宋体" w:cs="黑体"/>
          <w:color w:val="auto"/>
          <w:sz w:val="28"/>
          <w:szCs w:val="28"/>
          <w:highlight w:val="none"/>
        </w:rPr>
        <w:t>议评审</w:t>
      </w:r>
      <w:bookmarkEnd w:id="1206"/>
      <w:bookmarkEnd w:id="1207"/>
      <w:bookmarkEnd w:id="1208"/>
      <w:bookmarkEnd w:id="1209"/>
      <w:bookmarkEnd w:id="1210"/>
      <w:bookmarkEnd w:id="1211"/>
      <w:bookmarkEnd w:id="1212"/>
    </w:p>
    <w:p w14:paraId="2663A07E">
      <w:pPr>
        <w:pStyle w:val="78"/>
        <w:spacing w:line="360" w:lineRule="auto"/>
        <w:ind w:left="0" w:leftChars="0"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合同当事人是否同意将工程争议提交争议评审小组决定：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4B27970F">
      <w:pPr>
        <w:pStyle w:val="78"/>
        <w:spacing w:line="360" w:lineRule="auto"/>
        <w:ind w:firstLine="420" w:firstLineChars="200"/>
        <w:jc w:val="left"/>
        <w:outlineLvl w:val="0"/>
        <w:rPr>
          <w:rStyle w:val="32"/>
          <w:rFonts w:ascii="Calibri" w:hAnsi="Calibri" w:eastAsia="宋体" w:cs="Times New Roman"/>
          <w:color w:val="auto"/>
          <w:highlight w:val="none"/>
        </w:rPr>
      </w:pPr>
      <w:r>
        <w:rPr>
          <w:rStyle w:val="32"/>
          <w:rFonts w:ascii="Calibri" w:hAnsi="Calibri" w:eastAsia="宋体" w:cs="Times New Roman"/>
          <w:color w:val="auto"/>
          <w:highlight w:val="none"/>
        </w:rPr>
        <w:t xml:space="preserve">20.3.1 </w:t>
      </w:r>
      <w:r>
        <w:rPr>
          <w:rStyle w:val="32"/>
          <w:rFonts w:hint="eastAsia" w:ascii="Calibri" w:hAnsi="宋体" w:eastAsia="宋体" w:cs="宋体"/>
          <w:color w:val="auto"/>
          <w:highlight w:val="none"/>
        </w:rPr>
        <w:t>争议评审小组的确定</w:t>
      </w:r>
    </w:p>
    <w:p w14:paraId="2E92A32A">
      <w:pPr>
        <w:pStyle w:val="78"/>
        <w:spacing w:line="360" w:lineRule="auto"/>
        <w:ind w:firstLine="420" w:firstLineChars="200"/>
        <w:jc w:val="left"/>
        <w:rPr>
          <w:rStyle w:val="32"/>
          <w:rFonts w:ascii="Calibri" w:hAnsi="Calibri" w:eastAsia="宋体" w:cs="Times New Roman"/>
          <w:color w:val="auto"/>
          <w:highlight w:val="none"/>
          <w:u w:val="single"/>
        </w:rPr>
      </w:pPr>
      <w:r>
        <w:rPr>
          <w:rStyle w:val="32"/>
          <w:rFonts w:hint="eastAsia" w:ascii="Calibri" w:hAnsi="宋体" w:eastAsia="宋体" w:cs="宋体"/>
          <w:color w:val="auto"/>
          <w:highlight w:val="none"/>
        </w:rPr>
        <w:t>争议评审小组成员的确定：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648A92F3">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选定争议评审员的期限：</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00A79604">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争议评审小组成员的报酬承担方式：</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08B80B7E">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其他事项的约定：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40F2D9B8">
      <w:pPr>
        <w:pStyle w:val="78"/>
        <w:autoSpaceDE w:val="0"/>
        <w:autoSpaceDN w:val="0"/>
        <w:adjustRightInd w:val="0"/>
        <w:spacing w:line="360" w:lineRule="auto"/>
        <w:ind w:firstLine="420" w:firstLineChars="200"/>
        <w:jc w:val="left"/>
        <w:rPr>
          <w:rStyle w:val="32"/>
          <w:rFonts w:ascii="Calibri" w:hAnsi="Calibri" w:eastAsia="宋体" w:cs="Times New Roman"/>
          <w:color w:val="auto"/>
          <w:kern w:val="0"/>
          <w:highlight w:val="none"/>
        </w:rPr>
      </w:pPr>
      <w:r>
        <w:rPr>
          <w:rStyle w:val="32"/>
          <w:rFonts w:ascii="Calibri" w:hAnsi="Calibri" w:eastAsia="宋体" w:cs="Times New Roman"/>
          <w:color w:val="auto"/>
          <w:kern w:val="0"/>
          <w:highlight w:val="none"/>
        </w:rPr>
        <w:t xml:space="preserve">20.3.2 </w:t>
      </w:r>
      <w:r>
        <w:rPr>
          <w:rStyle w:val="32"/>
          <w:rFonts w:hint="eastAsia" w:ascii="Calibri" w:hAnsi="宋体" w:eastAsia="宋体" w:cs="宋体"/>
          <w:color w:val="auto"/>
          <w:kern w:val="0"/>
          <w:highlight w:val="none"/>
        </w:rPr>
        <w:t>争议评审小组的决定</w:t>
      </w:r>
    </w:p>
    <w:p w14:paraId="3430E8B0">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合同当事人关于本项的约定：</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14D2ED92">
      <w:pPr>
        <w:pStyle w:val="99"/>
        <w:spacing w:before="0" w:after="0" w:line="360" w:lineRule="auto"/>
        <w:rPr>
          <w:rStyle w:val="32"/>
          <w:rFonts w:ascii="Calibri" w:hAnsi="Calibri" w:eastAsia="宋体" w:cs="Times New Roman"/>
          <w:color w:val="auto"/>
          <w:highlight w:val="none"/>
        </w:rPr>
      </w:pPr>
      <w:bookmarkStart w:id="1213" w:name="_Toc1456517022"/>
      <w:bookmarkStart w:id="1214" w:name="_Toc389065343"/>
      <w:bookmarkStart w:id="1215" w:name="_Toc78449867"/>
      <w:bookmarkStart w:id="1216" w:name="_Toc373478425"/>
      <w:bookmarkStart w:id="1217" w:name="_Toc1156795721"/>
      <w:bookmarkStart w:id="1218" w:name="_Toc407135281"/>
      <w:bookmarkStart w:id="1219" w:name="_Toc373227778"/>
      <w:r>
        <w:rPr>
          <w:rStyle w:val="32"/>
          <w:rFonts w:ascii="Calibri" w:hAnsi="Calibri" w:eastAsia="宋体" w:cs="Times New Roman"/>
          <w:color w:val="auto"/>
          <w:highlight w:val="none"/>
        </w:rPr>
        <w:t xml:space="preserve">20.4 </w:t>
      </w:r>
      <w:r>
        <w:rPr>
          <w:rStyle w:val="32"/>
          <w:rFonts w:hint="eastAsia" w:ascii="Calibri" w:hAnsi="宋体" w:eastAsia="宋体" w:cs="黑体"/>
          <w:color w:val="auto"/>
          <w:sz w:val="28"/>
          <w:szCs w:val="28"/>
          <w:highlight w:val="none"/>
        </w:rPr>
        <w:t>仲裁或诉讼</w:t>
      </w:r>
      <w:bookmarkEnd w:id="1095"/>
      <w:bookmarkEnd w:id="1213"/>
      <w:bookmarkEnd w:id="1214"/>
      <w:bookmarkEnd w:id="1215"/>
      <w:bookmarkEnd w:id="1216"/>
      <w:bookmarkEnd w:id="1217"/>
      <w:bookmarkEnd w:id="1218"/>
      <w:bookmarkEnd w:id="1219"/>
    </w:p>
    <w:p w14:paraId="30FA4FDE">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因合同及合同有关事项发生的争议，按下列第</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w:t>
      </w:r>
      <w:r>
        <w:rPr>
          <w:rStyle w:val="32"/>
          <w:rFonts w:hint="eastAsia" w:ascii="Calibri" w:hAnsi="Calibri" w:eastAsia="宋体" w:cs="Times New Roman"/>
          <w:color w:val="auto"/>
          <w:highlight w:val="none"/>
          <w:u w:val="single"/>
          <w:lang w:val="en-US" w:eastAsia="zh-CN"/>
        </w:rPr>
        <w:t>(2)</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 xml:space="preserve"> </w:t>
      </w:r>
      <w:r>
        <w:rPr>
          <w:rStyle w:val="32"/>
          <w:rFonts w:hint="eastAsia" w:ascii="Calibri" w:hAnsi="宋体" w:eastAsia="宋体" w:cs="宋体"/>
          <w:color w:val="auto"/>
          <w:highlight w:val="none"/>
        </w:rPr>
        <w:t>种方式解决：</w:t>
      </w:r>
    </w:p>
    <w:p w14:paraId="5374C461">
      <w:pPr>
        <w:pStyle w:val="78"/>
        <w:spacing w:line="360" w:lineRule="auto"/>
        <w:ind w:firstLine="420" w:firstLineChars="200"/>
        <w:jc w:val="left"/>
        <w:rPr>
          <w:rStyle w:val="32"/>
          <w:rFonts w:ascii="Calibri" w:hAnsi="Calibri" w:eastAsia="宋体" w:cs="Times New Roman"/>
          <w:color w:val="auto"/>
          <w:highlight w:val="non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1</w:t>
      </w:r>
      <w:r>
        <w:rPr>
          <w:rStyle w:val="32"/>
          <w:rFonts w:hint="eastAsia" w:ascii="Calibri" w:hAnsi="宋体" w:eastAsia="宋体" w:cs="宋体"/>
          <w:color w:val="auto"/>
          <w:highlight w:val="none"/>
        </w:rPr>
        <w:t>）提请</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仲裁委员会按照该会仲裁规则进行仲裁，仲裁裁决是终局的，对合同双方均有约束力。</w:t>
      </w:r>
    </w:p>
    <w:p w14:paraId="6AD46EC9">
      <w:pPr>
        <w:pStyle w:val="78"/>
        <w:spacing w:line="360" w:lineRule="auto"/>
        <w:ind w:firstLine="420" w:firstLineChars="200"/>
        <w:jc w:val="left"/>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w:t>
      </w:r>
      <w:r>
        <w:rPr>
          <w:rStyle w:val="32"/>
          <w:rFonts w:ascii="Calibri" w:hAnsi="Calibri" w:eastAsia="宋体" w:cs="Times New Roman"/>
          <w:color w:val="auto"/>
          <w:highlight w:val="none"/>
        </w:rPr>
        <w:t>2</w:t>
      </w:r>
      <w:r>
        <w:rPr>
          <w:rStyle w:val="32"/>
          <w:rFonts w:hint="eastAsia" w:ascii="Calibri" w:hAnsi="宋体" w:eastAsia="宋体" w:cs="宋体"/>
          <w:color w:val="auto"/>
          <w:highlight w:val="none"/>
        </w:rPr>
        <w:t>）向</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博白县</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人民法院起诉。</w:t>
      </w:r>
      <w:bookmarkEnd w:id="1096"/>
      <w:bookmarkEnd w:id="1097"/>
      <w:bookmarkEnd w:id="1098"/>
      <w:bookmarkEnd w:id="1099"/>
      <w:bookmarkEnd w:id="1100"/>
      <w:bookmarkEnd w:id="1101"/>
    </w:p>
    <w:p w14:paraId="69FBE38C">
      <w:pPr>
        <w:widowControl/>
        <w:jc w:val="left"/>
        <w:rPr>
          <w:color w:val="auto"/>
          <w:u w:val="single"/>
        </w:rPr>
      </w:pPr>
      <w:r>
        <w:rPr>
          <w:color w:val="auto"/>
          <w:highlight w:val="white"/>
        </w:rPr>
        <w:br w:type="page"/>
      </w:r>
    </w:p>
    <w:p w14:paraId="28C0BBF7">
      <w:pPr>
        <w:pStyle w:val="78"/>
        <w:spacing w:before="120" w:beforeLines="50" w:after="120" w:afterLines="50" w:line="440" w:lineRule="exact"/>
        <w:jc w:val="center"/>
        <w:rPr>
          <w:rStyle w:val="32"/>
          <w:rFonts w:ascii="黑体" w:hAnsi="Calibri" w:eastAsia="黑体" w:cs="Times New Roman"/>
          <w:color w:val="auto"/>
          <w:sz w:val="32"/>
          <w:szCs w:val="32"/>
          <w:highlight w:val="none"/>
        </w:rPr>
      </w:pPr>
      <w:r>
        <w:rPr>
          <w:rStyle w:val="32"/>
          <w:rFonts w:hint="eastAsia" w:ascii="黑体" w:hAnsi="宋体" w:eastAsia="黑体" w:cs="黑体"/>
          <w:color w:val="auto"/>
          <w:sz w:val="32"/>
          <w:szCs w:val="32"/>
          <w:highlight w:val="none"/>
        </w:rPr>
        <w:t>工程质量保修书</w:t>
      </w:r>
    </w:p>
    <w:p w14:paraId="4BEDA83A">
      <w:pPr>
        <w:pStyle w:val="78"/>
        <w:spacing w:line="440" w:lineRule="exact"/>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发包人（全称）：</w:t>
      </w:r>
      <w:r>
        <w:rPr>
          <w:rStyle w:val="32"/>
          <w:rFonts w:ascii="Calibri" w:hAnsi="Calibri" w:eastAsia="宋体" w:cs="Times New Roman"/>
          <w:color w:val="auto"/>
          <w:highlight w:val="none"/>
          <w:u w:val="single"/>
        </w:rPr>
        <w:t xml:space="preserve"> </w:t>
      </w:r>
      <w:r>
        <w:rPr>
          <w:rFonts w:hint="eastAsia" w:ascii="宋体" w:hAnsi="宋体" w:eastAsia="宋体" w:cs="宋体"/>
          <w:color w:val="auto"/>
          <w:sz w:val="24"/>
          <w:szCs w:val="24"/>
          <w:u w:val="single"/>
        </w:rPr>
        <w:t>博白县人民医院</w:t>
      </w:r>
      <w:r>
        <w:rPr>
          <w:rStyle w:val="32"/>
          <w:rFonts w:ascii="Calibri" w:hAnsi="Calibri" w:eastAsia="宋体" w:cs="Times New Roman"/>
          <w:color w:val="auto"/>
          <w:highlight w:val="none"/>
          <w:u w:val="single"/>
        </w:rPr>
        <w:t xml:space="preserve">     </w:t>
      </w:r>
      <w:r>
        <w:rPr>
          <w:rStyle w:val="32"/>
          <w:rFonts w:ascii="Calibri" w:hAnsi="Calibri" w:eastAsia="宋体" w:cs="Times New Roman"/>
          <w:color w:val="auto"/>
          <w:highlight w:val="none"/>
        </w:rPr>
        <w:t xml:space="preserve"> </w:t>
      </w:r>
    </w:p>
    <w:p w14:paraId="35AA334B">
      <w:pPr>
        <w:pStyle w:val="78"/>
        <w:spacing w:line="440" w:lineRule="exact"/>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承包人（全称）：</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eastAsia="zh-CN"/>
        </w:rPr>
        <w:t>xxxx公司</w:t>
      </w:r>
      <w:r>
        <w:rPr>
          <w:rStyle w:val="32"/>
          <w:rFonts w:ascii="Calibri" w:hAnsi="Calibri" w:eastAsia="宋体" w:cs="Times New Roman"/>
          <w:color w:val="auto"/>
          <w:highlight w:val="none"/>
          <w:u w:val="single"/>
        </w:rPr>
        <w:t xml:space="preserve">       </w:t>
      </w:r>
      <w:r>
        <w:rPr>
          <w:rStyle w:val="32"/>
          <w:rFonts w:ascii="Calibri" w:hAnsi="Calibri" w:eastAsia="宋体" w:cs="Times New Roman"/>
          <w:color w:val="auto"/>
          <w:highlight w:val="none"/>
        </w:rPr>
        <w:t xml:space="preserve"> </w:t>
      </w:r>
    </w:p>
    <w:p w14:paraId="47AD746A">
      <w:pPr>
        <w:pStyle w:val="78"/>
        <w:spacing w:line="440" w:lineRule="exact"/>
        <w:rPr>
          <w:rStyle w:val="32"/>
          <w:rFonts w:ascii="Calibri" w:hAnsi="Calibri" w:eastAsia="宋体" w:cs="Times New Roman"/>
          <w:color w:val="auto"/>
          <w:highlight w:val="none"/>
        </w:rPr>
      </w:pPr>
    </w:p>
    <w:p w14:paraId="0964489C">
      <w:pPr>
        <w:pStyle w:val="78"/>
        <w:spacing w:line="360" w:lineRule="auto"/>
        <w:ind w:firstLine="420" w:firstLineChars="200"/>
        <w:rPr>
          <w:rStyle w:val="32"/>
          <w:rFonts w:ascii="Calibri" w:hAnsi="宋体" w:eastAsia="宋体" w:cs="Times New Roman"/>
          <w:color w:val="auto"/>
          <w:highlight w:val="none"/>
        </w:rPr>
      </w:pPr>
      <w:r>
        <w:rPr>
          <w:rStyle w:val="32"/>
          <w:rFonts w:hint="eastAsia" w:ascii="Calibri" w:hAnsi="宋体" w:eastAsia="宋体" w:cs="宋体"/>
          <w:color w:val="auto"/>
          <w:highlight w:val="none"/>
        </w:rPr>
        <w:t>发包人和承包人根据《中华人民共和国建筑法》和《建设工程质量管理条例》，经协商一致就</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eastAsia="zh-CN"/>
        </w:rPr>
        <w:t>xxxx工程</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（工程全称）签订工程质量保修书。</w:t>
      </w:r>
    </w:p>
    <w:p w14:paraId="1E886B0C">
      <w:pPr>
        <w:pStyle w:val="78"/>
        <w:spacing w:line="360" w:lineRule="auto"/>
        <w:ind w:firstLine="420" w:firstLineChars="200"/>
        <w:rPr>
          <w:rStyle w:val="32"/>
          <w:rFonts w:ascii="黑体" w:hAnsi="宋体" w:eastAsia="黑体" w:cs="Times New Roman"/>
          <w:color w:val="auto"/>
          <w:highlight w:val="none"/>
        </w:rPr>
      </w:pPr>
      <w:r>
        <w:rPr>
          <w:rStyle w:val="32"/>
          <w:rFonts w:hint="eastAsia" w:ascii="黑体" w:hAnsi="宋体" w:eastAsia="黑体" w:cs="黑体"/>
          <w:color w:val="auto"/>
          <w:highlight w:val="none"/>
        </w:rPr>
        <w:t>一、工程质量保修范围和内容</w:t>
      </w:r>
    </w:p>
    <w:p w14:paraId="3BA1DAFE">
      <w:pPr>
        <w:pStyle w:val="78"/>
        <w:spacing w:line="360" w:lineRule="auto"/>
        <w:ind w:firstLine="420" w:firstLineChars="200"/>
        <w:rPr>
          <w:rStyle w:val="32"/>
          <w:rFonts w:ascii="Calibri" w:hAnsi="Calibri" w:eastAsia="宋体" w:cs="Times New Roman"/>
          <w:color w:val="auto"/>
          <w:highlight w:val="none"/>
        </w:rPr>
      </w:pPr>
      <w:r>
        <w:rPr>
          <w:rStyle w:val="32"/>
          <w:rFonts w:hint="eastAsia" w:ascii="Calibri" w:hAnsi="宋体" w:eastAsia="宋体" w:cs="宋体"/>
          <w:color w:val="auto"/>
          <w:highlight w:val="none"/>
        </w:rPr>
        <w:t>承包人在质量保修期内，按照有关法律规定和合同约定，承担工程质量保修责任。</w:t>
      </w:r>
    </w:p>
    <w:p w14:paraId="5C8DEC29">
      <w:pPr>
        <w:pStyle w:val="78"/>
        <w:spacing w:line="360" w:lineRule="auto"/>
        <w:ind w:firstLine="420"/>
        <w:rPr>
          <w:rStyle w:val="32"/>
          <w:rFonts w:ascii="Calibri" w:hAnsi="宋体" w:eastAsia="宋体" w:cs="Times New Roman"/>
          <w:color w:val="auto"/>
          <w:highlight w:val="none"/>
        </w:rPr>
      </w:pPr>
      <w:r>
        <w:rPr>
          <w:rStyle w:val="32"/>
          <w:rFonts w:hint="eastAsia" w:ascii="Calibri" w:hAnsi="宋体" w:eastAsia="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32"/>
          <w:rFonts w:hint="eastAsia" w:ascii="Calibri" w:hAnsi="Calibri" w:eastAsia="宋体" w:cs="Times New Roman"/>
          <w:color w:val="auto"/>
          <w:highlight w:val="none"/>
          <w:u w:val="single"/>
        </w:rPr>
        <w:t>合同(含补充合同)及设计变更所包含的工程内容</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79C13798">
      <w:pPr>
        <w:pStyle w:val="78"/>
        <w:spacing w:line="360" w:lineRule="auto"/>
        <w:ind w:firstLine="420"/>
        <w:rPr>
          <w:rStyle w:val="32"/>
          <w:rFonts w:ascii="黑体" w:hAnsi="宋体" w:eastAsia="黑体" w:cs="Times New Roman"/>
          <w:color w:val="auto"/>
          <w:highlight w:val="none"/>
        </w:rPr>
      </w:pPr>
      <w:r>
        <w:rPr>
          <w:rStyle w:val="32"/>
          <w:rFonts w:hint="eastAsia" w:ascii="黑体" w:hAnsi="宋体" w:eastAsia="黑体" w:cs="黑体"/>
          <w:color w:val="auto"/>
          <w:highlight w:val="none"/>
        </w:rPr>
        <w:t>二、质量保修期</w:t>
      </w:r>
    </w:p>
    <w:p w14:paraId="2C6DE7CE">
      <w:pPr>
        <w:pStyle w:val="78"/>
        <w:spacing w:line="360" w:lineRule="auto"/>
        <w:ind w:firstLine="420"/>
        <w:rPr>
          <w:rStyle w:val="32"/>
          <w:rFonts w:ascii="Calibri" w:hAnsi="宋体" w:eastAsia="宋体" w:cs="Times New Roman"/>
          <w:color w:val="auto"/>
          <w:highlight w:val="none"/>
        </w:rPr>
      </w:pPr>
      <w:r>
        <w:rPr>
          <w:rStyle w:val="32"/>
          <w:rFonts w:hint="eastAsia" w:ascii="Calibri" w:hAnsi="宋体" w:eastAsia="宋体" w:cs="宋体"/>
          <w:color w:val="auto"/>
          <w:highlight w:val="none"/>
        </w:rPr>
        <w:t>根据《建设工程质量管理条例》及有关规定，工程的质量保修期如下：</w:t>
      </w:r>
    </w:p>
    <w:p w14:paraId="305F4D7C">
      <w:pPr>
        <w:pStyle w:val="78"/>
        <w:spacing w:line="360" w:lineRule="auto"/>
        <w:ind w:firstLine="420"/>
        <w:rPr>
          <w:rStyle w:val="32"/>
          <w:rFonts w:ascii="Calibri" w:hAnsi="宋体" w:eastAsia="宋体" w:cs="Times New Roman"/>
          <w:color w:val="auto"/>
          <w:highlight w:val="none"/>
        </w:rPr>
      </w:pPr>
      <w:r>
        <w:rPr>
          <w:rStyle w:val="32"/>
          <w:rFonts w:ascii="Calibri" w:hAnsi="Calibri" w:eastAsia="宋体" w:cs="Times New Roman"/>
          <w:color w:val="auto"/>
          <w:highlight w:val="none"/>
        </w:rPr>
        <w:t>1</w:t>
      </w:r>
      <w:r>
        <w:rPr>
          <w:rStyle w:val="32"/>
          <w:rFonts w:hint="eastAsia" w:ascii="Calibri" w:hAnsi="宋体" w:eastAsia="宋体" w:cs="宋体"/>
          <w:color w:val="auto"/>
          <w:highlight w:val="none"/>
        </w:rPr>
        <w:t>．地基基础工程和主体结构工程为设计文件规定的工程合理使用年限；</w:t>
      </w:r>
    </w:p>
    <w:p w14:paraId="2127EC49">
      <w:pPr>
        <w:pStyle w:val="78"/>
        <w:spacing w:line="360" w:lineRule="auto"/>
        <w:ind w:firstLine="420"/>
        <w:rPr>
          <w:rStyle w:val="32"/>
          <w:rFonts w:ascii="Calibri" w:hAnsi="宋体" w:eastAsia="宋体" w:cs="Times New Roman"/>
          <w:color w:val="auto"/>
          <w:highlight w:val="none"/>
        </w:rPr>
      </w:pPr>
      <w:r>
        <w:rPr>
          <w:rStyle w:val="32"/>
          <w:rFonts w:ascii="Calibri" w:hAnsi="Calibri" w:eastAsia="宋体" w:cs="Times New Roman"/>
          <w:color w:val="auto"/>
          <w:highlight w:val="none"/>
        </w:rPr>
        <w:t>2</w:t>
      </w:r>
      <w:r>
        <w:rPr>
          <w:rStyle w:val="32"/>
          <w:rFonts w:hint="eastAsia" w:ascii="Calibri" w:hAnsi="宋体" w:eastAsia="宋体" w:cs="宋体"/>
          <w:color w:val="auto"/>
          <w:highlight w:val="none"/>
        </w:rPr>
        <w:t>．屋面防水工程、有防水要求的卫生间、房间和外墙面的防渗为</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5</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年；</w:t>
      </w:r>
    </w:p>
    <w:p w14:paraId="5898AA97">
      <w:pPr>
        <w:pStyle w:val="78"/>
        <w:spacing w:line="360" w:lineRule="auto"/>
        <w:ind w:firstLine="420"/>
        <w:rPr>
          <w:rStyle w:val="32"/>
          <w:rFonts w:ascii="Calibri" w:hAnsi="宋体" w:eastAsia="宋体" w:cs="Times New Roman"/>
          <w:color w:val="auto"/>
          <w:highlight w:val="none"/>
        </w:rPr>
      </w:pPr>
      <w:r>
        <w:rPr>
          <w:rStyle w:val="32"/>
          <w:rFonts w:ascii="Calibri" w:hAnsi="Calibri" w:eastAsia="宋体" w:cs="Times New Roman"/>
          <w:color w:val="auto"/>
          <w:highlight w:val="none"/>
        </w:rPr>
        <w:t>3</w:t>
      </w:r>
      <w:r>
        <w:rPr>
          <w:rStyle w:val="32"/>
          <w:rFonts w:hint="eastAsia" w:ascii="Calibri" w:hAnsi="宋体" w:eastAsia="宋体" w:cs="宋体"/>
          <w:color w:val="auto"/>
          <w:highlight w:val="none"/>
        </w:rPr>
        <w:t>．装修工程为</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2</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年；</w:t>
      </w:r>
    </w:p>
    <w:p w14:paraId="324437B7">
      <w:pPr>
        <w:pStyle w:val="78"/>
        <w:spacing w:line="360" w:lineRule="auto"/>
        <w:ind w:firstLine="420"/>
        <w:rPr>
          <w:rStyle w:val="32"/>
          <w:rFonts w:ascii="Calibri" w:hAnsi="宋体" w:eastAsia="宋体" w:cs="Times New Roman"/>
          <w:color w:val="auto"/>
          <w:highlight w:val="none"/>
        </w:rPr>
      </w:pPr>
      <w:r>
        <w:rPr>
          <w:rStyle w:val="32"/>
          <w:rFonts w:ascii="Calibri" w:hAnsi="Calibri" w:eastAsia="宋体" w:cs="Times New Roman"/>
          <w:color w:val="auto"/>
          <w:highlight w:val="none"/>
        </w:rPr>
        <w:t>4</w:t>
      </w:r>
      <w:r>
        <w:rPr>
          <w:rStyle w:val="32"/>
          <w:rFonts w:hint="eastAsia" w:ascii="Calibri" w:hAnsi="宋体" w:eastAsia="宋体" w:cs="宋体"/>
          <w:color w:val="auto"/>
          <w:highlight w:val="none"/>
        </w:rPr>
        <w:t>．电气管线、给排水管道、设备安装工程为</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2</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年；</w:t>
      </w:r>
    </w:p>
    <w:p w14:paraId="590617E0">
      <w:pPr>
        <w:pStyle w:val="78"/>
        <w:spacing w:line="360" w:lineRule="auto"/>
        <w:ind w:firstLine="420"/>
        <w:rPr>
          <w:rStyle w:val="32"/>
          <w:rFonts w:ascii="Calibri" w:hAnsi="宋体" w:eastAsia="宋体" w:cs="Times New Roman"/>
          <w:color w:val="auto"/>
          <w:highlight w:val="none"/>
        </w:rPr>
      </w:pPr>
      <w:r>
        <w:rPr>
          <w:rStyle w:val="32"/>
          <w:rFonts w:ascii="Calibri" w:hAnsi="Calibri" w:eastAsia="宋体" w:cs="Times New Roman"/>
          <w:color w:val="auto"/>
          <w:highlight w:val="none"/>
        </w:rPr>
        <w:t>5</w:t>
      </w:r>
      <w:r>
        <w:rPr>
          <w:rStyle w:val="32"/>
          <w:rFonts w:hint="eastAsia" w:ascii="Calibri" w:hAnsi="宋体" w:eastAsia="宋体" w:cs="宋体"/>
          <w:color w:val="auto"/>
          <w:highlight w:val="none"/>
        </w:rPr>
        <w:t>．供热与供冷系统为</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2</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个采暖期、供冷期；</w:t>
      </w:r>
    </w:p>
    <w:p w14:paraId="6D55FAAA">
      <w:pPr>
        <w:pStyle w:val="78"/>
        <w:spacing w:line="360" w:lineRule="auto"/>
        <w:ind w:firstLine="420"/>
        <w:rPr>
          <w:rStyle w:val="32"/>
          <w:rFonts w:ascii="Calibri" w:hAnsi="宋体" w:eastAsia="宋体" w:cs="Times New Roman"/>
          <w:color w:val="auto"/>
          <w:highlight w:val="none"/>
        </w:rPr>
      </w:pPr>
      <w:r>
        <w:rPr>
          <w:rStyle w:val="32"/>
          <w:rFonts w:ascii="Calibri" w:hAnsi="Calibri" w:eastAsia="宋体" w:cs="Times New Roman"/>
          <w:color w:val="auto"/>
          <w:highlight w:val="none"/>
        </w:rPr>
        <w:t>6</w:t>
      </w:r>
      <w:r>
        <w:rPr>
          <w:rStyle w:val="32"/>
          <w:rFonts w:hint="eastAsia" w:ascii="Calibri" w:hAnsi="宋体" w:eastAsia="宋体" w:cs="宋体"/>
          <w:color w:val="auto"/>
          <w:highlight w:val="none"/>
        </w:rPr>
        <w:t>．住宅小区内的给排水设施、道路等配套工程为</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2</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年；</w:t>
      </w:r>
    </w:p>
    <w:p w14:paraId="4A89847B">
      <w:pPr>
        <w:pStyle w:val="78"/>
        <w:spacing w:line="360" w:lineRule="auto"/>
        <w:ind w:firstLine="420"/>
        <w:rPr>
          <w:rStyle w:val="32"/>
          <w:rFonts w:ascii="Calibri" w:hAnsi="宋体" w:eastAsia="宋体" w:cs="Times New Roman"/>
          <w:color w:val="auto"/>
          <w:highlight w:val="none"/>
        </w:rPr>
      </w:pPr>
      <w:r>
        <w:rPr>
          <w:rStyle w:val="32"/>
          <w:rFonts w:ascii="Calibri" w:hAnsi="Calibri" w:eastAsia="宋体" w:cs="Times New Roman"/>
          <w:color w:val="auto"/>
          <w:highlight w:val="none"/>
        </w:rPr>
        <w:t>7</w:t>
      </w:r>
      <w:r>
        <w:rPr>
          <w:rStyle w:val="32"/>
          <w:rFonts w:hint="eastAsia" w:ascii="Calibri" w:hAnsi="宋体" w:eastAsia="宋体" w:cs="宋体"/>
          <w:color w:val="auto"/>
          <w:highlight w:val="none"/>
        </w:rPr>
        <w:t>．其他项目保修期限约定如下：</w:t>
      </w:r>
    </w:p>
    <w:p w14:paraId="2849AA54">
      <w:pPr>
        <w:pStyle w:val="78"/>
        <w:spacing w:line="360" w:lineRule="auto"/>
        <w:ind w:firstLine="420"/>
        <w:rPr>
          <w:rStyle w:val="32"/>
          <w:rFonts w:ascii="Calibri" w:hAnsi="宋体" w:eastAsia="宋体" w:cs="Times New Roman"/>
          <w:color w:val="auto"/>
          <w:highlight w:val="none"/>
        </w:rPr>
      </w:pP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82441F0">
      <w:pPr>
        <w:pStyle w:val="78"/>
        <w:spacing w:line="360" w:lineRule="auto"/>
        <w:ind w:firstLine="420"/>
        <w:rPr>
          <w:rStyle w:val="32"/>
          <w:rFonts w:ascii="Calibri" w:hAnsi="宋体" w:eastAsia="宋体" w:cs="Times New Roman"/>
          <w:color w:val="auto"/>
          <w:highlight w:val="none"/>
        </w:rPr>
      </w:pPr>
      <w:r>
        <w:rPr>
          <w:rStyle w:val="32"/>
          <w:rFonts w:hint="eastAsia" w:ascii="Calibri" w:hAnsi="宋体" w:eastAsia="宋体" w:cs="宋体"/>
          <w:color w:val="auto"/>
          <w:highlight w:val="none"/>
        </w:rPr>
        <w:t>质量保修期自工程竣工验收合格之日起计算。</w:t>
      </w:r>
    </w:p>
    <w:p w14:paraId="43F733DB">
      <w:pPr>
        <w:pStyle w:val="78"/>
        <w:spacing w:line="360" w:lineRule="auto"/>
        <w:ind w:firstLine="420"/>
        <w:rPr>
          <w:rStyle w:val="32"/>
          <w:rFonts w:ascii="黑体" w:hAnsi="宋体" w:eastAsia="黑体" w:cs="Times New Roman"/>
          <w:color w:val="auto"/>
          <w:highlight w:val="none"/>
        </w:rPr>
      </w:pPr>
      <w:r>
        <w:rPr>
          <w:rStyle w:val="32"/>
          <w:rFonts w:hint="eastAsia" w:ascii="黑体" w:hAnsi="宋体" w:eastAsia="黑体" w:cs="黑体"/>
          <w:color w:val="auto"/>
          <w:highlight w:val="none"/>
        </w:rPr>
        <w:t>三、缺陷责任期</w:t>
      </w:r>
    </w:p>
    <w:p w14:paraId="1DE2BDBC">
      <w:pPr>
        <w:pStyle w:val="78"/>
        <w:spacing w:line="360" w:lineRule="auto"/>
        <w:ind w:firstLine="420"/>
        <w:rPr>
          <w:rStyle w:val="32"/>
          <w:rFonts w:ascii="Calibri" w:hAnsi="宋体" w:eastAsia="宋体" w:cs="Times New Roman"/>
          <w:color w:val="auto"/>
          <w:highlight w:val="none"/>
        </w:rPr>
      </w:pPr>
      <w:r>
        <w:rPr>
          <w:rStyle w:val="32"/>
          <w:rFonts w:hint="eastAsia" w:ascii="Calibri" w:hAnsi="宋体" w:eastAsia="宋体" w:cs="宋体"/>
          <w:color w:val="auto"/>
          <w:highlight w:val="none"/>
        </w:rPr>
        <w:t>工程缺陷责任期为</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24</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个月（最长不超过</w:t>
      </w:r>
      <w:r>
        <w:rPr>
          <w:rStyle w:val="32"/>
          <w:rFonts w:ascii="Calibri" w:hAnsi="宋体" w:eastAsia="宋体" w:cs="Times New Roman"/>
          <w:color w:val="auto"/>
          <w:highlight w:val="none"/>
        </w:rPr>
        <w:t>24</w:t>
      </w:r>
      <w:r>
        <w:rPr>
          <w:rStyle w:val="32"/>
          <w:rFonts w:hint="eastAsia" w:ascii="Calibri" w:hAnsi="宋体" w:eastAsia="宋体" w:cs="宋体"/>
          <w:color w:val="auto"/>
          <w:highlight w:val="none"/>
        </w:rPr>
        <w:t>个月），缺陷责任期自工程竣工验收合格之日起计算。单位工程先于全部工程进行验收，单位工程缺陷责任期自单位工程验收合格之日起算。</w:t>
      </w:r>
    </w:p>
    <w:p w14:paraId="0F2139AE">
      <w:pPr>
        <w:pStyle w:val="78"/>
        <w:spacing w:line="360" w:lineRule="auto"/>
        <w:ind w:firstLine="420"/>
        <w:rPr>
          <w:rStyle w:val="32"/>
          <w:rFonts w:ascii="Calibri" w:hAnsi="宋体" w:eastAsia="宋体" w:cs="Times New Roman"/>
          <w:color w:val="auto"/>
          <w:highlight w:val="none"/>
        </w:rPr>
      </w:pPr>
      <w:r>
        <w:rPr>
          <w:rStyle w:val="32"/>
          <w:rFonts w:hint="eastAsia" w:ascii="Calibri" w:hAnsi="宋体" w:eastAsia="宋体" w:cs="宋体"/>
          <w:color w:val="auto"/>
          <w:highlight w:val="none"/>
        </w:rPr>
        <w:t>缺陷责任期</w:t>
      </w:r>
      <w:r>
        <w:rPr>
          <w:rStyle w:val="32"/>
          <w:rFonts w:hint="eastAsia" w:ascii="Calibri" w:hAnsi="宋体" w:eastAsia="宋体" w:cs="宋体"/>
          <w:color w:val="auto"/>
          <w:highlight w:val="none"/>
          <w:u w:val="none"/>
        </w:rPr>
        <w:t>满</w:t>
      </w:r>
      <w:r>
        <w:rPr>
          <w:rStyle w:val="32"/>
          <w:rFonts w:hint="eastAsia" w:ascii="Calibri" w:hAnsi="宋体" w:eastAsia="宋体" w:cs="宋体"/>
          <w:color w:val="auto"/>
          <w:highlight w:val="none"/>
        </w:rPr>
        <w:t>之日起</w:t>
      </w:r>
      <w:r>
        <w:rPr>
          <w:rStyle w:val="32"/>
          <w:rFonts w:hint="eastAsia" w:ascii="Calibri" w:hAnsi="宋体" w:eastAsia="宋体" w:cs="宋体"/>
          <w:color w:val="auto"/>
          <w:highlight w:val="none"/>
          <w:u w:val="none"/>
        </w:rPr>
        <w:t xml:space="preserve"> 30个工作日，承包人完成保修义务的，</w:t>
      </w:r>
      <w:r>
        <w:rPr>
          <w:rStyle w:val="32"/>
          <w:rFonts w:hint="eastAsia" w:ascii="Calibri" w:hAnsi="宋体" w:eastAsia="宋体" w:cs="宋体"/>
          <w:color w:val="auto"/>
          <w:highlight w:val="none"/>
        </w:rPr>
        <w:t>发包人应退还剩余的质量保证金</w:t>
      </w:r>
      <w:r>
        <w:rPr>
          <w:rStyle w:val="32"/>
          <w:rFonts w:hint="eastAsia" w:hAnsi="宋体" w:cs="宋体"/>
          <w:color w:val="auto"/>
          <w:highlight w:val="none"/>
          <w:lang w:eastAsia="zh-CN"/>
        </w:rPr>
        <w:t>（</w:t>
      </w:r>
      <w:r>
        <w:rPr>
          <w:rStyle w:val="32"/>
          <w:rFonts w:hint="eastAsia" w:hAnsi="宋体" w:cs="宋体"/>
          <w:color w:val="auto"/>
          <w:highlight w:val="none"/>
          <w:lang w:val="en-US" w:eastAsia="zh-CN"/>
        </w:rPr>
        <w:t>无息</w:t>
      </w:r>
      <w:r>
        <w:rPr>
          <w:rStyle w:val="32"/>
          <w:rFonts w:hint="eastAsia" w:hAnsi="宋体" w:cs="宋体"/>
          <w:color w:val="auto"/>
          <w:highlight w:val="none"/>
          <w:lang w:eastAsia="zh-CN"/>
        </w:rPr>
        <w:t>）</w:t>
      </w:r>
      <w:r>
        <w:rPr>
          <w:rStyle w:val="32"/>
          <w:rFonts w:hint="eastAsia" w:ascii="Calibri" w:hAnsi="宋体" w:eastAsia="宋体" w:cs="宋体"/>
          <w:color w:val="auto"/>
          <w:highlight w:val="none"/>
        </w:rPr>
        <w:t>。</w:t>
      </w:r>
    </w:p>
    <w:p w14:paraId="10D773E1">
      <w:pPr>
        <w:pStyle w:val="78"/>
        <w:spacing w:line="360" w:lineRule="auto"/>
        <w:ind w:firstLine="420"/>
        <w:rPr>
          <w:rStyle w:val="32"/>
          <w:rFonts w:ascii="黑体" w:hAnsi="宋体" w:eastAsia="黑体" w:cs="Times New Roman"/>
          <w:color w:val="auto"/>
          <w:highlight w:val="none"/>
        </w:rPr>
      </w:pPr>
      <w:r>
        <w:rPr>
          <w:rStyle w:val="32"/>
          <w:rFonts w:hint="eastAsia" w:ascii="黑体" w:hAnsi="宋体" w:eastAsia="黑体" w:cs="黑体"/>
          <w:color w:val="auto"/>
          <w:highlight w:val="none"/>
        </w:rPr>
        <w:t>四、质量保修责任</w:t>
      </w:r>
    </w:p>
    <w:p w14:paraId="6201E9A8">
      <w:pPr>
        <w:pStyle w:val="78"/>
        <w:spacing w:line="360" w:lineRule="auto"/>
        <w:ind w:left="105" w:leftChars="50" w:firstLine="430" w:firstLineChars="205"/>
        <w:rPr>
          <w:rStyle w:val="32"/>
          <w:rFonts w:ascii="Calibri" w:hAnsi="宋体" w:eastAsia="宋体" w:cs="Times New Roman"/>
          <w:color w:val="auto"/>
          <w:highlight w:val="none"/>
        </w:rPr>
      </w:pPr>
      <w:r>
        <w:rPr>
          <w:rStyle w:val="32"/>
          <w:rFonts w:ascii="Calibri" w:hAnsi="Calibri" w:eastAsia="宋体" w:cs="Times New Roman"/>
          <w:color w:val="auto"/>
          <w:highlight w:val="none"/>
        </w:rPr>
        <w:t>1</w:t>
      </w:r>
      <w:r>
        <w:rPr>
          <w:rStyle w:val="32"/>
          <w:rFonts w:hint="eastAsia" w:ascii="Calibri" w:hAnsi="宋体" w:eastAsia="宋体" w:cs="宋体"/>
          <w:color w:val="auto"/>
          <w:highlight w:val="none"/>
        </w:rPr>
        <w:t>．属于保修范围、内容的项目，承包人应当在接到保修通知之日起</w:t>
      </w:r>
      <w:r>
        <w:rPr>
          <w:rStyle w:val="32"/>
          <w:rFonts w:ascii="Calibri" w:hAnsi="Calibri" w:eastAsia="宋体" w:cs="Times New Roman"/>
          <w:color w:val="auto"/>
          <w:highlight w:val="none"/>
          <w:u w:val="single"/>
        </w:rPr>
        <w:t xml:space="preserve">   </w:t>
      </w:r>
      <w:r>
        <w:rPr>
          <w:rStyle w:val="32"/>
          <w:rFonts w:hint="eastAsia" w:ascii="Calibri" w:hAnsi="Calibri" w:eastAsia="宋体" w:cs="Times New Roman"/>
          <w:color w:val="auto"/>
          <w:highlight w:val="none"/>
          <w:u w:val="single"/>
          <w:lang w:val="en-US" w:eastAsia="zh-CN"/>
        </w:rPr>
        <w:t>7</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天内派人保修。承包人不在约定期限内派人保修的，发包人可以委托他人修理，修理费用从质量保证金内扣除。</w:t>
      </w:r>
    </w:p>
    <w:p w14:paraId="3F76D1C9">
      <w:pPr>
        <w:pStyle w:val="78"/>
        <w:spacing w:line="360" w:lineRule="auto"/>
        <w:ind w:firstLine="420"/>
        <w:rPr>
          <w:rStyle w:val="32"/>
          <w:rFonts w:ascii="Calibri" w:hAnsi="宋体" w:eastAsia="宋体" w:cs="Times New Roman"/>
          <w:color w:val="auto"/>
          <w:highlight w:val="none"/>
        </w:rPr>
      </w:pPr>
      <w:r>
        <w:rPr>
          <w:rStyle w:val="32"/>
          <w:rFonts w:ascii="Calibri" w:hAnsi="Calibri" w:eastAsia="宋体" w:cs="Times New Roman"/>
          <w:color w:val="auto"/>
          <w:highlight w:val="none"/>
        </w:rPr>
        <w:t>2</w:t>
      </w:r>
      <w:r>
        <w:rPr>
          <w:rStyle w:val="32"/>
          <w:rFonts w:hint="eastAsia" w:ascii="Calibri" w:hAnsi="宋体" w:eastAsia="宋体" w:cs="宋体"/>
          <w:color w:val="auto"/>
          <w:highlight w:val="none"/>
        </w:rPr>
        <w:t>．发生紧急事故需抢修的，承包人在接到事故通知后，应当立即到达事故现场抢修。</w:t>
      </w:r>
    </w:p>
    <w:p w14:paraId="47A557B2">
      <w:pPr>
        <w:pStyle w:val="78"/>
        <w:spacing w:line="360" w:lineRule="auto"/>
        <w:ind w:firstLine="420"/>
        <w:rPr>
          <w:rStyle w:val="32"/>
          <w:rFonts w:ascii="Calibri" w:hAnsi="宋体" w:eastAsia="宋体" w:cs="Times New Roman"/>
          <w:color w:val="auto"/>
          <w:highlight w:val="none"/>
        </w:rPr>
      </w:pPr>
      <w:r>
        <w:rPr>
          <w:rStyle w:val="32"/>
          <w:rFonts w:ascii="Calibri" w:hAnsi="Calibri" w:eastAsia="宋体" w:cs="Times New Roman"/>
          <w:color w:val="auto"/>
          <w:highlight w:val="none"/>
        </w:rPr>
        <w:t>3</w:t>
      </w:r>
      <w:r>
        <w:rPr>
          <w:rStyle w:val="32"/>
          <w:rFonts w:hint="eastAsia" w:ascii="Calibri" w:hAnsi="宋体" w:eastAsia="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C019CC">
      <w:pPr>
        <w:pStyle w:val="78"/>
        <w:spacing w:line="360" w:lineRule="auto"/>
        <w:ind w:firstLine="420"/>
        <w:rPr>
          <w:rStyle w:val="32"/>
          <w:rFonts w:ascii="Calibri" w:hAnsi="宋体" w:eastAsia="宋体" w:cs="Times New Roman"/>
          <w:color w:val="auto"/>
          <w:highlight w:val="none"/>
        </w:rPr>
      </w:pPr>
      <w:r>
        <w:rPr>
          <w:rStyle w:val="32"/>
          <w:rFonts w:ascii="Calibri" w:hAnsi="Calibri" w:eastAsia="宋体" w:cs="Times New Roman"/>
          <w:color w:val="auto"/>
          <w:highlight w:val="none"/>
        </w:rPr>
        <w:t>4</w:t>
      </w:r>
      <w:r>
        <w:rPr>
          <w:rStyle w:val="32"/>
          <w:rFonts w:hint="eastAsia" w:ascii="Calibri" w:hAnsi="宋体" w:eastAsia="宋体" w:cs="宋体"/>
          <w:color w:val="auto"/>
          <w:highlight w:val="none"/>
        </w:rPr>
        <w:t>．质量保修完成后，由发包人组织验收。</w:t>
      </w:r>
    </w:p>
    <w:p w14:paraId="7261844B">
      <w:pPr>
        <w:pStyle w:val="78"/>
        <w:spacing w:line="360" w:lineRule="auto"/>
        <w:ind w:firstLine="420"/>
        <w:rPr>
          <w:rStyle w:val="32"/>
          <w:rFonts w:ascii="黑体" w:hAnsi="宋体" w:eastAsia="黑体" w:cs="Times New Roman"/>
          <w:color w:val="auto"/>
          <w:highlight w:val="none"/>
        </w:rPr>
      </w:pPr>
      <w:r>
        <w:rPr>
          <w:rStyle w:val="32"/>
          <w:rFonts w:hint="eastAsia" w:ascii="黑体" w:hAnsi="宋体" w:eastAsia="黑体" w:cs="黑体"/>
          <w:color w:val="auto"/>
          <w:highlight w:val="none"/>
        </w:rPr>
        <w:t>五、保修费用</w:t>
      </w:r>
    </w:p>
    <w:p w14:paraId="01A3AF9D">
      <w:pPr>
        <w:pStyle w:val="78"/>
        <w:tabs>
          <w:tab w:val="left" w:pos="7380"/>
        </w:tabs>
        <w:spacing w:line="360" w:lineRule="auto"/>
        <w:ind w:firstLine="420"/>
        <w:rPr>
          <w:rStyle w:val="32"/>
          <w:rFonts w:ascii="Calibri" w:hAnsi="宋体" w:eastAsia="宋体" w:cs="Times New Roman"/>
          <w:color w:val="auto"/>
          <w:highlight w:val="none"/>
        </w:rPr>
      </w:pPr>
      <w:r>
        <w:rPr>
          <w:rStyle w:val="32"/>
          <w:rFonts w:hint="eastAsia" w:ascii="Calibri" w:hAnsi="宋体" w:eastAsia="宋体" w:cs="宋体"/>
          <w:color w:val="auto"/>
          <w:highlight w:val="none"/>
        </w:rPr>
        <w:t>保修费用由造成质量缺陷的责任方承担。</w:t>
      </w:r>
    </w:p>
    <w:p w14:paraId="6959AEA4">
      <w:pPr>
        <w:pStyle w:val="78"/>
        <w:spacing w:line="360" w:lineRule="auto"/>
        <w:ind w:firstLine="420" w:firstLineChars="0"/>
        <w:jc w:val="left"/>
        <w:rPr>
          <w:rStyle w:val="32"/>
          <w:rFonts w:ascii="Calibri" w:hAnsi="Calibri" w:eastAsia="宋体" w:cs="Times New Roman"/>
          <w:color w:val="auto"/>
          <w:highlight w:val="none"/>
        </w:rPr>
      </w:pPr>
      <w:r>
        <w:rPr>
          <w:rStyle w:val="32"/>
          <w:rFonts w:hint="eastAsia" w:ascii="黑体" w:hAnsi="宋体" w:eastAsia="黑体" w:cs="黑体"/>
          <w:color w:val="auto"/>
          <w:highlight w:val="none"/>
        </w:rPr>
        <w:t>六、双方约定的其他工程质量保修事项：</w:t>
      </w:r>
      <w:r>
        <w:rPr>
          <w:rStyle w:val="32"/>
          <w:rFonts w:ascii="Calibri" w:hAnsi="Calibri" w:eastAsia="宋体" w:cs="Times New Roman"/>
          <w:color w:val="auto"/>
          <w:highlight w:val="none"/>
          <w:u w:val="single"/>
        </w:rPr>
        <w:t xml:space="preserve">              </w:t>
      </w:r>
      <w:r>
        <w:rPr>
          <w:rStyle w:val="32"/>
          <w:rFonts w:hint="eastAsia" w:cs="Times New Roman"/>
          <w:color w:val="auto"/>
          <w:highlight w:val="none"/>
          <w:u w:val="single"/>
          <w:lang w:val="en-US" w:eastAsia="zh-CN"/>
        </w:rPr>
        <w:t>/</w:t>
      </w:r>
      <w:r>
        <w:rPr>
          <w:rStyle w:val="32"/>
          <w:rFonts w:ascii="Calibri" w:hAnsi="Calibri" w:eastAsia="宋体" w:cs="Times New Roman"/>
          <w:color w:val="auto"/>
          <w:highlight w:val="none"/>
          <w:u w:val="single"/>
        </w:rPr>
        <w:t xml:space="preserve">                  </w:t>
      </w:r>
      <w:r>
        <w:rPr>
          <w:rStyle w:val="32"/>
          <w:rFonts w:hint="eastAsia" w:ascii="Calibri" w:hAnsi="宋体" w:eastAsia="宋体" w:cs="宋体"/>
          <w:color w:val="auto"/>
          <w:highlight w:val="none"/>
        </w:rPr>
        <w:t>。</w:t>
      </w:r>
    </w:p>
    <w:p w14:paraId="5976C8B7">
      <w:pPr>
        <w:pStyle w:val="78"/>
        <w:tabs>
          <w:tab w:val="left" w:pos="7380"/>
        </w:tabs>
        <w:spacing w:line="360" w:lineRule="auto"/>
        <w:ind w:firstLine="420" w:firstLineChars="0"/>
        <w:rPr>
          <w:rStyle w:val="32"/>
          <w:rFonts w:hint="eastAsia" w:ascii="Calibri" w:hAnsi="宋体" w:eastAsia="宋体" w:cs="宋体"/>
          <w:color w:val="auto"/>
          <w:highlight w:val="none"/>
        </w:rPr>
      </w:pPr>
      <w:r>
        <w:rPr>
          <w:rStyle w:val="32"/>
          <w:rFonts w:hint="eastAsia" w:ascii="Calibri" w:hAnsi="宋体" w:eastAsia="宋体" w:cs="宋体"/>
          <w:color w:val="auto"/>
          <w:highlight w:val="none"/>
        </w:rPr>
        <w:t>工程质量保修书由发包人、承包人在工程竣工验收前共同签署，作为施工合同附件，其有效期限至保修期满。</w:t>
      </w:r>
    </w:p>
    <w:p w14:paraId="43B524D9">
      <w:pPr>
        <w:pStyle w:val="80"/>
        <w:rPr>
          <w:rStyle w:val="32"/>
          <w:rFonts w:eastAsia="宋体" w:cs="Times New Roman"/>
          <w:color w:val="auto"/>
          <w:sz w:val="20"/>
          <w:highlight w:val="none"/>
        </w:rPr>
      </w:pPr>
    </w:p>
    <w:tbl>
      <w:tblPr>
        <w:tblStyle w:val="31"/>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3"/>
        <w:gridCol w:w="4306"/>
      </w:tblGrid>
      <w:tr w14:paraId="55A0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333" w:type="dxa"/>
            <w:noWrap w:val="0"/>
            <w:vAlign w:val="center"/>
          </w:tcPr>
          <w:p w14:paraId="396859B2">
            <w:pPr>
              <w:pStyle w:val="75"/>
              <w:spacing w:line="360" w:lineRule="auto"/>
              <w:ind w:firstLine="0" w:firstLineChars="0"/>
              <w:jc w:val="both"/>
              <w:rPr>
                <w:rStyle w:val="32"/>
                <w:rFonts w:hint="eastAsia" w:ascii="Times New Roman" w:hAnsi="宋体" w:eastAsia="宋体" w:cs="宋体"/>
                <w:color w:val="auto"/>
                <w:szCs w:val="21"/>
              </w:rPr>
            </w:pPr>
            <w:r>
              <w:rPr>
                <w:rStyle w:val="32"/>
                <w:rFonts w:hint="eastAsia" w:ascii="Times New Roman" w:hAnsi="宋体" w:eastAsia="宋体" w:cs="宋体"/>
                <w:color w:val="auto"/>
                <w:szCs w:val="21"/>
                <w:lang w:val="en-US" w:eastAsia="zh-CN"/>
              </w:rPr>
              <w:t>甲方（公章）：博白县人民医院</w:t>
            </w:r>
          </w:p>
        </w:tc>
        <w:tc>
          <w:tcPr>
            <w:tcW w:w="4306" w:type="dxa"/>
            <w:noWrap w:val="0"/>
            <w:vAlign w:val="center"/>
          </w:tcPr>
          <w:p w14:paraId="05893EE1">
            <w:pPr>
              <w:pStyle w:val="75"/>
              <w:spacing w:line="360" w:lineRule="auto"/>
              <w:ind w:left="0" w:leftChars="0" w:firstLine="0" w:firstLineChars="0"/>
              <w:jc w:val="both"/>
              <w:rPr>
                <w:rStyle w:val="32"/>
                <w:rFonts w:hint="eastAsia" w:ascii="Times New Roman" w:hAnsi="宋体" w:eastAsia="宋体" w:cs="宋体"/>
                <w:color w:val="auto"/>
                <w:szCs w:val="21"/>
                <w:u w:val="none"/>
                <w:lang w:eastAsia="zh-CN"/>
              </w:rPr>
            </w:pPr>
            <w:r>
              <w:rPr>
                <w:rStyle w:val="32"/>
                <w:rFonts w:hint="eastAsia" w:ascii="Times New Roman" w:hAnsi="宋体" w:eastAsia="宋体" w:cs="宋体"/>
                <w:color w:val="auto"/>
                <w:szCs w:val="21"/>
                <w:u w:val="none"/>
              </w:rPr>
              <w:t>乙方(公章)</w:t>
            </w:r>
            <w:r>
              <w:rPr>
                <w:rStyle w:val="32"/>
                <w:rFonts w:hint="eastAsia" w:ascii="Times New Roman" w:hAnsi="宋体" w:eastAsia="宋体" w:cs="宋体"/>
                <w:color w:val="auto"/>
                <w:szCs w:val="21"/>
                <w:u w:val="none"/>
                <w:lang w:eastAsia="zh-CN"/>
              </w:rPr>
              <w:t>：</w:t>
            </w:r>
            <w:r>
              <w:rPr>
                <w:rStyle w:val="32"/>
                <w:rFonts w:hint="eastAsia" w:ascii="Times New Roman" w:hAnsi="宋体" w:cs="宋体"/>
                <w:color w:val="auto"/>
                <w:szCs w:val="21"/>
                <w:u w:val="none"/>
                <w:lang w:eastAsia="zh-CN"/>
              </w:rPr>
              <w:t>xxxx公司</w:t>
            </w:r>
          </w:p>
        </w:tc>
      </w:tr>
      <w:tr w14:paraId="4AD7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4333" w:type="dxa"/>
            <w:noWrap w:val="0"/>
            <w:vAlign w:val="center"/>
          </w:tcPr>
          <w:p w14:paraId="67A7A57A">
            <w:pPr>
              <w:pStyle w:val="75"/>
              <w:spacing w:line="360" w:lineRule="auto"/>
              <w:ind w:firstLine="0" w:firstLineChars="0"/>
              <w:jc w:val="both"/>
              <w:rPr>
                <w:rStyle w:val="32"/>
                <w:rFonts w:hint="eastAsia" w:ascii="Times New Roman" w:hAnsi="宋体" w:eastAsia="宋体" w:cs="宋体"/>
                <w:color w:val="auto"/>
                <w:szCs w:val="21"/>
                <w:lang w:eastAsia="zh-CN"/>
              </w:rPr>
            </w:pPr>
            <w:r>
              <w:rPr>
                <w:rStyle w:val="32"/>
                <w:rFonts w:hint="eastAsia" w:ascii="Times New Roman" w:hAnsi="宋体" w:eastAsia="宋体" w:cs="宋体"/>
                <w:color w:val="auto"/>
                <w:szCs w:val="21"/>
                <w:lang w:val="en-US" w:eastAsia="zh-CN"/>
              </w:rPr>
              <w:t>法定</w:t>
            </w:r>
            <w:r>
              <w:rPr>
                <w:rStyle w:val="32"/>
                <w:rFonts w:hint="eastAsia" w:ascii="Times New Roman" w:hAnsi="宋体" w:eastAsia="宋体" w:cs="宋体"/>
                <w:color w:val="auto"/>
                <w:szCs w:val="21"/>
              </w:rPr>
              <w:t>代表人（签</w:t>
            </w:r>
            <w:r>
              <w:rPr>
                <w:rStyle w:val="32"/>
                <w:rFonts w:hint="eastAsia" w:ascii="Times New Roman" w:hAnsi="宋体" w:eastAsia="宋体" w:cs="宋体"/>
                <w:color w:val="auto"/>
                <w:szCs w:val="21"/>
                <w:lang w:val="en-US" w:eastAsia="zh-CN"/>
              </w:rPr>
              <w:t>字</w:t>
            </w:r>
            <w:r>
              <w:rPr>
                <w:rStyle w:val="32"/>
                <w:rFonts w:hint="eastAsia" w:ascii="Times New Roman" w:hAnsi="宋体" w:eastAsia="宋体" w:cs="宋体"/>
                <w:color w:val="auto"/>
                <w:szCs w:val="21"/>
              </w:rPr>
              <w:t>）</w:t>
            </w:r>
            <w:r>
              <w:rPr>
                <w:rStyle w:val="32"/>
                <w:rFonts w:hint="eastAsia" w:ascii="Times New Roman" w:hAnsi="宋体" w:eastAsia="宋体" w:cs="宋体"/>
                <w:color w:val="auto"/>
                <w:szCs w:val="21"/>
                <w:lang w:eastAsia="zh-CN"/>
              </w:rPr>
              <w:t>：</w:t>
            </w:r>
          </w:p>
        </w:tc>
        <w:tc>
          <w:tcPr>
            <w:tcW w:w="4306" w:type="dxa"/>
            <w:noWrap w:val="0"/>
            <w:vAlign w:val="center"/>
          </w:tcPr>
          <w:p w14:paraId="6A35D9D6">
            <w:pPr>
              <w:pStyle w:val="75"/>
              <w:spacing w:line="360" w:lineRule="auto"/>
              <w:ind w:left="0" w:leftChars="0" w:firstLine="0" w:firstLineChars="0"/>
              <w:jc w:val="both"/>
              <w:rPr>
                <w:rStyle w:val="32"/>
                <w:rFonts w:hint="eastAsia" w:ascii="Times New Roman" w:hAnsi="宋体" w:eastAsia="宋体" w:cs="宋体"/>
                <w:color w:val="auto"/>
                <w:szCs w:val="21"/>
                <w:u w:val="none"/>
                <w:lang w:eastAsia="zh-CN"/>
              </w:rPr>
            </w:pPr>
            <w:r>
              <w:rPr>
                <w:rStyle w:val="32"/>
                <w:rFonts w:hint="eastAsia" w:ascii="Times New Roman" w:hAnsi="宋体" w:eastAsia="宋体" w:cs="宋体"/>
                <w:color w:val="auto"/>
                <w:szCs w:val="21"/>
                <w:u w:val="none"/>
              </w:rPr>
              <w:t>法定代表人(签字)</w:t>
            </w:r>
            <w:r>
              <w:rPr>
                <w:rStyle w:val="32"/>
                <w:rFonts w:hint="eastAsia" w:ascii="Times New Roman" w:hAnsi="宋体" w:eastAsia="宋体" w:cs="宋体"/>
                <w:color w:val="auto"/>
                <w:szCs w:val="21"/>
                <w:u w:val="none"/>
                <w:lang w:eastAsia="zh-CN"/>
              </w:rPr>
              <w:t>：</w:t>
            </w:r>
          </w:p>
        </w:tc>
      </w:tr>
      <w:tr w14:paraId="4D21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333" w:type="dxa"/>
            <w:noWrap w:val="0"/>
            <w:vAlign w:val="center"/>
          </w:tcPr>
          <w:p w14:paraId="78267B93">
            <w:pPr>
              <w:pStyle w:val="75"/>
              <w:spacing w:line="360" w:lineRule="auto"/>
              <w:ind w:firstLine="0" w:firstLineChars="0"/>
              <w:jc w:val="both"/>
              <w:rPr>
                <w:rStyle w:val="32"/>
                <w:rFonts w:hint="eastAsia" w:ascii="Times New Roman" w:hAnsi="宋体" w:eastAsia="宋体" w:cs="宋体"/>
                <w:color w:val="auto"/>
                <w:szCs w:val="21"/>
              </w:rPr>
            </w:pPr>
            <w:r>
              <w:rPr>
                <w:rStyle w:val="32"/>
                <w:rFonts w:hint="eastAsia" w:ascii="Times New Roman" w:hAnsi="宋体" w:eastAsia="宋体" w:cs="宋体"/>
                <w:color w:val="auto"/>
                <w:szCs w:val="21"/>
              </w:rPr>
              <w:t>委托</w:t>
            </w:r>
            <w:r>
              <w:rPr>
                <w:rStyle w:val="32"/>
                <w:rFonts w:hint="eastAsia" w:ascii="Times New Roman" w:hAnsi="宋体" w:eastAsia="宋体" w:cs="宋体"/>
                <w:color w:val="auto"/>
                <w:szCs w:val="21"/>
                <w:lang w:val="en-US" w:eastAsia="zh-CN"/>
              </w:rPr>
              <w:t>代理人</w:t>
            </w:r>
            <w:r>
              <w:rPr>
                <w:rStyle w:val="32"/>
                <w:rFonts w:hint="eastAsia" w:ascii="Times New Roman" w:hAnsi="宋体" w:eastAsia="宋体" w:cs="宋体"/>
                <w:color w:val="auto"/>
                <w:szCs w:val="21"/>
              </w:rPr>
              <w:t>：</w:t>
            </w:r>
          </w:p>
        </w:tc>
        <w:tc>
          <w:tcPr>
            <w:tcW w:w="4306" w:type="dxa"/>
            <w:noWrap w:val="0"/>
            <w:vAlign w:val="center"/>
          </w:tcPr>
          <w:p w14:paraId="45C99A31">
            <w:pPr>
              <w:pStyle w:val="75"/>
              <w:spacing w:line="360" w:lineRule="auto"/>
              <w:ind w:left="0" w:leftChars="0" w:firstLine="0" w:firstLineChars="0"/>
              <w:jc w:val="both"/>
              <w:rPr>
                <w:rStyle w:val="32"/>
                <w:rFonts w:hint="eastAsia" w:ascii="Times New Roman" w:hAnsi="宋体" w:eastAsia="宋体" w:cs="宋体"/>
                <w:color w:val="auto"/>
                <w:szCs w:val="21"/>
                <w:u w:val="none"/>
              </w:rPr>
            </w:pPr>
            <w:r>
              <w:rPr>
                <w:rStyle w:val="32"/>
                <w:rFonts w:hint="eastAsia" w:ascii="Times New Roman" w:hAnsi="宋体" w:eastAsia="宋体" w:cs="宋体"/>
                <w:color w:val="auto"/>
                <w:szCs w:val="21"/>
                <w:u w:val="none"/>
              </w:rPr>
              <w:t>委托代理人</w:t>
            </w:r>
            <w:r>
              <w:rPr>
                <w:rStyle w:val="32"/>
                <w:rFonts w:hint="eastAsia" w:ascii="Times New Roman" w:hAnsi="宋体" w:eastAsia="宋体" w:cs="宋体"/>
                <w:color w:val="auto"/>
                <w:szCs w:val="21"/>
                <w:u w:val="none"/>
                <w:lang w:eastAsia="zh-CN"/>
              </w:rPr>
              <w:t>：</w:t>
            </w:r>
          </w:p>
        </w:tc>
      </w:tr>
      <w:tr w14:paraId="5537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4333" w:type="dxa"/>
            <w:noWrap w:val="0"/>
            <w:vAlign w:val="center"/>
          </w:tcPr>
          <w:p w14:paraId="4B6A6454">
            <w:pPr>
              <w:pStyle w:val="75"/>
              <w:spacing w:line="360" w:lineRule="auto"/>
              <w:ind w:firstLine="0" w:firstLineChars="0"/>
              <w:jc w:val="both"/>
              <w:rPr>
                <w:rStyle w:val="32"/>
                <w:rFonts w:hint="eastAsia" w:ascii="Times New Roman" w:hAnsi="宋体" w:eastAsia="宋体" w:cs="宋体"/>
                <w:color w:val="auto"/>
                <w:szCs w:val="21"/>
                <w:lang w:val="en-US" w:eastAsia="zh-CN"/>
              </w:rPr>
            </w:pPr>
            <w:r>
              <w:rPr>
                <w:rStyle w:val="32"/>
                <w:rFonts w:hint="eastAsia" w:ascii="Times New Roman" w:hAnsi="宋体" w:cs="宋体"/>
                <w:color w:val="auto"/>
                <w:szCs w:val="21"/>
                <w:lang w:val="en-US" w:eastAsia="zh-CN"/>
              </w:rPr>
              <w:t>经办人：</w:t>
            </w:r>
          </w:p>
        </w:tc>
        <w:tc>
          <w:tcPr>
            <w:tcW w:w="4306" w:type="dxa"/>
            <w:noWrap w:val="0"/>
            <w:vAlign w:val="center"/>
          </w:tcPr>
          <w:p w14:paraId="6EF7FEF2">
            <w:pPr>
              <w:pStyle w:val="75"/>
              <w:spacing w:line="360" w:lineRule="auto"/>
              <w:ind w:left="0" w:leftChars="0" w:firstLine="0" w:firstLineChars="0"/>
              <w:jc w:val="both"/>
              <w:rPr>
                <w:rStyle w:val="32"/>
                <w:rFonts w:hint="eastAsia" w:ascii="Times New Roman" w:hAnsi="宋体" w:eastAsia="宋体" w:cs="宋体"/>
                <w:color w:val="auto"/>
                <w:szCs w:val="21"/>
                <w:u w:val="none"/>
              </w:rPr>
            </w:pPr>
            <w:r>
              <w:rPr>
                <w:rStyle w:val="32"/>
                <w:rFonts w:hint="eastAsia" w:ascii="Times New Roman" w:hAnsi="宋体" w:cs="宋体"/>
                <w:color w:val="auto"/>
                <w:szCs w:val="21"/>
                <w:lang w:val="en-US" w:eastAsia="zh-CN"/>
              </w:rPr>
              <w:t>经办人：</w:t>
            </w:r>
          </w:p>
        </w:tc>
      </w:tr>
      <w:tr w14:paraId="5E89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639" w:type="dxa"/>
            <w:gridSpan w:val="2"/>
            <w:noWrap w:val="0"/>
            <w:vAlign w:val="center"/>
          </w:tcPr>
          <w:p w14:paraId="36F92EF1">
            <w:pPr>
              <w:pStyle w:val="75"/>
              <w:spacing w:line="360" w:lineRule="auto"/>
              <w:ind w:left="0" w:leftChars="0" w:firstLine="0" w:firstLineChars="0"/>
              <w:jc w:val="center"/>
              <w:rPr>
                <w:rStyle w:val="32"/>
                <w:rFonts w:hint="eastAsia" w:ascii="Times New Roman" w:hAnsi="宋体" w:eastAsia="宋体" w:cs="宋体"/>
                <w:color w:val="auto"/>
                <w:szCs w:val="21"/>
                <w:u w:val="none"/>
              </w:rPr>
            </w:pPr>
            <w:r>
              <w:rPr>
                <w:rStyle w:val="32"/>
                <w:rFonts w:ascii="Calibri" w:hAnsi="Times New Roman" w:cs="Times New Roman"/>
                <w:color w:val="auto"/>
                <w:highlight w:val="none"/>
              </w:rPr>
              <w:t>202</w:t>
            </w:r>
            <w:r>
              <w:rPr>
                <w:rStyle w:val="32"/>
                <w:rFonts w:hint="eastAsia" w:hAnsi="Times New Roman" w:cs="Times New Roman"/>
                <w:color w:val="auto"/>
                <w:highlight w:val="none"/>
                <w:lang w:eastAsia="zh-CN"/>
              </w:rPr>
              <w:t>6</w:t>
            </w:r>
            <w:r>
              <w:rPr>
                <w:rStyle w:val="32"/>
                <w:rFonts w:ascii="Calibri" w:hAnsi="Times New Roman" w:cs="Times New Roman"/>
                <w:color w:val="auto"/>
                <w:highlight w:val="none"/>
              </w:rPr>
              <w:t xml:space="preserve">  年</w:t>
            </w:r>
            <w:r>
              <w:rPr>
                <w:rStyle w:val="32"/>
                <w:rFonts w:hint="eastAsia" w:hAnsi="Times New Roman" w:cs="Times New Roman"/>
                <w:color w:val="auto"/>
                <w:highlight w:val="none"/>
                <w:lang w:val="en-US" w:eastAsia="zh-CN"/>
              </w:rPr>
              <w:t xml:space="preserve">     </w:t>
            </w:r>
            <w:r>
              <w:rPr>
                <w:rStyle w:val="32"/>
                <w:rFonts w:ascii="Calibri" w:hAnsi="Times New Roman" w:cs="Times New Roman"/>
                <w:color w:val="auto"/>
                <w:highlight w:val="none"/>
              </w:rPr>
              <w:t xml:space="preserve">    月</w:t>
            </w:r>
            <w:r>
              <w:rPr>
                <w:rStyle w:val="32"/>
                <w:rFonts w:hint="eastAsia" w:hAnsi="Times New Roman" w:cs="Times New Roman"/>
                <w:color w:val="auto"/>
                <w:highlight w:val="none"/>
                <w:lang w:val="en-US" w:eastAsia="zh-CN"/>
              </w:rPr>
              <w:t xml:space="preserve">     </w:t>
            </w:r>
            <w:r>
              <w:rPr>
                <w:rStyle w:val="32"/>
                <w:rFonts w:ascii="Calibri" w:hAnsi="Times New Roman" w:cs="Times New Roman"/>
                <w:color w:val="auto"/>
                <w:highlight w:val="none"/>
              </w:rPr>
              <w:t xml:space="preserve">    日</w:t>
            </w:r>
          </w:p>
        </w:tc>
      </w:tr>
      <w:bookmarkEnd w:id="55"/>
    </w:tbl>
    <w:p w14:paraId="386C4AED">
      <w:pPr>
        <w:rPr>
          <w:rFonts w:hint="eastAsia"/>
          <w:color w:val="auto"/>
          <w:sz w:val="20"/>
          <w:highlight w:val="white"/>
        </w:rPr>
      </w:pPr>
    </w:p>
    <w:p w14:paraId="0D762F82">
      <w:pPr>
        <w:rPr>
          <w:rFonts w:hint="eastAsia"/>
          <w:color w:val="auto"/>
          <w:sz w:val="20"/>
          <w:highlight w:val="white"/>
        </w:rPr>
      </w:pPr>
    </w:p>
    <w:p w14:paraId="784D7469">
      <w:pPr>
        <w:rPr>
          <w:rFonts w:hint="eastAsia"/>
          <w:color w:val="auto"/>
          <w:sz w:val="20"/>
          <w:highlight w:val="white"/>
        </w:rPr>
      </w:pPr>
    </w:p>
    <w:p w14:paraId="6F0B30B1">
      <w:pPr>
        <w:widowControl/>
        <w:jc w:val="left"/>
        <w:rPr>
          <w:color w:val="auto"/>
          <w:u w:val="single"/>
        </w:rPr>
      </w:pPr>
      <w:r>
        <w:rPr>
          <w:color w:val="auto"/>
          <w:highlight w:val="white"/>
        </w:rPr>
        <w:br w:type="page"/>
      </w:r>
    </w:p>
    <w:p w14:paraId="4040918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color w:val="auto"/>
          <w:sz w:val="36"/>
          <w:szCs w:val="36"/>
          <w:lang w:val="en-US" w:eastAsia="zh-CN"/>
        </w:rPr>
      </w:pPr>
      <w:r>
        <w:rPr>
          <w:rFonts w:hint="eastAsia" w:ascii="黑体" w:hAnsi="黑体" w:eastAsia="黑体" w:cs="黑体"/>
          <w:b/>
          <w:bCs/>
          <w:color w:val="auto"/>
          <w:sz w:val="32"/>
          <w:szCs w:val="32"/>
          <w:lang w:val="en-US" w:eastAsia="zh-CN"/>
        </w:rPr>
        <w:t>廉洁协议</w:t>
      </w:r>
    </w:p>
    <w:p w14:paraId="765E5A0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150"/>
        <w:textAlignment w:val="auto"/>
        <w:rPr>
          <w:rFonts w:hint="eastAsia" w:ascii="宋体" w:hAnsi="宋体" w:eastAsia="宋体" w:cs="宋体"/>
          <w:color w:val="auto"/>
          <w:sz w:val="28"/>
          <w:szCs w:val="28"/>
          <w:lang w:val="en-US" w:eastAsia="zh-CN"/>
        </w:rPr>
      </w:pPr>
    </w:p>
    <w:p w14:paraId="3820EFC0">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为保持廉洁自律的工作作风，营造守法诚信、廉洁高效的工作环境，防止各种违规违纪违法行为的发生，保护国家、集体和双方当事人的合法权益，根据国家有关法律法规，经甲乙方双方同意，订立本廉洁协议：</w:t>
      </w:r>
    </w:p>
    <w:p w14:paraId="0A262B2A">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1.甲乙双方的责任</w:t>
      </w:r>
    </w:p>
    <w:p w14:paraId="54556953">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（1)应严格遵守国家有关法律法规及相关政策。</w:t>
      </w:r>
    </w:p>
    <w:p w14:paraId="34689324">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（2)严格执行合同文件，自觉按合同办事。</w:t>
      </w:r>
    </w:p>
    <w:p w14:paraId="21DF7D76">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（3)开展业务活动必须坚持自愿、公平、公开、公正和诚实守信的原则，不得为谋取不正当利益损害国家、集体和双方权益。</w:t>
      </w:r>
    </w:p>
    <w:p w14:paraId="67A5E04E">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（4)发现对方在业务活动中有违规行为的，应及时提醒对方；情节严重或涉嫌违纪违法的，应向其上级主管部门或纪检监察部门举报。</w:t>
      </w:r>
    </w:p>
    <w:p w14:paraId="7793B762">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2.甲方的责任</w:t>
      </w:r>
    </w:p>
    <w:p w14:paraId="21F4247D">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甲方工作人员，在项目合同执行的事前、事中、事后应遵守以下规定：</w:t>
      </w:r>
    </w:p>
    <w:p w14:paraId="10FF0997">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（1）不准向乙方和相关单位索要或接受回扣、礼金、有价证券、贵重物品和好处费、感谢费等。</w:t>
      </w:r>
    </w:p>
    <w:p w14:paraId="24B02764">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（2）不准在乙方和相关单位报销任何应由甲方或个人支付的费用。</w:t>
      </w:r>
    </w:p>
    <w:p w14:paraId="199AB70C">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（3）不准要求、暗示或接受乙方和相关单位免费或明显低于市场价格为个人装修住房以及在配偶、子女、亲属的工作或生活安排等方面提供方便。</w:t>
      </w:r>
    </w:p>
    <w:p w14:paraId="09994A16">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（4）不准参加乙方和相关单位组织或提供的有可能影响公正执行公务的宴请、健身、娱乐、旅游等活动。</w:t>
      </w:r>
    </w:p>
    <w:p w14:paraId="443DCA7A">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（5）不准向乙方和相关单位介绍配偶、子女、亲属等参与到同甲方项目合同有关的业务活动。</w:t>
      </w:r>
    </w:p>
    <w:p w14:paraId="1FA8D346">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（6）其他与项目有关的党风廉政建设和预防腐败的规定。</w:t>
      </w:r>
    </w:p>
    <w:p w14:paraId="5F225837">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3.乙方的责任</w:t>
      </w:r>
    </w:p>
    <w:p w14:paraId="4920448C">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乙方工作人员，在项目合同执行的事前、事中、事后应遵守以下规定：</w:t>
      </w:r>
    </w:p>
    <w:p w14:paraId="113A65FE">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（1）不准以任何理由向甲方及其工作人员索要、接受或赠送礼金、有价证券、贵重物品及回扣、好处费、感谢费等。</w:t>
      </w:r>
    </w:p>
    <w:p w14:paraId="62A01100">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（2）不准以任何理由为甲方和相关单位报销应由对方或个人支付的费用。</w:t>
      </w:r>
    </w:p>
    <w:p w14:paraId="1AE96E56">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（3）不准为甲方、相关单位或个人免费或明显低于市场价格装修住房以及在配偶、子女、亲属的工作或生活安排等方面提供方便。</w:t>
      </w:r>
    </w:p>
    <w:p w14:paraId="34A441A0">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（4）不准以任何理由为甲方、相关单位或个人组织或提供有可能影响公正执行公务的宴请、健身、娱乐、旅游等活动。</w:t>
      </w:r>
    </w:p>
    <w:p w14:paraId="0E8711C7">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（5）不准违规安排甲方有关人员的配偶、子女、亲属等参与到同甲方项目合同有关的业务活动。</w:t>
      </w:r>
    </w:p>
    <w:p w14:paraId="58736954">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（6）其他与项目有关的党风廉政建设和预防腐败的规定。</w:t>
      </w:r>
    </w:p>
    <w:p w14:paraId="19BBBA35">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4.违约责任</w:t>
      </w:r>
    </w:p>
    <w:p w14:paraId="2DA10A1F">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1）甲方工作人员有违反本廉洁协议行为的，按照管理权限，依据有关法律法规和规定给予党纪、政纪处分或组织处理；涉嫌违法犯罪的，移交司法机关追究法律责任；给乙方单位造成经济损失的，应予以赔偿。</w:t>
      </w:r>
    </w:p>
    <w:p w14:paraId="2C48E948">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2）乙方工作人员有违反本廉洁协议行为的，按照管理权限，依据有关法律法规和规定给予党纪、政纪处分或组织处理；涉嫌违法犯罪的，移交司法机关追究法律责任；给甲方单位造成经济损失的，应予以赔偿。</w:t>
      </w:r>
    </w:p>
    <w:p w14:paraId="172E5BFF">
      <w:pPr>
        <w:pStyle w:val="78"/>
        <w:spacing w:line="360" w:lineRule="auto"/>
        <w:ind w:firstLine="420" w:firstLineChars="200"/>
        <w:rPr>
          <w:rStyle w:val="32"/>
          <w:rFonts w:hint="eastAsia" w:ascii="Calibri" w:hAnsi="宋体" w:cs="宋体"/>
          <w:color w:val="auto"/>
          <w:highlight w:val="none"/>
        </w:rPr>
      </w:pPr>
      <w:r>
        <w:rPr>
          <w:rStyle w:val="32"/>
          <w:rFonts w:hint="eastAsia" w:ascii="Calibri" w:hAnsi="宋体" w:cs="宋体"/>
          <w:color w:val="auto"/>
          <w:highlight w:val="none"/>
        </w:rPr>
        <w:t>（3）本协议经双方盖章后生效，作为合同的重要组成部分与合同具有同等的法律效力。</w:t>
      </w:r>
    </w:p>
    <w:p w14:paraId="4ED082CF">
      <w:pPr>
        <w:pStyle w:val="78"/>
        <w:spacing w:line="360" w:lineRule="auto"/>
        <w:ind w:firstLine="420"/>
        <w:rPr>
          <w:rStyle w:val="32"/>
          <w:rFonts w:ascii="Calibri"/>
          <w:color w:val="auto"/>
          <w:highlight w:val="none"/>
        </w:rPr>
      </w:pPr>
    </w:p>
    <w:p w14:paraId="62D765FD">
      <w:pPr>
        <w:pStyle w:val="78"/>
        <w:spacing w:line="360" w:lineRule="auto"/>
        <w:ind w:firstLine="420"/>
        <w:rPr>
          <w:rStyle w:val="32"/>
          <w:rFonts w:ascii="Calibri"/>
          <w:color w:val="auto"/>
          <w:highlight w:val="none"/>
        </w:rPr>
      </w:pPr>
    </w:p>
    <w:p w14:paraId="6F1D99C3">
      <w:pPr>
        <w:pStyle w:val="78"/>
        <w:spacing w:line="360" w:lineRule="auto"/>
        <w:ind w:firstLine="420"/>
        <w:rPr>
          <w:rStyle w:val="32"/>
          <w:rFonts w:ascii="Calibri"/>
          <w:color w:val="auto"/>
          <w:highlight w:val="none"/>
        </w:rPr>
      </w:pPr>
      <w:r>
        <w:rPr>
          <w:rStyle w:val="32"/>
          <w:rFonts w:ascii="Calibri"/>
          <w:color w:val="auto"/>
          <w:highlight w:val="none"/>
        </w:rPr>
        <w:t xml:space="preserve">甲方（公章）：                  </w:t>
      </w:r>
      <w:r>
        <w:rPr>
          <w:rStyle w:val="32"/>
          <w:rFonts w:hint="eastAsia"/>
          <w:color w:val="auto"/>
          <w:highlight w:val="none"/>
          <w:lang w:val="en-US" w:eastAsia="zh-CN"/>
        </w:rPr>
        <w:t xml:space="preserve">                                  </w:t>
      </w:r>
      <w:r>
        <w:rPr>
          <w:rStyle w:val="32"/>
          <w:rFonts w:ascii="Calibri"/>
          <w:color w:val="auto"/>
          <w:highlight w:val="none"/>
        </w:rPr>
        <w:t xml:space="preserve"> 乙方（公章）：</w:t>
      </w:r>
    </w:p>
    <w:p w14:paraId="577D098E">
      <w:pPr>
        <w:pStyle w:val="78"/>
        <w:spacing w:line="360" w:lineRule="auto"/>
        <w:ind w:firstLine="420"/>
        <w:rPr>
          <w:rStyle w:val="32"/>
          <w:rFonts w:hint="eastAsia" w:ascii="Calibri" w:eastAsia="宋体" w:cs="宋体"/>
          <w:color w:val="auto"/>
          <w:highlight w:val="none"/>
          <w:lang w:eastAsia="zh-CN"/>
        </w:rPr>
      </w:pPr>
      <w:r>
        <w:rPr>
          <w:rStyle w:val="32"/>
          <w:rFonts w:ascii="Calibri"/>
          <w:color w:val="auto"/>
          <w:highlight w:val="none"/>
        </w:rPr>
        <w:t xml:space="preserve">博白县人民医院            </w:t>
      </w:r>
      <w:r>
        <w:rPr>
          <w:rStyle w:val="32"/>
          <w:rFonts w:hint="eastAsia"/>
          <w:color w:val="auto"/>
          <w:highlight w:val="none"/>
          <w:lang w:val="en-US" w:eastAsia="zh-CN"/>
        </w:rPr>
        <w:t xml:space="preserve">                                       </w:t>
      </w:r>
      <w:r>
        <w:rPr>
          <w:rStyle w:val="32"/>
          <w:rFonts w:ascii="Calibri"/>
          <w:color w:val="auto"/>
          <w:highlight w:val="none"/>
        </w:rPr>
        <w:t xml:space="preserve">   </w:t>
      </w:r>
      <w:r>
        <w:rPr>
          <w:rStyle w:val="32"/>
          <w:rFonts w:hint="eastAsia" w:ascii="Times New Roman" w:hAnsi="宋体" w:cs="宋体"/>
          <w:color w:val="auto"/>
          <w:szCs w:val="21"/>
          <w:u w:val="none"/>
          <w:lang w:eastAsia="zh-CN"/>
        </w:rPr>
        <w:t>xxxx公司</w:t>
      </w:r>
    </w:p>
    <w:p w14:paraId="1AB9E93F">
      <w:pPr>
        <w:spacing w:line="460" w:lineRule="exact"/>
        <w:jc w:val="center"/>
        <w:rPr>
          <w:rFonts w:hint="eastAsia" w:ascii="宋体" w:hAnsi="宋体"/>
          <w:color w:val="auto"/>
          <w:sz w:val="28"/>
          <w:szCs w:val="28"/>
          <w:lang w:val="en-US" w:eastAsia="zh-CN"/>
        </w:rPr>
      </w:pPr>
    </w:p>
    <w:p w14:paraId="06B943D6">
      <w:pPr>
        <w:pStyle w:val="78"/>
        <w:spacing w:line="360" w:lineRule="auto"/>
        <w:ind w:firstLine="3570" w:firstLineChars="1700"/>
        <w:rPr>
          <w:rStyle w:val="32"/>
          <w:rFonts w:ascii="Calibri" w:hAnsi="Times New Roman" w:cs="Times New Roman"/>
          <w:color w:val="auto"/>
          <w:highlight w:val="none"/>
        </w:rPr>
      </w:pPr>
      <w:r>
        <w:rPr>
          <w:rStyle w:val="32"/>
          <w:rFonts w:ascii="Calibri" w:hAnsi="Times New Roman" w:cs="Times New Roman"/>
          <w:color w:val="auto"/>
          <w:highlight w:val="none"/>
        </w:rPr>
        <w:t>202</w:t>
      </w:r>
      <w:r>
        <w:rPr>
          <w:rStyle w:val="32"/>
          <w:rFonts w:hint="eastAsia" w:hAnsi="Times New Roman" w:cs="Times New Roman"/>
          <w:color w:val="auto"/>
          <w:highlight w:val="none"/>
          <w:lang w:eastAsia="zh-CN"/>
        </w:rPr>
        <w:t>6</w:t>
      </w:r>
      <w:r>
        <w:rPr>
          <w:rStyle w:val="32"/>
          <w:rFonts w:ascii="Calibri" w:hAnsi="Times New Roman" w:cs="Times New Roman"/>
          <w:color w:val="auto"/>
          <w:highlight w:val="none"/>
        </w:rPr>
        <w:t xml:space="preserve">  年</w:t>
      </w:r>
      <w:r>
        <w:rPr>
          <w:rStyle w:val="32"/>
          <w:rFonts w:hint="eastAsia" w:hAnsi="Times New Roman" w:cs="Times New Roman"/>
          <w:color w:val="auto"/>
          <w:highlight w:val="none"/>
          <w:lang w:val="en-US" w:eastAsia="zh-CN"/>
        </w:rPr>
        <w:t xml:space="preserve">     </w:t>
      </w:r>
      <w:r>
        <w:rPr>
          <w:rStyle w:val="32"/>
          <w:rFonts w:ascii="Calibri" w:hAnsi="Times New Roman" w:cs="Times New Roman"/>
          <w:color w:val="auto"/>
          <w:highlight w:val="none"/>
        </w:rPr>
        <w:t xml:space="preserve">    月</w:t>
      </w:r>
      <w:r>
        <w:rPr>
          <w:rStyle w:val="32"/>
          <w:rFonts w:hint="eastAsia" w:hAnsi="Times New Roman" w:cs="Times New Roman"/>
          <w:color w:val="auto"/>
          <w:highlight w:val="none"/>
          <w:lang w:val="en-US" w:eastAsia="zh-CN"/>
        </w:rPr>
        <w:t xml:space="preserve">     </w:t>
      </w:r>
      <w:r>
        <w:rPr>
          <w:rStyle w:val="32"/>
          <w:rFonts w:ascii="Calibri" w:hAnsi="Times New Roman" w:cs="Times New Roman"/>
          <w:color w:val="auto"/>
          <w:highlight w:val="none"/>
        </w:rPr>
        <w:t xml:space="preserve">    日</w:t>
      </w:r>
    </w:p>
    <w:p w14:paraId="508379CC">
      <w:pPr>
        <w:rPr>
          <w:rFonts w:hint="eastAsia"/>
          <w:color w:val="auto"/>
          <w:sz w:val="20"/>
          <w:highlight w:val="white"/>
        </w:rPr>
      </w:pPr>
    </w:p>
    <w:p w14:paraId="27261379">
      <w:pPr>
        <w:pStyle w:val="7"/>
        <w:rPr>
          <w:rFonts w:hint="eastAsia" w:ascii="宋体" w:hAnsi="宋体" w:cs="宋体"/>
          <w:color w:val="auto"/>
          <w:sz w:val="6"/>
          <w:szCs w:val="6"/>
        </w:rPr>
      </w:pPr>
    </w:p>
    <w:sectPr>
      <w:footerReference r:id="rId12" w:type="first"/>
      <w:headerReference r:id="rId10" w:type="default"/>
      <w:footerReference r:id="rId11" w:type="default"/>
      <w:pgSz w:w="11906" w:h="16838"/>
      <w:pgMar w:top="1134" w:right="1134" w:bottom="1134" w:left="1134"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D5BB">
    <w:pPr>
      <w:pStyle w:val="23"/>
      <w:tabs>
        <w:tab w:val="center" w:pos="4439"/>
        <w:tab w:val="clear" w:pos="4153"/>
      </w:tabs>
      <w:jc w:val="both"/>
    </w:pPr>
    <w:r>
      <w:pict>
        <v:shape id="_x0000_s7171" o:spid="_x0000_s717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A133ADD">
                <w:pPr>
                  <w:pStyle w:val="23"/>
                </w:pPr>
                <w:r>
                  <w:fldChar w:fldCharType="begin"/>
                </w:r>
                <w:r>
                  <w:instrText xml:space="preserve"> PAGE  \* MERGEFORMAT </w:instrText>
                </w:r>
                <w:r>
                  <w:fldChar w:fldCharType="separate"/>
                </w:r>
                <w:r>
                  <w:t>1</w:t>
                </w:r>
                <w:r>
                  <w:fldChar w:fldCharType="end"/>
                </w:r>
              </w:p>
            </w:txbxContent>
          </v:textbox>
        </v:shape>
      </w:pict>
    </w:r>
  </w:p>
  <w:p w14:paraId="416C4B02">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2D54B">
    <w:pPr>
      <w:pStyle w:val="23"/>
      <w:tabs>
        <w:tab w:val="center" w:pos="4439"/>
        <w:tab w:val="clear" w:pos="4153"/>
      </w:tabs>
    </w:pPr>
    <w:r>
      <w:pict>
        <v:shape id="_x0000_s7172" o:spid="_x0000_s717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8C2E2D5"/>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82BDD">
    <w:pPr>
      <w:pStyle w:val="23"/>
      <w:framePr w:wrap="around" w:vAnchor="text" w:hAnchor="margin" w:xAlign="center" w:y="1"/>
      <w:rPr>
        <w:rStyle w:val="34"/>
      </w:rPr>
    </w:pPr>
    <w:r>
      <w:fldChar w:fldCharType="begin"/>
    </w:r>
    <w:r>
      <w:rPr>
        <w:rStyle w:val="34"/>
      </w:rPr>
      <w:instrText xml:space="preserve">PAGE  </w:instrText>
    </w:r>
    <w:r>
      <w:fldChar w:fldCharType="end"/>
    </w:r>
  </w:p>
  <w:p w14:paraId="0FF7447B">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2E744">
    <w:pPr>
      <w:pStyle w:val="23"/>
    </w:pPr>
    <w:r>
      <w:rPr>
        <w:sz w:val="18"/>
      </w:rPr>
      <w:pict>
        <v:shape id="文本框 1" o:spid="_x0000_s718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465D330F">
                <w:pPr>
                  <w:pStyle w:val="23"/>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8381E">
    <w:pPr>
      <w:pStyle w:val="23"/>
      <w:jc w:val="center"/>
    </w:pPr>
    <w:r>
      <w:pict>
        <v:shape id="_x0000_s7169" o:spid="_x0000_s716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D4F0E1B">
                <w:pPr>
                  <w:pStyle w:val="23"/>
                  <w:jc w:val="center"/>
                </w:pPr>
                <w:r>
                  <w:fldChar w:fldCharType="begin"/>
                </w:r>
                <w:r>
                  <w:instrText xml:space="preserve"> PAGE  \* MERGEFORMAT </w:instrText>
                </w:r>
                <w:r>
                  <w:fldChar w:fldCharType="separate"/>
                </w:r>
                <w:r>
                  <w:t>20</w:t>
                </w:r>
                <w:r>
                  <w:fldChar w:fldCharType="end"/>
                </w:r>
              </w:p>
            </w:txbxContent>
          </v:textbox>
        </v:shape>
      </w:pict>
    </w:r>
  </w:p>
  <w:p w14:paraId="1B91CCAC">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1C09">
    <w:pPr>
      <w:pStyle w:val="23"/>
    </w:pPr>
    <w:r>
      <w:pict>
        <v:shape id="_x0000_s7170" o:spid="_x0000_s717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55698B5">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755FF">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F191">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8AD7">
    <w:pPr>
      <w:pStyle w:val="2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EB9A">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C4E8D"/>
    <w:multiLevelType w:val="singleLevel"/>
    <w:tmpl w:val="8AEC4E8D"/>
    <w:lvl w:ilvl="0" w:tentative="0">
      <w:start w:val="3"/>
      <w:numFmt w:val="chineseCounting"/>
      <w:suff w:val="nothing"/>
      <w:lvlText w:val="%1、"/>
      <w:lvlJc w:val="left"/>
      <w:rPr>
        <w:rFonts w:hint="eastAsia"/>
      </w:rPr>
    </w:lvl>
  </w:abstractNum>
  <w:abstractNum w:abstractNumId="1">
    <w:nsid w:val="D4EC77DA"/>
    <w:multiLevelType w:val="singleLevel"/>
    <w:tmpl w:val="D4EC77DA"/>
    <w:lvl w:ilvl="0" w:tentative="0">
      <w:start w:val="1"/>
      <w:numFmt w:val="decimal"/>
      <w:suff w:val="nothing"/>
      <w:lvlText w:val="%1、"/>
      <w:lvlJc w:val="left"/>
    </w:lvl>
  </w:abstractNum>
  <w:abstractNum w:abstractNumId="2">
    <w:nsid w:val="E90F7DD9"/>
    <w:multiLevelType w:val="singleLevel"/>
    <w:tmpl w:val="E90F7DD9"/>
    <w:lvl w:ilvl="0" w:tentative="0">
      <w:start w:val="1"/>
      <w:numFmt w:val="decimal"/>
      <w:suff w:val="nothing"/>
      <w:lvlText w:val="%1、"/>
      <w:lvlJc w:val="left"/>
    </w:lvl>
  </w:abstractNum>
  <w:abstractNum w:abstractNumId="3">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5"/>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299A61BC"/>
    <w:multiLevelType w:val="singleLevel"/>
    <w:tmpl w:val="299A61BC"/>
    <w:lvl w:ilvl="0" w:tentative="0">
      <w:start w:val="1"/>
      <w:numFmt w:val="chineseCounting"/>
      <w:suff w:val="nothing"/>
      <w:lvlText w:val="%1、"/>
      <w:lvlJc w:val="left"/>
      <w:rPr>
        <w:rFonts w:hint="eastAsia"/>
      </w:rPr>
    </w:lvl>
  </w:abstractNum>
  <w:abstractNum w:abstractNumId="5">
    <w:nsid w:val="51046CEA"/>
    <w:multiLevelType w:val="singleLevel"/>
    <w:tmpl w:val="51046CEA"/>
    <w:lvl w:ilvl="0" w:tentative="0">
      <w:start w:val="2"/>
      <w:numFmt w:val="chineseCounting"/>
      <w:suff w:val="nothing"/>
      <w:lvlText w:val="%1、"/>
      <w:lvlJc w:val="left"/>
      <w:rPr>
        <w:rFonts w:hint="eastAsia"/>
      </w:rPr>
    </w:lvl>
  </w:abstractNum>
  <w:abstractNum w:abstractNumId="6">
    <w:nsid w:val="7D335EF9"/>
    <w:multiLevelType w:val="singleLevel"/>
    <w:tmpl w:val="7D335EF9"/>
    <w:lvl w:ilvl="0" w:tentative="0">
      <w:start w:val="11"/>
      <w:numFmt w:val="decimal"/>
      <w:suff w:val="space"/>
      <w:lvlText w:val="%1."/>
      <w:lvlJc w:val="left"/>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YLr+MHtmTDjctaLpONKqwRKQj5k=" w:salt="jE42jO12whLBj/vWrzLkgQ=="/>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Y4Y2I5MTMyOGZhOWI2OTUyM2YyOTlkM2JjYWI1N2MifQ=="/>
  </w:docVars>
  <w:rsids>
    <w:rsidRoot w:val="00F34B14"/>
    <w:rsid w:val="00000672"/>
    <w:rsid w:val="00001013"/>
    <w:rsid w:val="00001799"/>
    <w:rsid w:val="00001AF2"/>
    <w:rsid w:val="00001ECA"/>
    <w:rsid w:val="00002D29"/>
    <w:rsid w:val="00002EAF"/>
    <w:rsid w:val="00003B93"/>
    <w:rsid w:val="0000474D"/>
    <w:rsid w:val="00005FDF"/>
    <w:rsid w:val="00006851"/>
    <w:rsid w:val="000070B3"/>
    <w:rsid w:val="000076B8"/>
    <w:rsid w:val="000109DC"/>
    <w:rsid w:val="00010D39"/>
    <w:rsid w:val="0001172C"/>
    <w:rsid w:val="00011BC9"/>
    <w:rsid w:val="00012854"/>
    <w:rsid w:val="00012EA6"/>
    <w:rsid w:val="00013359"/>
    <w:rsid w:val="000139CF"/>
    <w:rsid w:val="00013AA4"/>
    <w:rsid w:val="00013DFE"/>
    <w:rsid w:val="000141EA"/>
    <w:rsid w:val="00014CA1"/>
    <w:rsid w:val="00016ABC"/>
    <w:rsid w:val="00016DE6"/>
    <w:rsid w:val="000177DB"/>
    <w:rsid w:val="000179C9"/>
    <w:rsid w:val="00017CCC"/>
    <w:rsid w:val="00020227"/>
    <w:rsid w:val="00020263"/>
    <w:rsid w:val="00020455"/>
    <w:rsid w:val="00020813"/>
    <w:rsid w:val="000220B2"/>
    <w:rsid w:val="0002264C"/>
    <w:rsid w:val="00022731"/>
    <w:rsid w:val="00022792"/>
    <w:rsid w:val="00024463"/>
    <w:rsid w:val="00024E1C"/>
    <w:rsid w:val="00025461"/>
    <w:rsid w:val="00025636"/>
    <w:rsid w:val="00025E36"/>
    <w:rsid w:val="00026855"/>
    <w:rsid w:val="00026886"/>
    <w:rsid w:val="0002785D"/>
    <w:rsid w:val="000307BE"/>
    <w:rsid w:val="000313DC"/>
    <w:rsid w:val="000329E0"/>
    <w:rsid w:val="000352E9"/>
    <w:rsid w:val="00035494"/>
    <w:rsid w:val="00036125"/>
    <w:rsid w:val="000365AC"/>
    <w:rsid w:val="00036A07"/>
    <w:rsid w:val="00036C95"/>
    <w:rsid w:val="0003780B"/>
    <w:rsid w:val="00040571"/>
    <w:rsid w:val="00040973"/>
    <w:rsid w:val="0004156E"/>
    <w:rsid w:val="00041713"/>
    <w:rsid w:val="00041C18"/>
    <w:rsid w:val="00044263"/>
    <w:rsid w:val="0004440C"/>
    <w:rsid w:val="000451F1"/>
    <w:rsid w:val="00046B5E"/>
    <w:rsid w:val="000470CB"/>
    <w:rsid w:val="000479FF"/>
    <w:rsid w:val="000509D9"/>
    <w:rsid w:val="000512AF"/>
    <w:rsid w:val="00051ACB"/>
    <w:rsid w:val="000533E7"/>
    <w:rsid w:val="00055D41"/>
    <w:rsid w:val="00056EF6"/>
    <w:rsid w:val="00057CD6"/>
    <w:rsid w:val="00060DCE"/>
    <w:rsid w:val="000610E3"/>
    <w:rsid w:val="000614F3"/>
    <w:rsid w:val="000623B4"/>
    <w:rsid w:val="00062405"/>
    <w:rsid w:val="00062B42"/>
    <w:rsid w:val="000634A7"/>
    <w:rsid w:val="00063B0B"/>
    <w:rsid w:val="00063F81"/>
    <w:rsid w:val="00064847"/>
    <w:rsid w:val="00064F97"/>
    <w:rsid w:val="00065E08"/>
    <w:rsid w:val="000673E2"/>
    <w:rsid w:val="0007027E"/>
    <w:rsid w:val="0007063F"/>
    <w:rsid w:val="000707FD"/>
    <w:rsid w:val="00070949"/>
    <w:rsid w:val="000711E4"/>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71"/>
    <w:rsid w:val="00083B91"/>
    <w:rsid w:val="0008473C"/>
    <w:rsid w:val="0008520B"/>
    <w:rsid w:val="000857DE"/>
    <w:rsid w:val="000860BD"/>
    <w:rsid w:val="0008694B"/>
    <w:rsid w:val="000871B8"/>
    <w:rsid w:val="00087B0A"/>
    <w:rsid w:val="000904D2"/>
    <w:rsid w:val="000916DA"/>
    <w:rsid w:val="00092442"/>
    <w:rsid w:val="000929EF"/>
    <w:rsid w:val="00092C26"/>
    <w:rsid w:val="000933BE"/>
    <w:rsid w:val="0009560F"/>
    <w:rsid w:val="0009588E"/>
    <w:rsid w:val="000959EE"/>
    <w:rsid w:val="00096DB9"/>
    <w:rsid w:val="00097183"/>
    <w:rsid w:val="000972CB"/>
    <w:rsid w:val="00097608"/>
    <w:rsid w:val="000A1175"/>
    <w:rsid w:val="000A13F3"/>
    <w:rsid w:val="000A23B1"/>
    <w:rsid w:val="000A2B0E"/>
    <w:rsid w:val="000A398F"/>
    <w:rsid w:val="000A448C"/>
    <w:rsid w:val="000A509C"/>
    <w:rsid w:val="000A54A7"/>
    <w:rsid w:val="000A5712"/>
    <w:rsid w:val="000A6007"/>
    <w:rsid w:val="000A65A6"/>
    <w:rsid w:val="000A70E3"/>
    <w:rsid w:val="000A7275"/>
    <w:rsid w:val="000A7A12"/>
    <w:rsid w:val="000A7A72"/>
    <w:rsid w:val="000B1202"/>
    <w:rsid w:val="000B13B8"/>
    <w:rsid w:val="000B1801"/>
    <w:rsid w:val="000B1D0C"/>
    <w:rsid w:val="000B2273"/>
    <w:rsid w:val="000B2BC6"/>
    <w:rsid w:val="000B2D03"/>
    <w:rsid w:val="000B37F2"/>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320C"/>
    <w:rsid w:val="000D341C"/>
    <w:rsid w:val="000D411D"/>
    <w:rsid w:val="000D4589"/>
    <w:rsid w:val="000D4809"/>
    <w:rsid w:val="000D73DD"/>
    <w:rsid w:val="000E1C51"/>
    <w:rsid w:val="000E28AB"/>
    <w:rsid w:val="000E2E3E"/>
    <w:rsid w:val="000E310E"/>
    <w:rsid w:val="000E3583"/>
    <w:rsid w:val="000E370E"/>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820"/>
    <w:rsid w:val="00101D1B"/>
    <w:rsid w:val="00102676"/>
    <w:rsid w:val="001029C1"/>
    <w:rsid w:val="00103646"/>
    <w:rsid w:val="00103918"/>
    <w:rsid w:val="00104897"/>
    <w:rsid w:val="00104EDE"/>
    <w:rsid w:val="00105CDA"/>
    <w:rsid w:val="00106BEE"/>
    <w:rsid w:val="0010711C"/>
    <w:rsid w:val="00107BDF"/>
    <w:rsid w:val="00107C74"/>
    <w:rsid w:val="0011091C"/>
    <w:rsid w:val="00111266"/>
    <w:rsid w:val="001112EB"/>
    <w:rsid w:val="0011247D"/>
    <w:rsid w:val="00112FFB"/>
    <w:rsid w:val="00113678"/>
    <w:rsid w:val="00113A7D"/>
    <w:rsid w:val="00113C3E"/>
    <w:rsid w:val="00115132"/>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1C"/>
    <w:rsid w:val="00136445"/>
    <w:rsid w:val="00137389"/>
    <w:rsid w:val="00140132"/>
    <w:rsid w:val="00141C9C"/>
    <w:rsid w:val="001424DE"/>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342"/>
    <w:rsid w:val="00154518"/>
    <w:rsid w:val="00155512"/>
    <w:rsid w:val="00156303"/>
    <w:rsid w:val="00156359"/>
    <w:rsid w:val="00156DD6"/>
    <w:rsid w:val="0016086E"/>
    <w:rsid w:val="00160D0C"/>
    <w:rsid w:val="00160DD1"/>
    <w:rsid w:val="00161172"/>
    <w:rsid w:val="00161998"/>
    <w:rsid w:val="00161E65"/>
    <w:rsid w:val="00162597"/>
    <w:rsid w:val="001629AF"/>
    <w:rsid w:val="001629FD"/>
    <w:rsid w:val="001630EF"/>
    <w:rsid w:val="0016428A"/>
    <w:rsid w:val="001647C9"/>
    <w:rsid w:val="00165627"/>
    <w:rsid w:val="00165987"/>
    <w:rsid w:val="001661A3"/>
    <w:rsid w:val="00167226"/>
    <w:rsid w:val="001677C9"/>
    <w:rsid w:val="0016782B"/>
    <w:rsid w:val="0016784D"/>
    <w:rsid w:val="00167853"/>
    <w:rsid w:val="00167887"/>
    <w:rsid w:val="001720EF"/>
    <w:rsid w:val="00172CA8"/>
    <w:rsid w:val="00173256"/>
    <w:rsid w:val="00173B0E"/>
    <w:rsid w:val="00173E03"/>
    <w:rsid w:val="001747F4"/>
    <w:rsid w:val="0017512C"/>
    <w:rsid w:val="001756AF"/>
    <w:rsid w:val="0017586A"/>
    <w:rsid w:val="00175BA6"/>
    <w:rsid w:val="00175FDC"/>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3CA5"/>
    <w:rsid w:val="00193FD7"/>
    <w:rsid w:val="00195424"/>
    <w:rsid w:val="001955FF"/>
    <w:rsid w:val="00197EDD"/>
    <w:rsid w:val="001A02B3"/>
    <w:rsid w:val="001A04BB"/>
    <w:rsid w:val="001A08D0"/>
    <w:rsid w:val="001A0E82"/>
    <w:rsid w:val="001A1B39"/>
    <w:rsid w:val="001A2120"/>
    <w:rsid w:val="001A2256"/>
    <w:rsid w:val="001A28C6"/>
    <w:rsid w:val="001A2E69"/>
    <w:rsid w:val="001A30F7"/>
    <w:rsid w:val="001A3C34"/>
    <w:rsid w:val="001A3EDE"/>
    <w:rsid w:val="001A4222"/>
    <w:rsid w:val="001A50EA"/>
    <w:rsid w:val="001A5E24"/>
    <w:rsid w:val="001A624D"/>
    <w:rsid w:val="001A6795"/>
    <w:rsid w:val="001A6B27"/>
    <w:rsid w:val="001A6D8B"/>
    <w:rsid w:val="001A6DAA"/>
    <w:rsid w:val="001A7717"/>
    <w:rsid w:val="001A793A"/>
    <w:rsid w:val="001B125A"/>
    <w:rsid w:val="001B1EBA"/>
    <w:rsid w:val="001B2142"/>
    <w:rsid w:val="001B2C23"/>
    <w:rsid w:val="001B2F2B"/>
    <w:rsid w:val="001B327A"/>
    <w:rsid w:val="001B35DE"/>
    <w:rsid w:val="001B3A13"/>
    <w:rsid w:val="001B3F5C"/>
    <w:rsid w:val="001B57C9"/>
    <w:rsid w:val="001B59FF"/>
    <w:rsid w:val="001B6512"/>
    <w:rsid w:val="001B65D7"/>
    <w:rsid w:val="001B6752"/>
    <w:rsid w:val="001B6768"/>
    <w:rsid w:val="001B6F1F"/>
    <w:rsid w:val="001B79E3"/>
    <w:rsid w:val="001B7ECC"/>
    <w:rsid w:val="001C025B"/>
    <w:rsid w:val="001C115F"/>
    <w:rsid w:val="001C1EAB"/>
    <w:rsid w:val="001C25A7"/>
    <w:rsid w:val="001C318C"/>
    <w:rsid w:val="001C35C4"/>
    <w:rsid w:val="001C4287"/>
    <w:rsid w:val="001C4479"/>
    <w:rsid w:val="001C5190"/>
    <w:rsid w:val="001C6081"/>
    <w:rsid w:val="001C73EB"/>
    <w:rsid w:val="001C7B48"/>
    <w:rsid w:val="001C7CFB"/>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2FDF"/>
    <w:rsid w:val="001F3356"/>
    <w:rsid w:val="001F3C63"/>
    <w:rsid w:val="001F4460"/>
    <w:rsid w:val="001F711A"/>
    <w:rsid w:val="001F75B0"/>
    <w:rsid w:val="0020057C"/>
    <w:rsid w:val="002008A0"/>
    <w:rsid w:val="00200CE5"/>
    <w:rsid w:val="00200F7C"/>
    <w:rsid w:val="002014DB"/>
    <w:rsid w:val="0020150B"/>
    <w:rsid w:val="00201E12"/>
    <w:rsid w:val="00202295"/>
    <w:rsid w:val="002033B5"/>
    <w:rsid w:val="0020382C"/>
    <w:rsid w:val="00203FBD"/>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0A95"/>
    <w:rsid w:val="0022107B"/>
    <w:rsid w:val="00223DDB"/>
    <w:rsid w:val="00223FA4"/>
    <w:rsid w:val="00223FB0"/>
    <w:rsid w:val="00224067"/>
    <w:rsid w:val="0022421C"/>
    <w:rsid w:val="00224C4A"/>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AEF"/>
    <w:rsid w:val="00240D75"/>
    <w:rsid w:val="002415AE"/>
    <w:rsid w:val="00241D3C"/>
    <w:rsid w:val="00242109"/>
    <w:rsid w:val="00243189"/>
    <w:rsid w:val="002439AB"/>
    <w:rsid w:val="00243C19"/>
    <w:rsid w:val="00244AE8"/>
    <w:rsid w:val="00244DC9"/>
    <w:rsid w:val="00245587"/>
    <w:rsid w:val="002459B4"/>
    <w:rsid w:val="00245F2B"/>
    <w:rsid w:val="002466CD"/>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57C5D"/>
    <w:rsid w:val="002603C1"/>
    <w:rsid w:val="002609A1"/>
    <w:rsid w:val="002612B1"/>
    <w:rsid w:val="00263BBE"/>
    <w:rsid w:val="00266165"/>
    <w:rsid w:val="00266F2C"/>
    <w:rsid w:val="0027125E"/>
    <w:rsid w:val="00271767"/>
    <w:rsid w:val="00272293"/>
    <w:rsid w:val="002723C8"/>
    <w:rsid w:val="00273C2A"/>
    <w:rsid w:val="00273CBE"/>
    <w:rsid w:val="002746B1"/>
    <w:rsid w:val="00274BAD"/>
    <w:rsid w:val="002756BF"/>
    <w:rsid w:val="00282D56"/>
    <w:rsid w:val="0028352B"/>
    <w:rsid w:val="002835B0"/>
    <w:rsid w:val="00283BD5"/>
    <w:rsid w:val="00283C74"/>
    <w:rsid w:val="0028407E"/>
    <w:rsid w:val="0028410F"/>
    <w:rsid w:val="00284572"/>
    <w:rsid w:val="002850AA"/>
    <w:rsid w:val="00285221"/>
    <w:rsid w:val="00286FB5"/>
    <w:rsid w:val="00287763"/>
    <w:rsid w:val="00290606"/>
    <w:rsid w:val="002909B2"/>
    <w:rsid w:val="0029198B"/>
    <w:rsid w:val="00291D6D"/>
    <w:rsid w:val="00291FF1"/>
    <w:rsid w:val="00292AA2"/>
    <w:rsid w:val="00293361"/>
    <w:rsid w:val="00294F10"/>
    <w:rsid w:val="002952B1"/>
    <w:rsid w:val="00295D11"/>
    <w:rsid w:val="00296FB6"/>
    <w:rsid w:val="002A0001"/>
    <w:rsid w:val="002A0BD9"/>
    <w:rsid w:val="002A0C3A"/>
    <w:rsid w:val="002A0DF8"/>
    <w:rsid w:val="002A1130"/>
    <w:rsid w:val="002A1880"/>
    <w:rsid w:val="002A23B7"/>
    <w:rsid w:val="002A3A57"/>
    <w:rsid w:val="002A4B4F"/>
    <w:rsid w:val="002A500F"/>
    <w:rsid w:val="002A57A8"/>
    <w:rsid w:val="002A6DEF"/>
    <w:rsid w:val="002A770B"/>
    <w:rsid w:val="002B013E"/>
    <w:rsid w:val="002B058D"/>
    <w:rsid w:val="002B0C16"/>
    <w:rsid w:val="002B2AC5"/>
    <w:rsid w:val="002B3528"/>
    <w:rsid w:val="002B3539"/>
    <w:rsid w:val="002B4532"/>
    <w:rsid w:val="002B5042"/>
    <w:rsid w:val="002B69CC"/>
    <w:rsid w:val="002B6D71"/>
    <w:rsid w:val="002C03AE"/>
    <w:rsid w:val="002C0C1C"/>
    <w:rsid w:val="002C17CB"/>
    <w:rsid w:val="002C40E2"/>
    <w:rsid w:val="002C53AD"/>
    <w:rsid w:val="002C54C2"/>
    <w:rsid w:val="002C5D34"/>
    <w:rsid w:val="002C60BB"/>
    <w:rsid w:val="002C661A"/>
    <w:rsid w:val="002C71F0"/>
    <w:rsid w:val="002D0D6F"/>
    <w:rsid w:val="002D25FC"/>
    <w:rsid w:val="002D4AC6"/>
    <w:rsid w:val="002D5BF5"/>
    <w:rsid w:val="002D5EE8"/>
    <w:rsid w:val="002D7018"/>
    <w:rsid w:val="002D7360"/>
    <w:rsid w:val="002D7648"/>
    <w:rsid w:val="002D7C80"/>
    <w:rsid w:val="002E109C"/>
    <w:rsid w:val="002E193E"/>
    <w:rsid w:val="002E1A94"/>
    <w:rsid w:val="002E1D55"/>
    <w:rsid w:val="002E26C4"/>
    <w:rsid w:val="002E2734"/>
    <w:rsid w:val="002E30A5"/>
    <w:rsid w:val="002E4443"/>
    <w:rsid w:val="002E47E4"/>
    <w:rsid w:val="002E4BF9"/>
    <w:rsid w:val="002E4D61"/>
    <w:rsid w:val="002E6413"/>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CCB"/>
    <w:rsid w:val="00302EFC"/>
    <w:rsid w:val="00303243"/>
    <w:rsid w:val="00303BCC"/>
    <w:rsid w:val="00303F2B"/>
    <w:rsid w:val="00303F8D"/>
    <w:rsid w:val="00304840"/>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7BA7"/>
    <w:rsid w:val="00320BE2"/>
    <w:rsid w:val="00321886"/>
    <w:rsid w:val="00321EDC"/>
    <w:rsid w:val="00323694"/>
    <w:rsid w:val="00323BE7"/>
    <w:rsid w:val="00324C3A"/>
    <w:rsid w:val="00324D63"/>
    <w:rsid w:val="003255AF"/>
    <w:rsid w:val="003256EB"/>
    <w:rsid w:val="003259DB"/>
    <w:rsid w:val="00327E56"/>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E38"/>
    <w:rsid w:val="00342F99"/>
    <w:rsid w:val="0034575A"/>
    <w:rsid w:val="00345F57"/>
    <w:rsid w:val="00346A51"/>
    <w:rsid w:val="0034727B"/>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39D4"/>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3F7"/>
    <w:rsid w:val="00390429"/>
    <w:rsid w:val="00390666"/>
    <w:rsid w:val="003906A0"/>
    <w:rsid w:val="00391E03"/>
    <w:rsid w:val="003931AF"/>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A61"/>
    <w:rsid w:val="003B0B6A"/>
    <w:rsid w:val="003B22F7"/>
    <w:rsid w:val="003B29CF"/>
    <w:rsid w:val="003B3A90"/>
    <w:rsid w:val="003B3D01"/>
    <w:rsid w:val="003B534F"/>
    <w:rsid w:val="003B751E"/>
    <w:rsid w:val="003B7A79"/>
    <w:rsid w:val="003C0FE1"/>
    <w:rsid w:val="003C151A"/>
    <w:rsid w:val="003C2923"/>
    <w:rsid w:val="003C350C"/>
    <w:rsid w:val="003C3903"/>
    <w:rsid w:val="003C3BA0"/>
    <w:rsid w:val="003C4580"/>
    <w:rsid w:val="003C5658"/>
    <w:rsid w:val="003C5C5E"/>
    <w:rsid w:val="003C6746"/>
    <w:rsid w:val="003C7555"/>
    <w:rsid w:val="003C7898"/>
    <w:rsid w:val="003C7B16"/>
    <w:rsid w:val="003D0FF5"/>
    <w:rsid w:val="003D104E"/>
    <w:rsid w:val="003D11A3"/>
    <w:rsid w:val="003D1537"/>
    <w:rsid w:val="003D183C"/>
    <w:rsid w:val="003D2D1B"/>
    <w:rsid w:val="003D48C7"/>
    <w:rsid w:val="003D4C27"/>
    <w:rsid w:val="003D7109"/>
    <w:rsid w:val="003D7C75"/>
    <w:rsid w:val="003D7CE8"/>
    <w:rsid w:val="003E0514"/>
    <w:rsid w:val="003E1032"/>
    <w:rsid w:val="003E12C8"/>
    <w:rsid w:val="003E1904"/>
    <w:rsid w:val="003E1E29"/>
    <w:rsid w:val="003E285E"/>
    <w:rsid w:val="003E3124"/>
    <w:rsid w:val="003E3300"/>
    <w:rsid w:val="003E43D3"/>
    <w:rsid w:val="003E458E"/>
    <w:rsid w:val="003E48E1"/>
    <w:rsid w:val="003E50F4"/>
    <w:rsid w:val="003E59BB"/>
    <w:rsid w:val="003E6225"/>
    <w:rsid w:val="003E65AC"/>
    <w:rsid w:val="003E66AE"/>
    <w:rsid w:val="003E72B9"/>
    <w:rsid w:val="003E7612"/>
    <w:rsid w:val="003E7ED4"/>
    <w:rsid w:val="003F0E52"/>
    <w:rsid w:val="003F0EA2"/>
    <w:rsid w:val="003F0F6B"/>
    <w:rsid w:val="003F1FC6"/>
    <w:rsid w:val="003F1FE3"/>
    <w:rsid w:val="003F2359"/>
    <w:rsid w:val="003F3232"/>
    <w:rsid w:val="003F3865"/>
    <w:rsid w:val="003F38AC"/>
    <w:rsid w:val="003F3D55"/>
    <w:rsid w:val="003F44E2"/>
    <w:rsid w:val="003F4632"/>
    <w:rsid w:val="003F47BA"/>
    <w:rsid w:val="003F4FE6"/>
    <w:rsid w:val="003F5638"/>
    <w:rsid w:val="003F59E9"/>
    <w:rsid w:val="003F6617"/>
    <w:rsid w:val="00402332"/>
    <w:rsid w:val="004025C2"/>
    <w:rsid w:val="00403195"/>
    <w:rsid w:val="004033A9"/>
    <w:rsid w:val="00403E55"/>
    <w:rsid w:val="0040407C"/>
    <w:rsid w:val="0040416C"/>
    <w:rsid w:val="00404681"/>
    <w:rsid w:val="00405445"/>
    <w:rsid w:val="00405AC1"/>
    <w:rsid w:val="00406923"/>
    <w:rsid w:val="00407198"/>
    <w:rsid w:val="0040763D"/>
    <w:rsid w:val="00410D17"/>
    <w:rsid w:val="00410EBA"/>
    <w:rsid w:val="00412039"/>
    <w:rsid w:val="00412AA9"/>
    <w:rsid w:val="00413442"/>
    <w:rsid w:val="00413821"/>
    <w:rsid w:val="00413BA5"/>
    <w:rsid w:val="004141A3"/>
    <w:rsid w:val="0041421A"/>
    <w:rsid w:val="00414909"/>
    <w:rsid w:val="0041582F"/>
    <w:rsid w:val="00416112"/>
    <w:rsid w:val="00417AE0"/>
    <w:rsid w:val="00417BAA"/>
    <w:rsid w:val="0042042B"/>
    <w:rsid w:val="00420B45"/>
    <w:rsid w:val="00420D7A"/>
    <w:rsid w:val="00421257"/>
    <w:rsid w:val="00422193"/>
    <w:rsid w:val="004223DE"/>
    <w:rsid w:val="00422A10"/>
    <w:rsid w:val="00424D17"/>
    <w:rsid w:val="00425BC0"/>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779"/>
    <w:rsid w:val="004360C8"/>
    <w:rsid w:val="00436823"/>
    <w:rsid w:val="004371D5"/>
    <w:rsid w:val="0044006B"/>
    <w:rsid w:val="0044033F"/>
    <w:rsid w:val="00440630"/>
    <w:rsid w:val="00440B89"/>
    <w:rsid w:val="00441F0F"/>
    <w:rsid w:val="00442965"/>
    <w:rsid w:val="004432B6"/>
    <w:rsid w:val="00444157"/>
    <w:rsid w:val="0044417C"/>
    <w:rsid w:val="0044433F"/>
    <w:rsid w:val="00444DB3"/>
    <w:rsid w:val="00445617"/>
    <w:rsid w:val="00445A2F"/>
    <w:rsid w:val="0044684E"/>
    <w:rsid w:val="00446F22"/>
    <w:rsid w:val="0045019F"/>
    <w:rsid w:val="00450320"/>
    <w:rsid w:val="004503A4"/>
    <w:rsid w:val="0045052E"/>
    <w:rsid w:val="00450555"/>
    <w:rsid w:val="004506FA"/>
    <w:rsid w:val="00450DC6"/>
    <w:rsid w:val="004516A5"/>
    <w:rsid w:val="00451753"/>
    <w:rsid w:val="00451E9C"/>
    <w:rsid w:val="0045226B"/>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39AD"/>
    <w:rsid w:val="00464AB7"/>
    <w:rsid w:val="00465DE5"/>
    <w:rsid w:val="00467EF8"/>
    <w:rsid w:val="00472429"/>
    <w:rsid w:val="004725E5"/>
    <w:rsid w:val="00472751"/>
    <w:rsid w:val="00473128"/>
    <w:rsid w:val="00475078"/>
    <w:rsid w:val="00475767"/>
    <w:rsid w:val="004761F7"/>
    <w:rsid w:val="004779A0"/>
    <w:rsid w:val="004808E3"/>
    <w:rsid w:val="00481016"/>
    <w:rsid w:val="0048204C"/>
    <w:rsid w:val="004821BB"/>
    <w:rsid w:val="0048237A"/>
    <w:rsid w:val="00482698"/>
    <w:rsid w:val="004826FE"/>
    <w:rsid w:val="004827D5"/>
    <w:rsid w:val="00482AF2"/>
    <w:rsid w:val="004830C9"/>
    <w:rsid w:val="00483347"/>
    <w:rsid w:val="00483E2E"/>
    <w:rsid w:val="00484B69"/>
    <w:rsid w:val="00485406"/>
    <w:rsid w:val="004855ED"/>
    <w:rsid w:val="0048590F"/>
    <w:rsid w:val="00486D60"/>
    <w:rsid w:val="00491049"/>
    <w:rsid w:val="00491FA1"/>
    <w:rsid w:val="00492A25"/>
    <w:rsid w:val="004938A3"/>
    <w:rsid w:val="0049558B"/>
    <w:rsid w:val="00496350"/>
    <w:rsid w:val="0049797C"/>
    <w:rsid w:val="004A0DAD"/>
    <w:rsid w:val="004A1405"/>
    <w:rsid w:val="004A1FC6"/>
    <w:rsid w:val="004A2E5F"/>
    <w:rsid w:val="004A38C2"/>
    <w:rsid w:val="004A3C03"/>
    <w:rsid w:val="004A3DB7"/>
    <w:rsid w:val="004A463B"/>
    <w:rsid w:val="004A5088"/>
    <w:rsid w:val="004A5255"/>
    <w:rsid w:val="004A6CB0"/>
    <w:rsid w:val="004A70FF"/>
    <w:rsid w:val="004A7EDE"/>
    <w:rsid w:val="004B0D93"/>
    <w:rsid w:val="004B1FA4"/>
    <w:rsid w:val="004B23EC"/>
    <w:rsid w:val="004B29AC"/>
    <w:rsid w:val="004B35DF"/>
    <w:rsid w:val="004B3627"/>
    <w:rsid w:val="004B4922"/>
    <w:rsid w:val="004B57DF"/>
    <w:rsid w:val="004B5976"/>
    <w:rsid w:val="004B60F7"/>
    <w:rsid w:val="004B6A0C"/>
    <w:rsid w:val="004B722E"/>
    <w:rsid w:val="004B72E8"/>
    <w:rsid w:val="004C01A5"/>
    <w:rsid w:val="004C0412"/>
    <w:rsid w:val="004C2138"/>
    <w:rsid w:val="004C3940"/>
    <w:rsid w:val="004C51FD"/>
    <w:rsid w:val="004C65A8"/>
    <w:rsid w:val="004C6689"/>
    <w:rsid w:val="004C691F"/>
    <w:rsid w:val="004D139A"/>
    <w:rsid w:val="004D14DC"/>
    <w:rsid w:val="004D17C6"/>
    <w:rsid w:val="004D2858"/>
    <w:rsid w:val="004D2E49"/>
    <w:rsid w:val="004D35BA"/>
    <w:rsid w:val="004D38E5"/>
    <w:rsid w:val="004D3C5A"/>
    <w:rsid w:val="004D449A"/>
    <w:rsid w:val="004D4701"/>
    <w:rsid w:val="004D47C7"/>
    <w:rsid w:val="004D4AD8"/>
    <w:rsid w:val="004D4B2B"/>
    <w:rsid w:val="004D4F35"/>
    <w:rsid w:val="004D51EE"/>
    <w:rsid w:val="004D5D45"/>
    <w:rsid w:val="004D618D"/>
    <w:rsid w:val="004D62A9"/>
    <w:rsid w:val="004D6FC3"/>
    <w:rsid w:val="004D7476"/>
    <w:rsid w:val="004D7716"/>
    <w:rsid w:val="004E0306"/>
    <w:rsid w:val="004E0572"/>
    <w:rsid w:val="004E1641"/>
    <w:rsid w:val="004E1686"/>
    <w:rsid w:val="004E1818"/>
    <w:rsid w:val="004E1990"/>
    <w:rsid w:val="004E25A8"/>
    <w:rsid w:val="004E3930"/>
    <w:rsid w:val="004E3ED9"/>
    <w:rsid w:val="004E5866"/>
    <w:rsid w:val="004E6097"/>
    <w:rsid w:val="004E61EF"/>
    <w:rsid w:val="004E63C6"/>
    <w:rsid w:val="004E67AC"/>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05DE"/>
    <w:rsid w:val="005113C9"/>
    <w:rsid w:val="00512050"/>
    <w:rsid w:val="00512055"/>
    <w:rsid w:val="0051280C"/>
    <w:rsid w:val="00512842"/>
    <w:rsid w:val="005128BE"/>
    <w:rsid w:val="0051356F"/>
    <w:rsid w:val="00513E7C"/>
    <w:rsid w:val="005140BB"/>
    <w:rsid w:val="005142C6"/>
    <w:rsid w:val="00514FBE"/>
    <w:rsid w:val="00514FD9"/>
    <w:rsid w:val="0051550A"/>
    <w:rsid w:val="0051608F"/>
    <w:rsid w:val="00516480"/>
    <w:rsid w:val="00520815"/>
    <w:rsid w:val="00520843"/>
    <w:rsid w:val="00520EF8"/>
    <w:rsid w:val="005210F7"/>
    <w:rsid w:val="00521753"/>
    <w:rsid w:val="00521F1C"/>
    <w:rsid w:val="0052239D"/>
    <w:rsid w:val="005224EE"/>
    <w:rsid w:val="00522879"/>
    <w:rsid w:val="00523BB1"/>
    <w:rsid w:val="00524B23"/>
    <w:rsid w:val="0052570E"/>
    <w:rsid w:val="005260CD"/>
    <w:rsid w:val="00526265"/>
    <w:rsid w:val="0052655D"/>
    <w:rsid w:val="005265E0"/>
    <w:rsid w:val="00526BC3"/>
    <w:rsid w:val="00531761"/>
    <w:rsid w:val="0053248F"/>
    <w:rsid w:val="00532561"/>
    <w:rsid w:val="005327AB"/>
    <w:rsid w:val="00532AB8"/>
    <w:rsid w:val="00532D98"/>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E5A"/>
    <w:rsid w:val="0054358E"/>
    <w:rsid w:val="00543AF4"/>
    <w:rsid w:val="00543F53"/>
    <w:rsid w:val="00544191"/>
    <w:rsid w:val="0054440C"/>
    <w:rsid w:val="005448EC"/>
    <w:rsid w:val="00544C0A"/>
    <w:rsid w:val="00544F39"/>
    <w:rsid w:val="005457FB"/>
    <w:rsid w:val="005458CD"/>
    <w:rsid w:val="00546F90"/>
    <w:rsid w:val="00547EFB"/>
    <w:rsid w:val="005522F2"/>
    <w:rsid w:val="005531DF"/>
    <w:rsid w:val="00553874"/>
    <w:rsid w:val="00554577"/>
    <w:rsid w:val="00554AD8"/>
    <w:rsid w:val="00554F78"/>
    <w:rsid w:val="00555DA1"/>
    <w:rsid w:val="00556366"/>
    <w:rsid w:val="005565DF"/>
    <w:rsid w:val="00556BF7"/>
    <w:rsid w:val="00556E53"/>
    <w:rsid w:val="00557F60"/>
    <w:rsid w:val="00561730"/>
    <w:rsid w:val="00561B97"/>
    <w:rsid w:val="00562149"/>
    <w:rsid w:val="005640EB"/>
    <w:rsid w:val="00567B5D"/>
    <w:rsid w:val="00570757"/>
    <w:rsid w:val="00573733"/>
    <w:rsid w:val="00573F8B"/>
    <w:rsid w:val="00574528"/>
    <w:rsid w:val="00574554"/>
    <w:rsid w:val="00574737"/>
    <w:rsid w:val="00574E06"/>
    <w:rsid w:val="005751BB"/>
    <w:rsid w:val="00576089"/>
    <w:rsid w:val="00576415"/>
    <w:rsid w:val="005764B1"/>
    <w:rsid w:val="00576852"/>
    <w:rsid w:val="00576D06"/>
    <w:rsid w:val="005779E4"/>
    <w:rsid w:val="00577A03"/>
    <w:rsid w:val="00580EC7"/>
    <w:rsid w:val="0058289C"/>
    <w:rsid w:val="005835A5"/>
    <w:rsid w:val="005836C7"/>
    <w:rsid w:val="0058408E"/>
    <w:rsid w:val="00585374"/>
    <w:rsid w:val="005854CA"/>
    <w:rsid w:val="00585FAB"/>
    <w:rsid w:val="005901F7"/>
    <w:rsid w:val="00590B77"/>
    <w:rsid w:val="00590D9A"/>
    <w:rsid w:val="005913A3"/>
    <w:rsid w:val="005940D4"/>
    <w:rsid w:val="00594A7B"/>
    <w:rsid w:val="0059580E"/>
    <w:rsid w:val="00595D90"/>
    <w:rsid w:val="00596A6F"/>
    <w:rsid w:val="00596D75"/>
    <w:rsid w:val="00596FCE"/>
    <w:rsid w:val="00597551"/>
    <w:rsid w:val="005A11BC"/>
    <w:rsid w:val="005A11CC"/>
    <w:rsid w:val="005A1525"/>
    <w:rsid w:val="005A1E17"/>
    <w:rsid w:val="005A24EF"/>
    <w:rsid w:val="005A252B"/>
    <w:rsid w:val="005A2A8F"/>
    <w:rsid w:val="005A2FDF"/>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B"/>
    <w:rsid w:val="005C08D0"/>
    <w:rsid w:val="005C1AED"/>
    <w:rsid w:val="005C2136"/>
    <w:rsid w:val="005C2D8A"/>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CA0"/>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572D"/>
    <w:rsid w:val="005F6181"/>
    <w:rsid w:val="005F6338"/>
    <w:rsid w:val="005F6D58"/>
    <w:rsid w:val="005F7383"/>
    <w:rsid w:val="0060058E"/>
    <w:rsid w:val="00602A3C"/>
    <w:rsid w:val="00603EFD"/>
    <w:rsid w:val="0060475B"/>
    <w:rsid w:val="00604BED"/>
    <w:rsid w:val="00604FB6"/>
    <w:rsid w:val="00605387"/>
    <w:rsid w:val="00606302"/>
    <w:rsid w:val="00606D8C"/>
    <w:rsid w:val="006076FD"/>
    <w:rsid w:val="0061143F"/>
    <w:rsid w:val="006114D8"/>
    <w:rsid w:val="00613553"/>
    <w:rsid w:val="00613601"/>
    <w:rsid w:val="00613791"/>
    <w:rsid w:val="00614AF6"/>
    <w:rsid w:val="006150D6"/>
    <w:rsid w:val="00615245"/>
    <w:rsid w:val="0061590D"/>
    <w:rsid w:val="0061732A"/>
    <w:rsid w:val="00617EEE"/>
    <w:rsid w:val="00620A1F"/>
    <w:rsid w:val="0062169D"/>
    <w:rsid w:val="0062181E"/>
    <w:rsid w:val="0062211B"/>
    <w:rsid w:val="00622BB7"/>
    <w:rsid w:val="00622C1E"/>
    <w:rsid w:val="00623389"/>
    <w:rsid w:val="00623DAA"/>
    <w:rsid w:val="00623FAF"/>
    <w:rsid w:val="006265C4"/>
    <w:rsid w:val="0062670C"/>
    <w:rsid w:val="0062678A"/>
    <w:rsid w:val="006270AF"/>
    <w:rsid w:val="006311E2"/>
    <w:rsid w:val="00633C69"/>
    <w:rsid w:val="00634367"/>
    <w:rsid w:val="00640082"/>
    <w:rsid w:val="00640291"/>
    <w:rsid w:val="00640EFE"/>
    <w:rsid w:val="00641D6D"/>
    <w:rsid w:val="00641FAC"/>
    <w:rsid w:val="00643664"/>
    <w:rsid w:val="00643CAA"/>
    <w:rsid w:val="00644F16"/>
    <w:rsid w:val="006453F1"/>
    <w:rsid w:val="006455EB"/>
    <w:rsid w:val="006456C2"/>
    <w:rsid w:val="00645A65"/>
    <w:rsid w:val="006477F0"/>
    <w:rsid w:val="006478E4"/>
    <w:rsid w:val="0065171A"/>
    <w:rsid w:val="00652680"/>
    <w:rsid w:val="00652E4A"/>
    <w:rsid w:val="00653CDE"/>
    <w:rsid w:val="00654585"/>
    <w:rsid w:val="0065566E"/>
    <w:rsid w:val="00655AB6"/>
    <w:rsid w:val="00656061"/>
    <w:rsid w:val="00656281"/>
    <w:rsid w:val="0065636A"/>
    <w:rsid w:val="00657003"/>
    <w:rsid w:val="00660238"/>
    <w:rsid w:val="006602EF"/>
    <w:rsid w:val="00661277"/>
    <w:rsid w:val="006619E0"/>
    <w:rsid w:val="00663AE1"/>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0FB5"/>
    <w:rsid w:val="006911B7"/>
    <w:rsid w:val="00691387"/>
    <w:rsid w:val="0069188E"/>
    <w:rsid w:val="00691974"/>
    <w:rsid w:val="00692BF6"/>
    <w:rsid w:val="00692CE6"/>
    <w:rsid w:val="00693186"/>
    <w:rsid w:val="00693381"/>
    <w:rsid w:val="00693B6C"/>
    <w:rsid w:val="006942AE"/>
    <w:rsid w:val="00695421"/>
    <w:rsid w:val="006956FF"/>
    <w:rsid w:val="00697BD3"/>
    <w:rsid w:val="00697DFA"/>
    <w:rsid w:val="006A16D5"/>
    <w:rsid w:val="006A1772"/>
    <w:rsid w:val="006A1780"/>
    <w:rsid w:val="006A21DD"/>
    <w:rsid w:val="006A26C6"/>
    <w:rsid w:val="006A3302"/>
    <w:rsid w:val="006A3B28"/>
    <w:rsid w:val="006A418C"/>
    <w:rsid w:val="006A4FEE"/>
    <w:rsid w:val="006A5549"/>
    <w:rsid w:val="006A703E"/>
    <w:rsid w:val="006A7BE3"/>
    <w:rsid w:val="006A7D32"/>
    <w:rsid w:val="006B01D1"/>
    <w:rsid w:val="006B0DF4"/>
    <w:rsid w:val="006B16EA"/>
    <w:rsid w:val="006B1780"/>
    <w:rsid w:val="006B224E"/>
    <w:rsid w:val="006B376E"/>
    <w:rsid w:val="006B4589"/>
    <w:rsid w:val="006B4A81"/>
    <w:rsid w:val="006B5157"/>
    <w:rsid w:val="006B610E"/>
    <w:rsid w:val="006B6805"/>
    <w:rsid w:val="006B6C07"/>
    <w:rsid w:val="006B6DE0"/>
    <w:rsid w:val="006C16C3"/>
    <w:rsid w:val="006C2187"/>
    <w:rsid w:val="006C32F4"/>
    <w:rsid w:val="006C3C54"/>
    <w:rsid w:val="006C4B6B"/>
    <w:rsid w:val="006C4CE1"/>
    <w:rsid w:val="006C4F9F"/>
    <w:rsid w:val="006C653C"/>
    <w:rsid w:val="006C71A2"/>
    <w:rsid w:val="006C73EC"/>
    <w:rsid w:val="006C7E3D"/>
    <w:rsid w:val="006D0C1D"/>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D63"/>
    <w:rsid w:val="006E32B0"/>
    <w:rsid w:val="006E348E"/>
    <w:rsid w:val="006E396A"/>
    <w:rsid w:val="006E3D63"/>
    <w:rsid w:val="006E58BF"/>
    <w:rsid w:val="006E5DD8"/>
    <w:rsid w:val="006E5EA1"/>
    <w:rsid w:val="006E6DEE"/>
    <w:rsid w:val="006E7D4B"/>
    <w:rsid w:val="006F0527"/>
    <w:rsid w:val="006F0760"/>
    <w:rsid w:val="006F11E2"/>
    <w:rsid w:val="006F2574"/>
    <w:rsid w:val="006F3231"/>
    <w:rsid w:val="006F3DE3"/>
    <w:rsid w:val="006F4787"/>
    <w:rsid w:val="006F4BE6"/>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1DA"/>
    <w:rsid w:val="007125A2"/>
    <w:rsid w:val="00713DD9"/>
    <w:rsid w:val="00713F79"/>
    <w:rsid w:val="007148A8"/>
    <w:rsid w:val="00716AC8"/>
    <w:rsid w:val="00716E54"/>
    <w:rsid w:val="0072033C"/>
    <w:rsid w:val="00720B1B"/>
    <w:rsid w:val="00720EDC"/>
    <w:rsid w:val="00721062"/>
    <w:rsid w:val="00721E5D"/>
    <w:rsid w:val="007229D4"/>
    <w:rsid w:val="007230F8"/>
    <w:rsid w:val="0072318A"/>
    <w:rsid w:val="007233F4"/>
    <w:rsid w:val="00724044"/>
    <w:rsid w:val="007248D3"/>
    <w:rsid w:val="00724DF8"/>
    <w:rsid w:val="00725137"/>
    <w:rsid w:val="00725378"/>
    <w:rsid w:val="00727A43"/>
    <w:rsid w:val="00727FF2"/>
    <w:rsid w:val="00730550"/>
    <w:rsid w:val="00730C2A"/>
    <w:rsid w:val="00731434"/>
    <w:rsid w:val="00731E59"/>
    <w:rsid w:val="00731F63"/>
    <w:rsid w:val="007323E0"/>
    <w:rsid w:val="00732911"/>
    <w:rsid w:val="00732B4E"/>
    <w:rsid w:val="0073360F"/>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386"/>
    <w:rsid w:val="00747829"/>
    <w:rsid w:val="00747DE2"/>
    <w:rsid w:val="007502D0"/>
    <w:rsid w:val="007504BF"/>
    <w:rsid w:val="007506CD"/>
    <w:rsid w:val="0075267F"/>
    <w:rsid w:val="007526EC"/>
    <w:rsid w:val="00753C48"/>
    <w:rsid w:val="00754250"/>
    <w:rsid w:val="00754FE4"/>
    <w:rsid w:val="00755216"/>
    <w:rsid w:val="00756236"/>
    <w:rsid w:val="00756271"/>
    <w:rsid w:val="00756348"/>
    <w:rsid w:val="0075641E"/>
    <w:rsid w:val="00756521"/>
    <w:rsid w:val="00756AB7"/>
    <w:rsid w:val="00757673"/>
    <w:rsid w:val="0076106D"/>
    <w:rsid w:val="007623FB"/>
    <w:rsid w:val="00762517"/>
    <w:rsid w:val="00763240"/>
    <w:rsid w:val="0076354C"/>
    <w:rsid w:val="0076376A"/>
    <w:rsid w:val="007648AD"/>
    <w:rsid w:val="0076504E"/>
    <w:rsid w:val="00767BFD"/>
    <w:rsid w:val="00767EA0"/>
    <w:rsid w:val="0077068F"/>
    <w:rsid w:val="00771EDF"/>
    <w:rsid w:val="00771FEC"/>
    <w:rsid w:val="007724B4"/>
    <w:rsid w:val="00772A90"/>
    <w:rsid w:val="00772F8D"/>
    <w:rsid w:val="0077408D"/>
    <w:rsid w:val="00774270"/>
    <w:rsid w:val="007743F6"/>
    <w:rsid w:val="00775679"/>
    <w:rsid w:val="0077574F"/>
    <w:rsid w:val="00775823"/>
    <w:rsid w:val="00777153"/>
    <w:rsid w:val="007774D0"/>
    <w:rsid w:val="007775E9"/>
    <w:rsid w:val="007777CC"/>
    <w:rsid w:val="00777B32"/>
    <w:rsid w:val="0078051E"/>
    <w:rsid w:val="00781089"/>
    <w:rsid w:val="00782B6A"/>
    <w:rsid w:val="007834AD"/>
    <w:rsid w:val="007838F3"/>
    <w:rsid w:val="007848C8"/>
    <w:rsid w:val="00785184"/>
    <w:rsid w:val="007856FE"/>
    <w:rsid w:val="00785F46"/>
    <w:rsid w:val="007865F4"/>
    <w:rsid w:val="00786D5C"/>
    <w:rsid w:val="00786E96"/>
    <w:rsid w:val="00787BB6"/>
    <w:rsid w:val="00787DFF"/>
    <w:rsid w:val="00787F93"/>
    <w:rsid w:val="00791E6D"/>
    <w:rsid w:val="00791EB5"/>
    <w:rsid w:val="00793307"/>
    <w:rsid w:val="0079343F"/>
    <w:rsid w:val="00793696"/>
    <w:rsid w:val="007955DA"/>
    <w:rsid w:val="00796F65"/>
    <w:rsid w:val="007A11C2"/>
    <w:rsid w:val="007A18BB"/>
    <w:rsid w:val="007A27DD"/>
    <w:rsid w:val="007A41BF"/>
    <w:rsid w:val="007A490A"/>
    <w:rsid w:val="007A6268"/>
    <w:rsid w:val="007A7B95"/>
    <w:rsid w:val="007B0297"/>
    <w:rsid w:val="007B02FA"/>
    <w:rsid w:val="007B08C7"/>
    <w:rsid w:val="007B0F53"/>
    <w:rsid w:val="007B21AE"/>
    <w:rsid w:val="007B2570"/>
    <w:rsid w:val="007B3113"/>
    <w:rsid w:val="007B3304"/>
    <w:rsid w:val="007B3BF0"/>
    <w:rsid w:val="007B55FE"/>
    <w:rsid w:val="007B7490"/>
    <w:rsid w:val="007C0525"/>
    <w:rsid w:val="007C13F7"/>
    <w:rsid w:val="007C152F"/>
    <w:rsid w:val="007C218D"/>
    <w:rsid w:val="007C2D28"/>
    <w:rsid w:val="007C3E22"/>
    <w:rsid w:val="007C4E19"/>
    <w:rsid w:val="007C58C1"/>
    <w:rsid w:val="007C6218"/>
    <w:rsid w:val="007C6484"/>
    <w:rsid w:val="007C67C6"/>
    <w:rsid w:val="007C78BE"/>
    <w:rsid w:val="007C7A5D"/>
    <w:rsid w:val="007C7E59"/>
    <w:rsid w:val="007D0476"/>
    <w:rsid w:val="007D0B91"/>
    <w:rsid w:val="007D1452"/>
    <w:rsid w:val="007D1563"/>
    <w:rsid w:val="007D1D75"/>
    <w:rsid w:val="007D3DCB"/>
    <w:rsid w:val="007D460C"/>
    <w:rsid w:val="007D4996"/>
    <w:rsid w:val="007D4AD3"/>
    <w:rsid w:val="007D4B4D"/>
    <w:rsid w:val="007D5D19"/>
    <w:rsid w:val="007D5FDC"/>
    <w:rsid w:val="007D6176"/>
    <w:rsid w:val="007D69CD"/>
    <w:rsid w:val="007D6D68"/>
    <w:rsid w:val="007E1D01"/>
    <w:rsid w:val="007E32DA"/>
    <w:rsid w:val="007E4998"/>
    <w:rsid w:val="007E4A9C"/>
    <w:rsid w:val="007E6914"/>
    <w:rsid w:val="007E7F78"/>
    <w:rsid w:val="007F0179"/>
    <w:rsid w:val="007F2C13"/>
    <w:rsid w:val="007F2CEC"/>
    <w:rsid w:val="007F3435"/>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A0B"/>
    <w:rsid w:val="00810BB6"/>
    <w:rsid w:val="00810E1F"/>
    <w:rsid w:val="00810E8E"/>
    <w:rsid w:val="00812C44"/>
    <w:rsid w:val="008135E1"/>
    <w:rsid w:val="00813779"/>
    <w:rsid w:val="00813E26"/>
    <w:rsid w:val="0081481D"/>
    <w:rsid w:val="00814BE8"/>
    <w:rsid w:val="00814F6E"/>
    <w:rsid w:val="00815B84"/>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250"/>
    <w:rsid w:val="008334DB"/>
    <w:rsid w:val="00833B7F"/>
    <w:rsid w:val="00833E8E"/>
    <w:rsid w:val="00834906"/>
    <w:rsid w:val="0083546E"/>
    <w:rsid w:val="00836075"/>
    <w:rsid w:val="00836417"/>
    <w:rsid w:val="00837526"/>
    <w:rsid w:val="00837B5A"/>
    <w:rsid w:val="008407A7"/>
    <w:rsid w:val="0084322B"/>
    <w:rsid w:val="0084341D"/>
    <w:rsid w:val="00843711"/>
    <w:rsid w:val="00843F81"/>
    <w:rsid w:val="00844087"/>
    <w:rsid w:val="008448F1"/>
    <w:rsid w:val="0084519E"/>
    <w:rsid w:val="00845CAE"/>
    <w:rsid w:val="008462C5"/>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07CC"/>
    <w:rsid w:val="00863A8E"/>
    <w:rsid w:val="00863B59"/>
    <w:rsid w:val="00864025"/>
    <w:rsid w:val="0086407F"/>
    <w:rsid w:val="008645E3"/>
    <w:rsid w:val="00864E79"/>
    <w:rsid w:val="0086661F"/>
    <w:rsid w:val="00866A0D"/>
    <w:rsid w:val="00866DB5"/>
    <w:rsid w:val="0086701D"/>
    <w:rsid w:val="0086702B"/>
    <w:rsid w:val="008672E2"/>
    <w:rsid w:val="0086784E"/>
    <w:rsid w:val="0087121C"/>
    <w:rsid w:val="008719D4"/>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16BA"/>
    <w:rsid w:val="00891DEB"/>
    <w:rsid w:val="0089217C"/>
    <w:rsid w:val="00892790"/>
    <w:rsid w:val="00893671"/>
    <w:rsid w:val="00894D50"/>
    <w:rsid w:val="00895838"/>
    <w:rsid w:val="00895A1E"/>
    <w:rsid w:val="00895A72"/>
    <w:rsid w:val="00895CDF"/>
    <w:rsid w:val="00896679"/>
    <w:rsid w:val="00896D8C"/>
    <w:rsid w:val="008A0FC9"/>
    <w:rsid w:val="008A1956"/>
    <w:rsid w:val="008A1A7C"/>
    <w:rsid w:val="008A2CE2"/>
    <w:rsid w:val="008A30EB"/>
    <w:rsid w:val="008A40D3"/>
    <w:rsid w:val="008A469C"/>
    <w:rsid w:val="008A5124"/>
    <w:rsid w:val="008A51D1"/>
    <w:rsid w:val="008A5DCE"/>
    <w:rsid w:val="008A75D3"/>
    <w:rsid w:val="008B04AE"/>
    <w:rsid w:val="008B05DD"/>
    <w:rsid w:val="008B07B8"/>
    <w:rsid w:val="008B17E8"/>
    <w:rsid w:val="008B2E7C"/>
    <w:rsid w:val="008B368E"/>
    <w:rsid w:val="008B399A"/>
    <w:rsid w:val="008B45F0"/>
    <w:rsid w:val="008B4A70"/>
    <w:rsid w:val="008B502F"/>
    <w:rsid w:val="008B6DFC"/>
    <w:rsid w:val="008B7227"/>
    <w:rsid w:val="008B7B00"/>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C7B1D"/>
    <w:rsid w:val="008D1804"/>
    <w:rsid w:val="008D2050"/>
    <w:rsid w:val="008D337B"/>
    <w:rsid w:val="008D3B2D"/>
    <w:rsid w:val="008D58D9"/>
    <w:rsid w:val="008D5AD4"/>
    <w:rsid w:val="008D695E"/>
    <w:rsid w:val="008D6DD5"/>
    <w:rsid w:val="008D6E59"/>
    <w:rsid w:val="008D7155"/>
    <w:rsid w:val="008D76E0"/>
    <w:rsid w:val="008E0B29"/>
    <w:rsid w:val="008E141A"/>
    <w:rsid w:val="008E1A44"/>
    <w:rsid w:val="008E211F"/>
    <w:rsid w:val="008E28E6"/>
    <w:rsid w:val="008E3232"/>
    <w:rsid w:val="008E3674"/>
    <w:rsid w:val="008E3B6C"/>
    <w:rsid w:val="008E3DE7"/>
    <w:rsid w:val="008E5227"/>
    <w:rsid w:val="008E562C"/>
    <w:rsid w:val="008E6540"/>
    <w:rsid w:val="008E77D4"/>
    <w:rsid w:val="008E7ADD"/>
    <w:rsid w:val="008F0869"/>
    <w:rsid w:val="008F091F"/>
    <w:rsid w:val="008F17B2"/>
    <w:rsid w:val="008F22B3"/>
    <w:rsid w:val="008F357B"/>
    <w:rsid w:val="008F44CA"/>
    <w:rsid w:val="008F49D3"/>
    <w:rsid w:val="008F6519"/>
    <w:rsid w:val="008F7012"/>
    <w:rsid w:val="008F7ADA"/>
    <w:rsid w:val="008F7B17"/>
    <w:rsid w:val="00900042"/>
    <w:rsid w:val="0090008E"/>
    <w:rsid w:val="0090034B"/>
    <w:rsid w:val="0090087C"/>
    <w:rsid w:val="00901025"/>
    <w:rsid w:val="00901121"/>
    <w:rsid w:val="00901B35"/>
    <w:rsid w:val="00902623"/>
    <w:rsid w:val="00902A67"/>
    <w:rsid w:val="00902C5E"/>
    <w:rsid w:val="00902F6B"/>
    <w:rsid w:val="00903CF9"/>
    <w:rsid w:val="00904BE4"/>
    <w:rsid w:val="0090504A"/>
    <w:rsid w:val="009051F5"/>
    <w:rsid w:val="00905221"/>
    <w:rsid w:val="00905A7C"/>
    <w:rsid w:val="00905D7E"/>
    <w:rsid w:val="00907037"/>
    <w:rsid w:val="0091112C"/>
    <w:rsid w:val="0091160A"/>
    <w:rsid w:val="0091199D"/>
    <w:rsid w:val="00911B4E"/>
    <w:rsid w:val="00912E04"/>
    <w:rsid w:val="00913258"/>
    <w:rsid w:val="00913851"/>
    <w:rsid w:val="0091389B"/>
    <w:rsid w:val="00913BB0"/>
    <w:rsid w:val="0091456C"/>
    <w:rsid w:val="0091467B"/>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183B"/>
    <w:rsid w:val="009321B1"/>
    <w:rsid w:val="00932ED7"/>
    <w:rsid w:val="0093422D"/>
    <w:rsid w:val="0093483B"/>
    <w:rsid w:val="00934CF9"/>
    <w:rsid w:val="00934DD7"/>
    <w:rsid w:val="00935CB2"/>
    <w:rsid w:val="009369A9"/>
    <w:rsid w:val="00936CF7"/>
    <w:rsid w:val="00937783"/>
    <w:rsid w:val="00937EAD"/>
    <w:rsid w:val="00937F28"/>
    <w:rsid w:val="00940FE1"/>
    <w:rsid w:val="00942306"/>
    <w:rsid w:val="009424B8"/>
    <w:rsid w:val="009432E2"/>
    <w:rsid w:val="00944668"/>
    <w:rsid w:val="00944DC6"/>
    <w:rsid w:val="00944F3C"/>
    <w:rsid w:val="009458B0"/>
    <w:rsid w:val="00945B52"/>
    <w:rsid w:val="00945B7A"/>
    <w:rsid w:val="00945F05"/>
    <w:rsid w:val="00946348"/>
    <w:rsid w:val="009463FF"/>
    <w:rsid w:val="00947224"/>
    <w:rsid w:val="00947797"/>
    <w:rsid w:val="009478A2"/>
    <w:rsid w:val="009533BD"/>
    <w:rsid w:val="00953808"/>
    <w:rsid w:val="009539A6"/>
    <w:rsid w:val="00953CC3"/>
    <w:rsid w:val="00954032"/>
    <w:rsid w:val="00954537"/>
    <w:rsid w:val="0095472D"/>
    <w:rsid w:val="00955342"/>
    <w:rsid w:val="00955FBB"/>
    <w:rsid w:val="0095694B"/>
    <w:rsid w:val="00956BD5"/>
    <w:rsid w:val="00956D84"/>
    <w:rsid w:val="009577B5"/>
    <w:rsid w:val="00957B44"/>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A95"/>
    <w:rsid w:val="00977CD6"/>
    <w:rsid w:val="0098048B"/>
    <w:rsid w:val="00980908"/>
    <w:rsid w:val="00980DF9"/>
    <w:rsid w:val="00981CD8"/>
    <w:rsid w:val="0098243D"/>
    <w:rsid w:val="00982D26"/>
    <w:rsid w:val="00983B6E"/>
    <w:rsid w:val="00983FE5"/>
    <w:rsid w:val="009849E9"/>
    <w:rsid w:val="00984AFF"/>
    <w:rsid w:val="00984E4B"/>
    <w:rsid w:val="009859E4"/>
    <w:rsid w:val="00987812"/>
    <w:rsid w:val="00990225"/>
    <w:rsid w:val="00991307"/>
    <w:rsid w:val="00992A13"/>
    <w:rsid w:val="00994AAD"/>
    <w:rsid w:val="00995150"/>
    <w:rsid w:val="00995475"/>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43A"/>
    <w:rsid w:val="009C079D"/>
    <w:rsid w:val="009C0D70"/>
    <w:rsid w:val="009C13D1"/>
    <w:rsid w:val="009C2913"/>
    <w:rsid w:val="009C2BD4"/>
    <w:rsid w:val="009C3E72"/>
    <w:rsid w:val="009C4AE8"/>
    <w:rsid w:val="009C5AFE"/>
    <w:rsid w:val="009C6606"/>
    <w:rsid w:val="009C6CE5"/>
    <w:rsid w:val="009C6D50"/>
    <w:rsid w:val="009C7547"/>
    <w:rsid w:val="009C779F"/>
    <w:rsid w:val="009D05EC"/>
    <w:rsid w:val="009D18D4"/>
    <w:rsid w:val="009D1A1F"/>
    <w:rsid w:val="009D2F60"/>
    <w:rsid w:val="009D3A2E"/>
    <w:rsid w:val="009D5ADE"/>
    <w:rsid w:val="009D5BAC"/>
    <w:rsid w:val="009D5C56"/>
    <w:rsid w:val="009D6265"/>
    <w:rsid w:val="009D64BD"/>
    <w:rsid w:val="009D6CB1"/>
    <w:rsid w:val="009D7F34"/>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593"/>
    <w:rsid w:val="00A019A8"/>
    <w:rsid w:val="00A01B03"/>
    <w:rsid w:val="00A01B89"/>
    <w:rsid w:val="00A02C66"/>
    <w:rsid w:val="00A02C84"/>
    <w:rsid w:val="00A0464C"/>
    <w:rsid w:val="00A050BB"/>
    <w:rsid w:val="00A0521B"/>
    <w:rsid w:val="00A054E0"/>
    <w:rsid w:val="00A05D91"/>
    <w:rsid w:val="00A0621A"/>
    <w:rsid w:val="00A0740B"/>
    <w:rsid w:val="00A07ED3"/>
    <w:rsid w:val="00A10CA8"/>
    <w:rsid w:val="00A10F9B"/>
    <w:rsid w:val="00A10FA1"/>
    <w:rsid w:val="00A11042"/>
    <w:rsid w:val="00A12579"/>
    <w:rsid w:val="00A12CDC"/>
    <w:rsid w:val="00A133D8"/>
    <w:rsid w:val="00A15655"/>
    <w:rsid w:val="00A160B0"/>
    <w:rsid w:val="00A1740C"/>
    <w:rsid w:val="00A17904"/>
    <w:rsid w:val="00A20069"/>
    <w:rsid w:val="00A2244D"/>
    <w:rsid w:val="00A2253D"/>
    <w:rsid w:val="00A2267F"/>
    <w:rsid w:val="00A22CDB"/>
    <w:rsid w:val="00A23C18"/>
    <w:rsid w:val="00A247B8"/>
    <w:rsid w:val="00A2495A"/>
    <w:rsid w:val="00A24C7A"/>
    <w:rsid w:val="00A24D8F"/>
    <w:rsid w:val="00A25B8B"/>
    <w:rsid w:val="00A266D3"/>
    <w:rsid w:val="00A2689F"/>
    <w:rsid w:val="00A26ECA"/>
    <w:rsid w:val="00A27461"/>
    <w:rsid w:val="00A27B4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BF7"/>
    <w:rsid w:val="00A47ECC"/>
    <w:rsid w:val="00A50171"/>
    <w:rsid w:val="00A504FA"/>
    <w:rsid w:val="00A5102E"/>
    <w:rsid w:val="00A5132E"/>
    <w:rsid w:val="00A51375"/>
    <w:rsid w:val="00A51533"/>
    <w:rsid w:val="00A52D36"/>
    <w:rsid w:val="00A531D4"/>
    <w:rsid w:val="00A54572"/>
    <w:rsid w:val="00A575B8"/>
    <w:rsid w:val="00A61C60"/>
    <w:rsid w:val="00A61ECB"/>
    <w:rsid w:val="00A638A0"/>
    <w:rsid w:val="00A6410C"/>
    <w:rsid w:val="00A647B1"/>
    <w:rsid w:val="00A64DEF"/>
    <w:rsid w:val="00A654D2"/>
    <w:rsid w:val="00A665DF"/>
    <w:rsid w:val="00A6699F"/>
    <w:rsid w:val="00A67FCC"/>
    <w:rsid w:val="00A70AA5"/>
    <w:rsid w:val="00A70C03"/>
    <w:rsid w:val="00A70D0D"/>
    <w:rsid w:val="00A7103D"/>
    <w:rsid w:val="00A71256"/>
    <w:rsid w:val="00A7217B"/>
    <w:rsid w:val="00A73861"/>
    <w:rsid w:val="00A739A6"/>
    <w:rsid w:val="00A740ED"/>
    <w:rsid w:val="00A74C29"/>
    <w:rsid w:val="00A74C62"/>
    <w:rsid w:val="00A75EF9"/>
    <w:rsid w:val="00A7657C"/>
    <w:rsid w:val="00A81592"/>
    <w:rsid w:val="00A82486"/>
    <w:rsid w:val="00A8311C"/>
    <w:rsid w:val="00A835D0"/>
    <w:rsid w:val="00A84C5F"/>
    <w:rsid w:val="00A85930"/>
    <w:rsid w:val="00A863F7"/>
    <w:rsid w:val="00A86604"/>
    <w:rsid w:val="00A87519"/>
    <w:rsid w:val="00A9246D"/>
    <w:rsid w:val="00A92CCA"/>
    <w:rsid w:val="00A92F9F"/>
    <w:rsid w:val="00A93BD0"/>
    <w:rsid w:val="00A93CC2"/>
    <w:rsid w:val="00A94D4B"/>
    <w:rsid w:val="00A974CC"/>
    <w:rsid w:val="00AA2001"/>
    <w:rsid w:val="00AA2B5C"/>
    <w:rsid w:val="00AA32D2"/>
    <w:rsid w:val="00AA3B8B"/>
    <w:rsid w:val="00AA4016"/>
    <w:rsid w:val="00AA4B06"/>
    <w:rsid w:val="00AA4C1F"/>
    <w:rsid w:val="00AA4E80"/>
    <w:rsid w:val="00AA5328"/>
    <w:rsid w:val="00AA5393"/>
    <w:rsid w:val="00AA5D1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B73DC"/>
    <w:rsid w:val="00AC17A2"/>
    <w:rsid w:val="00AC40B7"/>
    <w:rsid w:val="00AC4680"/>
    <w:rsid w:val="00AC516B"/>
    <w:rsid w:val="00AC531F"/>
    <w:rsid w:val="00AC5AAA"/>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10D"/>
    <w:rsid w:val="00AE3297"/>
    <w:rsid w:val="00AE33A6"/>
    <w:rsid w:val="00AE3729"/>
    <w:rsid w:val="00AE4CCE"/>
    <w:rsid w:val="00AE5C6A"/>
    <w:rsid w:val="00AE7280"/>
    <w:rsid w:val="00AF01FA"/>
    <w:rsid w:val="00AF033A"/>
    <w:rsid w:val="00AF1699"/>
    <w:rsid w:val="00AF1FD3"/>
    <w:rsid w:val="00AF2910"/>
    <w:rsid w:val="00AF34B8"/>
    <w:rsid w:val="00AF3896"/>
    <w:rsid w:val="00AF3FC2"/>
    <w:rsid w:val="00AF4D55"/>
    <w:rsid w:val="00AF4DEC"/>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43"/>
    <w:rsid w:val="00B12FE6"/>
    <w:rsid w:val="00B1303F"/>
    <w:rsid w:val="00B1364A"/>
    <w:rsid w:val="00B13859"/>
    <w:rsid w:val="00B13EC9"/>
    <w:rsid w:val="00B14319"/>
    <w:rsid w:val="00B14A06"/>
    <w:rsid w:val="00B158E1"/>
    <w:rsid w:val="00B15AEE"/>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2685C"/>
    <w:rsid w:val="00B30CD6"/>
    <w:rsid w:val="00B3115A"/>
    <w:rsid w:val="00B31825"/>
    <w:rsid w:val="00B31A5C"/>
    <w:rsid w:val="00B31F49"/>
    <w:rsid w:val="00B32265"/>
    <w:rsid w:val="00B3276D"/>
    <w:rsid w:val="00B33B06"/>
    <w:rsid w:val="00B33C19"/>
    <w:rsid w:val="00B35A15"/>
    <w:rsid w:val="00B35B45"/>
    <w:rsid w:val="00B36A99"/>
    <w:rsid w:val="00B40143"/>
    <w:rsid w:val="00B42264"/>
    <w:rsid w:val="00B434B2"/>
    <w:rsid w:val="00B43D45"/>
    <w:rsid w:val="00B459AF"/>
    <w:rsid w:val="00B468F2"/>
    <w:rsid w:val="00B469DE"/>
    <w:rsid w:val="00B47286"/>
    <w:rsid w:val="00B47EB4"/>
    <w:rsid w:val="00B50234"/>
    <w:rsid w:val="00B51BF4"/>
    <w:rsid w:val="00B52C68"/>
    <w:rsid w:val="00B5372B"/>
    <w:rsid w:val="00B542FE"/>
    <w:rsid w:val="00B54566"/>
    <w:rsid w:val="00B55A1B"/>
    <w:rsid w:val="00B561DB"/>
    <w:rsid w:val="00B5692B"/>
    <w:rsid w:val="00B56DF9"/>
    <w:rsid w:val="00B56E80"/>
    <w:rsid w:val="00B600BD"/>
    <w:rsid w:val="00B60C4A"/>
    <w:rsid w:val="00B61274"/>
    <w:rsid w:val="00B61DCE"/>
    <w:rsid w:val="00B62188"/>
    <w:rsid w:val="00B62F79"/>
    <w:rsid w:val="00B62F82"/>
    <w:rsid w:val="00B6306A"/>
    <w:rsid w:val="00B635E3"/>
    <w:rsid w:val="00B662FF"/>
    <w:rsid w:val="00B66679"/>
    <w:rsid w:val="00B70145"/>
    <w:rsid w:val="00B71A92"/>
    <w:rsid w:val="00B71B0A"/>
    <w:rsid w:val="00B721D8"/>
    <w:rsid w:val="00B730CA"/>
    <w:rsid w:val="00B732EA"/>
    <w:rsid w:val="00B7390A"/>
    <w:rsid w:val="00B747C5"/>
    <w:rsid w:val="00B74F2F"/>
    <w:rsid w:val="00B753ED"/>
    <w:rsid w:val="00B7665F"/>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25F8"/>
    <w:rsid w:val="00B9370E"/>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C0F"/>
    <w:rsid w:val="00BA3FC7"/>
    <w:rsid w:val="00BA4075"/>
    <w:rsid w:val="00BA478B"/>
    <w:rsid w:val="00BA5224"/>
    <w:rsid w:val="00BA575E"/>
    <w:rsid w:val="00BA76B7"/>
    <w:rsid w:val="00BA7DDB"/>
    <w:rsid w:val="00BA7E3B"/>
    <w:rsid w:val="00BB078D"/>
    <w:rsid w:val="00BB079C"/>
    <w:rsid w:val="00BB0D7A"/>
    <w:rsid w:val="00BB10E1"/>
    <w:rsid w:val="00BB186A"/>
    <w:rsid w:val="00BB1C05"/>
    <w:rsid w:val="00BB2471"/>
    <w:rsid w:val="00BB3035"/>
    <w:rsid w:val="00BB3633"/>
    <w:rsid w:val="00BB39C1"/>
    <w:rsid w:val="00BB3DF5"/>
    <w:rsid w:val="00BB3EA7"/>
    <w:rsid w:val="00BB5D16"/>
    <w:rsid w:val="00BB6180"/>
    <w:rsid w:val="00BB69E6"/>
    <w:rsid w:val="00BB7323"/>
    <w:rsid w:val="00BB7BE5"/>
    <w:rsid w:val="00BC0139"/>
    <w:rsid w:val="00BC08BD"/>
    <w:rsid w:val="00BC11E8"/>
    <w:rsid w:val="00BC1B7A"/>
    <w:rsid w:val="00BC2C17"/>
    <w:rsid w:val="00BC3ACD"/>
    <w:rsid w:val="00BC3B20"/>
    <w:rsid w:val="00BC3EE4"/>
    <w:rsid w:val="00BC588C"/>
    <w:rsid w:val="00BC67FF"/>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180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30B3"/>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47AB"/>
    <w:rsid w:val="00C04E43"/>
    <w:rsid w:val="00C058AF"/>
    <w:rsid w:val="00C05D1E"/>
    <w:rsid w:val="00C075B6"/>
    <w:rsid w:val="00C110FD"/>
    <w:rsid w:val="00C124C1"/>
    <w:rsid w:val="00C128AE"/>
    <w:rsid w:val="00C12BA8"/>
    <w:rsid w:val="00C13094"/>
    <w:rsid w:val="00C136D6"/>
    <w:rsid w:val="00C13D5B"/>
    <w:rsid w:val="00C141D7"/>
    <w:rsid w:val="00C154A3"/>
    <w:rsid w:val="00C16EB9"/>
    <w:rsid w:val="00C1711B"/>
    <w:rsid w:val="00C17AE2"/>
    <w:rsid w:val="00C20140"/>
    <w:rsid w:val="00C20F27"/>
    <w:rsid w:val="00C215CF"/>
    <w:rsid w:val="00C22250"/>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B19"/>
    <w:rsid w:val="00C37D56"/>
    <w:rsid w:val="00C40D4B"/>
    <w:rsid w:val="00C413CB"/>
    <w:rsid w:val="00C42752"/>
    <w:rsid w:val="00C42973"/>
    <w:rsid w:val="00C44206"/>
    <w:rsid w:val="00C46B95"/>
    <w:rsid w:val="00C4712A"/>
    <w:rsid w:val="00C47F88"/>
    <w:rsid w:val="00C5034F"/>
    <w:rsid w:val="00C50830"/>
    <w:rsid w:val="00C52479"/>
    <w:rsid w:val="00C5266E"/>
    <w:rsid w:val="00C52C59"/>
    <w:rsid w:val="00C5349E"/>
    <w:rsid w:val="00C539FF"/>
    <w:rsid w:val="00C544BD"/>
    <w:rsid w:val="00C54D3D"/>
    <w:rsid w:val="00C55A30"/>
    <w:rsid w:val="00C55E6D"/>
    <w:rsid w:val="00C56384"/>
    <w:rsid w:val="00C568B6"/>
    <w:rsid w:val="00C603FA"/>
    <w:rsid w:val="00C60F8C"/>
    <w:rsid w:val="00C61794"/>
    <w:rsid w:val="00C61CB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3BA9"/>
    <w:rsid w:val="00C74035"/>
    <w:rsid w:val="00C748EA"/>
    <w:rsid w:val="00C75531"/>
    <w:rsid w:val="00C77818"/>
    <w:rsid w:val="00C8063F"/>
    <w:rsid w:val="00C81282"/>
    <w:rsid w:val="00C827B4"/>
    <w:rsid w:val="00C82B40"/>
    <w:rsid w:val="00C83214"/>
    <w:rsid w:val="00C8329F"/>
    <w:rsid w:val="00C84F8A"/>
    <w:rsid w:val="00C85BA4"/>
    <w:rsid w:val="00C8618F"/>
    <w:rsid w:val="00C8625D"/>
    <w:rsid w:val="00C87F3F"/>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4FA3"/>
    <w:rsid w:val="00CA4FF9"/>
    <w:rsid w:val="00CA52F9"/>
    <w:rsid w:val="00CA5368"/>
    <w:rsid w:val="00CA568B"/>
    <w:rsid w:val="00CA573A"/>
    <w:rsid w:val="00CA584D"/>
    <w:rsid w:val="00CA5C58"/>
    <w:rsid w:val="00CB19D7"/>
    <w:rsid w:val="00CB19FE"/>
    <w:rsid w:val="00CB1C3F"/>
    <w:rsid w:val="00CB2364"/>
    <w:rsid w:val="00CB304C"/>
    <w:rsid w:val="00CB3933"/>
    <w:rsid w:val="00CB5010"/>
    <w:rsid w:val="00CB53E8"/>
    <w:rsid w:val="00CB594A"/>
    <w:rsid w:val="00CB5A10"/>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40B"/>
    <w:rsid w:val="00CD5DAD"/>
    <w:rsid w:val="00CD7037"/>
    <w:rsid w:val="00CD72C5"/>
    <w:rsid w:val="00CD79A7"/>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0E12"/>
    <w:rsid w:val="00D01CF9"/>
    <w:rsid w:val="00D02BF7"/>
    <w:rsid w:val="00D02FFD"/>
    <w:rsid w:val="00D0334D"/>
    <w:rsid w:val="00D0374D"/>
    <w:rsid w:val="00D05BBA"/>
    <w:rsid w:val="00D06851"/>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0C6"/>
    <w:rsid w:val="00D2438C"/>
    <w:rsid w:val="00D2585A"/>
    <w:rsid w:val="00D259B0"/>
    <w:rsid w:val="00D26C3F"/>
    <w:rsid w:val="00D27185"/>
    <w:rsid w:val="00D3028A"/>
    <w:rsid w:val="00D31CDD"/>
    <w:rsid w:val="00D33488"/>
    <w:rsid w:val="00D33AB3"/>
    <w:rsid w:val="00D33F24"/>
    <w:rsid w:val="00D34160"/>
    <w:rsid w:val="00D346B8"/>
    <w:rsid w:val="00D34DCA"/>
    <w:rsid w:val="00D3575F"/>
    <w:rsid w:val="00D35AC8"/>
    <w:rsid w:val="00D36F87"/>
    <w:rsid w:val="00D37E4E"/>
    <w:rsid w:val="00D4056F"/>
    <w:rsid w:val="00D417D8"/>
    <w:rsid w:val="00D41F78"/>
    <w:rsid w:val="00D42E6C"/>
    <w:rsid w:val="00D4351C"/>
    <w:rsid w:val="00D4353A"/>
    <w:rsid w:val="00D43B80"/>
    <w:rsid w:val="00D44988"/>
    <w:rsid w:val="00D45B4C"/>
    <w:rsid w:val="00D45BA4"/>
    <w:rsid w:val="00D45EF6"/>
    <w:rsid w:val="00D471AF"/>
    <w:rsid w:val="00D471E2"/>
    <w:rsid w:val="00D4724F"/>
    <w:rsid w:val="00D50519"/>
    <w:rsid w:val="00D50614"/>
    <w:rsid w:val="00D50622"/>
    <w:rsid w:val="00D51601"/>
    <w:rsid w:val="00D51ECB"/>
    <w:rsid w:val="00D5264C"/>
    <w:rsid w:val="00D52BBC"/>
    <w:rsid w:val="00D537FE"/>
    <w:rsid w:val="00D53CC9"/>
    <w:rsid w:val="00D53DC6"/>
    <w:rsid w:val="00D54A6A"/>
    <w:rsid w:val="00D54B8F"/>
    <w:rsid w:val="00D55848"/>
    <w:rsid w:val="00D55951"/>
    <w:rsid w:val="00D559F0"/>
    <w:rsid w:val="00D57EB6"/>
    <w:rsid w:val="00D608C0"/>
    <w:rsid w:val="00D60D6D"/>
    <w:rsid w:val="00D6128C"/>
    <w:rsid w:val="00D66D8B"/>
    <w:rsid w:val="00D672EF"/>
    <w:rsid w:val="00D70849"/>
    <w:rsid w:val="00D72297"/>
    <w:rsid w:val="00D72A1C"/>
    <w:rsid w:val="00D7308F"/>
    <w:rsid w:val="00D7313E"/>
    <w:rsid w:val="00D73580"/>
    <w:rsid w:val="00D73802"/>
    <w:rsid w:val="00D73C2C"/>
    <w:rsid w:val="00D73D52"/>
    <w:rsid w:val="00D745E7"/>
    <w:rsid w:val="00D7581F"/>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9C6"/>
    <w:rsid w:val="00DA2D3D"/>
    <w:rsid w:val="00DA3855"/>
    <w:rsid w:val="00DA4C30"/>
    <w:rsid w:val="00DA5C8A"/>
    <w:rsid w:val="00DA6A44"/>
    <w:rsid w:val="00DA7A3C"/>
    <w:rsid w:val="00DB0E38"/>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249"/>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617"/>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FB8"/>
    <w:rsid w:val="00E10913"/>
    <w:rsid w:val="00E10B87"/>
    <w:rsid w:val="00E121CE"/>
    <w:rsid w:val="00E12209"/>
    <w:rsid w:val="00E1478B"/>
    <w:rsid w:val="00E14FAC"/>
    <w:rsid w:val="00E15007"/>
    <w:rsid w:val="00E16277"/>
    <w:rsid w:val="00E16EC7"/>
    <w:rsid w:val="00E17DCC"/>
    <w:rsid w:val="00E219CE"/>
    <w:rsid w:val="00E21D93"/>
    <w:rsid w:val="00E23812"/>
    <w:rsid w:val="00E24071"/>
    <w:rsid w:val="00E24EBC"/>
    <w:rsid w:val="00E25149"/>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198D"/>
    <w:rsid w:val="00E43054"/>
    <w:rsid w:val="00E43655"/>
    <w:rsid w:val="00E44440"/>
    <w:rsid w:val="00E46013"/>
    <w:rsid w:val="00E47099"/>
    <w:rsid w:val="00E47284"/>
    <w:rsid w:val="00E477C3"/>
    <w:rsid w:val="00E51E16"/>
    <w:rsid w:val="00E52DED"/>
    <w:rsid w:val="00E53730"/>
    <w:rsid w:val="00E5438D"/>
    <w:rsid w:val="00E54511"/>
    <w:rsid w:val="00E54E50"/>
    <w:rsid w:val="00E54EC9"/>
    <w:rsid w:val="00E55288"/>
    <w:rsid w:val="00E57577"/>
    <w:rsid w:val="00E60BD7"/>
    <w:rsid w:val="00E62043"/>
    <w:rsid w:val="00E626B9"/>
    <w:rsid w:val="00E627C9"/>
    <w:rsid w:val="00E630F3"/>
    <w:rsid w:val="00E6332F"/>
    <w:rsid w:val="00E637C9"/>
    <w:rsid w:val="00E639E6"/>
    <w:rsid w:val="00E6402D"/>
    <w:rsid w:val="00E6680A"/>
    <w:rsid w:val="00E66F0D"/>
    <w:rsid w:val="00E67741"/>
    <w:rsid w:val="00E67CAE"/>
    <w:rsid w:val="00E70615"/>
    <w:rsid w:val="00E7161E"/>
    <w:rsid w:val="00E71B40"/>
    <w:rsid w:val="00E7207B"/>
    <w:rsid w:val="00E7347A"/>
    <w:rsid w:val="00E75A47"/>
    <w:rsid w:val="00E75BB6"/>
    <w:rsid w:val="00E75D8C"/>
    <w:rsid w:val="00E777BB"/>
    <w:rsid w:val="00E777F2"/>
    <w:rsid w:val="00E802C9"/>
    <w:rsid w:val="00E80BFB"/>
    <w:rsid w:val="00E80F0A"/>
    <w:rsid w:val="00E815D4"/>
    <w:rsid w:val="00E8291B"/>
    <w:rsid w:val="00E82E70"/>
    <w:rsid w:val="00E82F92"/>
    <w:rsid w:val="00E8395F"/>
    <w:rsid w:val="00E8410F"/>
    <w:rsid w:val="00E849D7"/>
    <w:rsid w:val="00E85E41"/>
    <w:rsid w:val="00E85EA1"/>
    <w:rsid w:val="00E86030"/>
    <w:rsid w:val="00E86703"/>
    <w:rsid w:val="00E900DA"/>
    <w:rsid w:val="00E91044"/>
    <w:rsid w:val="00E910D3"/>
    <w:rsid w:val="00E92154"/>
    <w:rsid w:val="00E923CF"/>
    <w:rsid w:val="00E93685"/>
    <w:rsid w:val="00E93B65"/>
    <w:rsid w:val="00E93C8C"/>
    <w:rsid w:val="00E95111"/>
    <w:rsid w:val="00E95FDF"/>
    <w:rsid w:val="00EA1198"/>
    <w:rsid w:val="00EA14C8"/>
    <w:rsid w:val="00EA2110"/>
    <w:rsid w:val="00EA283A"/>
    <w:rsid w:val="00EA2C90"/>
    <w:rsid w:val="00EA2E07"/>
    <w:rsid w:val="00EA383B"/>
    <w:rsid w:val="00EA48F3"/>
    <w:rsid w:val="00EA60BF"/>
    <w:rsid w:val="00EA6847"/>
    <w:rsid w:val="00EA7365"/>
    <w:rsid w:val="00EA763F"/>
    <w:rsid w:val="00EA77E9"/>
    <w:rsid w:val="00EB05D0"/>
    <w:rsid w:val="00EB1151"/>
    <w:rsid w:val="00EB1D49"/>
    <w:rsid w:val="00EB23D9"/>
    <w:rsid w:val="00EB39A0"/>
    <w:rsid w:val="00EB559F"/>
    <w:rsid w:val="00EB566C"/>
    <w:rsid w:val="00EB5A18"/>
    <w:rsid w:val="00EB5F3D"/>
    <w:rsid w:val="00EB6C97"/>
    <w:rsid w:val="00EC1CEB"/>
    <w:rsid w:val="00EC1DC0"/>
    <w:rsid w:val="00EC1DC2"/>
    <w:rsid w:val="00EC1E09"/>
    <w:rsid w:val="00EC21EC"/>
    <w:rsid w:val="00EC24B8"/>
    <w:rsid w:val="00EC268C"/>
    <w:rsid w:val="00EC3753"/>
    <w:rsid w:val="00EC4E71"/>
    <w:rsid w:val="00EC5F1C"/>
    <w:rsid w:val="00ED0365"/>
    <w:rsid w:val="00ED0865"/>
    <w:rsid w:val="00ED1C60"/>
    <w:rsid w:val="00ED2E25"/>
    <w:rsid w:val="00ED2EB9"/>
    <w:rsid w:val="00ED3722"/>
    <w:rsid w:val="00ED3A31"/>
    <w:rsid w:val="00ED4469"/>
    <w:rsid w:val="00ED44F6"/>
    <w:rsid w:val="00ED5424"/>
    <w:rsid w:val="00ED5F23"/>
    <w:rsid w:val="00ED6A63"/>
    <w:rsid w:val="00ED6DC0"/>
    <w:rsid w:val="00ED7A7A"/>
    <w:rsid w:val="00EE0327"/>
    <w:rsid w:val="00EE038C"/>
    <w:rsid w:val="00EE28C5"/>
    <w:rsid w:val="00EE2F09"/>
    <w:rsid w:val="00EE47C5"/>
    <w:rsid w:val="00EE490C"/>
    <w:rsid w:val="00EE4E57"/>
    <w:rsid w:val="00EE516C"/>
    <w:rsid w:val="00EE5415"/>
    <w:rsid w:val="00EE5738"/>
    <w:rsid w:val="00EE58BD"/>
    <w:rsid w:val="00EE5E59"/>
    <w:rsid w:val="00EE73D0"/>
    <w:rsid w:val="00EE7CB0"/>
    <w:rsid w:val="00EF08A8"/>
    <w:rsid w:val="00EF167B"/>
    <w:rsid w:val="00EF41A8"/>
    <w:rsid w:val="00EF44FB"/>
    <w:rsid w:val="00EF4DF5"/>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077"/>
    <w:rsid w:val="00F069EA"/>
    <w:rsid w:val="00F06E85"/>
    <w:rsid w:val="00F070E5"/>
    <w:rsid w:val="00F07DDE"/>
    <w:rsid w:val="00F11675"/>
    <w:rsid w:val="00F12557"/>
    <w:rsid w:val="00F13599"/>
    <w:rsid w:val="00F13B28"/>
    <w:rsid w:val="00F14542"/>
    <w:rsid w:val="00F1520A"/>
    <w:rsid w:val="00F156A0"/>
    <w:rsid w:val="00F15730"/>
    <w:rsid w:val="00F176A6"/>
    <w:rsid w:val="00F202C2"/>
    <w:rsid w:val="00F212A8"/>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7E0"/>
    <w:rsid w:val="00F338C3"/>
    <w:rsid w:val="00F34B14"/>
    <w:rsid w:val="00F34F58"/>
    <w:rsid w:val="00F35DA7"/>
    <w:rsid w:val="00F36A6A"/>
    <w:rsid w:val="00F40101"/>
    <w:rsid w:val="00F404F7"/>
    <w:rsid w:val="00F40CCA"/>
    <w:rsid w:val="00F40F46"/>
    <w:rsid w:val="00F42D97"/>
    <w:rsid w:val="00F436B2"/>
    <w:rsid w:val="00F43813"/>
    <w:rsid w:val="00F43FEE"/>
    <w:rsid w:val="00F4492F"/>
    <w:rsid w:val="00F45A72"/>
    <w:rsid w:val="00F46723"/>
    <w:rsid w:val="00F4703B"/>
    <w:rsid w:val="00F4706D"/>
    <w:rsid w:val="00F476E1"/>
    <w:rsid w:val="00F47D1D"/>
    <w:rsid w:val="00F47F29"/>
    <w:rsid w:val="00F50016"/>
    <w:rsid w:val="00F50451"/>
    <w:rsid w:val="00F50A80"/>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1C70"/>
    <w:rsid w:val="00F63264"/>
    <w:rsid w:val="00F634E4"/>
    <w:rsid w:val="00F6361E"/>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282"/>
    <w:rsid w:val="00F756DD"/>
    <w:rsid w:val="00F77518"/>
    <w:rsid w:val="00F77F4E"/>
    <w:rsid w:val="00F80047"/>
    <w:rsid w:val="00F800C7"/>
    <w:rsid w:val="00F8104D"/>
    <w:rsid w:val="00F8153F"/>
    <w:rsid w:val="00F81587"/>
    <w:rsid w:val="00F81769"/>
    <w:rsid w:val="00F8288F"/>
    <w:rsid w:val="00F8376E"/>
    <w:rsid w:val="00F84802"/>
    <w:rsid w:val="00F85B72"/>
    <w:rsid w:val="00F86540"/>
    <w:rsid w:val="00F865CE"/>
    <w:rsid w:val="00F8766F"/>
    <w:rsid w:val="00F90282"/>
    <w:rsid w:val="00F91082"/>
    <w:rsid w:val="00F9116D"/>
    <w:rsid w:val="00F91250"/>
    <w:rsid w:val="00F91342"/>
    <w:rsid w:val="00F91A9A"/>
    <w:rsid w:val="00F92634"/>
    <w:rsid w:val="00F933F3"/>
    <w:rsid w:val="00F93ABB"/>
    <w:rsid w:val="00F94D79"/>
    <w:rsid w:val="00F954FC"/>
    <w:rsid w:val="00F9658C"/>
    <w:rsid w:val="00F96E05"/>
    <w:rsid w:val="00F97A7F"/>
    <w:rsid w:val="00FA0889"/>
    <w:rsid w:val="00FA16E7"/>
    <w:rsid w:val="00FA31C7"/>
    <w:rsid w:val="00FA472D"/>
    <w:rsid w:val="00FA681F"/>
    <w:rsid w:val="00FB0CBF"/>
    <w:rsid w:val="00FB18F6"/>
    <w:rsid w:val="00FB2A52"/>
    <w:rsid w:val="00FB2B7B"/>
    <w:rsid w:val="00FB2CDD"/>
    <w:rsid w:val="00FB3F92"/>
    <w:rsid w:val="00FB52C7"/>
    <w:rsid w:val="00FB57DC"/>
    <w:rsid w:val="00FB6E19"/>
    <w:rsid w:val="00FB71F6"/>
    <w:rsid w:val="00FB78C5"/>
    <w:rsid w:val="00FB7CF2"/>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1A47"/>
    <w:rsid w:val="00FE24CB"/>
    <w:rsid w:val="00FE2FC2"/>
    <w:rsid w:val="00FE323F"/>
    <w:rsid w:val="00FE3473"/>
    <w:rsid w:val="00FE35CC"/>
    <w:rsid w:val="00FE4049"/>
    <w:rsid w:val="00FE4794"/>
    <w:rsid w:val="00FE480F"/>
    <w:rsid w:val="00FE4998"/>
    <w:rsid w:val="00FE56B7"/>
    <w:rsid w:val="00FE57DE"/>
    <w:rsid w:val="00FE7A68"/>
    <w:rsid w:val="00FF0231"/>
    <w:rsid w:val="00FF1C9B"/>
    <w:rsid w:val="00FF1D49"/>
    <w:rsid w:val="00FF203B"/>
    <w:rsid w:val="00FF2562"/>
    <w:rsid w:val="00FF2B6C"/>
    <w:rsid w:val="00FF3A41"/>
    <w:rsid w:val="00FF3E5B"/>
    <w:rsid w:val="00FF4C8E"/>
    <w:rsid w:val="00FF57E4"/>
    <w:rsid w:val="00FF62AA"/>
    <w:rsid w:val="00FF78E5"/>
    <w:rsid w:val="0124642E"/>
    <w:rsid w:val="012C5FAF"/>
    <w:rsid w:val="013B0DE8"/>
    <w:rsid w:val="01527B7C"/>
    <w:rsid w:val="01765CAF"/>
    <w:rsid w:val="01913FB9"/>
    <w:rsid w:val="01AF3D99"/>
    <w:rsid w:val="01D32245"/>
    <w:rsid w:val="01D703D2"/>
    <w:rsid w:val="01DB0F00"/>
    <w:rsid w:val="01F2339B"/>
    <w:rsid w:val="01FA0599"/>
    <w:rsid w:val="01FF0067"/>
    <w:rsid w:val="021D04ED"/>
    <w:rsid w:val="02242E8E"/>
    <w:rsid w:val="023615AF"/>
    <w:rsid w:val="02376217"/>
    <w:rsid w:val="02511F9D"/>
    <w:rsid w:val="02C3389E"/>
    <w:rsid w:val="02CF7A3A"/>
    <w:rsid w:val="032B7D1C"/>
    <w:rsid w:val="032F672A"/>
    <w:rsid w:val="033B50CF"/>
    <w:rsid w:val="034E7A88"/>
    <w:rsid w:val="03715D18"/>
    <w:rsid w:val="038B39B2"/>
    <w:rsid w:val="03922815"/>
    <w:rsid w:val="039F6D34"/>
    <w:rsid w:val="03A314B8"/>
    <w:rsid w:val="03D82B98"/>
    <w:rsid w:val="03DE3B5A"/>
    <w:rsid w:val="03EA08A3"/>
    <w:rsid w:val="03F83E8B"/>
    <w:rsid w:val="040D1A80"/>
    <w:rsid w:val="04250484"/>
    <w:rsid w:val="0441188B"/>
    <w:rsid w:val="04471852"/>
    <w:rsid w:val="0471478F"/>
    <w:rsid w:val="048C6C6F"/>
    <w:rsid w:val="04B34DBC"/>
    <w:rsid w:val="04B423AE"/>
    <w:rsid w:val="05067536"/>
    <w:rsid w:val="051722AC"/>
    <w:rsid w:val="0525334A"/>
    <w:rsid w:val="052838D4"/>
    <w:rsid w:val="05646B52"/>
    <w:rsid w:val="0598292F"/>
    <w:rsid w:val="05A64561"/>
    <w:rsid w:val="05B337FB"/>
    <w:rsid w:val="05BF76B4"/>
    <w:rsid w:val="05C56868"/>
    <w:rsid w:val="05CF5FA2"/>
    <w:rsid w:val="05E46795"/>
    <w:rsid w:val="05E705DC"/>
    <w:rsid w:val="06293905"/>
    <w:rsid w:val="0639166E"/>
    <w:rsid w:val="06472F82"/>
    <w:rsid w:val="06493AF1"/>
    <w:rsid w:val="065475EB"/>
    <w:rsid w:val="066A7A64"/>
    <w:rsid w:val="06EF31F8"/>
    <w:rsid w:val="072302BE"/>
    <w:rsid w:val="07556B2E"/>
    <w:rsid w:val="0758029E"/>
    <w:rsid w:val="078828AD"/>
    <w:rsid w:val="079C42F6"/>
    <w:rsid w:val="07B72767"/>
    <w:rsid w:val="07C82872"/>
    <w:rsid w:val="07E63FC9"/>
    <w:rsid w:val="07E94E08"/>
    <w:rsid w:val="080400A0"/>
    <w:rsid w:val="08077E72"/>
    <w:rsid w:val="082A5712"/>
    <w:rsid w:val="082C0BE4"/>
    <w:rsid w:val="083B347B"/>
    <w:rsid w:val="08512C9F"/>
    <w:rsid w:val="08607335"/>
    <w:rsid w:val="08607D2F"/>
    <w:rsid w:val="086F00B8"/>
    <w:rsid w:val="08882DD0"/>
    <w:rsid w:val="08AB1BD5"/>
    <w:rsid w:val="08B036AA"/>
    <w:rsid w:val="08B37E08"/>
    <w:rsid w:val="08D564C5"/>
    <w:rsid w:val="09114851"/>
    <w:rsid w:val="09271C52"/>
    <w:rsid w:val="092A3C3E"/>
    <w:rsid w:val="09364131"/>
    <w:rsid w:val="0981726F"/>
    <w:rsid w:val="098B5F5E"/>
    <w:rsid w:val="099D349C"/>
    <w:rsid w:val="09A514F4"/>
    <w:rsid w:val="09CA1760"/>
    <w:rsid w:val="09CC2AAC"/>
    <w:rsid w:val="09D927D9"/>
    <w:rsid w:val="09E51D35"/>
    <w:rsid w:val="09E83551"/>
    <w:rsid w:val="0A15765C"/>
    <w:rsid w:val="0A303366"/>
    <w:rsid w:val="0A324FF3"/>
    <w:rsid w:val="0A5F3233"/>
    <w:rsid w:val="0A652D3E"/>
    <w:rsid w:val="0A6C0360"/>
    <w:rsid w:val="0AB656D8"/>
    <w:rsid w:val="0AB94B2B"/>
    <w:rsid w:val="0ABD757B"/>
    <w:rsid w:val="0B0C5CAF"/>
    <w:rsid w:val="0B164F8C"/>
    <w:rsid w:val="0B30303F"/>
    <w:rsid w:val="0B326F2A"/>
    <w:rsid w:val="0B536DFE"/>
    <w:rsid w:val="0B642CE9"/>
    <w:rsid w:val="0B691FA5"/>
    <w:rsid w:val="0B9510F4"/>
    <w:rsid w:val="0BA457DB"/>
    <w:rsid w:val="0BBE4019"/>
    <w:rsid w:val="0C1B2936"/>
    <w:rsid w:val="0C1E2888"/>
    <w:rsid w:val="0C347916"/>
    <w:rsid w:val="0C3628D7"/>
    <w:rsid w:val="0C4551E0"/>
    <w:rsid w:val="0C5A1B73"/>
    <w:rsid w:val="0C92213C"/>
    <w:rsid w:val="0C9A396D"/>
    <w:rsid w:val="0CA85607"/>
    <w:rsid w:val="0CC2027E"/>
    <w:rsid w:val="0CE23636"/>
    <w:rsid w:val="0D131797"/>
    <w:rsid w:val="0D1C0BB7"/>
    <w:rsid w:val="0D5B2176"/>
    <w:rsid w:val="0D84032B"/>
    <w:rsid w:val="0D860802"/>
    <w:rsid w:val="0D9329B5"/>
    <w:rsid w:val="0DA606A6"/>
    <w:rsid w:val="0DA64752"/>
    <w:rsid w:val="0DB13EEB"/>
    <w:rsid w:val="0DD92E19"/>
    <w:rsid w:val="0DE87C01"/>
    <w:rsid w:val="0E0C7A0C"/>
    <w:rsid w:val="0E213AB4"/>
    <w:rsid w:val="0E340CBA"/>
    <w:rsid w:val="0E8103C2"/>
    <w:rsid w:val="0E9733D5"/>
    <w:rsid w:val="0E9B78F2"/>
    <w:rsid w:val="0EA23A9D"/>
    <w:rsid w:val="0EC45E97"/>
    <w:rsid w:val="0EDB1514"/>
    <w:rsid w:val="0EE36E80"/>
    <w:rsid w:val="0EF3685E"/>
    <w:rsid w:val="0EF40828"/>
    <w:rsid w:val="0F2A2746"/>
    <w:rsid w:val="0F2A74C4"/>
    <w:rsid w:val="0F3E7E3A"/>
    <w:rsid w:val="0F56678D"/>
    <w:rsid w:val="0F697E5D"/>
    <w:rsid w:val="0F76748F"/>
    <w:rsid w:val="0FB75ADD"/>
    <w:rsid w:val="0FE91A0F"/>
    <w:rsid w:val="0FF3288D"/>
    <w:rsid w:val="102D3FF1"/>
    <w:rsid w:val="102E0375"/>
    <w:rsid w:val="10540003"/>
    <w:rsid w:val="108D6E4D"/>
    <w:rsid w:val="109B028B"/>
    <w:rsid w:val="10A27F31"/>
    <w:rsid w:val="10A818CA"/>
    <w:rsid w:val="10B61C33"/>
    <w:rsid w:val="10D46BEA"/>
    <w:rsid w:val="10DB3A4D"/>
    <w:rsid w:val="10F260A2"/>
    <w:rsid w:val="110E0401"/>
    <w:rsid w:val="1121639C"/>
    <w:rsid w:val="114B6CE0"/>
    <w:rsid w:val="11583891"/>
    <w:rsid w:val="117F160D"/>
    <w:rsid w:val="118C0783"/>
    <w:rsid w:val="11927058"/>
    <w:rsid w:val="11B9536A"/>
    <w:rsid w:val="11E21E3A"/>
    <w:rsid w:val="11E84674"/>
    <w:rsid w:val="11F56779"/>
    <w:rsid w:val="122A4C8C"/>
    <w:rsid w:val="124B11AD"/>
    <w:rsid w:val="12A57B92"/>
    <w:rsid w:val="12A83C5F"/>
    <w:rsid w:val="135D0687"/>
    <w:rsid w:val="137B1518"/>
    <w:rsid w:val="138120D0"/>
    <w:rsid w:val="1382165B"/>
    <w:rsid w:val="139525D9"/>
    <w:rsid w:val="13A835D4"/>
    <w:rsid w:val="13AF4F03"/>
    <w:rsid w:val="14302DDB"/>
    <w:rsid w:val="14332497"/>
    <w:rsid w:val="145004D4"/>
    <w:rsid w:val="14680FAC"/>
    <w:rsid w:val="14736E66"/>
    <w:rsid w:val="147E16A4"/>
    <w:rsid w:val="147F20BF"/>
    <w:rsid w:val="147F458F"/>
    <w:rsid w:val="148E0DD7"/>
    <w:rsid w:val="149A00A4"/>
    <w:rsid w:val="14A2751E"/>
    <w:rsid w:val="14AF76CB"/>
    <w:rsid w:val="14CF623C"/>
    <w:rsid w:val="14FF5F8B"/>
    <w:rsid w:val="15040B10"/>
    <w:rsid w:val="1534169A"/>
    <w:rsid w:val="153E50D4"/>
    <w:rsid w:val="155E2E9F"/>
    <w:rsid w:val="15652CB8"/>
    <w:rsid w:val="156F6E5A"/>
    <w:rsid w:val="15C03E03"/>
    <w:rsid w:val="15CB6556"/>
    <w:rsid w:val="15CC1E35"/>
    <w:rsid w:val="15E30CD7"/>
    <w:rsid w:val="15F80BFE"/>
    <w:rsid w:val="15FA2425"/>
    <w:rsid w:val="15FD5AA9"/>
    <w:rsid w:val="162A25EB"/>
    <w:rsid w:val="16512D5D"/>
    <w:rsid w:val="16735895"/>
    <w:rsid w:val="16A72608"/>
    <w:rsid w:val="16C07E56"/>
    <w:rsid w:val="16D569F3"/>
    <w:rsid w:val="16F73983"/>
    <w:rsid w:val="16FD2A55"/>
    <w:rsid w:val="17014E4E"/>
    <w:rsid w:val="17067C1A"/>
    <w:rsid w:val="171A01B7"/>
    <w:rsid w:val="17233A58"/>
    <w:rsid w:val="17366761"/>
    <w:rsid w:val="173B425C"/>
    <w:rsid w:val="175D115B"/>
    <w:rsid w:val="17793FC0"/>
    <w:rsid w:val="177C01F0"/>
    <w:rsid w:val="178E7A6B"/>
    <w:rsid w:val="179E3EFA"/>
    <w:rsid w:val="17C62D39"/>
    <w:rsid w:val="17CE6630"/>
    <w:rsid w:val="1800023D"/>
    <w:rsid w:val="180455AC"/>
    <w:rsid w:val="18506ACF"/>
    <w:rsid w:val="186058B3"/>
    <w:rsid w:val="18891FE1"/>
    <w:rsid w:val="188C07FE"/>
    <w:rsid w:val="18C269A2"/>
    <w:rsid w:val="18C33745"/>
    <w:rsid w:val="18E551E6"/>
    <w:rsid w:val="18EC5D11"/>
    <w:rsid w:val="18F16E26"/>
    <w:rsid w:val="191D7F9E"/>
    <w:rsid w:val="191F46F3"/>
    <w:rsid w:val="19321F01"/>
    <w:rsid w:val="198D5B01"/>
    <w:rsid w:val="199D32A6"/>
    <w:rsid w:val="19AE7591"/>
    <w:rsid w:val="19E26593"/>
    <w:rsid w:val="19F85670"/>
    <w:rsid w:val="1A3C0B6A"/>
    <w:rsid w:val="1A7E794E"/>
    <w:rsid w:val="1A824F3A"/>
    <w:rsid w:val="1A9B7359"/>
    <w:rsid w:val="1AA0286A"/>
    <w:rsid w:val="1AA70D51"/>
    <w:rsid w:val="1AA749A0"/>
    <w:rsid w:val="1AF36728"/>
    <w:rsid w:val="1AFF0AFE"/>
    <w:rsid w:val="1B0260B6"/>
    <w:rsid w:val="1B0516EE"/>
    <w:rsid w:val="1B081624"/>
    <w:rsid w:val="1B2345E8"/>
    <w:rsid w:val="1B4F19F8"/>
    <w:rsid w:val="1B645D19"/>
    <w:rsid w:val="1BA72E6B"/>
    <w:rsid w:val="1BBE5D69"/>
    <w:rsid w:val="1BC1139B"/>
    <w:rsid w:val="1BD01CD5"/>
    <w:rsid w:val="1BE94D9A"/>
    <w:rsid w:val="1BEC25FB"/>
    <w:rsid w:val="1BF1501A"/>
    <w:rsid w:val="1BF8447F"/>
    <w:rsid w:val="1BF9005F"/>
    <w:rsid w:val="1C0F7A69"/>
    <w:rsid w:val="1C330BE1"/>
    <w:rsid w:val="1C5F361D"/>
    <w:rsid w:val="1C954CD6"/>
    <w:rsid w:val="1CA218C3"/>
    <w:rsid w:val="1CC512B6"/>
    <w:rsid w:val="1D016537"/>
    <w:rsid w:val="1D56666D"/>
    <w:rsid w:val="1D5D6BA7"/>
    <w:rsid w:val="1D76522A"/>
    <w:rsid w:val="1DC13E14"/>
    <w:rsid w:val="1DDB32DF"/>
    <w:rsid w:val="1DF24184"/>
    <w:rsid w:val="1DF95513"/>
    <w:rsid w:val="1E0C6985"/>
    <w:rsid w:val="1E670299"/>
    <w:rsid w:val="1E6F4DFE"/>
    <w:rsid w:val="1E7E5224"/>
    <w:rsid w:val="1E8304A4"/>
    <w:rsid w:val="1EB44D4B"/>
    <w:rsid w:val="1ECC44FA"/>
    <w:rsid w:val="1EDE08FF"/>
    <w:rsid w:val="1EEB38C2"/>
    <w:rsid w:val="1EF204AF"/>
    <w:rsid w:val="1F063325"/>
    <w:rsid w:val="1F075597"/>
    <w:rsid w:val="1F134CFA"/>
    <w:rsid w:val="1F1620F4"/>
    <w:rsid w:val="1F325180"/>
    <w:rsid w:val="1F377B4D"/>
    <w:rsid w:val="1F79491E"/>
    <w:rsid w:val="1F9E613F"/>
    <w:rsid w:val="1FA37E2C"/>
    <w:rsid w:val="1FBC5DF5"/>
    <w:rsid w:val="1FDC6E9A"/>
    <w:rsid w:val="1FE37D06"/>
    <w:rsid w:val="1FF90588"/>
    <w:rsid w:val="201C13A1"/>
    <w:rsid w:val="202971B3"/>
    <w:rsid w:val="20464DB5"/>
    <w:rsid w:val="2056255B"/>
    <w:rsid w:val="207B3859"/>
    <w:rsid w:val="20847C5E"/>
    <w:rsid w:val="2096173F"/>
    <w:rsid w:val="20A86578"/>
    <w:rsid w:val="20B26A19"/>
    <w:rsid w:val="20B511B1"/>
    <w:rsid w:val="20C3623F"/>
    <w:rsid w:val="20C66F34"/>
    <w:rsid w:val="20D90C8E"/>
    <w:rsid w:val="20E56967"/>
    <w:rsid w:val="21325751"/>
    <w:rsid w:val="213E37D6"/>
    <w:rsid w:val="215D4A3B"/>
    <w:rsid w:val="21613AFB"/>
    <w:rsid w:val="21645399"/>
    <w:rsid w:val="217505C5"/>
    <w:rsid w:val="21781212"/>
    <w:rsid w:val="2178154C"/>
    <w:rsid w:val="217A21C5"/>
    <w:rsid w:val="218B0B78"/>
    <w:rsid w:val="2190618E"/>
    <w:rsid w:val="21A925E6"/>
    <w:rsid w:val="21B04A82"/>
    <w:rsid w:val="21B83F86"/>
    <w:rsid w:val="21E95E32"/>
    <w:rsid w:val="220B3A67"/>
    <w:rsid w:val="221178A8"/>
    <w:rsid w:val="221213CF"/>
    <w:rsid w:val="22327A92"/>
    <w:rsid w:val="22335D4F"/>
    <w:rsid w:val="22837AA1"/>
    <w:rsid w:val="230C4754"/>
    <w:rsid w:val="231D53A2"/>
    <w:rsid w:val="23244644"/>
    <w:rsid w:val="23246C54"/>
    <w:rsid w:val="23280946"/>
    <w:rsid w:val="233E0A23"/>
    <w:rsid w:val="236D5383"/>
    <w:rsid w:val="23A0507A"/>
    <w:rsid w:val="23A36A35"/>
    <w:rsid w:val="23B7504C"/>
    <w:rsid w:val="23C91E2B"/>
    <w:rsid w:val="23CA2B66"/>
    <w:rsid w:val="23D9206E"/>
    <w:rsid w:val="23E911C5"/>
    <w:rsid w:val="24571307"/>
    <w:rsid w:val="24730F42"/>
    <w:rsid w:val="248301E8"/>
    <w:rsid w:val="24D80578"/>
    <w:rsid w:val="25110A2A"/>
    <w:rsid w:val="251F57E3"/>
    <w:rsid w:val="254A0D4A"/>
    <w:rsid w:val="254C2D14"/>
    <w:rsid w:val="256C0944"/>
    <w:rsid w:val="259F4BF2"/>
    <w:rsid w:val="25AB7A3A"/>
    <w:rsid w:val="25B436A4"/>
    <w:rsid w:val="25D554AF"/>
    <w:rsid w:val="25D8755C"/>
    <w:rsid w:val="25E04694"/>
    <w:rsid w:val="25E92311"/>
    <w:rsid w:val="25FA35F8"/>
    <w:rsid w:val="26170C2C"/>
    <w:rsid w:val="261B6962"/>
    <w:rsid w:val="26446DE3"/>
    <w:rsid w:val="264F15E7"/>
    <w:rsid w:val="265F25D3"/>
    <w:rsid w:val="269669E7"/>
    <w:rsid w:val="26A270C1"/>
    <w:rsid w:val="26D7699F"/>
    <w:rsid w:val="26DE5BEE"/>
    <w:rsid w:val="26EC0876"/>
    <w:rsid w:val="27064505"/>
    <w:rsid w:val="273835BD"/>
    <w:rsid w:val="27457A1B"/>
    <w:rsid w:val="2749550C"/>
    <w:rsid w:val="274C6FFB"/>
    <w:rsid w:val="276C6D8F"/>
    <w:rsid w:val="277351C5"/>
    <w:rsid w:val="27771588"/>
    <w:rsid w:val="2786250D"/>
    <w:rsid w:val="27896DCD"/>
    <w:rsid w:val="278F2B11"/>
    <w:rsid w:val="27910EB2"/>
    <w:rsid w:val="279623B0"/>
    <w:rsid w:val="27F77356"/>
    <w:rsid w:val="27F84A8D"/>
    <w:rsid w:val="2802590C"/>
    <w:rsid w:val="28072F22"/>
    <w:rsid w:val="282B4E63"/>
    <w:rsid w:val="28385963"/>
    <w:rsid w:val="28506677"/>
    <w:rsid w:val="285C0E43"/>
    <w:rsid w:val="289B5D70"/>
    <w:rsid w:val="28B9436F"/>
    <w:rsid w:val="28CC1088"/>
    <w:rsid w:val="28F9156E"/>
    <w:rsid w:val="290F208E"/>
    <w:rsid w:val="29314AA1"/>
    <w:rsid w:val="293A5C83"/>
    <w:rsid w:val="2944442E"/>
    <w:rsid w:val="294D3917"/>
    <w:rsid w:val="296A1150"/>
    <w:rsid w:val="29D75F7F"/>
    <w:rsid w:val="29FF6A30"/>
    <w:rsid w:val="2A00124B"/>
    <w:rsid w:val="2A070325"/>
    <w:rsid w:val="2A42394B"/>
    <w:rsid w:val="2A672055"/>
    <w:rsid w:val="2A7E46CB"/>
    <w:rsid w:val="2A95631F"/>
    <w:rsid w:val="2AA34F9C"/>
    <w:rsid w:val="2AB91BB7"/>
    <w:rsid w:val="2AC03CBC"/>
    <w:rsid w:val="2AD417E1"/>
    <w:rsid w:val="2B065713"/>
    <w:rsid w:val="2B3E7460"/>
    <w:rsid w:val="2B774624"/>
    <w:rsid w:val="2B8209DE"/>
    <w:rsid w:val="2B916425"/>
    <w:rsid w:val="2B9C6064"/>
    <w:rsid w:val="2B9E76FA"/>
    <w:rsid w:val="2BAD704D"/>
    <w:rsid w:val="2BCA6741"/>
    <w:rsid w:val="2BCC070B"/>
    <w:rsid w:val="2BD31A99"/>
    <w:rsid w:val="2BDA4BD6"/>
    <w:rsid w:val="2BF73439"/>
    <w:rsid w:val="2C4D1BE9"/>
    <w:rsid w:val="2C701BFF"/>
    <w:rsid w:val="2C721027"/>
    <w:rsid w:val="2C767040"/>
    <w:rsid w:val="2C7A72BE"/>
    <w:rsid w:val="2C9366C5"/>
    <w:rsid w:val="2C9A7D75"/>
    <w:rsid w:val="2C9F3465"/>
    <w:rsid w:val="2CAD4098"/>
    <w:rsid w:val="2CC17412"/>
    <w:rsid w:val="2D0652DC"/>
    <w:rsid w:val="2D0F08AF"/>
    <w:rsid w:val="2D350E15"/>
    <w:rsid w:val="2D4957AC"/>
    <w:rsid w:val="2D4E77E2"/>
    <w:rsid w:val="2D5704A8"/>
    <w:rsid w:val="2D6B14FA"/>
    <w:rsid w:val="2D734326"/>
    <w:rsid w:val="2D7C1E99"/>
    <w:rsid w:val="2D9139BA"/>
    <w:rsid w:val="2D917516"/>
    <w:rsid w:val="2DB27668"/>
    <w:rsid w:val="2E2E33E4"/>
    <w:rsid w:val="2E496043"/>
    <w:rsid w:val="2E57641F"/>
    <w:rsid w:val="2E6768C5"/>
    <w:rsid w:val="2E6923C3"/>
    <w:rsid w:val="2E8273E3"/>
    <w:rsid w:val="2E9976CE"/>
    <w:rsid w:val="2EC34D1E"/>
    <w:rsid w:val="2EE819ED"/>
    <w:rsid w:val="2EF01DEE"/>
    <w:rsid w:val="2F085B8C"/>
    <w:rsid w:val="2F0A0C8E"/>
    <w:rsid w:val="2F3218E3"/>
    <w:rsid w:val="2F401D3C"/>
    <w:rsid w:val="2F483B5F"/>
    <w:rsid w:val="2F587A28"/>
    <w:rsid w:val="2F5B24E1"/>
    <w:rsid w:val="2F603644"/>
    <w:rsid w:val="2F8512FC"/>
    <w:rsid w:val="2F982E42"/>
    <w:rsid w:val="2FA95C88"/>
    <w:rsid w:val="2FBC3872"/>
    <w:rsid w:val="2FC040E2"/>
    <w:rsid w:val="2FC11C09"/>
    <w:rsid w:val="2FE247EA"/>
    <w:rsid w:val="2FE51D9B"/>
    <w:rsid w:val="2FE67F31"/>
    <w:rsid w:val="2FF63FA8"/>
    <w:rsid w:val="2FF74AD1"/>
    <w:rsid w:val="301646C9"/>
    <w:rsid w:val="30171771"/>
    <w:rsid w:val="301E3208"/>
    <w:rsid w:val="30384240"/>
    <w:rsid w:val="3041370F"/>
    <w:rsid w:val="304836C1"/>
    <w:rsid w:val="309E53F7"/>
    <w:rsid w:val="30B87FED"/>
    <w:rsid w:val="30BC7394"/>
    <w:rsid w:val="30E958BB"/>
    <w:rsid w:val="312B50A3"/>
    <w:rsid w:val="31322DBE"/>
    <w:rsid w:val="31703B9C"/>
    <w:rsid w:val="31894FD2"/>
    <w:rsid w:val="31B61DBC"/>
    <w:rsid w:val="322C1F03"/>
    <w:rsid w:val="323F015B"/>
    <w:rsid w:val="32453A27"/>
    <w:rsid w:val="32494863"/>
    <w:rsid w:val="325E1DBD"/>
    <w:rsid w:val="3263064A"/>
    <w:rsid w:val="32666488"/>
    <w:rsid w:val="3274558C"/>
    <w:rsid w:val="32753BD3"/>
    <w:rsid w:val="327B30C7"/>
    <w:rsid w:val="32987598"/>
    <w:rsid w:val="32A05710"/>
    <w:rsid w:val="32A43132"/>
    <w:rsid w:val="32AC0C06"/>
    <w:rsid w:val="32B17048"/>
    <w:rsid w:val="32BB3F8F"/>
    <w:rsid w:val="32D84C7B"/>
    <w:rsid w:val="332A26F9"/>
    <w:rsid w:val="33344EF5"/>
    <w:rsid w:val="333F72E1"/>
    <w:rsid w:val="338E6F92"/>
    <w:rsid w:val="33B766A3"/>
    <w:rsid w:val="340957DF"/>
    <w:rsid w:val="341B5D8B"/>
    <w:rsid w:val="342D33A3"/>
    <w:rsid w:val="34395261"/>
    <w:rsid w:val="343B70D4"/>
    <w:rsid w:val="344E43B3"/>
    <w:rsid w:val="345179FF"/>
    <w:rsid w:val="346E34CA"/>
    <w:rsid w:val="34756830"/>
    <w:rsid w:val="34894394"/>
    <w:rsid w:val="34C51A78"/>
    <w:rsid w:val="34E86243"/>
    <w:rsid w:val="34E86CB7"/>
    <w:rsid w:val="350926B3"/>
    <w:rsid w:val="3537750C"/>
    <w:rsid w:val="3537798C"/>
    <w:rsid w:val="356D2B27"/>
    <w:rsid w:val="358718F9"/>
    <w:rsid w:val="359256E3"/>
    <w:rsid w:val="35B61907"/>
    <w:rsid w:val="35C13FC9"/>
    <w:rsid w:val="35DA7538"/>
    <w:rsid w:val="35DE3207"/>
    <w:rsid w:val="35DF53C2"/>
    <w:rsid w:val="35E61919"/>
    <w:rsid w:val="35F81F9A"/>
    <w:rsid w:val="36046BB0"/>
    <w:rsid w:val="360931FD"/>
    <w:rsid w:val="362F0407"/>
    <w:rsid w:val="364257B6"/>
    <w:rsid w:val="36510DA7"/>
    <w:rsid w:val="36546526"/>
    <w:rsid w:val="365612FD"/>
    <w:rsid w:val="365C6BAF"/>
    <w:rsid w:val="36932B06"/>
    <w:rsid w:val="369E393C"/>
    <w:rsid w:val="36CA1CEB"/>
    <w:rsid w:val="36D10F93"/>
    <w:rsid w:val="36F57279"/>
    <w:rsid w:val="3716217A"/>
    <w:rsid w:val="371B724F"/>
    <w:rsid w:val="37313B18"/>
    <w:rsid w:val="373B326D"/>
    <w:rsid w:val="377B1418"/>
    <w:rsid w:val="37951B99"/>
    <w:rsid w:val="37A700DA"/>
    <w:rsid w:val="37DE7E17"/>
    <w:rsid w:val="37EA5922"/>
    <w:rsid w:val="37ED6FC5"/>
    <w:rsid w:val="37ED7A3F"/>
    <w:rsid w:val="38137AD8"/>
    <w:rsid w:val="38191142"/>
    <w:rsid w:val="38276B93"/>
    <w:rsid w:val="38341B11"/>
    <w:rsid w:val="38593E3A"/>
    <w:rsid w:val="385D711A"/>
    <w:rsid w:val="389B5520"/>
    <w:rsid w:val="38AC3431"/>
    <w:rsid w:val="38C55D26"/>
    <w:rsid w:val="38C820A2"/>
    <w:rsid w:val="38CA5087"/>
    <w:rsid w:val="38D1110E"/>
    <w:rsid w:val="38F117B0"/>
    <w:rsid w:val="38F60D15"/>
    <w:rsid w:val="39050DB8"/>
    <w:rsid w:val="39292CF8"/>
    <w:rsid w:val="392F2E16"/>
    <w:rsid w:val="39581830"/>
    <w:rsid w:val="3962740C"/>
    <w:rsid w:val="39846085"/>
    <w:rsid w:val="39B05D59"/>
    <w:rsid w:val="39B1262A"/>
    <w:rsid w:val="39E00529"/>
    <w:rsid w:val="3A011012"/>
    <w:rsid w:val="3A0B64A7"/>
    <w:rsid w:val="3A114FB8"/>
    <w:rsid w:val="3A3021BA"/>
    <w:rsid w:val="3A4A692D"/>
    <w:rsid w:val="3A574DDA"/>
    <w:rsid w:val="3A7C32FC"/>
    <w:rsid w:val="3A893F9B"/>
    <w:rsid w:val="3A935FD2"/>
    <w:rsid w:val="3AA9167B"/>
    <w:rsid w:val="3AAB51D7"/>
    <w:rsid w:val="3AB40624"/>
    <w:rsid w:val="3AC0143A"/>
    <w:rsid w:val="3AD3075A"/>
    <w:rsid w:val="3AE923DB"/>
    <w:rsid w:val="3AEA295B"/>
    <w:rsid w:val="3AF74C02"/>
    <w:rsid w:val="3B087B07"/>
    <w:rsid w:val="3B162AEA"/>
    <w:rsid w:val="3B2E2848"/>
    <w:rsid w:val="3B317AFD"/>
    <w:rsid w:val="3B334302"/>
    <w:rsid w:val="3B402218"/>
    <w:rsid w:val="3B6D376B"/>
    <w:rsid w:val="3B8F488A"/>
    <w:rsid w:val="3B934CED"/>
    <w:rsid w:val="3B9C637B"/>
    <w:rsid w:val="3BAD2EC3"/>
    <w:rsid w:val="3BBD1E25"/>
    <w:rsid w:val="3C0021F2"/>
    <w:rsid w:val="3C0059A5"/>
    <w:rsid w:val="3C134E78"/>
    <w:rsid w:val="3C246E37"/>
    <w:rsid w:val="3C4B079E"/>
    <w:rsid w:val="3C723457"/>
    <w:rsid w:val="3C8F67BE"/>
    <w:rsid w:val="3C942B7F"/>
    <w:rsid w:val="3C9F72A0"/>
    <w:rsid w:val="3CA60B04"/>
    <w:rsid w:val="3CA6480D"/>
    <w:rsid w:val="3CDC008F"/>
    <w:rsid w:val="3D0A362A"/>
    <w:rsid w:val="3D193084"/>
    <w:rsid w:val="3D60008D"/>
    <w:rsid w:val="3D74387F"/>
    <w:rsid w:val="3D790ED4"/>
    <w:rsid w:val="3D8923ED"/>
    <w:rsid w:val="3D9646D4"/>
    <w:rsid w:val="3DA458EB"/>
    <w:rsid w:val="3DB64929"/>
    <w:rsid w:val="3DE20CC6"/>
    <w:rsid w:val="3DF6345D"/>
    <w:rsid w:val="3DF96E5F"/>
    <w:rsid w:val="3E2B5515"/>
    <w:rsid w:val="3E3531F7"/>
    <w:rsid w:val="3E4D4F28"/>
    <w:rsid w:val="3ED92EC4"/>
    <w:rsid w:val="3EE12ED6"/>
    <w:rsid w:val="3EE13701"/>
    <w:rsid w:val="3EF94F1B"/>
    <w:rsid w:val="3F1A4BB3"/>
    <w:rsid w:val="3F512FA9"/>
    <w:rsid w:val="3F5A57F2"/>
    <w:rsid w:val="3F7410B5"/>
    <w:rsid w:val="3FB03AE9"/>
    <w:rsid w:val="3FDA3177"/>
    <w:rsid w:val="3FEF3C18"/>
    <w:rsid w:val="3FF04CAC"/>
    <w:rsid w:val="3FFB2F15"/>
    <w:rsid w:val="40192BA6"/>
    <w:rsid w:val="402C4DAE"/>
    <w:rsid w:val="40484DC1"/>
    <w:rsid w:val="40753886"/>
    <w:rsid w:val="408D4966"/>
    <w:rsid w:val="40AF61D9"/>
    <w:rsid w:val="40C5633D"/>
    <w:rsid w:val="40D02AF3"/>
    <w:rsid w:val="40D61D0B"/>
    <w:rsid w:val="41316521"/>
    <w:rsid w:val="414447B0"/>
    <w:rsid w:val="414C4DD0"/>
    <w:rsid w:val="416845DA"/>
    <w:rsid w:val="41766EA9"/>
    <w:rsid w:val="418007E0"/>
    <w:rsid w:val="41EE1445"/>
    <w:rsid w:val="41FB0B73"/>
    <w:rsid w:val="420C1409"/>
    <w:rsid w:val="421C4EF6"/>
    <w:rsid w:val="42550A18"/>
    <w:rsid w:val="42576000"/>
    <w:rsid w:val="425A3F23"/>
    <w:rsid w:val="425B67F2"/>
    <w:rsid w:val="42731488"/>
    <w:rsid w:val="42785CB3"/>
    <w:rsid w:val="429645B4"/>
    <w:rsid w:val="429D496A"/>
    <w:rsid w:val="429E219E"/>
    <w:rsid w:val="42A576FE"/>
    <w:rsid w:val="42A721E6"/>
    <w:rsid w:val="42D37109"/>
    <w:rsid w:val="42D842B8"/>
    <w:rsid w:val="42E61C5A"/>
    <w:rsid w:val="42EC2600"/>
    <w:rsid w:val="42F473A1"/>
    <w:rsid w:val="43010842"/>
    <w:rsid w:val="43095949"/>
    <w:rsid w:val="430C603F"/>
    <w:rsid w:val="431E31A2"/>
    <w:rsid w:val="432F3054"/>
    <w:rsid w:val="43397FDC"/>
    <w:rsid w:val="4340580E"/>
    <w:rsid w:val="434828E8"/>
    <w:rsid w:val="437217EA"/>
    <w:rsid w:val="437E5A0F"/>
    <w:rsid w:val="439003F3"/>
    <w:rsid w:val="43A303AE"/>
    <w:rsid w:val="43AB7156"/>
    <w:rsid w:val="43CF6B92"/>
    <w:rsid w:val="43DD4E0B"/>
    <w:rsid w:val="43E066A9"/>
    <w:rsid w:val="43F817C6"/>
    <w:rsid w:val="43FF1389"/>
    <w:rsid w:val="4402716B"/>
    <w:rsid w:val="441D5BA6"/>
    <w:rsid w:val="441E62C0"/>
    <w:rsid w:val="442E0A2F"/>
    <w:rsid w:val="443C5C66"/>
    <w:rsid w:val="446870A5"/>
    <w:rsid w:val="449B1C15"/>
    <w:rsid w:val="44D75CFE"/>
    <w:rsid w:val="44DD3822"/>
    <w:rsid w:val="44F63EA4"/>
    <w:rsid w:val="45325D14"/>
    <w:rsid w:val="45505625"/>
    <w:rsid w:val="456142F3"/>
    <w:rsid w:val="45811C7C"/>
    <w:rsid w:val="45906116"/>
    <w:rsid w:val="45931B8C"/>
    <w:rsid w:val="45964250"/>
    <w:rsid w:val="45EF2552"/>
    <w:rsid w:val="460C7C2A"/>
    <w:rsid w:val="46185194"/>
    <w:rsid w:val="464E2371"/>
    <w:rsid w:val="46627FDA"/>
    <w:rsid w:val="468B3EFB"/>
    <w:rsid w:val="4693720F"/>
    <w:rsid w:val="46A6094A"/>
    <w:rsid w:val="46AC6D17"/>
    <w:rsid w:val="46BF0C3E"/>
    <w:rsid w:val="46C140A0"/>
    <w:rsid w:val="46ED7A5B"/>
    <w:rsid w:val="46F420A2"/>
    <w:rsid w:val="46FB2202"/>
    <w:rsid w:val="470A6193"/>
    <w:rsid w:val="471429C2"/>
    <w:rsid w:val="47154C8D"/>
    <w:rsid w:val="472F379A"/>
    <w:rsid w:val="47385210"/>
    <w:rsid w:val="4745776D"/>
    <w:rsid w:val="477E58F2"/>
    <w:rsid w:val="47806969"/>
    <w:rsid w:val="479A70EA"/>
    <w:rsid w:val="47AC3472"/>
    <w:rsid w:val="47BA17B6"/>
    <w:rsid w:val="47DC4F5C"/>
    <w:rsid w:val="47E863ED"/>
    <w:rsid w:val="48085DF8"/>
    <w:rsid w:val="48260403"/>
    <w:rsid w:val="486E0728"/>
    <w:rsid w:val="4880045B"/>
    <w:rsid w:val="488C6C15"/>
    <w:rsid w:val="48A34EE3"/>
    <w:rsid w:val="48B40671"/>
    <w:rsid w:val="48B87401"/>
    <w:rsid w:val="48CA17CA"/>
    <w:rsid w:val="48E629B4"/>
    <w:rsid w:val="49485CDD"/>
    <w:rsid w:val="499B5738"/>
    <w:rsid w:val="499F244D"/>
    <w:rsid w:val="49A07007"/>
    <w:rsid w:val="49B02FC2"/>
    <w:rsid w:val="49B35994"/>
    <w:rsid w:val="49BF1701"/>
    <w:rsid w:val="49C8088A"/>
    <w:rsid w:val="49E8526C"/>
    <w:rsid w:val="49EC405A"/>
    <w:rsid w:val="49F67288"/>
    <w:rsid w:val="4A024418"/>
    <w:rsid w:val="4A266DE0"/>
    <w:rsid w:val="4A404346"/>
    <w:rsid w:val="4A45195C"/>
    <w:rsid w:val="4A547DF1"/>
    <w:rsid w:val="4A587EBB"/>
    <w:rsid w:val="4A595375"/>
    <w:rsid w:val="4A5D6761"/>
    <w:rsid w:val="4A973F3F"/>
    <w:rsid w:val="4ADA1477"/>
    <w:rsid w:val="4AE0041E"/>
    <w:rsid w:val="4AE72A13"/>
    <w:rsid w:val="4AF96BC7"/>
    <w:rsid w:val="4B0E3422"/>
    <w:rsid w:val="4B34724D"/>
    <w:rsid w:val="4B404757"/>
    <w:rsid w:val="4B686D18"/>
    <w:rsid w:val="4B69167A"/>
    <w:rsid w:val="4B693428"/>
    <w:rsid w:val="4B862A85"/>
    <w:rsid w:val="4B9F509C"/>
    <w:rsid w:val="4BB23021"/>
    <w:rsid w:val="4BBA3C84"/>
    <w:rsid w:val="4BBC79FC"/>
    <w:rsid w:val="4BBF74EC"/>
    <w:rsid w:val="4BD9227C"/>
    <w:rsid w:val="4BDC009E"/>
    <w:rsid w:val="4BDE0746"/>
    <w:rsid w:val="4C15790C"/>
    <w:rsid w:val="4C476590"/>
    <w:rsid w:val="4C5E4F57"/>
    <w:rsid w:val="4CBF09AB"/>
    <w:rsid w:val="4CEF36E2"/>
    <w:rsid w:val="4CEF4DC5"/>
    <w:rsid w:val="4D2F0C7D"/>
    <w:rsid w:val="4D387F93"/>
    <w:rsid w:val="4D742E59"/>
    <w:rsid w:val="4D820373"/>
    <w:rsid w:val="4DA44BEC"/>
    <w:rsid w:val="4DBB60BB"/>
    <w:rsid w:val="4DC813F1"/>
    <w:rsid w:val="4DEF3AEF"/>
    <w:rsid w:val="4DF16428"/>
    <w:rsid w:val="4DFF24C5"/>
    <w:rsid w:val="4E076C33"/>
    <w:rsid w:val="4E257655"/>
    <w:rsid w:val="4E270D69"/>
    <w:rsid w:val="4E5B5CFD"/>
    <w:rsid w:val="4E807407"/>
    <w:rsid w:val="4E9F7264"/>
    <w:rsid w:val="4EC948EC"/>
    <w:rsid w:val="4F1F5915"/>
    <w:rsid w:val="4F372380"/>
    <w:rsid w:val="4F372FFB"/>
    <w:rsid w:val="4F5A37B4"/>
    <w:rsid w:val="4F602D94"/>
    <w:rsid w:val="4F8855BC"/>
    <w:rsid w:val="4FAB615E"/>
    <w:rsid w:val="4FBA3A7C"/>
    <w:rsid w:val="4FC979FE"/>
    <w:rsid w:val="4FF0236A"/>
    <w:rsid w:val="4FF13384"/>
    <w:rsid w:val="502102E5"/>
    <w:rsid w:val="50242014"/>
    <w:rsid w:val="5025116D"/>
    <w:rsid w:val="502563A1"/>
    <w:rsid w:val="503404A9"/>
    <w:rsid w:val="503E0A10"/>
    <w:rsid w:val="50460F92"/>
    <w:rsid w:val="504F52E3"/>
    <w:rsid w:val="505262BB"/>
    <w:rsid w:val="506A3F67"/>
    <w:rsid w:val="506B1E14"/>
    <w:rsid w:val="507321CD"/>
    <w:rsid w:val="508C1FFF"/>
    <w:rsid w:val="508C28C7"/>
    <w:rsid w:val="50F14A66"/>
    <w:rsid w:val="50FE0E4B"/>
    <w:rsid w:val="512138D2"/>
    <w:rsid w:val="51226553"/>
    <w:rsid w:val="513839E6"/>
    <w:rsid w:val="51383ACD"/>
    <w:rsid w:val="517843C5"/>
    <w:rsid w:val="518079F6"/>
    <w:rsid w:val="51825244"/>
    <w:rsid w:val="51990256"/>
    <w:rsid w:val="51A75E7F"/>
    <w:rsid w:val="51B463D3"/>
    <w:rsid w:val="52064694"/>
    <w:rsid w:val="52202A01"/>
    <w:rsid w:val="52274971"/>
    <w:rsid w:val="52395ECD"/>
    <w:rsid w:val="523A3584"/>
    <w:rsid w:val="526A3141"/>
    <w:rsid w:val="527E3CA2"/>
    <w:rsid w:val="52946FDD"/>
    <w:rsid w:val="529A5CFE"/>
    <w:rsid w:val="52BC29D7"/>
    <w:rsid w:val="52C10D75"/>
    <w:rsid w:val="52F81A88"/>
    <w:rsid w:val="53035F10"/>
    <w:rsid w:val="53046FC0"/>
    <w:rsid w:val="53456529"/>
    <w:rsid w:val="53605111"/>
    <w:rsid w:val="539C2622"/>
    <w:rsid w:val="53B611D5"/>
    <w:rsid w:val="53C27FF8"/>
    <w:rsid w:val="53C658BC"/>
    <w:rsid w:val="53C83BD5"/>
    <w:rsid w:val="53D10DAF"/>
    <w:rsid w:val="53D12B98"/>
    <w:rsid w:val="53DB71B3"/>
    <w:rsid w:val="53F32429"/>
    <w:rsid w:val="541C1980"/>
    <w:rsid w:val="543D7499"/>
    <w:rsid w:val="54624342"/>
    <w:rsid w:val="54683622"/>
    <w:rsid w:val="547E7F44"/>
    <w:rsid w:val="54934EDD"/>
    <w:rsid w:val="549878AA"/>
    <w:rsid w:val="549E1A80"/>
    <w:rsid w:val="54B55930"/>
    <w:rsid w:val="54C658F4"/>
    <w:rsid w:val="54D33745"/>
    <w:rsid w:val="54DF1B4D"/>
    <w:rsid w:val="550C4BD7"/>
    <w:rsid w:val="553A1291"/>
    <w:rsid w:val="554B2017"/>
    <w:rsid w:val="554C1D56"/>
    <w:rsid w:val="555109BF"/>
    <w:rsid w:val="55572986"/>
    <w:rsid w:val="5571181E"/>
    <w:rsid w:val="558E2819"/>
    <w:rsid w:val="55991424"/>
    <w:rsid w:val="559B1A05"/>
    <w:rsid w:val="55D2686D"/>
    <w:rsid w:val="55E5708F"/>
    <w:rsid w:val="56233DAE"/>
    <w:rsid w:val="564A1023"/>
    <w:rsid w:val="565340FA"/>
    <w:rsid w:val="566E3399"/>
    <w:rsid w:val="568C38D5"/>
    <w:rsid w:val="56AD5F59"/>
    <w:rsid w:val="56BE3B42"/>
    <w:rsid w:val="56CD7647"/>
    <w:rsid w:val="56FB3ACE"/>
    <w:rsid w:val="57027C80"/>
    <w:rsid w:val="572E6AA7"/>
    <w:rsid w:val="57816FA7"/>
    <w:rsid w:val="57844756"/>
    <w:rsid w:val="57931F59"/>
    <w:rsid w:val="57B12A52"/>
    <w:rsid w:val="57D367F9"/>
    <w:rsid w:val="580662AB"/>
    <w:rsid w:val="58144523"/>
    <w:rsid w:val="583152CE"/>
    <w:rsid w:val="58676F42"/>
    <w:rsid w:val="587D1F7A"/>
    <w:rsid w:val="58AE33C9"/>
    <w:rsid w:val="58BE4328"/>
    <w:rsid w:val="58F5082B"/>
    <w:rsid w:val="5959470E"/>
    <w:rsid w:val="59603AB5"/>
    <w:rsid w:val="597723EB"/>
    <w:rsid w:val="598247B9"/>
    <w:rsid w:val="59972CD7"/>
    <w:rsid w:val="599B5077"/>
    <w:rsid w:val="59B43CF0"/>
    <w:rsid w:val="59C45EB2"/>
    <w:rsid w:val="5A001BC6"/>
    <w:rsid w:val="5A2F2CC8"/>
    <w:rsid w:val="5A431712"/>
    <w:rsid w:val="5A487BD8"/>
    <w:rsid w:val="5A5059F9"/>
    <w:rsid w:val="5A8269AE"/>
    <w:rsid w:val="5A83754C"/>
    <w:rsid w:val="5A887DA5"/>
    <w:rsid w:val="5A8B75F0"/>
    <w:rsid w:val="5AA1498D"/>
    <w:rsid w:val="5AC2142F"/>
    <w:rsid w:val="5AD14B46"/>
    <w:rsid w:val="5B177B4A"/>
    <w:rsid w:val="5B482182"/>
    <w:rsid w:val="5B5D225A"/>
    <w:rsid w:val="5B7C4AB2"/>
    <w:rsid w:val="5B7C65E8"/>
    <w:rsid w:val="5BBC1352"/>
    <w:rsid w:val="5BE4588A"/>
    <w:rsid w:val="5BFF4CBE"/>
    <w:rsid w:val="5C036F81"/>
    <w:rsid w:val="5C10702D"/>
    <w:rsid w:val="5C152601"/>
    <w:rsid w:val="5C2509EB"/>
    <w:rsid w:val="5C456093"/>
    <w:rsid w:val="5C591F03"/>
    <w:rsid w:val="5C705896"/>
    <w:rsid w:val="5C7B355A"/>
    <w:rsid w:val="5C7D301A"/>
    <w:rsid w:val="5C7F00ED"/>
    <w:rsid w:val="5C8A1B2F"/>
    <w:rsid w:val="5C8E0F41"/>
    <w:rsid w:val="5C9F2BA9"/>
    <w:rsid w:val="5CE90C0D"/>
    <w:rsid w:val="5D2E62B6"/>
    <w:rsid w:val="5D305715"/>
    <w:rsid w:val="5D6B3AFB"/>
    <w:rsid w:val="5D811610"/>
    <w:rsid w:val="5D812854"/>
    <w:rsid w:val="5D8C12FF"/>
    <w:rsid w:val="5DA80F61"/>
    <w:rsid w:val="5DCE3495"/>
    <w:rsid w:val="5DFA6C48"/>
    <w:rsid w:val="5E0314BA"/>
    <w:rsid w:val="5E1249E6"/>
    <w:rsid w:val="5E135BA1"/>
    <w:rsid w:val="5E3641C2"/>
    <w:rsid w:val="5E5607D3"/>
    <w:rsid w:val="5E7128C8"/>
    <w:rsid w:val="5E7D44EB"/>
    <w:rsid w:val="5EA92062"/>
    <w:rsid w:val="5EB033F0"/>
    <w:rsid w:val="5EC40689"/>
    <w:rsid w:val="5ED13367"/>
    <w:rsid w:val="5EDA66BF"/>
    <w:rsid w:val="5EF70A55"/>
    <w:rsid w:val="5F011810"/>
    <w:rsid w:val="5F283F7A"/>
    <w:rsid w:val="5F561B72"/>
    <w:rsid w:val="5F685A79"/>
    <w:rsid w:val="5F7F1015"/>
    <w:rsid w:val="5FA568C3"/>
    <w:rsid w:val="5FD2383A"/>
    <w:rsid w:val="60233D0B"/>
    <w:rsid w:val="603F52D1"/>
    <w:rsid w:val="60410FC7"/>
    <w:rsid w:val="60432042"/>
    <w:rsid w:val="606007BB"/>
    <w:rsid w:val="6060367B"/>
    <w:rsid w:val="606172C1"/>
    <w:rsid w:val="609A317C"/>
    <w:rsid w:val="60AC7F66"/>
    <w:rsid w:val="60C95236"/>
    <w:rsid w:val="60E52273"/>
    <w:rsid w:val="60F00725"/>
    <w:rsid w:val="60F009BA"/>
    <w:rsid w:val="60F04F55"/>
    <w:rsid w:val="614B5652"/>
    <w:rsid w:val="615838CB"/>
    <w:rsid w:val="616A0ED6"/>
    <w:rsid w:val="619863BE"/>
    <w:rsid w:val="61B87600"/>
    <w:rsid w:val="61BF10D9"/>
    <w:rsid w:val="61C96577"/>
    <w:rsid w:val="61DB601E"/>
    <w:rsid w:val="62046EAE"/>
    <w:rsid w:val="621C616D"/>
    <w:rsid w:val="62280978"/>
    <w:rsid w:val="622F2C7F"/>
    <w:rsid w:val="624A3B5C"/>
    <w:rsid w:val="62586279"/>
    <w:rsid w:val="62941719"/>
    <w:rsid w:val="62AA0157"/>
    <w:rsid w:val="62AC22DC"/>
    <w:rsid w:val="62CC4571"/>
    <w:rsid w:val="630D40F2"/>
    <w:rsid w:val="63142D31"/>
    <w:rsid w:val="634F6BDE"/>
    <w:rsid w:val="6370227B"/>
    <w:rsid w:val="638A3663"/>
    <w:rsid w:val="638C6C7D"/>
    <w:rsid w:val="639260C7"/>
    <w:rsid w:val="63A22BFD"/>
    <w:rsid w:val="63A96660"/>
    <w:rsid w:val="63B17477"/>
    <w:rsid w:val="63CC2904"/>
    <w:rsid w:val="63E23E21"/>
    <w:rsid w:val="64125E0F"/>
    <w:rsid w:val="64434BF6"/>
    <w:rsid w:val="644C2AA8"/>
    <w:rsid w:val="64523CDD"/>
    <w:rsid w:val="64542A70"/>
    <w:rsid w:val="64D56A71"/>
    <w:rsid w:val="64DC1289"/>
    <w:rsid w:val="64E45EF7"/>
    <w:rsid w:val="64F909E0"/>
    <w:rsid w:val="6508525C"/>
    <w:rsid w:val="65293EFC"/>
    <w:rsid w:val="65803FB9"/>
    <w:rsid w:val="65A8660C"/>
    <w:rsid w:val="65B86E23"/>
    <w:rsid w:val="65D24B51"/>
    <w:rsid w:val="65EC3C72"/>
    <w:rsid w:val="663F14FE"/>
    <w:rsid w:val="667358F2"/>
    <w:rsid w:val="6691014E"/>
    <w:rsid w:val="66922D14"/>
    <w:rsid w:val="6697332B"/>
    <w:rsid w:val="66B33A51"/>
    <w:rsid w:val="66B94E0C"/>
    <w:rsid w:val="66C87CCE"/>
    <w:rsid w:val="66E04A8F"/>
    <w:rsid w:val="66E544CF"/>
    <w:rsid w:val="670F7239"/>
    <w:rsid w:val="67146FD7"/>
    <w:rsid w:val="671635C8"/>
    <w:rsid w:val="671B5AC7"/>
    <w:rsid w:val="67613B55"/>
    <w:rsid w:val="67620061"/>
    <w:rsid w:val="677435B2"/>
    <w:rsid w:val="677E4A78"/>
    <w:rsid w:val="678E2BB2"/>
    <w:rsid w:val="67BC2F00"/>
    <w:rsid w:val="67BF549B"/>
    <w:rsid w:val="67C65A33"/>
    <w:rsid w:val="67D245D3"/>
    <w:rsid w:val="67E36C7A"/>
    <w:rsid w:val="67EF75F1"/>
    <w:rsid w:val="67F46E1C"/>
    <w:rsid w:val="67FB3202"/>
    <w:rsid w:val="67FF7197"/>
    <w:rsid w:val="680C7F93"/>
    <w:rsid w:val="684862C0"/>
    <w:rsid w:val="684F4F11"/>
    <w:rsid w:val="686B482C"/>
    <w:rsid w:val="6887098A"/>
    <w:rsid w:val="689259E6"/>
    <w:rsid w:val="68BA4096"/>
    <w:rsid w:val="68D756E5"/>
    <w:rsid w:val="68E057D4"/>
    <w:rsid w:val="690802CD"/>
    <w:rsid w:val="69124F16"/>
    <w:rsid w:val="693A2FDA"/>
    <w:rsid w:val="694F4DB4"/>
    <w:rsid w:val="6974326C"/>
    <w:rsid w:val="69855479"/>
    <w:rsid w:val="699851AD"/>
    <w:rsid w:val="69A44AD1"/>
    <w:rsid w:val="69BE015D"/>
    <w:rsid w:val="69CD5C14"/>
    <w:rsid w:val="69CF0D33"/>
    <w:rsid w:val="69DB0ACD"/>
    <w:rsid w:val="6A04008A"/>
    <w:rsid w:val="6A175BDB"/>
    <w:rsid w:val="6A4312DF"/>
    <w:rsid w:val="6A581FAC"/>
    <w:rsid w:val="6A612D21"/>
    <w:rsid w:val="6AB44268"/>
    <w:rsid w:val="6AC31AF5"/>
    <w:rsid w:val="6ACF10A2"/>
    <w:rsid w:val="6AD536A5"/>
    <w:rsid w:val="6AF14739"/>
    <w:rsid w:val="6AF61372"/>
    <w:rsid w:val="6AFC16DA"/>
    <w:rsid w:val="6B064398"/>
    <w:rsid w:val="6B3D6961"/>
    <w:rsid w:val="6B443D58"/>
    <w:rsid w:val="6B546DA9"/>
    <w:rsid w:val="6B874B2B"/>
    <w:rsid w:val="6B9946B3"/>
    <w:rsid w:val="6BAA11C7"/>
    <w:rsid w:val="6BAA42A1"/>
    <w:rsid w:val="6BBA013B"/>
    <w:rsid w:val="6BC57B8B"/>
    <w:rsid w:val="6BE52DC6"/>
    <w:rsid w:val="6C250942"/>
    <w:rsid w:val="6C276F3A"/>
    <w:rsid w:val="6C2B2308"/>
    <w:rsid w:val="6C411EA6"/>
    <w:rsid w:val="6C5462C2"/>
    <w:rsid w:val="6C5F1FB2"/>
    <w:rsid w:val="6C7007C7"/>
    <w:rsid w:val="6C7D73FF"/>
    <w:rsid w:val="6C9F1808"/>
    <w:rsid w:val="6D002FBE"/>
    <w:rsid w:val="6D0B5802"/>
    <w:rsid w:val="6D0F39D8"/>
    <w:rsid w:val="6D3836D1"/>
    <w:rsid w:val="6D4573FA"/>
    <w:rsid w:val="6D624869"/>
    <w:rsid w:val="6D6E04AD"/>
    <w:rsid w:val="6D6E55E3"/>
    <w:rsid w:val="6D701F2A"/>
    <w:rsid w:val="6DE13308"/>
    <w:rsid w:val="6DE76850"/>
    <w:rsid w:val="6DEF274F"/>
    <w:rsid w:val="6DF83E22"/>
    <w:rsid w:val="6E0B2529"/>
    <w:rsid w:val="6E0F7A08"/>
    <w:rsid w:val="6E391AF1"/>
    <w:rsid w:val="6E4D24C0"/>
    <w:rsid w:val="6E510079"/>
    <w:rsid w:val="6E563E1B"/>
    <w:rsid w:val="6E650F3D"/>
    <w:rsid w:val="6E693AB2"/>
    <w:rsid w:val="6E7348AC"/>
    <w:rsid w:val="6E955D16"/>
    <w:rsid w:val="6EA42846"/>
    <w:rsid w:val="6EB35509"/>
    <w:rsid w:val="6EE40F43"/>
    <w:rsid w:val="6EEF6056"/>
    <w:rsid w:val="6EF44756"/>
    <w:rsid w:val="6F0926A9"/>
    <w:rsid w:val="6F2B4B03"/>
    <w:rsid w:val="6F55769C"/>
    <w:rsid w:val="6F71097A"/>
    <w:rsid w:val="6F92269E"/>
    <w:rsid w:val="6FB20BD4"/>
    <w:rsid w:val="6FBA59BE"/>
    <w:rsid w:val="6FD2773C"/>
    <w:rsid w:val="6FEE2E3B"/>
    <w:rsid w:val="70207CAA"/>
    <w:rsid w:val="70223A22"/>
    <w:rsid w:val="70296B3E"/>
    <w:rsid w:val="70297832"/>
    <w:rsid w:val="70335C2F"/>
    <w:rsid w:val="703811BC"/>
    <w:rsid w:val="70611204"/>
    <w:rsid w:val="70810331"/>
    <w:rsid w:val="708855C3"/>
    <w:rsid w:val="70F679C3"/>
    <w:rsid w:val="71003AD3"/>
    <w:rsid w:val="71052803"/>
    <w:rsid w:val="71121CE9"/>
    <w:rsid w:val="711315BD"/>
    <w:rsid w:val="713D7BBE"/>
    <w:rsid w:val="7165620F"/>
    <w:rsid w:val="71692783"/>
    <w:rsid w:val="716C5A33"/>
    <w:rsid w:val="717039F8"/>
    <w:rsid w:val="722103D4"/>
    <w:rsid w:val="722241AD"/>
    <w:rsid w:val="722F0678"/>
    <w:rsid w:val="724203AC"/>
    <w:rsid w:val="724834B1"/>
    <w:rsid w:val="7256542E"/>
    <w:rsid w:val="72B80E00"/>
    <w:rsid w:val="72E66F89"/>
    <w:rsid w:val="72F62F44"/>
    <w:rsid w:val="72F8519C"/>
    <w:rsid w:val="72FB6C48"/>
    <w:rsid w:val="7305523C"/>
    <w:rsid w:val="73143404"/>
    <w:rsid w:val="731C6E4F"/>
    <w:rsid w:val="734E4B2E"/>
    <w:rsid w:val="73791A36"/>
    <w:rsid w:val="738E5342"/>
    <w:rsid w:val="73B07597"/>
    <w:rsid w:val="73E97B4F"/>
    <w:rsid w:val="73ED07EB"/>
    <w:rsid w:val="73F824D8"/>
    <w:rsid w:val="74100036"/>
    <w:rsid w:val="74136828"/>
    <w:rsid w:val="743159F8"/>
    <w:rsid w:val="74324450"/>
    <w:rsid w:val="746005C0"/>
    <w:rsid w:val="746C1710"/>
    <w:rsid w:val="74A7099A"/>
    <w:rsid w:val="74AE1F5E"/>
    <w:rsid w:val="74D13AD5"/>
    <w:rsid w:val="74DF5273"/>
    <w:rsid w:val="74EC57B6"/>
    <w:rsid w:val="74FA2C30"/>
    <w:rsid w:val="74FA6D1C"/>
    <w:rsid w:val="75215D04"/>
    <w:rsid w:val="754D5C4B"/>
    <w:rsid w:val="755C31BB"/>
    <w:rsid w:val="756B7C19"/>
    <w:rsid w:val="756D1BE3"/>
    <w:rsid w:val="758066B3"/>
    <w:rsid w:val="758B02BC"/>
    <w:rsid w:val="758B3E18"/>
    <w:rsid w:val="758F1B5A"/>
    <w:rsid w:val="75BD349A"/>
    <w:rsid w:val="75D27E21"/>
    <w:rsid w:val="75F15EE1"/>
    <w:rsid w:val="75F55735"/>
    <w:rsid w:val="7610431D"/>
    <w:rsid w:val="76165DD7"/>
    <w:rsid w:val="76371E5E"/>
    <w:rsid w:val="763A00C0"/>
    <w:rsid w:val="76407928"/>
    <w:rsid w:val="76601BFB"/>
    <w:rsid w:val="767139C9"/>
    <w:rsid w:val="76810D3C"/>
    <w:rsid w:val="76C240A7"/>
    <w:rsid w:val="76DA416A"/>
    <w:rsid w:val="77267BEE"/>
    <w:rsid w:val="77427424"/>
    <w:rsid w:val="775246B7"/>
    <w:rsid w:val="77733525"/>
    <w:rsid w:val="7806787F"/>
    <w:rsid w:val="781E69D1"/>
    <w:rsid w:val="782555FC"/>
    <w:rsid w:val="782D7408"/>
    <w:rsid w:val="784E6C39"/>
    <w:rsid w:val="78515A96"/>
    <w:rsid w:val="7856685E"/>
    <w:rsid w:val="78570929"/>
    <w:rsid w:val="7872306D"/>
    <w:rsid w:val="78874D6A"/>
    <w:rsid w:val="78D51BC9"/>
    <w:rsid w:val="78DE78EE"/>
    <w:rsid w:val="78E46D07"/>
    <w:rsid w:val="78EA5AD3"/>
    <w:rsid w:val="78FB3C01"/>
    <w:rsid w:val="7901747F"/>
    <w:rsid w:val="79050385"/>
    <w:rsid w:val="79387CB6"/>
    <w:rsid w:val="793B3DA7"/>
    <w:rsid w:val="798F725F"/>
    <w:rsid w:val="79A2523F"/>
    <w:rsid w:val="79B527C2"/>
    <w:rsid w:val="79D91D6E"/>
    <w:rsid w:val="7A010B4C"/>
    <w:rsid w:val="7A095DA8"/>
    <w:rsid w:val="7A263B6B"/>
    <w:rsid w:val="7A4C4A35"/>
    <w:rsid w:val="7A6216AD"/>
    <w:rsid w:val="7A650681"/>
    <w:rsid w:val="7A8952DD"/>
    <w:rsid w:val="7AB67BEE"/>
    <w:rsid w:val="7AC22AE9"/>
    <w:rsid w:val="7AD73E8D"/>
    <w:rsid w:val="7AF46346"/>
    <w:rsid w:val="7B00565C"/>
    <w:rsid w:val="7B0F15A7"/>
    <w:rsid w:val="7B0F5EBF"/>
    <w:rsid w:val="7B130FB9"/>
    <w:rsid w:val="7B1623D5"/>
    <w:rsid w:val="7B4F1458"/>
    <w:rsid w:val="7B6A2721"/>
    <w:rsid w:val="7B871525"/>
    <w:rsid w:val="7B9463F7"/>
    <w:rsid w:val="7BAB108C"/>
    <w:rsid w:val="7BD71E38"/>
    <w:rsid w:val="7BF64EDE"/>
    <w:rsid w:val="7BFC781D"/>
    <w:rsid w:val="7C15268D"/>
    <w:rsid w:val="7C2A7382"/>
    <w:rsid w:val="7C400C1E"/>
    <w:rsid w:val="7C8B294F"/>
    <w:rsid w:val="7C8B5373"/>
    <w:rsid w:val="7C9B2E0A"/>
    <w:rsid w:val="7CB50753"/>
    <w:rsid w:val="7CDB0016"/>
    <w:rsid w:val="7D4274B2"/>
    <w:rsid w:val="7D575B1B"/>
    <w:rsid w:val="7D657CD2"/>
    <w:rsid w:val="7D660357"/>
    <w:rsid w:val="7D8436EA"/>
    <w:rsid w:val="7D8F0E4A"/>
    <w:rsid w:val="7DB164B1"/>
    <w:rsid w:val="7DC67819"/>
    <w:rsid w:val="7DD11708"/>
    <w:rsid w:val="7DE61BF9"/>
    <w:rsid w:val="7DEE4A4F"/>
    <w:rsid w:val="7DFA7AE0"/>
    <w:rsid w:val="7E097FCF"/>
    <w:rsid w:val="7E105802"/>
    <w:rsid w:val="7E4214F4"/>
    <w:rsid w:val="7E6B2A38"/>
    <w:rsid w:val="7E7C2DC0"/>
    <w:rsid w:val="7E81225C"/>
    <w:rsid w:val="7EAE6230"/>
    <w:rsid w:val="7EBD579E"/>
    <w:rsid w:val="7EC167BD"/>
    <w:rsid w:val="7EC82F8F"/>
    <w:rsid w:val="7EFB3DBC"/>
    <w:rsid w:val="7F073C75"/>
    <w:rsid w:val="7F0E3631"/>
    <w:rsid w:val="7F1135E0"/>
    <w:rsid w:val="7F1430D0"/>
    <w:rsid w:val="7F272D9E"/>
    <w:rsid w:val="7F280929"/>
    <w:rsid w:val="7F2D4191"/>
    <w:rsid w:val="7F507C62"/>
    <w:rsid w:val="7F6555F0"/>
    <w:rsid w:val="7F691DCC"/>
    <w:rsid w:val="7F7122D0"/>
    <w:rsid w:val="7F761695"/>
    <w:rsid w:val="7FE91011"/>
    <w:rsid w:val="7FF30BD1"/>
    <w:rsid w:val="7FF3582B"/>
    <w:rsid w:val="7FF9365D"/>
    <w:rsid w:val="7FFC05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semiHidden="0"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nhideWhenUsed="0" w:uiPriority="0" w:semiHidden="0" w:name="List Number"/>
    <w:lsdException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qFormat="1" w:unhideWhenUsed="0" w:uiPriority="0"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numPr>
        <w:ilvl w:val="3"/>
        <w:numId w:val="1"/>
      </w:numPr>
      <w:adjustRightInd w:val="0"/>
      <w:spacing w:before="120" w:line="360" w:lineRule="auto"/>
      <w:textAlignment w:val="baseline"/>
      <w:outlineLvl w:val="3"/>
    </w:pPr>
    <w:rPr>
      <w:rFonts w:ascii="Arial" w:hAnsi="Times New Roman" w:eastAsia="黑体"/>
      <w:kern w:val="0"/>
      <w:sz w:val="28"/>
    </w:rPr>
  </w:style>
  <w:style w:type="paragraph" w:styleId="6">
    <w:name w:val="heading 5"/>
    <w:basedOn w:val="1"/>
    <w:next w:val="7"/>
    <w:link w:val="39"/>
    <w:qFormat/>
    <w:uiPriority w:val="9"/>
    <w:pPr>
      <w:keepNext/>
      <w:keepLines/>
      <w:spacing w:before="280" w:after="290" w:line="376" w:lineRule="auto"/>
      <w:outlineLvl w:val="4"/>
    </w:pPr>
    <w:rPr>
      <w:b/>
      <w:bCs/>
      <w:sz w:val="28"/>
      <w:szCs w:val="28"/>
    </w:rPr>
  </w:style>
  <w:style w:type="paragraph" w:styleId="8">
    <w:name w:val="heading 7"/>
    <w:basedOn w:val="1"/>
    <w:next w:val="1"/>
    <w:link w:val="40"/>
    <w:unhideWhenUsed/>
    <w:qFormat/>
    <w:uiPriority w:val="0"/>
    <w:pPr>
      <w:keepNext/>
      <w:keepLines/>
      <w:spacing w:before="240" w:after="64" w:line="320" w:lineRule="auto"/>
      <w:outlineLvl w:val="6"/>
    </w:pPr>
    <w:rPr>
      <w:b/>
      <w:bCs/>
      <w:sz w:val="24"/>
    </w:rPr>
  </w:style>
  <w:style w:type="paragraph" w:styleId="9">
    <w:name w:val="heading 8"/>
    <w:basedOn w:val="1"/>
    <w:next w:val="1"/>
    <w:link w:val="41"/>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unhideWhenUsed/>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7">
    <w:name w:val="Normal Indent"/>
    <w:basedOn w:val="1"/>
    <w:uiPriority w:val="0"/>
    <w:pPr>
      <w:ind w:firstLine="420"/>
    </w:pPr>
    <w:rPr>
      <w:szCs w:val="20"/>
    </w:rPr>
  </w:style>
  <w:style w:type="paragraph" w:styleId="10">
    <w:name w:val="table of authorities"/>
    <w:basedOn w:val="1"/>
    <w:next w:val="1"/>
    <w:unhideWhenUsed/>
    <w:qFormat/>
    <w:uiPriority w:val="99"/>
    <w:pPr>
      <w:ind w:left="420" w:leftChars="200"/>
    </w:pPr>
  </w:style>
  <w:style w:type="paragraph" w:styleId="11">
    <w:name w:val="index 8"/>
    <w:basedOn w:val="1"/>
    <w:next w:val="1"/>
    <w:qFormat/>
    <w:uiPriority w:val="0"/>
    <w:pPr>
      <w:ind w:left="2940"/>
    </w:pPr>
  </w:style>
  <w:style w:type="paragraph" w:styleId="12">
    <w:name w:val="List Number"/>
    <w:basedOn w:val="1"/>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42"/>
    <w:qFormat/>
    <w:uiPriority w:val="0"/>
    <w:pPr>
      <w:jc w:val="left"/>
    </w:pPr>
  </w:style>
  <w:style w:type="paragraph" w:styleId="14">
    <w:name w:val="Body Text 3"/>
    <w:basedOn w:val="1"/>
    <w:link w:val="43"/>
    <w:unhideWhenUsed/>
    <w:uiPriority w:val="99"/>
    <w:pPr>
      <w:spacing w:after="120"/>
    </w:pPr>
    <w:rPr>
      <w:sz w:val="16"/>
      <w:szCs w:val="16"/>
    </w:rPr>
  </w:style>
  <w:style w:type="paragraph" w:styleId="15">
    <w:name w:val="Body Text"/>
    <w:basedOn w:val="1"/>
    <w:link w:val="44"/>
    <w:unhideWhenUsed/>
    <w:uiPriority w:val="0"/>
    <w:pPr>
      <w:spacing w:after="120"/>
    </w:pPr>
  </w:style>
  <w:style w:type="paragraph" w:styleId="16">
    <w:name w:val="Body Text Indent"/>
    <w:basedOn w:val="1"/>
    <w:next w:val="17"/>
    <w:link w:val="45"/>
    <w:uiPriority w:val="0"/>
    <w:pPr>
      <w:ind w:firstLine="830" w:firstLineChars="352"/>
    </w:pPr>
    <w:rPr>
      <w:rFonts w:ascii="仿宋_GB2312" w:eastAsia="仿宋_GB2312"/>
      <w:kern w:val="0"/>
      <w:sz w:val="32"/>
      <w:szCs w:val="20"/>
    </w:rPr>
  </w:style>
  <w:style w:type="paragraph" w:styleId="17">
    <w:name w:val="envelope return"/>
    <w:basedOn w:val="1"/>
    <w:qFormat/>
    <w:uiPriority w:val="99"/>
    <w:rPr>
      <w:rFonts w:ascii="Arial" w:hAnsi="Arial" w:cs="Arial"/>
      <w:kern w:val="1"/>
    </w:rPr>
  </w:style>
  <w:style w:type="paragraph" w:styleId="18">
    <w:name w:val="List 2"/>
    <w:basedOn w:val="1"/>
    <w:unhideWhenUsed/>
    <w:uiPriority w:val="99"/>
    <w:pPr>
      <w:ind w:left="100" w:leftChars="200" w:hanging="200" w:hangingChars="200"/>
      <w:contextualSpacing/>
    </w:pPr>
  </w:style>
  <w:style w:type="paragraph" w:styleId="19">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0">
    <w:name w:val="Plain Text"/>
    <w:basedOn w:val="1"/>
    <w:link w:val="46"/>
    <w:qFormat/>
    <w:uiPriority w:val="0"/>
    <w:rPr>
      <w:rFonts w:ascii="宋体" w:hAnsi="Courier New"/>
      <w:kern w:val="0"/>
      <w:sz w:val="20"/>
      <w:szCs w:val="21"/>
    </w:rPr>
  </w:style>
  <w:style w:type="paragraph" w:styleId="21">
    <w:name w:val="Date"/>
    <w:basedOn w:val="1"/>
    <w:next w:val="1"/>
    <w:link w:val="47"/>
    <w:unhideWhenUsed/>
    <w:uiPriority w:val="99"/>
    <w:pPr>
      <w:ind w:left="100" w:leftChars="2500"/>
    </w:pPr>
  </w:style>
  <w:style w:type="paragraph" w:styleId="22">
    <w:name w:val="Balloon Text"/>
    <w:basedOn w:val="1"/>
    <w:semiHidden/>
    <w:uiPriority w:val="0"/>
    <w:rPr>
      <w:sz w:val="18"/>
      <w:szCs w:val="18"/>
    </w:rPr>
  </w:style>
  <w:style w:type="paragraph" w:styleId="23">
    <w:name w:val="footer"/>
    <w:basedOn w:val="1"/>
    <w:link w:val="48"/>
    <w:unhideWhenUsed/>
    <w:uiPriority w:val="99"/>
    <w:pPr>
      <w:tabs>
        <w:tab w:val="center" w:pos="4153"/>
        <w:tab w:val="right" w:pos="8306"/>
      </w:tabs>
      <w:snapToGrid w:val="0"/>
      <w:jc w:val="left"/>
    </w:pPr>
    <w:rPr>
      <w:kern w:val="0"/>
      <w:sz w:val="18"/>
      <w:szCs w:val="18"/>
    </w:rPr>
  </w:style>
  <w:style w:type="paragraph" w:styleId="24">
    <w:name w:val="header"/>
    <w:basedOn w:val="1"/>
    <w:link w:val="49"/>
    <w:unhideWhenUsed/>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uiPriority w:val="39"/>
  </w:style>
  <w:style w:type="paragraph" w:styleId="26">
    <w:name w:val="toc 2"/>
    <w:basedOn w:val="1"/>
    <w:next w:val="1"/>
    <w:unhideWhenUsed/>
    <w:uiPriority w:val="39"/>
    <w:pPr>
      <w:tabs>
        <w:tab w:val="right" w:leader="dot" w:pos="8296"/>
      </w:tabs>
      <w:ind w:left="420" w:leftChars="200"/>
    </w:pPr>
  </w:style>
  <w:style w:type="paragraph" w:styleId="27">
    <w:name w:val="Normal (Web)"/>
    <w:basedOn w:val="1"/>
    <w:unhideWhenUsed/>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annotation subject"/>
    <w:basedOn w:val="13"/>
    <w:next w:val="13"/>
    <w:link w:val="50"/>
    <w:uiPriority w:val="99"/>
    <w:rPr>
      <w:b/>
      <w:bCs/>
    </w:rPr>
  </w:style>
  <w:style w:type="paragraph" w:styleId="29">
    <w:name w:val="Body Text First Indent 2"/>
    <w:basedOn w:val="16"/>
    <w:unhideWhenUsed/>
    <w:qFormat/>
    <w:uiPriority w:val="99"/>
    <w:pPr>
      <w:ind w:firstLine="420" w:firstLineChars="200"/>
    </w:pPr>
  </w:style>
  <w:style w:type="table" w:styleId="31">
    <w:name w:val="Table Grid"/>
    <w:basedOn w:val="3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unhideWhenUsed/>
    <w:uiPriority w:val="99"/>
    <w:rPr>
      <w:vertAlign w:val="superscript"/>
    </w:rPr>
  </w:style>
  <w:style w:type="character" w:styleId="34">
    <w:name w:val="page number"/>
    <w:basedOn w:val="32"/>
    <w:qFormat/>
    <w:uiPriority w:val="99"/>
  </w:style>
  <w:style w:type="character" w:styleId="35">
    <w:name w:val="Hyperlink"/>
    <w:unhideWhenUsed/>
    <w:uiPriority w:val="99"/>
    <w:rPr>
      <w:color w:val="0000FF"/>
      <w:u w:val="single"/>
    </w:rPr>
  </w:style>
  <w:style w:type="character" w:styleId="36">
    <w:name w:val="annotation reference"/>
    <w:qFormat/>
    <w:uiPriority w:val="0"/>
    <w:rPr>
      <w:sz w:val="21"/>
      <w:szCs w:val="21"/>
    </w:rPr>
  </w:style>
  <w:style w:type="character" w:customStyle="1" w:styleId="37">
    <w:name w:val="标题 1 Char"/>
    <w:link w:val="2"/>
    <w:qFormat/>
    <w:uiPriority w:val="9"/>
    <w:rPr>
      <w:b/>
      <w:bCs/>
      <w:kern w:val="44"/>
      <w:sz w:val="44"/>
      <w:szCs w:val="44"/>
    </w:rPr>
  </w:style>
  <w:style w:type="character" w:customStyle="1" w:styleId="38">
    <w:name w:val="标题 2 Char1"/>
    <w:link w:val="3"/>
    <w:qFormat/>
    <w:uiPriority w:val="9"/>
    <w:rPr>
      <w:rFonts w:ascii="Cambria" w:hAnsi="Cambria" w:eastAsia="宋体" w:cs="Times New Roman"/>
      <w:b/>
      <w:bCs/>
      <w:kern w:val="2"/>
      <w:sz w:val="32"/>
      <w:szCs w:val="32"/>
    </w:rPr>
  </w:style>
  <w:style w:type="character" w:customStyle="1" w:styleId="39">
    <w:name w:val="标题 5 Char"/>
    <w:link w:val="6"/>
    <w:semiHidden/>
    <w:qFormat/>
    <w:uiPriority w:val="9"/>
    <w:rPr>
      <w:rFonts w:ascii="Times New Roman" w:hAnsi="Times New Roman"/>
      <w:b/>
      <w:bCs/>
      <w:kern w:val="2"/>
      <w:sz w:val="28"/>
      <w:szCs w:val="28"/>
    </w:rPr>
  </w:style>
  <w:style w:type="character" w:customStyle="1" w:styleId="40">
    <w:name w:val="标题 7 Char"/>
    <w:link w:val="8"/>
    <w:qFormat/>
    <w:uiPriority w:val="0"/>
    <w:rPr>
      <w:b/>
      <w:bCs/>
      <w:kern w:val="2"/>
      <w:sz w:val="24"/>
      <w:szCs w:val="24"/>
    </w:rPr>
  </w:style>
  <w:style w:type="character" w:customStyle="1" w:styleId="41">
    <w:name w:val="标题 8 Char1"/>
    <w:link w:val="9"/>
    <w:semiHidden/>
    <w:qFormat/>
    <w:uiPriority w:val="9"/>
    <w:rPr>
      <w:rFonts w:ascii="等线 Light" w:hAnsi="等线 Light" w:eastAsia="等线 Light" w:cs="Times New Roman"/>
      <w:kern w:val="2"/>
      <w:sz w:val="24"/>
      <w:szCs w:val="24"/>
    </w:rPr>
  </w:style>
  <w:style w:type="character" w:customStyle="1" w:styleId="42">
    <w:name w:val="批注文字 Char1"/>
    <w:link w:val="13"/>
    <w:qFormat/>
    <w:uiPriority w:val="0"/>
    <w:rPr>
      <w:rFonts w:ascii="Times New Roman" w:hAnsi="Times New Roman"/>
      <w:kern w:val="2"/>
      <w:sz w:val="21"/>
      <w:szCs w:val="24"/>
    </w:rPr>
  </w:style>
  <w:style w:type="character" w:customStyle="1" w:styleId="43">
    <w:name w:val="正文文本 3 Char"/>
    <w:link w:val="14"/>
    <w:semiHidden/>
    <w:qFormat/>
    <w:uiPriority w:val="99"/>
    <w:rPr>
      <w:kern w:val="2"/>
      <w:sz w:val="16"/>
      <w:szCs w:val="16"/>
    </w:rPr>
  </w:style>
  <w:style w:type="character" w:customStyle="1" w:styleId="44">
    <w:name w:val="正文文本 Char1"/>
    <w:link w:val="15"/>
    <w:qFormat/>
    <w:uiPriority w:val="0"/>
    <w:rPr>
      <w:rFonts w:ascii="Times New Roman" w:hAnsi="Times New Roman"/>
      <w:kern w:val="2"/>
      <w:sz w:val="21"/>
      <w:szCs w:val="24"/>
    </w:rPr>
  </w:style>
  <w:style w:type="character" w:customStyle="1" w:styleId="45">
    <w:name w:val="正文文本缩进 Char"/>
    <w:link w:val="16"/>
    <w:qFormat/>
    <w:uiPriority w:val="0"/>
    <w:rPr>
      <w:rFonts w:ascii="仿宋_GB2312" w:hAnsi="Times New Roman" w:eastAsia="仿宋_GB2312" w:cs="Times New Roman"/>
      <w:sz w:val="32"/>
      <w:szCs w:val="20"/>
    </w:rPr>
  </w:style>
  <w:style w:type="character" w:customStyle="1" w:styleId="46">
    <w:name w:val="纯文本 Char1"/>
    <w:link w:val="20"/>
    <w:qFormat/>
    <w:uiPriority w:val="0"/>
    <w:rPr>
      <w:rFonts w:ascii="宋体" w:hAnsi="Courier New" w:eastAsia="宋体" w:cs="Courier New"/>
      <w:szCs w:val="21"/>
    </w:rPr>
  </w:style>
  <w:style w:type="character" w:customStyle="1" w:styleId="47">
    <w:name w:val="日期 Char"/>
    <w:link w:val="21"/>
    <w:semiHidden/>
    <w:qFormat/>
    <w:uiPriority w:val="99"/>
    <w:rPr>
      <w:rFonts w:ascii="Times New Roman" w:hAnsi="Times New Roman"/>
      <w:kern w:val="2"/>
      <w:sz w:val="21"/>
      <w:szCs w:val="24"/>
    </w:rPr>
  </w:style>
  <w:style w:type="character" w:customStyle="1" w:styleId="48">
    <w:name w:val="页脚 Char"/>
    <w:link w:val="23"/>
    <w:qFormat/>
    <w:uiPriority w:val="99"/>
    <w:rPr>
      <w:sz w:val="18"/>
      <w:szCs w:val="18"/>
    </w:rPr>
  </w:style>
  <w:style w:type="character" w:customStyle="1" w:styleId="49">
    <w:name w:val="页眉 Char"/>
    <w:link w:val="24"/>
    <w:qFormat/>
    <w:uiPriority w:val="99"/>
    <w:rPr>
      <w:sz w:val="18"/>
      <w:szCs w:val="18"/>
    </w:rPr>
  </w:style>
  <w:style w:type="character" w:customStyle="1" w:styleId="50">
    <w:name w:val="批注主题 Char"/>
    <w:link w:val="28"/>
    <w:qFormat/>
    <w:uiPriority w:val="99"/>
    <w:rPr>
      <w:rFonts w:ascii="Times New Roman" w:hAnsi="Times New Roman"/>
      <w:b/>
      <w:bCs/>
      <w:kern w:val="2"/>
      <w:sz w:val="21"/>
      <w:szCs w:val="24"/>
    </w:rPr>
  </w:style>
  <w:style w:type="paragraph" w:customStyle="1" w:styleId="51">
    <w:name w:val="表格文字"/>
    <w:basedOn w:val="1"/>
    <w:qFormat/>
    <w:uiPriority w:val="0"/>
    <w:pPr>
      <w:jc w:val="left"/>
    </w:pPr>
    <w:rPr>
      <w:bCs/>
      <w:spacing w:val="10"/>
      <w:sz w:val="24"/>
    </w:rPr>
  </w:style>
  <w:style w:type="paragraph" w:customStyle="1" w:styleId="52">
    <w:name w:val="TOC 标题2"/>
    <w:next w:val="1"/>
    <w:qFormat/>
    <w:uiPriority w:val="99"/>
    <w:pPr>
      <w:wordWrap w:val="0"/>
    </w:pPr>
    <w:rPr>
      <w:rFonts w:ascii="Calibri" w:hAnsi="Calibri" w:eastAsia="宋体" w:cs="Times New Roman"/>
      <w:sz w:val="32"/>
      <w:lang w:val="en-US" w:eastAsia="zh-CN" w:bidi="ar-SA"/>
    </w:rPr>
  </w:style>
  <w:style w:type="paragraph" w:customStyle="1" w:styleId="53">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54">
    <w:name w:val="标题 1 字符1"/>
    <w:qFormat/>
    <w:uiPriority w:val="0"/>
    <w:rPr>
      <w:b/>
      <w:bCs/>
      <w:kern w:val="44"/>
      <w:sz w:val="44"/>
      <w:szCs w:val="44"/>
    </w:rPr>
  </w:style>
  <w:style w:type="character" w:customStyle="1" w:styleId="55">
    <w:name w:val="textcontents"/>
    <w:qFormat/>
    <w:uiPriority w:val="0"/>
  </w:style>
  <w:style w:type="character" w:customStyle="1" w:styleId="56">
    <w:name w:val="批注文字 Char"/>
    <w:qFormat/>
    <w:uiPriority w:val="0"/>
    <w:rPr>
      <w:rFonts w:ascii="Times New Roman" w:hAnsi="Times New Roman"/>
      <w:kern w:val="2"/>
      <w:sz w:val="21"/>
      <w:szCs w:val="24"/>
    </w:rPr>
  </w:style>
  <w:style w:type="character" w:customStyle="1" w:styleId="57">
    <w:name w:val="纯文本 字符"/>
    <w:qFormat/>
    <w:uiPriority w:val="0"/>
    <w:rPr>
      <w:rFonts w:ascii="宋体" w:hAnsi="Courier New" w:eastAsia="宋体" w:cs="Courier New"/>
      <w:szCs w:val="21"/>
    </w:rPr>
  </w:style>
  <w:style w:type="character" w:customStyle="1" w:styleId="58">
    <w:name w:val="纯文本 Char"/>
    <w:qFormat/>
    <w:uiPriority w:val="0"/>
    <w:rPr>
      <w:rFonts w:ascii="宋体" w:hAnsi="Courier New" w:eastAsia="宋体" w:cs="Courier New"/>
      <w:szCs w:val="21"/>
    </w:rPr>
  </w:style>
  <w:style w:type="character" w:customStyle="1" w:styleId="59">
    <w:name w:val="纯文本 字符2"/>
    <w:qFormat/>
    <w:uiPriority w:val="0"/>
    <w:rPr>
      <w:rFonts w:ascii="宋体" w:hAnsi="Courier New" w:eastAsia="宋体" w:cs="Courier New"/>
      <w:szCs w:val="21"/>
    </w:rPr>
  </w:style>
  <w:style w:type="character" w:customStyle="1" w:styleId="60">
    <w:name w:val="批注文字 字符1"/>
    <w:qFormat/>
    <w:uiPriority w:val="0"/>
    <w:rPr>
      <w:rFonts w:ascii="Times New Roman" w:hAnsi="Times New Roman"/>
      <w:kern w:val="2"/>
      <w:sz w:val="21"/>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纯文本 字符1"/>
    <w:qFormat/>
    <w:uiPriority w:val="0"/>
    <w:rPr>
      <w:rFonts w:ascii="宋体" w:hAnsi="Courier New"/>
    </w:rPr>
  </w:style>
  <w:style w:type="character" w:customStyle="1" w:styleId="63">
    <w:name w:val="正文文本 Char"/>
    <w:qFormat/>
    <w:uiPriority w:val="0"/>
    <w:rPr>
      <w:rFonts w:ascii="Times New Roman" w:hAnsi="Times New Roman"/>
      <w:kern w:val="2"/>
      <w:sz w:val="21"/>
      <w:szCs w:val="24"/>
    </w:rPr>
  </w:style>
  <w:style w:type="character" w:customStyle="1" w:styleId="64">
    <w:name w:val="批注文字 字符"/>
    <w:qFormat/>
    <w:uiPriority w:val="0"/>
    <w:rPr>
      <w:rFonts w:ascii="Times New Roman" w:hAnsi="Times New Roman"/>
      <w:kern w:val="2"/>
      <w:sz w:val="21"/>
      <w:szCs w:val="24"/>
    </w:rPr>
  </w:style>
  <w:style w:type="character" w:customStyle="1" w:styleId="65">
    <w:name w:val="标题 2 Char"/>
    <w:qFormat/>
    <w:uiPriority w:val="9"/>
    <w:rPr>
      <w:rFonts w:ascii="Cambria" w:hAnsi="Cambria" w:eastAsia="宋体" w:cs="Times New Roman"/>
      <w:b/>
      <w:bCs/>
      <w:kern w:val="2"/>
      <w:sz w:val="32"/>
      <w:szCs w:val="32"/>
    </w:rPr>
  </w:style>
  <w:style w:type="character" w:customStyle="1" w:styleId="66">
    <w:name w:val="标题 8 Char"/>
    <w:qFormat/>
    <w:uiPriority w:val="0"/>
    <w:rPr>
      <w:rFonts w:ascii="Arial" w:hAnsi="Arial" w:eastAsia="黑体"/>
      <w:kern w:val="2"/>
      <w:sz w:val="24"/>
      <w:szCs w:val="24"/>
    </w:rPr>
  </w:style>
  <w:style w:type="character" w:customStyle="1" w:styleId="67">
    <w:name w:val="apple-style-span"/>
    <w:qFormat/>
    <w:uiPriority w:val="0"/>
  </w:style>
  <w:style w:type="paragraph" w:customStyle="1" w:styleId="68">
    <w:name w:val="默认段落字体 Para Char Char Char Char Char Char Char Char Char1 Char Char Char Char"/>
    <w:basedOn w:val="1"/>
    <w:qFormat/>
    <w:uiPriority w:val="0"/>
    <w:rPr>
      <w:rFonts w:ascii="Tahoma" w:hAnsi="Tahoma"/>
      <w:sz w:val="24"/>
      <w:szCs w:val="20"/>
    </w:rPr>
  </w:style>
  <w:style w:type="paragraph" w:customStyle="1" w:styleId="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0">
    <w:name w:val="List Paragraph"/>
    <w:basedOn w:val="1"/>
    <w:qFormat/>
    <w:uiPriority w:val="34"/>
    <w:pPr>
      <w:ind w:firstLine="420" w:firstLineChars="200"/>
    </w:pPr>
  </w:style>
  <w:style w:type="paragraph" w:customStyle="1" w:styleId="71">
    <w:name w:val="Table Paragraph"/>
    <w:basedOn w:val="1"/>
    <w:qFormat/>
    <w:uiPriority w:val="1"/>
    <w:pPr>
      <w:jc w:val="left"/>
    </w:pPr>
    <w:rPr>
      <w:rFonts w:ascii="Calibri" w:hAnsi="Calibri"/>
      <w:kern w:val="0"/>
      <w:sz w:val="22"/>
      <w:szCs w:val="22"/>
      <w:lang w:eastAsia="en-US"/>
    </w:rPr>
  </w:style>
  <w:style w:type="character" w:customStyle="1" w:styleId="72">
    <w:name w:val="正文文本 字符"/>
    <w:qFormat/>
    <w:uiPriority w:val="0"/>
    <w:rPr>
      <w:rFonts w:ascii="Times New Roman" w:hAnsi="Times New Roman"/>
      <w:kern w:val="2"/>
      <w:sz w:val="21"/>
      <w:szCs w:val="24"/>
    </w:rPr>
  </w:style>
  <w:style w:type="character" w:customStyle="1" w:styleId="73">
    <w:name w:val="批注文字 Char2"/>
    <w:qFormat/>
    <w:uiPriority w:val="0"/>
    <w:rPr>
      <w:rFonts w:ascii="Times New Roman" w:hAnsi="Times New Roman"/>
      <w:kern w:val="2"/>
      <w:sz w:val="21"/>
      <w:szCs w:val="24"/>
    </w:rPr>
  </w:style>
  <w:style w:type="paragraph" w:customStyle="1" w:styleId="7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0"/>
    <w:basedOn w:val="76"/>
    <w:qFormat/>
    <w:uiPriority w:val="0"/>
    <w:rPr>
      <w:szCs w:val="21"/>
    </w:rPr>
  </w:style>
  <w:style w:type="paragraph" w:customStyle="1" w:styleId="7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标题 1_0"/>
    <w:basedOn w:val="78"/>
    <w:next w:val="78"/>
    <w:qFormat/>
    <w:locked/>
    <w:uiPriority w:val="0"/>
    <w:pPr>
      <w:keepNext/>
      <w:keepLines/>
      <w:spacing w:line="360" w:lineRule="auto"/>
      <w:outlineLvl w:val="0"/>
    </w:pPr>
    <w:rPr>
      <w:rFonts w:ascii="Times New Roman" w:hAnsi="Times New Roman" w:eastAsia="黑体"/>
      <w:b/>
      <w:bCs/>
      <w:kern w:val="44"/>
      <w:sz w:val="44"/>
      <w:szCs w:val="44"/>
    </w:rPr>
  </w:style>
  <w:style w:type="paragraph" w:customStyle="1" w:styleId="78">
    <w:name w:val="正文_2"/>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标题 1_2"/>
    <w:basedOn w:val="80"/>
    <w:next w:val="80"/>
    <w:qFormat/>
    <w:uiPriority w:val="0"/>
    <w:rPr>
      <w:b/>
      <w:bCs/>
      <w:kern w:val="0"/>
      <w:sz w:val="32"/>
      <w:szCs w:val="32"/>
    </w:rPr>
  </w:style>
  <w:style w:type="paragraph" w:customStyle="1" w:styleId="80">
    <w:name w:val="正文_4"/>
    <w:basedOn w:val="81"/>
    <w:qFormat/>
    <w:uiPriority w:val="0"/>
  </w:style>
  <w:style w:type="paragraph" w:customStyle="1" w:styleId="81">
    <w:name w:val="正文_3"/>
    <w:basedOn w:val="78"/>
    <w:qFormat/>
    <w:uiPriority w:val="0"/>
    <w:rPr>
      <w:rFonts w:cs="宋体"/>
      <w:szCs w:val="21"/>
    </w:rPr>
  </w:style>
  <w:style w:type="paragraph" w:customStyle="1" w:styleId="82">
    <w:name w:val="正文_7"/>
    <w:basedOn w:val="83"/>
    <w:qFormat/>
    <w:uiPriority w:val="0"/>
  </w:style>
  <w:style w:type="paragraph" w:customStyle="1" w:styleId="83">
    <w:name w:val="正文_5"/>
    <w:basedOn w:val="84"/>
    <w:next w:val="85"/>
    <w:qFormat/>
    <w:uiPriority w:val="0"/>
  </w:style>
  <w:style w:type="paragraph" w:customStyle="1" w:styleId="84">
    <w:name w:val="正文_6"/>
    <w:basedOn w:val="78"/>
    <w:qFormat/>
    <w:uiPriority w:val="0"/>
    <w:rPr>
      <w:rFonts w:cs="宋体"/>
      <w:szCs w:val="21"/>
    </w:rPr>
  </w:style>
  <w:style w:type="paragraph" w:customStyle="1" w:styleId="85">
    <w:name w:val="标题 2_1"/>
    <w:basedOn w:val="83"/>
    <w:next w:val="83"/>
    <w:qFormat/>
    <w:uiPriority w:val="0"/>
  </w:style>
  <w:style w:type="paragraph" w:customStyle="1" w:styleId="86">
    <w:name w:val="Default_0"/>
    <w:basedOn w:val="78"/>
    <w:qFormat/>
    <w:uiPriority w:val="0"/>
    <w:pPr>
      <w:autoSpaceDE w:val="0"/>
      <w:autoSpaceDN w:val="0"/>
      <w:adjustRightInd w:val="0"/>
      <w:jc w:val="left"/>
    </w:pPr>
    <w:rPr>
      <w:rFonts w:cs="宋体"/>
      <w:color w:val="000000"/>
      <w:kern w:val="0"/>
      <w:sz w:val="24"/>
      <w:szCs w:val="24"/>
    </w:rPr>
  </w:style>
  <w:style w:type="paragraph" w:customStyle="1" w:styleId="87">
    <w:name w:val="批注文字_0"/>
    <w:basedOn w:val="83"/>
    <w:semiHidden/>
    <w:qFormat/>
    <w:uiPriority w:val="0"/>
  </w:style>
  <w:style w:type="paragraph" w:customStyle="1" w:styleId="88">
    <w:name w:val="正文_5_0"/>
    <w:basedOn w:val="84"/>
    <w:qFormat/>
    <w:uiPriority w:val="0"/>
  </w:style>
  <w:style w:type="paragraph" w:customStyle="1" w:styleId="89">
    <w:name w:val="reader-word-layer_0"/>
    <w:basedOn w:val="80"/>
    <w:qFormat/>
    <w:uiPriority w:val="0"/>
  </w:style>
  <w:style w:type="paragraph" w:customStyle="1" w:styleId="90">
    <w:name w:val="纯文本_0"/>
    <w:basedOn w:val="80"/>
    <w:qFormat/>
    <w:uiPriority w:val="0"/>
  </w:style>
  <w:style w:type="paragraph" w:customStyle="1" w:styleId="91">
    <w:name w:val="正文文本_0"/>
    <w:basedOn w:val="75"/>
    <w:qFormat/>
    <w:uiPriority w:val="0"/>
    <w:pPr>
      <w:adjustRightInd w:val="0"/>
      <w:spacing w:before="100" w:beforeAutospacing="1" w:after="60" w:line="360" w:lineRule="atLeast"/>
      <w:ind w:left="72" w:leftChars="30" w:right="30" w:rightChars="30"/>
      <w:jc w:val="center"/>
      <w:textAlignment w:val="baseline"/>
    </w:pPr>
  </w:style>
  <w:style w:type="character" w:customStyle="1" w:styleId="92">
    <w:name w:val="NormalCharacter"/>
    <w:qFormat/>
    <w:uiPriority w:val="0"/>
    <w:rPr>
      <w:kern w:val="2"/>
      <w:sz w:val="21"/>
      <w:szCs w:val="24"/>
      <w:lang w:val="en-US" w:eastAsia="zh-CN" w:bidi="ar-SA"/>
    </w:rPr>
  </w:style>
  <w:style w:type="paragraph" w:customStyle="1" w:styleId="93">
    <w:name w:val="PlainText"/>
    <w:basedOn w:val="1"/>
    <w:next w:val="94"/>
    <w:qFormat/>
    <w:uiPriority w:val="0"/>
    <w:pPr>
      <w:jc w:val="both"/>
      <w:textAlignment w:val="baseline"/>
    </w:pPr>
    <w:rPr>
      <w:rFonts w:ascii="宋体" w:hAnsi="Courier New"/>
      <w:kern w:val="0"/>
      <w:sz w:val="20"/>
      <w:szCs w:val="21"/>
      <w:lang w:val="en-US" w:eastAsia="zh-CN" w:bidi="ar-SA"/>
    </w:rPr>
  </w:style>
  <w:style w:type="paragraph" w:customStyle="1" w:styleId="94">
    <w:name w:val="Index8"/>
    <w:basedOn w:val="1"/>
    <w:next w:val="1"/>
    <w:qFormat/>
    <w:uiPriority w:val="0"/>
    <w:pPr>
      <w:ind w:left="2940"/>
      <w:jc w:val="both"/>
      <w:textAlignment w:val="baseline"/>
    </w:pPr>
    <w:rPr>
      <w:rFonts w:ascii="Times New Roman" w:hAnsi="Times New Roman" w:eastAsia="宋体"/>
      <w:kern w:val="2"/>
      <w:sz w:val="21"/>
      <w:szCs w:val="24"/>
      <w:lang w:val="en-US" w:eastAsia="zh-CN" w:bidi="ar-SA"/>
    </w:rPr>
  </w:style>
  <w:style w:type="paragraph" w:customStyle="1" w:styleId="95">
    <w:name w:val="BodyText"/>
    <w:basedOn w:val="1"/>
    <w:qFormat/>
    <w:uiPriority w:val="0"/>
    <w:pPr>
      <w:textAlignment w:val="baseline"/>
    </w:pPr>
    <w:rPr>
      <w:szCs w:val="21"/>
    </w:rPr>
  </w:style>
  <w:style w:type="paragraph" w:customStyle="1" w:styleId="96">
    <w:name w:val="Blockquote"/>
    <w:basedOn w:val="1"/>
    <w:qFormat/>
    <w:uiPriority w:val="0"/>
    <w:pPr>
      <w:widowControl w:val="0"/>
      <w:autoSpaceDE w:val="0"/>
      <w:autoSpaceDN w:val="0"/>
      <w:adjustRightInd w:val="0"/>
      <w:spacing w:before="100" w:after="100" w:line="240" w:lineRule="auto"/>
      <w:ind w:left="360" w:right="360"/>
      <w:jc w:val="left"/>
      <w:textAlignment w:val="auto"/>
    </w:pPr>
    <w:rPr>
      <w:rFonts w:ascii="宋体" w:hAnsi="宋体"/>
      <w:color w:val="auto"/>
      <w:sz w:val="24"/>
      <w:u w:val="none" w:color="auto"/>
    </w:rPr>
  </w:style>
  <w:style w:type="paragraph" w:customStyle="1" w:styleId="97">
    <w:name w:val="p0"/>
    <w:basedOn w:val="1"/>
    <w:qFormat/>
    <w:uiPriority w:val="0"/>
    <w:pPr>
      <w:widowControl/>
    </w:pPr>
    <w:rPr>
      <w:kern w:val="0"/>
      <w:szCs w:val="21"/>
    </w:rPr>
  </w:style>
  <w:style w:type="paragraph" w:customStyle="1" w:styleId="98">
    <w:name w:val="标题 2_0"/>
    <w:basedOn w:val="78"/>
    <w:next w:val="78"/>
    <w:qFormat/>
    <w:uiPriority w:val="99"/>
    <w:pPr>
      <w:keepNext/>
      <w:keepLines/>
      <w:spacing w:before="260" w:after="260" w:line="412" w:lineRule="auto"/>
      <w:outlineLvl w:val="1"/>
    </w:pPr>
    <w:rPr>
      <w:rFonts w:ascii="Arial" w:hAnsi="Arial" w:eastAsia="黑体"/>
      <w:b/>
      <w:sz w:val="32"/>
      <w:szCs w:val="20"/>
    </w:rPr>
  </w:style>
  <w:style w:type="paragraph" w:customStyle="1" w:styleId="99">
    <w:name w:val="标题 3_0"/>
    <w:basedOn w:val="78"/>
    <w:next w:val="78"/>
    <w:unhideWhenUsed/>
    <w:qFormat/>
    <w:uiPriority w:val="99"/>
    <w:pPr>
      <w:keepNext/>
      <w:keepLines/>
      <w:spacing w:before="260" w:after="260" w:line="416" w:lineRule="auto"/>
      <w:outlineLvl w:val="2"/>
    </w:pPr>
    <w:rPr>
      <w:rFonts w:ascii="Calibri" w:hAnsi="Calibr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7171" textRotate="1"/>
    <customShpInfo spid="_x0000_s7172" textRotate="1"/>
    <customShpInfo spid="_x0000_s7181" textRotate="1"/>
    <customShpInfo spid="_x0000_s7169" textRotate="1"/>
    <customShpInfo spid="_x0000_s717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108</Pages>
  <Words>33787</Words>
  <Characters>35262</Characters>
  <Lines>356</Lines>
  <Paragraphs>100</Paragraphs>
  <TotalTime>79</TotalTime>
  <ScaleCrop>false</ScaleCrop>
  <LinksUpToDate>false</LinksUpToDate>
  <CharactersWithSpaces>37348</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2021-11-29T01:43:00Z</dcterms:created>
  <dc:creator>KWZB</dc:creator>
  <cp:lastModifiedBy>科文招标</cp:lastModifiedBy>
  <cp:lastPrinted>2026-06-26T10:24:00Z</cp:lastPrinted>
  <dcterms:modified xsi:type="dcterms:W3CDTF">2026-06-26T10:57:14Z</dcterms:modified>
  <dc:title>竞争性谈判文件规范</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28732FBC9D4F4168BCB7F5F45144BA83_13</vt:lpwstr>
  </property>
  <property fmtid="{D5CDD505-2E9C-101B-9397-08002B2CF9AE}" pid="4" name="KSOTemplateDocerSaveRecord">
    <vt:lpwstr>eyJoZGlkIjoiMTViYmY3YzM0NTk3ZGYxZjE3MTJhNjczN2RjYThiMjQiLCJ1c2VySWQiOiIzNjg3ODg0MDUifQ==</vt:lpwstr>
  </property>
</Properties>
</file>