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9108A">
      <w:pPr>
        <w:spacing w:before="312" w:beforeLines="100" w:after="156" w:afterLines="50" w:line="480" w:lineRule="auto"/>
        <w:jc w:val="center"/>
        <w:rPr>
          <w:rFonts w:hint="eastAsia" w:ascii="宋体" w:hAnsi="宋体" w:cs="宋体"/>
          <w:b/>
          <w:color w:val="auto"/>
          <w:sz w:val="44"/>
          <w:szCs w:val="44"/>
          <w:highlight w:val="none"/>
        </w:rPr>
      </w:pPr>
      <w:r>
        <w:rPr>
          <w:rFonts w:hint="eastAsia" w:ascii="宋体" w:hAnsi="宋体" w:cs="宋体"/>
          <w:b/>
          <w:bCs/>
          <w:color w:val="auto"/>
          <w:sz w:val="52"/>
          <w:highlight w:val="none"/>
        </w:rPr>
        <w:t>广西同泽工程项目管理股份有限公司</w:t>
      </w:r>
    </w:p>
    <w:p w14:paraId="1BE4CB84">
      <w:pPr>
        <w:snapToGrid w:val="0"/>
        <w:spacing w:before="156" w:beforeLines="50" w:line="360" w:lineRule="auto"/>
        <w:jc w:val="center"/>
        <w:rPr>
          <w:rFonts w:hint="eastAsia" w:ascii="宋体" w:hAnsi="宋体" w:cs="宋体"/>
          <w:color w:val="auto"/>
          <w:sz w:val="32"/>
          <w:szCs w:val="32"/>
          <w:highlight w:val="none"/>
        </w:rPr>
      </w:pPr>
      <w:r>
        <w:rPr>
          <w:rFonts w:hint="eastAsia" w:ascii="宋体" w:hAnsi="宋体" w:cs="宋体"/>
          <w:color w:val="auto"/>
          <w:sz w:val="72"/>
          <w:szCs w:val="72"/>
          <w:highlight w:val="none"/>
        </w:rPr>
        <w:drawing>
          <wp:anchor distT="0" distB="0" distL="114300" distR="114300" simplePos="0" relativeHeight="251659264" behindDoc="0" locked="0" layoutInCell="1" allowOverlap="1">
            <wp:simplePos x="0" y="0"/>
            <wp:positionH relativeFrom="column">
              <wp:posOffset>1717675</wp:posOffset>
            </wp:positionH>
            <wp:positionV relativeFrom="paragraph">
              <wp:posOffset>212090</wp:posOffset>
            </wp:positionV>
            <wp:extent cx="2254250" cy="1694815"/>
            <wp:effectExtent l="0" t="0" r="12700" b="635"/>
            <wp:wrapNone/>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5"/>
                    <a:srcRect l="2884" t="1414" r="2617" b="1436"/>
                    <a:stretch>
                      <a:fillRect/>
                    </a:stretch>
                  </pic:blipFill>
                  <pic:spPr>
                    <a:xfrm>
                      <a:off x="0" y="0"/>
                      <a:ext cx="2254250" cy="1694815"/>
                    </a:xfrm>
                    <a:prstGeom prst="rect">
                      <a:avLst/>
                    </a:prstGeom>
                    <a:noFill/>
                    <a:ln>
                      <a:noFill/>
                    </a:ln>
                  </pic:spPr>
                </pic:pic>
              </a:graphicData>
            </a:graphic>
          </wp:anchor>
        </w:drawing>
      </w:r>
    </w:p>
    <w:p w14:paraId="249CE035">
      <w:pPr>
        <w:snapToGrid w:val="0"/>
        <w:spacing w:before="156" w:beforeLines="50" w:line="360" w:lineRule="auto"/>
        <w:jc w:val="center"/>
        <w:rPr>
          <w:rFonts w:hint="eastAsia" w:ascii="宋体" w:hAnsi="宋体" w:cs="宋体"/>
          <w:color w:val="auto"/>
          <w:sz w:val="72"/>
          <w:szCs w:val="72"/>
          <w:highlight w:val="none"/>
        </w:rPr>
      </w:pPr>
    </w:p>
    <w:p w14:paraId="1ED5F844">
      <w:pPr>
        <w:snapToGrid w:val="0"/>
        <w:spacing w:before="156" w:beforeLines="50" w:line="360" w:lineRule="auto"/>
        <w:jc w:val="center"/>
        <w:rPr>
          <w:rFonts w:hint="eastAsia" w:ascii="宋体" w:hAnsi="宋体" w:cs="宋体"/>
          <w:color w:val="auto"/>
          <w:sz w:val="72"/>
          <w:szCs w:val="72"/>
          <w:highlight w:val="none"/>
        </w:rPr>
      </w:pPr>
    </w:p>
    <w:p w14:paraId="6E2D1B5F">
      <w:pPr>
        <w:snapToGrid w:val="0"/>
        <w:spacing w:before="156" w:beforeLines="50" w:line="360" w:lineRule="auto"/>
        <w:jc w:val="center"/>
        <w:rPr>
          <w:rFonts w:hint="eastAsia" w:ascii="宋体" w:hAnsi="宋体" w:cs="宋体"/>
          <w:color w:val="auto"/>
          <w:sz w:val="44"/>
          <w:szCs w:val="44"/>
          <w:highlight w:val="none"/>
        </w:rPr>
      </w:pPr>
      <w:r>
        <w:rPr>
          <w:rFonts w:hint="eastAsia" w:ascii="宋体" w:hAnsi="宋体" w:cs="宋体"/>
          <w:color w:val="auto"/>
          <w:sz w:val="72"/>
          <w:szCs w:val="72"/>
          <w:highlight w:val="none"/>
        </w:rPr>
        <w:t>竞争性磋商文件</w:t>
      </w:r>
    </w:p>
    <w:p w14:paraId="4CDC919E">
      <w:pPr>
        <w:autoSpaceDE w:val="0"/>
        <w:autoSpaceDN w:val="0"/>
        <w:spacing w:line="480" w:lineRule="auto"/>
        <w:ind w:firstLine="3024" w:firstLineChars="1200"/>
        <w:jc w:val="left"/>
        <w:rPr>
          <w:rFonts w:hint="eastAsia" w:ascii="宋体" w:hAnsi="宋体" w:cs="宋体"/>
          <w:b/>
          <w:bCs/>
          <w:color w:val="auto"/>
          <w:spacing w:val="-14"/>
          <w:kern w:val="0"/>
          <w:position w:val="-6"/>
          <w:sz w:val="32"/>
          <w:szCs w:val="32"/>
          <w:highlight w:val="none"/>
          <w:lang w:bidi="en-US"/>
        </w:rPr>
      </w:pPr>
      <w:r>
        <w:rPr>
          <w:rFonts w:hint="eastAsia" w:ascii="宋体" w:hAnsi="宋体" w:cs="宋体"/>
          <w:color w:val="auto"/>
          <w:spacing w:val="-14"/>
          <w:kern w:val="0"/>
          <w:position w:val="-6"/>
          <w:sz w:val="28"/>
          <w:szCs w:val="28"/>
          <w:highlight w:val="none"/>
          <w:lang w:bidi="en-US"/>
        </w:rPr>
        <w:t>（全流程电子化评标）</w:t>
      </w:r>
    </w:p>
    <w:p w14:paraId="68EAD685">
      <w:pPr>
        <w:ind w:left="1785" w:leftChars="152" w:hanging="1466" w:hangingChars="500"/>
        <w:rPr>
          <w:rFonts w:hint="eastAsia" w:ascii="宋体" w:hAnsi="宋体" w:eastAsia="宋体" w:cs="宋体"/>
          <w:b/>
          <w:bCs/>
          <w:color w:val="auto"/>
          <w:spacing w:val="-14"/>
          <w:position w:val="-6"/>
          <w:sz w:val="32"/>
          <w:szCs w:val="32"/>
          <w:highlight w:val="none"/>
          <w:lang w:eastAsia="zh-CN"/>
        </w:rPr>
      </w:pPr>
      <w:r>
        <w:rPr>
          <w:rFonts w:hint="eastAsia" w:ascii="宋体" w:hAnsi="宋体" w:cs="宋体"/>
          <w:b/>
          <w:bCs/>
          <w:color w:val="auto"/>
          <w:spacing w:val="-14"/>
          <w:position w:val="-6"/>
          <w:sz w:val="32"/>
          <w:szCs w:val="32"/>
          <w:highlight w:val="none"/>
        </w:rPr>
        <w:t>项目名称：</w:t>
      </w:r>
      <w:r>
        <w:rPr>
          <w:rFonts w:hint="eastAsia" w:ascii="宋体" w:hAnsi="宋体" w:cs="宋体"/>
          <w:b/>
          <w:bCs/>
          <w:color w:val="auto"/>
          <w:spacing w:val="-14"/>
          <w:position w:val="-6"/>
          <w:sz w:val="32"/>
          <w:szCs w:val="32"/>
          <w:highlight w:val="none"/>
          <w:lang w:eastAsia="zh-CN"/>
        </w:rPr>
        <w:t>厅本级信息系统安全等级保护测评服务及自然资源信息化建设项目咨询服务项目</w:t>
      </w:r>
    </w:p>
    <w:p w14:paraId="4B16AA22">
      <w:pPr>
        <w:spacing w:line="360" w:lineRule="auto"/>
        <w:ind w:firstLine="293" w:firstLineChars="100"/>
        <w:rPr>
          <w:rFonts w:hint="eastAsia" w:ascii="宋体" w:hAnsi="宋体" w:eastAsia="宋体" w:cs="宋体"/>
          <w:b/>
          <w:bCs/>
          <w:color w:val="auto"/>
          <w:spacing w:val="-14"/>
          <w:position w:val="-6"/>
          <w:sz w:val="32"/>
          <w:szCs w:val="32"/>
          <w:highlight w:val="none"/>
          <w:lang w:eastAsia="zh-CN"/>
        </w:rPr>
      </w:pPr>
      <w:r>
        <w:rPr>
          <w:rFonts w:hint="eastAsia" w:ascii="宋体" w:hAnsi="宋体" w:cs="宋体"/>
          <w:b/>
          <w:bCs/>
          <w:color w:val="auto"/>
          <w:spacing w:val="-14"/>
          <w:position w:val="-6"/>
          <w:sz w:val="32"/>
          <w:szCs w:val="32"/>
          <w:highlight w:val="none"/>
        </w:rPr>
        <w:t>项目编号：GXZC2026-C3-001579-GXTZ</w:t>
      </w:r>
    </w:p>
    <w:p w14:paraId="51C1CC8F">
      <w:pPr>
        <w:spacing w:line="360" w:lineRule="auto"/>
        <w:ind w:firstLine="210" w:firstLineChars="100"/>
        <w:rPr>
          <w:rFonts w:ascii="宋体" w:hAnsi="宋体" w:cs="宋体"/>
          <w:color w:val="auto"/>
          <w:highlight w:val="none"/>
        </w:rPr>
      </w:pPr>
    </w:p>
    <w:p w14:paraId="17765010">
      <w:pPr>
        <w:spacing w:line="800" w:lineRule="exact"/>
        <w:ind w:firstLine="293" w:firstLineChars="100"/>
        <w:rPr>
          <w:rFonts w:hint="eastAsia" w:ascii="宋体" w:hAnsi="宋体" w:cs="宋体"/>
          <w:b/>
          <w:bCs/>
          <w:color w:val="auto"/>
          <w:spacing w:val="-14"/>
          <w:position w:val="-6"/>
          <w:sz w:val="32"/>
          <w:szCs w:val="32"/>
          <w:highlight w:val="none"/>
        </w:rPr>
      </w:pPr>
    </w:p>
    <w:p w14:paraId="20A1659E">
      <w:pPr>
        <w:spacing w:line="800" w:lineRule="exact"/>
        <w:ind w:firstLine="293" w:firstLineChars="100"/>
        <w:rPr>
          <w:rFonts w:hint="eastAsia" w:ascii="宋体" w:hAnsi="宋体" w:eastAsia="宋体" w:cs="宋体"/>
          <w:b/>
          <w:bCs/>
          <w:color w:val="auto"/>
          <w:spacing w:val="-14"/>
          <w:position w:val="-6"/>
          <w:sz w:val="32"/>
          <w:szCs w:val="32"/>
          <w:highlight w:val="none"/>
          <w:lang w:eastAsia="zh-CN"/>
        </w:rPr>
      </w:pPr>
      <w:r>
        <w:rPr>
          <w:rFonts w:hint="eastAsia" w:ascii="宋体" w:hAnsi="宋体" w:cs="宋体"/>
          <w:b/>
          <w:bCs/>
          <w:color w:val="auto"/>
          <w:spacing w:val="-14"/>
          <w:position w:val="-6"/>
          <w:sz w:val="32"/>
          <w:szCs w:val="32"/>
          <w:highlight w:val="none"/>
        </w:rPr>
        <w:t>采 购 单 位：</w:t>
      </w:r>
      <w:r>
        <w:rPr>
          <w:rFonts w:hint="eastAsia" w:ascii="宋体" w:hAnsi="宋体" w:cs="宋体"/>
          <w:b/>
          <w:bCs/>
          <w:color w:val="auto"/>
          <w:spacing w:val="-14"/>
          <w:position w:val="-6"/>
          <w:sz w:val="32"/>
          <w:szCs w:val="32"/>
          <w:highlight w:val="none"/>
          <w:lang w:eastAsia="zh-CN"/>
        </w:rPr>
        <w:t>广西壮族自治区自然资源厅</w:t>
      </w:r>
    </w:p>
    <w:p w14:paraId="5067CF48">
      <w:pPr>
        <w:spacing w:line="800" w:lineRule="exact"/>
        <w:ind w:firstLine="293" w:firstLineChars="100"/>
        <w:rPr>
          <w:rFonts w:hint="eastAsia" w:ascii="宋体" w:hAnsi="宋体" w:cs="宋体"/>
          <w:b/>
          <w:bCs/>
          <w:color w:val="auto"/>
          <w:spacing w:val="-14"/>
          <w:position w:val="-6"/>
          <w:sz w:val="32"/>
          <w:szCs w:val="32"/>
          <w:highlight w:val="none"/>
        </w:rPr>
      </w:pPr>
      <w:r>
        <w:rPr>
          <w:rFonts w:hint="eastAsia" w:ascii="宋体" w:hAnsi="宋体" w:cs="宋体"/>
          <w:b/>
          <w:bCs/>
          <w:color w:val="auto"/>
          <w:spacing w:val="-14"/>
          <w:position w:val="-6"/>
          <w:sz w:val="32"/>
          <w:szCs w:val="32"/>
          <w:highlight w:val="none"/>
        </w:rPr>
        <w:t>采购代理单位：广西同泽工程项目管理股份有限公司</w:t>
      </w:r>
    </w:p>
    <w:p w14:paraId="63CAF862">
      <w:pPr>
        <w:pStyle w:val="18"/>
        <w:snapToGrid w:val="0"/>
        <w:spacing w:line="360" w:lineRule="auto"/>
        <w:ind w:firstLine="2872" w:firstLineChars="894"/>
        <w:rPr>
          <w:rFonts w:hint="eastAsia" w:hAnsi="宋体" w:cs="宋体"/>
          <w:b/>
          <w:bCs/>
          <w:color w:val="auto"/>
          <w:sz w:val="32"/>
          <w:szCs w:val="32"/>
          <w:highlight w:val="none"/>
        </w:rPr>
      </w:pPr>
    </w:p>
    <w:p w14:paraId="3F1C24BC">
      <w:pPr>
        <w:pStyle w:val="18"/>
        <w:snapToGrid w:val="0"/>
        <w:spacing w:line="360" w:lineRule="auto"/>
        <w:ind w:firstLine="2891" w:firstLineChars="900"/>
        <w:rPr>
          <w:rFonts w:hAnsi="宋体" w:cs="宋体"/>
          <w:b/>
          <w:bCs/>
          <w:color w:val="auto"/>
          <w:w w:val="95"/>
          <w:sz w:val="30"/>
          <w:szCs w:val="30"/>
          <w:highlight w:val="none"/>
        </w:rPr>
      </w:pPr>
      <w:r>
        <w:rPr>
          <w:rFonts w:hint="eastAsia" w:hAnsi="宋体" w:cs="宋体"/>
          <w:b/>
          <w:bCs/>
          <w:color w:val="auto"/>
          <w:sz w:val="32"/>
          <w:szCs w:val="32"/>
          <w:highlight w:val="none"/>
        </w:rPr>
        <w:t>202</w:t>
      </w:r>
      <w:r>
        <w:rPr>
          <w:rFonts w:hint="eastAsia" w:hAnsi="宋体" w:cs="宋体"/>
          <w:b/>
          <w:bCs/>
          <w:color w:val="auto"/>
          <w:sz w:val="32"/>
          <w:szCs w:val="32"/>
          <w:highlight w:val="none"/>
          <w:lang w:val="en-US" w:eastAsia="zh-CN"/>
        </w:rPr>
        <w:t>6</w:t>
      </w:r>
      <w:r>
        <w:rPr>
          <w:rFonts w:hint="eastAsia" w:hAnsi="宋体" w:cs="宋体"/>
          <w:b/>
          <w:bCs/>
          <w:color w:val="auto"/>
          <w:sz w:val="32"/>
          <w:szCs w:val="32"/>
          <w:highlight w:val="none"/>
        </w:rPr>
        <w:t>年</w:t>
      </w:r>
      <w:r>
        <w:rPr>
          <w:rFonts w:hint="eastAsia" w:hAnsi="宋体" w:cs="宋体"/>
          <w:b/>
          <w:bCs/>
          <w:color w:val="auto"/>
          <w:sz w:val="32"/>
          <w:szCs w:val="32"/>
          <w:highlight w:val="none"/>
          <w:lang w:val="en-US" w:eastAsia="zh-CN"/>
        </w:rPr>
        <w:t>05</w:t>
      </w:r>
      <w:r>
        <w:rPr>
          <w:rFonts w:hint="eastAsia" w:hAnsi="宋体" w:cs="宋体"/>
          <w:b/>
          <w:bCs/>
          <w:color w:val="auto"/>
          <w:sz w:val="32"/>
          <w:szCs w:val="32"/>
          <w:highlight w:val="none"/>
        </w:rPr>
        <w:t>月</w:t>
      </w:r>
      <w:r>
        <w:rPr>
          <w:rFonts w:hint="eastAsia" w:hAnsi="宋体" w:cs="宋体"/>
          <w:b/>
          <w:bCs/>
          <w:color w:val="auto"/>
          <w:sz w:val="32"/>
          <w:szCs w:val="32"/>
          <w:highlight w:val="none"/>
          <w:lang w:val="en-US" w:eastAsia="zh-CN"/>
        </w:rPr>
        <w:t>29</w:t>
      </w:r>
      <w:r>
        <w:rPr>
          <w:rFonts w:hint="eastAsia" w:hAnsi="宋体" w:cs="宋体"/>
          <w:b/>
          <w:bCs/>
          <w:color w:val="auto"/>
          <w:sz w:val="32"/>
          <w:szCs w:val="32"/>
          <w:highlight w:val="none"/>
        </w:rPr>
        <w:t xml:space="preserve">日 </w:t>
      </w:r>
    </w:p>
    <w:p w14:paraId="5C5FA84A">
      <w:pPr>
        <w:spacing w:line="360" w:lineRule="auto"/>
        <w:jc w:val="center"/>
        <w:rPr>
          <w:rFonts w:hint="eastAsia" w:ascii="宋体" w:hAnsi="宋体" w:cs="宋体"/>
          <w:b/>
          <w:color w:val="auto"/>
          <w:sz w:val="44"/>
          <w:szCs w:val="44"/>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5F540C43">
      <w:pPr>
        <w:pStyle w:val="24"/>
        <w:rPr>
          <w:rFonts w:hint="eastAsia" w:ascii="宋体" w:hAnsi="宋体" w:cs="宋体"/>
          <w:color w:val="auto"/>
          <w:highlight w:val="none"/>
        </w:rPr>
      </w:pPr>
    </w:p>
    <w:p w14:paraId="31428027">
      <w:pPr>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目  录</w:t>
      </w:r>
      <w:bookmarkStart w:id="218" w:name="_GoBack"/>
      <w:bookmarkEnd w:id="218"/>
    </w:p>
    <w:p w14:paraId="1D3AC9C9">
      <w:pPr>
        <w:spacing w:line="400" w:lineRule="exact"/>
        <w:jc w:val="center"/>
        <w:rPr>
          <w:rFonts w:hint="eastAsia" w:ascii="宋体" w:hAnsi="宋体" w:cs="宋体"/>
          <w:b/>
          <w:color w:val="auto"/>
          <w:sz w:val="44"/>
          <w:szCs w:val="44"/>
          <w:highlight w:val="none"/>
        </w:rPr>
      </w:pPr>
    </w:p>
    <w:p w14:paraId="7512FAA3">
      <w:pPr>
        <w:pStyle w:val="24"/>
        <w:tabs>
          <w:tab w:val="right" w:leader="dot" w:pos="8879"/>
        </w:tabs>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szCs w:val="24"/>
          <w:highlight w:val="none"/>
        </w:rPr>
        <w:fldChar w:fldCharType="begin"/>
      </w:r>
      <w:r>
        <w:rPr>
          <w:rFonts w:hint="eastAsia" w:asciiTheme="minorEastAsia" w:hAnsiTheme="minorEastAsia" w:eastAsiaTheme="minorEastAsia" w:cstheme="minorEastAsia"/>
          <w:b/>
          <w:bCs/>
          <w:color w:val="auto"/>
          <w:sz w:val="24"/>
          <w:szCs w:val="24"/>
          <w:highlight w:val="none"/>
        </w:rPr>
        <w:instrText xml:space="preserve">TOC \o "1-1" \h \u </w:instrText>
      </w:r>
      <w:r>
        <w:rPr>
          <w:rFonts w:hint="eastAsia" w:asciiTheme="minorEastAsia" w:hAnsiTheme="minorEastAsia" w:eastAsiaTheme="minorEastAsia" w:cstheme="minorEastAsia"/>
          <w:b/>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_Toc26790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color w:val="auto"/>
          <w:sz w:val="24"/>
          <w:highlight w:val="none"/>
        </w:rPr>
        <w:t>第一章 竞争性磋商公告</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fldChar w:fldCharType="begin"/>
      </w:r>
      <w:r>
        <w:rPr>
          <w:rFonts w:hint="eastAsia" w:asciiTheme="minorEastAsia" w:hAnsiTheme="minorEastAsia" w:eastAsiaTheme="minorEastAsia" w:cstheme="minorEastAsia"/>
          <w:color w:val="auto"/>
          <w:sz w:val="24"/>
          <w:highlight w:val="none"/>
        </w:rPr>
        <w:instrText xml:space="preserve"> PAGEREF _Toc26790 \h </w:instrText>
      </w:r>
      <w:r>
        <w:rPr>
          <w:rFonts w:hint="eastAsia" w:asciiTheme="minorEastAsia" w:hAnsiTheme="minorEastAsia" w:eastAsiaTheme="minorEastAsia" w:cstheme="minorEastAsia"/>
          <w:color w:val="auto"/>
          <w:sz w:val="24"/>
          <w:highlight w:val="none"/>
        </w:rPr>
        <w:fldChar w:fldCharType="separate"/>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1323F0DB">
      <w:pPr>
        <w:pStyle w:val="24"/>
        <w:tabs>
          <w:tab w:val="right" w:leader="dot" w:pos="8879"/>
        </w:tabs>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_Toc26581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color w:val="auto"/>
          <w:sz w:val="24"/>
          <w:highlight w:val="none"/>
        </w:rPr>
        <w:t>第二章 供应商须知</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fldChar w:fldCharType="begin"/>
      </w:r>
      <w:r>
        <w:rPr>
          <w:rFonts w:hint="eastAsia" w:asciiTheme="minorEastAsia" w:hAnsiTheme="minorEastAsia" w:eastAsiaTheme="minorEastAsia" w:cstheme="minorEastAsia"/>
          <w:color w:val="auto"/>
          <w:sz w:val="24"/>
          <w:highlight w:val="none"/>
        </w:rPr>
        <w:instrText xml:space="preserve"> PAGEREF _Toc26581 \h </w:instrText>
      </w:r>
      <w:r>
        <w:rPr>
          <w:rFonts w:hint="eastAsia" w:asciiTheme="minorEastAsia" w:hAnsiTheme="minorEastAsia" w:eastAsiaTheme="minorEastAsia" w:cstheme="minorEastAsia"/>
          <w:color w:val="auto"/>
          <w:sz w:val="24"/>
          <w:highlight w:val="none"/>
        </w:rPr>
        <w:fldChar w:fldCharType="separate"/>
      </w:r>
      <w:r>
        <w:rPr>
          <w:rFonts w:hint="eastAsia" w:asciiTheme="minorEastAsia" w:hAnsiTheme="minorEastAsia" w:eastAsiaTheme="minorEastAsia" w:cstheme="minorEastAsia"/>
          <w:color w:val="auto"/>
          <w:sz w:val="24"/>
          <w:highlight w:val="none"/>
        </w:rPr>
        <w:t>5</w:t>
      </w:r>
      <w:r>
        <w:rPr>
          <w:rFonts w:hint="eastAsia" w:asciiTheme="minorEastAsia" w:hAnsiTheme="minorEastAsia" w:eastAsiaTheme="minorEastAsia" w:cstheme="minorEastAsia"/>
          <w:color w:val="auto"/>
          <w:sz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1597D325">
      <w:pPr>
        <w:pStyle w:val="24"/>
        <w:tabs>
          <w:tab w:val="right" w:leader="dot" w:pos="8879"/>
        </w:tabs>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_Toc11985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color w:val="auto"/>
          <w:sz w:val="24"/>
          <w:highlight w:val="none"/>
        </w:rPr>
        <w:t>第三章 采购需求</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fldChar w:fldCharType="begin"/>
      </w:r>
      <w:r>
        <w:rPr>
          <w:rFonts w:hint="eastAsia" w:asciiTheme="minorEastAsia" w:hAnsiTheme="minorEastAsia" w:eastAsiaTheme="minorEastAsia" w:cstheme="minorEastAsia"/>
          <w:color w:val="auto"/>
          <w:sz w:val="24"/>
          <w:highlight w:val="none"/>
        </w:rPr>
        <w:instrText xml:space="preserve"> PAGEREF _Toc11985 \h </w:instrText>
      </w:r>
      <w:r>
        <w:rPr>
          <w:rFonts w:hint="eastAsia" w:asciiTheme="minorEastAsia" w:hAnsiTheme="minorEastAsia" w:eastAsiaTheme="minorEastAsia" w:cstheme="minorEastAsia"/>
          <w:color w:val="auto"/>
          <w:sz w:val="24"/>
          <w:highlight w:val="none"/>
        </w:rPr>
        <w:fldChar w:fldCharType="separate"/>
      </w:r>
      <w:r>
        <w:rPr>
          <w:rFonts w:hint="eastAsia" w:asciiTheme="minorEastAsia" w:hAnsiTheme="minorEastAsia" w:eastAsiaTheme="minorEastAsia" w:cstheme="minorEastAsia"/>
          <w:color w:val="auto"/>
          <w:sz w:val="24"/>
          <w:highlight w:val="none"/>
        </w:rPr>
        <w:t>25</w:t>
      </w:r>
      <w:r>
        <w:rPr>
          <w:rFonts w:hint="eastAsia" w:asciiTheme="minorEastAsia" w:hAnsiTheme="minorEastAsia" w:eastAsiaTheme="minorEastAsia" w:cstheme="minorEastAsia"/>
          <w:color w:val="auto"/>
          <w:sz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3C2FB673">
      <w:pPr>
        <w:pStyle w:val="24"/>
        <w:tabs>
          <w:tab w:val="right" w:leader="dot" w:pos="8879"/>
        </w:tabs>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_Toc20834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color w:val="auto"/>
          <w:sz w:val="24"/>
          <w:highlight w:val="none"/>
        </w:rPr>
        <w:t>第四章 评审程序、评审方法和评审标准</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fldChar w:fldCharType="begin"/>
      </w:r>
      <w:r>
        <w:rPr>
          <w:rFonts w:hint="eastAsia" w:asciiTheme="minorEastAsia" w:hAnsiTheme="minorEastAsia" w:eastAsiaTheme="minorEastAsia" w:cstheme="minorEastAsia"/>
          <w:color w:val="auto"/>
          <w:sz w:val="24"/>
          <w:highlight w:val="none"/>
        </w:rPr>
        <w:instrText xml:space="preserve"> PAGEREF _Toc20834 \h </w:instrText>
      </w:r>
      <w:r>
        <w:rPr>
          <w:rFonts w:hint="eastAsia" w:asciiTheme="minorEastAsia" w:hAnsiTheme="minorEastAsia" w:eastAsiaTheme="minorEastAsia" w:cstheme="minorEastAsia"/>
          <w:color w:val="auto"/>
          <w:sz w:val="24"/>
          <w:highlight w:val="none"/>
        </w:rPr>
        <w:fldChar w:fldCharType="separate"/>
      </w:r>
      <w:r>
        <w:rPr>
          <w:rFonts w:hint="eastAsia" w:asciiTheme="minorEastAsia" w:hAnsiTheme="minorEastAsia" w:eastAsiaTheme="minorEastAsia" w:cstheme="minorEastAsia"/>
          <w:color w:val="auto"/>
          <w:sz w:val="24"/>
          <w:highlight w:val="none"/>
        </w:rPr>
        <w:t>40</w:t>
      </w:r>
      <w:r>
        <w:rPr>
          <w:rFonts w:hint="eastAsia" w:asciiTheme="minorEastAsia" w:hAnsiTheme="minorEastAsia" w:eastAsiaTheme="minorEastAsia" w:cstheme="minorEastAsia"/>
          <w:color w:val="auto"/>
          <w:sz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60625437">
      <w:pPr>
        <w:pStyle w:val="24"/>
        <w:tabs>
          <w:tab w:val="right" w:leader="dot" w:pos="8879"/>
        </w:tabs>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_Toc14385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color w:val="auto"/>
          <w:sz w:val="24"/>
          <w:highlight w:val="none"/>
        </w:rPr>
        <w:t>第五章 响应文件格式</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fldChar w:fldCharType="begin"/>
      </w:r>
      <w:r>
        <w:rPr>
          <w:rFonts w:hint="eastAsia" w:asciiTheme="minorEastAsia" w:hAnsiTheme="minorEastAsia" w:eastAsiaTheme="minorEastAsia" w:cstheme="minorEastAsia"/>
          <w:color w:val="auto"/>
          <w:sz w:val="24"/>
          <w:highlight w:val="none"/>
        </w:rPr>
        <w:instrText xml:space="preserve"> PAGEREF _Toc14385 \h </w:instrText>
      </w:r>
      <w:r>
        <w:rPr>
          <w:rFonts w:hint="eastAsia" w:asciiTheme="minorEastAsia" w:hAnsiTheme="minorEastAsia" w:eastAsiaTheme="minorEastAsia" w:cstheme="minorEastAsia"/>
          <w:color w:val="auto"/>
          <w:sz w:val="24"/>
          <w:highlight w:val="none"/>
        </w:rPr>
        <w:fldChar w:fldCharType="separate"/>
      </w:r>
      <w:r>
        <w:rPr>
          <w:rFonts w:hint="eastAsia" w:asciiTheme="minorEastAsia" w:hAnsiTheme="minorEastAsia" w:eastAsiaTheme="minorEastAsia" w:cstheme="minorEastAsia"/>
          <w:color w:val="auto"/>
          <w:sz w:val="24"/>
          <w:highlight w:val="none"/>
        </w:rPr>
        <w:t>53</w:t>
      </w:r>
      <w:r>
        <w:rPr>
          <w:rFonts w:hint="eastAsia" w:asciiTheme="minorEastAsia" w:hAnsiTheme="minorEastAsia" w:eastAsiaTheme="minorEastAsia" w:cstheme="minorEastAsia"/>
          <w:color w:val="auto"/>
          <w:sz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23CC42A8">
      <w:pPr>
        <w:pStyle w:val="24"/>
        <w:tabs>
          <w:tab w:val="right" w:leader="dot" w:pos="8879"/>
        </w:tabs>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_Toc7499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color w:val="auto"/>
          <w:sz w:val="24"/>
          <w:highlight w:val="none"/>
        </w:rPr>
        <w:t>第六章 合同文本</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fldChar w:fldCharType="begin"/>
      </w:r>
      <w:r>
        <w:rPr>
          <w:rFonts w:hint="eastAsia" w:asciiTheme="minorEastAsia" w:hAnsiTheme="minorEastAsia" w:eastAsiaTheme="minorEastAsia" w:cstheme="minorEastAsia"/>
          <w:color w:val="auto"/>
          <w:sz w:val="24"/>
          <w:highlight w:val="none"/>
        </w:rPr>
        <w:instrText xml:space="preserve"> PAGEREF _Toc7499 \h </w:instrText>
      </w:r>
      <w:r>
        <w:rPr>
          <w:rFonts w:hint="eastAsia" w:asciiTheme="minorEastAsia" w:hAnsiTheme="minorEastAsia" w:eastAsiaTheme="minorEastAsia" w:cstheme="minorEastAsia"/>
          <w:color w:val="auto"/>
          <w:sz w:val="24"/>
          <w:highlight w:val="none"/>
        </w:rPr>
        <w:fldChar w:fldCharType="separate"/>
      </w:r>
      <w:r>
        <w:rPr>
          <w:rFonts w:hint="eastAsia" w:asciiTheme="minorEastAsia" w:hAnsiTheme="minorEastAsia" w:eastAsiaTheme="minorEastAsia" w:cstheme="minorEastAsia"/>
          <w:color w:val="auto"/>
          <w:sz w:val="24"/>
          <w:highlight w:val="none"/>
        </w:rPr>
        <w:t>74</w:t>
      </w:r>
      <w:r>
        <w:rPr>
          <w:rFonts w:hint="eastAsia" w:asciiTheme="minorEastAsia" w:hAnsiTheme="minorEastAsia" w:eastAsiaTheme="minorEastAsia" w:cstheme="minorEastAsia"/>
          <w:color w:val="auto"/>
          <w:sz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4ECC1945">
      <w:pPr>
        <w:pStyle w:val="24"/>
        <w:tabs>
          <w:tab w:val="right" w:leader="dot" w:pos="8879"/>
        </w:tabs>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_Toc30606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kern w:val="44"/>
          <w:sz w:val="24"/>
          <w:szCs w:val="24"/>
          <w:highlight w:val="none"/>
        </w:rPr>
        <w:t>第七章 质疑、投诉材料格式</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fldChar w:fldCharType="begin"/>
      </w:r>
      <w:r>
        <w:rPr>
          <w:rFonts w:hint="eastAsia" w:asciiTheme="minorEastAsia" w:hAnsiTheme="minorEastAsia" w:eastAsiaTheme="minorEastAsia" w:cstheme="minorEastAsia"/>
          <w:color w:val="auto"/>
          <w:sz w:val="24"/>
          <w:highlight w:val="none"/>
        </w:rPr>
        <w:instrText xml:space="preserve"> PAGEREF _Toc30606 \h </w:instrText>
      </w:r>
      <w:r>
        <w:rPr>
          <w:rFonts w:hint="eastAsia" w:asciiTheme="minorEastAsia" w:hAnsiTheme="minorEastAsia" w:eastAsiaTheme="minorEastAsia" w:cstheme="minorEastAsia"/>
          <w:color w:val="auto"/>
          <w:sz w:val="24"/>
          <w:highlight w:val="none"/>
        </w:rPr>
        <w:fldChar w:fldCharType="separate"/>
      </w:r>
      <w:r>
        <w:rPr>
          <w:rFonts w:hint="eastAsia" w:asciiTheme="minorEastAsia" w:hAnsiTheme="minorEastAsia" w:eastAsiaTheme="minorEastAsia" w:cstheme="minorEastAsia"/>
          <w:color w:val="auto"/>
          <w:sz w:val="24"/>
          <w:highlight w:val="none"/>
        </w:rPr>
        <w:t>96</w:t>
      </w:r>
      <w:r>
        <w:rPr>
          <w:rFonts w:hint="eastAsia" w:asciiTheme="minorEastAsia" w:hAnsiTheme="minorEastAsia" w:eastAsiaTheme="minorEastAsia" w:cstheme="minorEastAsia"/>
          <w:color w:val="auto"/>
          <w:sz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4E79DD4F">
      <w:pPr>
        <w:pStyle w:val="26"/>
        <w:tabs>
          <w:tab w:val="right" w:leader="dot" w:pos="8931"/>
          <w:tab w:val="clear" w:pos="8296"/>
        </w:tabs>
        <w:snapToGrid w:val="0"/>
        <w:spacing w:line="360" w:lineRule="auto"/>
        <w:ind w:left="0" w:leftChars="0"/>
        <w:rPr>
          <w:rFonts w:hint="eastAsia" w:ascii="宋体" w:hAnsi="宋体" w:cs="宋体"/>
          <w:b/>
          <w:color w:val="auto"/>
          <w:sz w:val="24"/>
          <w:highlight w:val="none"/>
        </w:rPr>
      </w:pPr>
      <w:r>
        <w:rPr>
          <w:rFonts w:hint="eastAsia" w:asciiTheme="minorEastAsia" w:hAnsiTheme="minorEastAsia" w:eastAsiaTheme="minorEastAsia" w:cstheme="minorEastAsia"/>
          <w:bCs/>
          <w:color w:val="auto"/>
          <w:sz w:val="24"/>
          <w:szCs w:val="24"/>
          <w:highlight w:val="none"/>
        </w:rPr>
        <w:fldChar w:fldCharType="end"/>
      </w:r>
    </w:p>
    <w:p w14:paraId="69CBFC37">
      <w:pPr>
        <w:spacing w:line="400" w:lineRule="exact"/>
        <w:jc w:val="left"/>
        <w:rPr>
          <w:rFonts w:hint="eastAsia" w:ascii="宋体" w:hAnsi="宋体" w:cs="宋体"/>
          <w:b/>
          <w:color w:val="auto"/>
          <w:sz w:val="32"/>
          <w:szCs w:val="32"/>
          <w:highlight w:val="none"/>
        </w:rPr>
      </w:pPr>
    </w:p>
    <w:p w14:paraId="2B6B769A">
      <w:pPr>
        <w:spacing w:line="400" w:lineRule="exact"/>
        <w:jc w:val="center"/>
        <w:rPr>
          <w:rFonts w:hint="eastAsia" w:ascii="宋体" w:hAnsi="宋体" w:cs="宋体"/>
          <w:b/>
          <w:color w:val="auto"/>
          <w:sz w:val="32"/>
          <w:szCs w:val="32"/>
          <w:highlight w:val="none"/>
        </w:rPr>
      </w:pPr>
    </w:p>
    <w:p w14:paraId="78C60D48">
      <w:pPr>
        <w:spacing w:line="400" w:lineRule="exact"/>
        <w:jc w:val="center"/>
        <w:rPr>
          <w:rFonts w:hint="eastAsia" w:ascii="宋体" w:hAnsi="宋体" w:cs="宋体"/>
          <w:b/>
          <w:color w:val="auto"/>
          <w:sz w:val="32"/>
          <w:szCs w:val="32"/>
          <w:highlight w:val="none"/>
        </w:rPr>
      </w:pPr>
    </w:p>
    <w:p w14:paraId="637278EA">
      <w:pPr>
        <w:spacing w:line="400" w:lineRule="exact"/>
        <w:jc w:val="center"/>
        <w:rPr>
          <w:rFonts w:hint="eastAsia" w:ascii="宋体" w:hAnsi="宋体" w:cs="宋体"/>
          <w:b/>
          <w:color w:val="auto"/>
          <w:sz w:val="32"/>
          <w:szCs w:val="32"/>
          <w:highlight w:val="none"/>
        </w:rPr>
      </w:pPr>
    </w:p>
    <w:p w14:paraId="4D268682">
      <w:pPr>
        <w:spacing w:line="400" w:lineRule="exact"/>
        <w:rPr>
          <w:rFonts w:hint="eastAsia" w:ascii="宋体" w:hAnsi="宋体" w:cs="宋体"/>
          <w:b/>
          <w:color w:val="auto"/>
          <w:sz w:val="32"/>
          <w:szCs w:val="32"/>
          <w:highlight w:val="none"/>
        </w:rPr>
        <w:sectPr>
          <w:footerReference r:id="rId8" w:type="first"/>
          <w:footerReference r:id="rId7" w:type="default"/>
          <w:pgSz w:w="11906" w:h="16838"/>
          <w:pgMar w:top="1440" w:right="1440" w:bottom="1440" w:left="1587" w:header="851" w:footer="992" w:gutter="0"/>
          <w:pgNumType w:start="1"/>
          <w:cols w:space="720" w:num="1"/>
          <w:docGrid w:type="lines" w:linePitch="312" w:charSpace="0"/>
        </w:sectPr>
      </w:pPr>
    </w:p>
    <w:p w14:paraId="2CD5ECDF">
      <w:pPr>
        <w:pStyle w:val="2"/>
        <w:spacing w:line="240" w:lineRule="auto"/>
        <w:jc w:val="center"/>
        <w:rPr>
          <w:rFonts w:hint="eastAsia" w:ascii="宋体" w:hAnsi="宋体" w:cs="宋体"/>
          <w:color w:val="auto"/>
          <w:highlight w:val="none"/>
        </w:rPr>
      </w:pPr>
      <w:bookmarkStart w:id="0" w:name="_Toc74323456"/>
      <w:bookmarkStart w:id="1" w:name="_Toc9919"/>
      <w:bookmarkStart w:id="2" w:name="_Toc9536"/>
      <w:bookmarkStart w:id="3" w:name="_Toc26790"/>
      <w:bookmarkStart w:id="4" w:name="_Toc14668"/>
      <w:r>
        <w:rPr>
          <w:rFonts w:hint="eastAsia" w:ascii="宋体" w:hAnsi="宋体" w:cs="宋体"/>
          <w:color w:val="auto"/>
          <w:highlight w:val="none"/>
        </w:rPr>
        <w:t>第一章 竞争性磋商公告</w:t>
      </w:r>
      <w:bookmarkEnd w:id="0"/>
      <w:bookmarkEnd w:id="1"/>
      <w:bookmarkEnd w:id="2"/>
      <w:bookmarkEnd w:id="3"/>
      <w:bookmarkEnd w:id="4"/>
    </w:p>
    <w:p w14:paraId="66BD257B">
      <w:pPr>
        <w:spacing w:line="460" w:lineRule="exact"/>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eastAsia="zh-CN"/>
        </w:rPr>
        <w:t>厅本级信息系统安全等级保护测评服务及自然资源信息化建设项目咨询服务项目</w:t>
      </w:r>
    </w:p>
    <w:p w14:paraId="1EE8EEB9">
      <w:pPr>
        <w:spacing w:line="46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（编号：GXZC2026-C3-001579-GXTZ）</w:t>
      </w:r>
    </w:p>
    <w:p w14:paraId="5DC91A83">
      <w:pPr>
        <w:spacing w:line="460" w:lineRule="exact"/>
        <w:jc w:val="center"/>
        <w:rPr>
          <w:rFonts w:hint="eastAsia" w:ascii="宋体" w:hAnsi="宋体" w:cs="宋体"/>
          <w:color w:val="auto"/>
          <w:szCs w:val="21"/>
          <w:highlight w:val="none"/>
        </w:rPr>
      </w:pPr>
      <w:r>
        <w:rPr>
          <w:rFonts w:hint="eastAsia" w:ascii="宋体" w:hAnsi="宋体" w:cs="宋体"/>
          <w:b/>
          <w:bCs/>
          <w:color w:val="auto"/>
          <w:sz w:val="32"/>
          <w:szCs w:val="32"/>
          <w:highlight w:val="none"/>
        </w:rPr>
        <w:t>竞争性磋商公告</w:t>
      </w:r>
    </w:p>
    <w:p w14:paraId="52A442AC">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color w:val="auto"/>
          <w:szCs w:val="21"/>
          <w:highlight w:val="none"/>
        </w:rPr>
      </w:pPr>
      <w:bookmarkStart w:id="5" w:name="_Hlk37430271"/>
      <w:r>
        <w:rPr>
          <w:rFonts w:hint="eastAsia" w:ascii="宋体" w:hAnsi="宋体" w:cs="宋体"/>
          <w:color w:val="auto"/>
          <w:szCs w:val="21"/>
          <w:highlight w:val="none"/>
        </w:rPr>
        <w:t>项目概况</w:t>
      </w:r>
    </w:p>
    <w:p w14:paraId="4B3AC12C">
      <w:pPr>
        <w:pBdr>
          <w:top w:val="single" w:color="auto" w:sz="4" w:space="1"/>
          <w:left w:val="single" w:color="auto" w:sz="4" w:space="4"/>
          <w:bottom w:val="single" w:color="auto" w:sz="4" w:space="1"/>
          <w:right w:val="single" w:color="auto" w:sz="4" w:space="4"/>
        </w:pBd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lang w:eastAsia="zh-CN"/>
        </w:rPr>
        <w:t>厅本级信息系统安全等级保护测评服务及自然资源信息化建设项目咨询服务项目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的潜在供应商应在广西政府采购云平台 （</w:t>
      </w:r>
      <w:r>
        <w:rPr>
          <w:rFonts w:hint="eastAsia" w:ascii="宋体" w:hAnsi="宋体" w:cs="宋体"/>
          <w:bCs/>
          <w:color w:val="auto"/>
          <w:kern w:val="0"/>
          <w:szCs w:val="21"/>
          <w:highlight w:val="none"/>
        </w:rPr>
        <w:t>https ://www.gcy.zfcg.gxzf.gov.cn/</w:t>
      </w:r>
      <w:r>
        <w:rPr>
          <w:rFonts w:hint="eastAsia" w:ascii="宋体" w:hAnsi="宋体" w:cs="宋体"/>
          <w:color w:val="auto"/>
          <w:szCs w:val="21"/>
          <w:highlight w:val="none"/>
        </w:rPr>
        <w:t>）获取（下载）竞争性磋商文件，并于202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日 09:30</w:t>
      </w:r>
      <w:r>
        <w:rPr>
          <w:rFonts w:hint="eastAsia" w:ascii="宋体" w:hAnsi="宋体" w:cs="宋体"/>
          <w:bCs/>
          <w:color w:val="auto"/>
          <w:szCs w:val="21"/>
          <w:highlight w:val="none"/>
        </w:rPr>
        <w:t>前提交</w:t>
      </w:r>
      <w:r>
        <w:rPr>
          <w:rFonts w:hint="eastAsia" w:ascii="宋体" w:hAnsi="宋体" w:cs="宋体"/>
          <w:color w:val="auto"/>
          <w:szCs w:val="21"/>
          <w:highlight w:val="none"/>
        </w:rPr>
        <w:t>响应</w:t>
      </w:r>
      <w:r>
        <w:rPr>
          <w:rFonts w:hint="eastAsia" w:ascii="宋体" w:hAnsi="宋体" w:cs="宋体"/>
          <w:bCs/>
          <w:color w:val="auto"/>
          <w:szCs w:val="21"/>
          <w:highlight w:val="none"/>
        </w:rPr>
        <w:t>文件</w:t>
      </w:r>
      <w:r>
        <w:rPr>
          <w:rFonts w:hint="eastAsia" w:ascii="宋体" w:hAnsi="宋体" w:cs="宋体"/>
          <w:color w:val="auto"/>
          <w:szCs w:val="21"/>
          <w:highlight w:val="none"/>
        </w:rPr>
        <w:t>。</w:t>
      </w:r>
    </w:p>
    <w:p w14:paraId="01F184C6">
      <w:pPr>
        <w:spacing w:line="360" w:lineRule="auto"/>
        <w:rPr>
          <w:rFonts w:hint="eastAsia" w:ascii="宋体" w:hAnsi="宋体" w:cs="宋体"/>
          <w:color w:val="auto"/>
          <w:szCs w:val="21"/>
          <w:highlight w:val="none"/>
        </w:rPr>
      </w:pPr>
    </w:p>
    <w:p w14:paraId="75FD61DC">
      <w:pPr>
        <w:ind w:firstLine="354" w:firstLineChars="147"/>
        <w:rPr>
          <w:rFonts w:hint="eastAsia" w:ascii="宋体" w:hAnsi="宋体" w:cs="宋体"/>
          <w:b/>
          <w:color w:val="auto"/>
          <w:sz w:val="24"/>
          <w:highlight w:val="none"/>
        </w:rPr>
      </w:pPr>
      <w:bookmarkStart w:id="6" w:name="_Toc71365905"/>
      <w:bookmarkStart w:id="7" w:name="_Toc35393798"/>
      <w:bookmarkStart w:id="8" w:name="_Toc28359012"/>
      <w:bookmarkStart w:id="9" w:name="_Toc35393629"/>
      <w:bookmarkStart w:id="10" w:name="_Toc44229878"/>
      <w:bookmarkStart w:id="11" w:name="_Toc28359089"/>
      <w:r>
        <w:rPr>
          <w:rFonts w:hint="eastAsia" w:ascii="宋体" w:hAnsi="宋体" w:cs="宋体"/>
          <w:b/>
          <w:color w:val="auto"/>
          <w:sz w:val="24"/>
          <w:highlight w:val="none"/>
        </w:rPr>
        <w:t>一、项目基本情况</w:t>
      </w:r>
      <w:bookmarkEnd w:id="6"/>
      <w:bookmarkEnd w:id="7"/>
      <w:bookmarkEnd w:id="8"/>
      <w:bookmarkEnd w:id="9"/>
      <w:bookmarkEnd w:id="10"/>
      <w:bookmarkEnd w:id="11"/>
    </w:p>
    <w:p w14:paraId="10259850">
      <w:pPr>
        <w:spacing w:line="42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1.项目编号：GXZC2026-C3-001579-GXTZ</w:t>
      </w:r>
    </w:p>
    <w:p w14:paraId="4CC5E77C">
      <w:pPr>
        <w:spacing w:line="420" w:lineRule="exact"/>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厅本级信息系统安全等级保护测评服务及自然资源信息化建设项目咨询服务项目</w:t>
      </w:r>
    </w:p>
    <w:p w14:paraId="6E4B6104">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3.采购方式：竞争性磋商</w:t>
      </w:r>
    </w:p>
    <w:p w14:paraId="4C1A5301">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4.预算金额：144万元。其中：1分标：64万元；2分标：80万元。</w:t>
      </w:r>
    </w:p>
    <w:p w14:paraId="4778116E">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5.最高限价：144万元。其中：1分标：64万元；2分标：80万元。</w:t>
      </w:r>
    </w:p>
    <w:p w14:paraId="2B516716">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6.采购需求：</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07"/>
        <w:gridCol w:w="1701"/>
        <w:gridCol w:w="709"/>
        <w:gridCol w:w="4253"/>
      </w:tblGrid>
      <w:tr w14:paraId="53174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1" w:hRule="atLeast"/>
          <w:tblHeader/>
          <w:jc w:val="center"/>
        </w:trPr>
        <w:tc>
          <w:tcPr>
            <w:tcW w:w="807" w:type="dxa"/>
            <w:shd w:val="clear" w:color="auto" w:fill="D8D8D8"/>
            <w:noWrap w:val="0"/>
            <w:vAlign w:val="center"/>
          </w:tcPr>
          <w:p w14:paraId="03BDE846">
            <w:pPr>
              <w:widowControl/>
              <w:snapToGrid w:val="0"/>
              <w:jc w:val="center"/>
              <w:rPr>
                <w:rFonts w:hint="eastAsia" w:ascii="宋体" w:hAnsi="宋体" w:cs="宋体"/>
                <w:b/>
                <w:bCs/>
                <w:color w:val="auto"/>
                <w:szCs w:val="21"/>
                <w:highlight w:val="none"/>
              </w:rPr>
            </w:pPr>
            <w:r>
              <w:rPr>
                <w:rFonts w:hint="eastAsia" w:ascii="宋体" w:hAnsi="宋体" w:cs="宋体"/>
                <w:b/>
                <w:bCs/>
                <w:color w:val="auto"/>
                <w:szCs w:val="21"/>
                <w:highlight w:val="none"/>
              </w:rPr>
              <w:t>分标</w:t>
            </w:r>
          </w:p>
        </w:tc>
        <w:tc>
          <w:tcPr>
            <w:tcW w:w="1701" w:type="dxa"/>
            <w:shd w:val="clear" w:color="auto" w:fill="D8D8D8"/>
            <w:noWrap w:val="0"/>
            <w:vAlign w:val="center"/>
          </w:tcPr>
          <w:p w14:paraId="52EB7AF8">
            <w:pPr>
              <w:widowControl/>
              <w:snapToGrid w:val="0"/>
              <w:jc w:val="center"/>
              <w:rPr>
                <w:rFonts w:hint="eastAsia" w:ascii="宋体" w:hAnsi="宋体" w:cs="宋体"/>
                <w:b/>
                <w:bCs/>
                <w:color w:val="auto"/>
                <w:szCs w:val="21"/>
                <w:highlight w:val="none"/>
              </w:rPr>
            </w:pPr>
            <w:r>
              <w:rPr>
                <w:rFonts w:hint="eastAsia" w:ascii="宋体" w:hAnsi="宋体" w:cs="宋体"/>
                <w:b/>
                <w:bCs/>
                <w:color w:val="auto"/>
                <w:szCs w:val="21"/>
                <w:highlight w:val="none"/>
              </w:rPr>
              <w:t>标名称</w:t>
            </w:r>
          </w:p>
        </w:tc>
        <w:tc>
          <w:tcPr>
            <w:tcW w:w="709" w:type="dxa"/>
            <w:shd w:val="clear" w:color="auto" w:fill="D8D8D8"/>
            <w:noWrap w:val="0"/>
            <w:vAlign w:val="center"/>
          </w:tcPr>
          <w:p w14:paraId="0A98CC67">
            <w:pPr>
              <w:snapToGrid w:val="0"/>
              <w:jc w:val="center"/>
              <w:rPr>
                <w:rFonts w:hint="eastAsia" w:ascii="宋体" w:hAnsi="宋体" w:cs="宋体"/>
                <w:b/>
                <w:bCs/>
                <w:color w:val="auto"/>
                <w:szCs w:val="21"/>
                <w:highlight w:val="none"/>
              </w:rPr>
            </w:pPr>
            <w:r>
              <w:rPr>
                <w:rFonts w:hint="eastAsia" w:ascii="宋体" w:hAnsi="宋体" w:cs="宋体"/>
                <w:color w:val="auto"/>
                <w:szCs w:val="21"/>
                <w:highlight w:val="none"/>
              </w:rPr>
              <w:t>数量及单位</w:t>
            </w:r>
          </w:p>
        </w:tc>
        <w:tc>
          <w:tcPr>
            <w:tcW w:w="4253" w:type="dxa"/>
            <w:shd w:val="clear" w:color="auto" w:fill="D8D8D8"/>
            <w:noWrap w:val="0"/>
            <w:vAlign w:val="top"/>
          </w:tcPr>
          <w:p w14:paraId="12DD0D11">
            <w:pPr>
              <w:widowControl/>
              <w:snapToGrid w:val="0"/>
              <w:jc w:val="center"/>
              <w:rPr>
                <w:rFonts w:hint="eastAsia" w:ascii="宋体" w:hAnsi="宋体" w:cs="宋体"/>
                <w:b/>
                <w:bCs/>
                <w:color w:val="auto"/>
                <w:szCs w:val="21"/>
                <w:highlight w:val="none"/>
              </w:rPr>
            </w:pPr>
          </w:p>
          <w:p w14:paraId="0AF6C75C">
            <w:pPr>
              <w:widowControl/>
              <w:snapToGrid w:val="0"/>
              <w:jc w:val="center"/>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技术要求</w:t>
            </w:r>
            <w:r>
              <w:rPr>
                <w:rFonts w:hint="eastAsia" w:ascii="宋体" w:hAnsi="宋体" w:cs="宋体"/>
                <w:b/>
                <w:bCs/>
                <w:color w:val="auto"/>
                <w:szCs w:val="21"/>
                <w:highlight w:val="none"/>
              </w:rPr>
              <w:t>容</w:t>
            </w:r>
          </w:p>
        </w:tc>
      </w:tr>
      <w:tr w14:paraId="1F49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9" w:hRule="atLeast"/>
          <w:jc w:val="center"/>
        </w:trPr>
        <w:tc>
          <w:tcPr>
            <w:tcW w:w="807" w:type="dxa"/>
            <w:noWrap w:val="0"/>
            <w:vAlign w:val="center"/>
          </w:tcPr>
          <w:p w14:paraId="55F50934">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分标</w:t>
            </w:r>
          </w:p>
        </w:tc>
        <w:tc>
          <w:tcPr>
            <w:tcW w:w="1701" w:type="dxa"/>
            <w:noWrap w:val="0"/>
            <w:vAlign w:val="center"/>
          </w:tcPr>
          <w:p w14:paraId="02903AEA">
            <w:pPr>
              <w:widowControl/>
              <w:spacing w:line="360" w:lineRule="auto"/>
              <w:jc w:val="center"/>
              <w:rPr>
                <w:rFonts w:hint="eastAsia" w:ascii="宋体" w:hAnsi="宋体" w:cs="宋体"/>
                <w:color w:val="auto"/>
                <w:kern w:val="0"/>
                <w:szCs w:val="21"/>
                <w:highlight w:val="none"/>
              </w:rPr>
            </w:pPr>
            <w:r>
              <w:rPr>
                <w:rFonts w:hint="eastAsia" w:ascii="宋体" w:hAnsi="宋体" w:cs="宋体"/>
                <w:bCs/>
                <w:color w:val="auto"/>
                <w:szCs w:val="21"/>
                <w:highlight w:val="none"/>
              </w:rPr>
              <w:t>厅本级信息系统安全等级保护测评服务</w:t>
            </w:r>
          </w:p>
        </w:tc>
        <w:tc>
          <w:tcPr>
            <w:tcW w:w="709" w:type="dxa"/>
            <w:noWrap w:val="0"/>
            <w:vAlign w:val="center"/>
          </w:tcPr>
          <w:p w14:paraId="53BD1A63">
            <w:pPr>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1项</w:t>
            </w:r>
          </w:p>
        </w:tc>
        <w:tc>
          <w:tcPr>
            <w:tcW w:w="4253" w:type="dxa"/>
            <w:noWrap w:val="0"/>
            <w:vAlign w:val="top"/>
          </w:tcPr>
          <w:p w14:paraId="35D23131">
            <w:pPr>
              <w:spacing w:line="360" w:lineRule="exact"/>
              <w:jc w:val="both"/>
              <w:rPr>
                <w:rFonts w:ascii="宋体" w:hAnsi="宋体" w:cs="宋体"/>
                <w:color w:val="auto"/>
                <w:szCs w:val="21"/>
                <w:highlight w:val="none"/>
              </w:rPr>
            </w:pPr>
            <w:r>
              <w:rPr>
                <w:rFonts w:hint="eastAsia" w:ascii="宋体" w:hAnsi="宋体" w:cs="宋体"/>
                <w:color w:val="auto"/>
                <w:szCs w:val="21"/>
                <w:highlight w:val="none"/>
              </w:rPr>
              <w:t>一、等级保护测评</w:t>
            </w:r>
          </w:p>
          <w:p w14:paraId="3ABDE010">
            <w:pPr>
              <w:spacing w:line="360" w:lineRule="exact"/>
              <w:jc w:val="both"/>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1、总的要求：</w:t>
            </w:r>
            <w:r>
              <w:rPr>
                <w:rFonts w:hint="eastAsia" w:ascii="宋体" w:hAnsi="宋体" w:cs="宋体"/>
                <w:color w:val="auto"/>
                <w:szCs w:val="21"/>
                <w:highlight w:val="none"/>
              </w:rPr>
              <w:t>依据《网络安全等级保护基本要求》（GB/T 22239-2019）对自然资源厅业务系统开展网络安全等级保护测评工作，并出具网络安全等级保护测评报告。业务系统各包含若干子系统，具体如下：</w:t>
            </w:r>
          </w:p>
          <w:p w14:paraId="148318E4">
            <w:pPr>
              <w:spacing w:line="360" w:lineRule="exact"/>
              <w:jc w:val="both"/>
              <w:rPr>
                <w:rFonts w:ascii="宋体" w:hAnsi="宋体" w:cs="宋体"/>
                <w:color w:val="auto"/>
                <w:szCs w:val="21"/>
                <w:highlight w:val="none"/>
              </w:rPr>
            </w:pPr>
            <w:r>
              <w:rPr>
                <w:rFonts w:hint="eastAsia" w:ascii="宋体" w:hAnsi="宋体" w:cs="宋体"/>
                <w:color w:val="auto"/>
                <w:szCs w:val="21"/>
                <w:highlight w:val="none"/>
              </w:rPr>
              <w:t>（1）自然资源业务网：基础网络。</w:t>
            </w:r>
          </w:p>
          <w:p w14:paraId="77702A0C">
            <w:pPr>
              <w:jc w:val="both"/>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......具体详见磋商文件。</w:t>
            </w:r>
          </w:p>
        </w:tc>
      </w:tr>
      <w:tr w14:paraId="53E7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9" w:hRule="atLeast"/>
          <w:jc w:val="center"/>
        </w:trPr>
        <w:tc>
          <w:tcPr>
            <w:tcW w:w="807" w:type="dxa"/>
            <w:noWrap w:val="0"/>
            <w:vAlign w:val="center"/>
          </w:tcPr>
          <w:p w14:paraId="0C245D25">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分标</w:t>
            </w:r>
          </w:p>
        </w:tc>
        <w:tc>
          <w:tcPr>
            <w:tcW w:w="1701" w:type="dxa"/>
            <w:noWrap w:val="0"/>
            <w:vAlign w:val="center"/>
          </w:tcPr>
          <w:p w14:paraId="50565BD7">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自然资源信息化建设项目咨询设计服务</w:t>
            </w:r>
          </w:p>
        </w:tc>
        <w:tc>
          <w:tcPr>
            <w:tcW w:w="709" w:type="dxa"/>
            <w:noWrap w:val="0"/>
            <w:vAlign w:val="center"/>
          </w:tcPr>
          <w:p w14:paraId="4E6813EF">
            <w:pPr>
              <w:widowControl/>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1项</w:t>
            </w:r>
          </w:p>
        </w:tc>
        <w:tc>
          <w:tcPr>
            <w:tcW w:w="4253" w:type="dxa"/>
            <w:noWrap w:val="0"/>
            <w:vAlign w:val="top"/>
          </w:tcPr>
          <w:p w14:paraId="374C5703">
            <w:pPr>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一、项目概况</w:t>
            </w:r>
          </w:p>
          <w:p w14:paraId="515B7883">
            <w:pPr>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开展自然资源信息化建设项目咨询设计服务，整体总投资约3950万元。</w:t>
            </w:r>
          </w:p>
          <w:p w14:paraId="08BED248">
            <w:pPr>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服务内容包括但不限于编制年度信息化项目建设方案、编制项目事前绩效评估报告、编制密码应用方案等服务。</w:t>
            </w:r>
          </w:p>
          <w:p w14:paraId="623FB650">
            <w:pPr>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......具体详见磋商文件。</w:t>
            </w:r>
          </w:p>
        </w:tc>
      </w:tr>
    </w:tbl>
    <w:p w14:paraId="249D233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7.合同履行期限：</w:t>
      </w:r>
      <w:r>
        <w:rPr>
          <w:rFonts w:hint="eastAsia" w:ascii="宋体" w:hAnsi="宋体" w:cs="宋体"/>
          <w:b/>
          <w:bCs/>
          <w:color w:val="auto"/>
          <w:szCs w:val="21"/>
          <w:highlight w:val="none"/>
          <w:lang w:val="en-US" w:eastAsia="zh-CN"/>
        </w:rPr>
        <w:t>1分标：</w:t>
      </w:r>
      <w:r>
        <w:rPr>
          <w:rFonts w:hint="eastAsia" w:ascii="宋体" w:hAnsi="宋体" w:cs="宋体"/>
          <w:color w:val="auto"/>
          <w:szCs w:val="21"/>
          <w:highlight w:val="none"/>
        </w:rPr>
        <w:t>1、项目现场测评计划：自采购人出具项目进场通知书之日起20个工作日内完成该项目现场测评工作。2、项目出具测评报告计划：现场测评结束后30个工作日内提供该项目的测评报告。</w:t>
      </w:r>
      <w:r>
        <w:rPr>
          <w:rFonts w:hint="eastAsia" w:ascii="宋体" w:hAnsi="宋体" w:cs="宋体"/>
          <w:b/>
          <w:bCs/>
          <w:color w:val="auto"/>
          <w:szCs w:val="21"/>
          <w:highlight w:val="none"/>
          <w:lang w:val="en-US" w:eastAsia="zh-CN"/>
        </w:rPr>
        <w:t>2分标：</w:t>
      </w:r>
      <w:r>
        <w:rPr>
          <w:rFonts w:hint="eastAsia" w:ascii="宋体" w:hAnsi="宋体" w:cs="宋体"/>
          <w:color w:val="auto"/>
          <w:szCs w:val="21"/>
          <w:highlight w:val="none"/>
        </w:rPr>
        <w:t>自合同签订之日起一年内提交所有服务成果。</w:t>
      </w:r>
    </w:p>
    <w:p w14:paraId="44D85E2B">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8.本项目不接受联合体。</w:t>
      </w:r>
      <w:bookmarkStart w:id="12" w:name="_Toc35393799"/>
      <w:bookmarkStart w:id="13" w:name="_Toc44229879"/>
      <w:bookmarkStart w:id="14" w:name="_Toc35393630"/>
      <w:bookmarkStart w:id="15" w:name="_Toc28359090"/>
      <w:bookmarkStart w:id="16" w:name="_Toc71365906"/>
      <w:bookmarkStart w:id="17" w:name="_Toc28359013"/>
    </w:p>
    <w:p w14:paraId="3DADCC06">
      <w:pPr>
        <w:spacing w:line="42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二、申请人的资格条件：</w:t>
      </w:r>
      <w:bookmarkEnd w:id="12"/>
      <w:bookmarkEnd w:id="13"/>
      <w:bookmarkEnd w:id="14"/>
      <w:bookmarkEnd w:id="15"/>
      <w:bookmarkEnd w:id="16"/>
      <w:bookmarkEnd w:id="17"/>
    </w:p>
    <w:p w14:paraId="36E406D4">
      <w:pPr>
        <w:spacing w:line="360" w:lineRule="auto"/>
        <w:ind w:firstLine="420" w:firstLineChars="200"/>
        <w:jc w:val="left"/>
        <w:rPr>
          <w:rFonts w:ascii="宋体" w:hAnsi="宋体" w:cs="宋体"/>
          <w:color w:val="auto"/>
          <w:kern w:val="0"/>
          <w:szCs w:val="21"/>
          <w:highlight w:val="none"/>
        </w:rPr>
      </w:pPr>
      <w:bookmarkStart w:id="18" w:name="_Toc35393800"/>
      <w:bookmarkStart w:id="19" w:name="_Toc35393631"/>
      <w:bookmarkStart w:id="20" w:name="_Toc44229880"/>
      <w:bookmarkStart w:id="21" w:name="_Toc28359091"/>
      <w:bookmarkStart w:id="22" w:name="_Toc28359014"/>
      <w:r>
        <w:rPr>
          <w:rFonts w:hint="eastAsia" w:ascii="宋体" w:hAnsi="宋体" w:cs="宋体"/>
          <w:color w:val="auto"/>
          <w:kern w:val="0"/>
          <w:szCs w:val="21"/>
          <w:highlight w:val="none"/>
        </w:rPr>
        <w:t>1、符合《中华人民共和国政府采购法》第二十二条的要求。</w:t>
      </w:r>
    </w:p>
    <w:p w14:paraId="6140886F">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2、落实政府采购政策需满足的资格要求：专门面向中小企业采购的项目。</w:t>
      </w:r>
    </w:p>
    <w:p w14:paraId="1F8483E3">
      <w:pPr>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、本项目的特定资格要求：</w:t>
      </w:r>
      <w:r>
        <w:rPr>
          <w:rFonts w:hint="eastAsia" w:ascii="宋体" w:hAnsi="宋体" w:cs="宋体"/>
          <w:color w:val="auto"/>
          <w:szCs w:val="21"/>
          <w:highlight w:val="none"/>
          <w:lang w:val="en-US" w:eastAsia="zh-CN"/>
        </w:rPr>
        <w:t>1分标</w:t>
      </w:r>
      <w:r>
        <w:rPr>
          <w:rFonts w:hint="eastAsia" w:ascii="宋体" w:hAnsi="宋体" w:cs="宋体"/>
          <w:color w:val="auto"/>
          <w:szCs w:val="21"/>
          <w:highlight w:val="none"/>
        </w:rPr>
        <w:t>：供应商</w:t>
      </w:r>
      <w:r>
        <w:rPr>
          <w:rFonts w:hint="eastAsia" w:ascii="宋体" w:hAnsi="宋体" w:eastAsia="宋体" w:cs="宋体"/>
          <w:i w:val="0"/>
          <w:iCs w:val="0"/>
          <w:caps w:val="0"/>
          <w:color w:val="auto"/>
          <w:spacing w:val="0"/>
          <w:sz w:val="21"/>
          <w:szCs w:val="21"/>
          <w:highlight w:val="none"/>
        </w:rPr>
        <w:t>必须具备公安部第三研究所认证颁发的《网络安全服务认证证书等级保护测评服务认证》</w:t>
      </w:r>
      <w:r>
        <w:rPr>
          <w:rFonts w:hint="eastAsia" w:ascii="宋体" w:hAnsi="宋体" w:cs="宋体"/>
          <w:color w:val="auto"/>
          <w:szCs w:val="21"/>
          <w:highlight w:val="none"/>
        </w:rPr>
        <w:t>，且必须具备国家密码管理局颁发的《商用密码检测机构资质证书》</w:t>
      </w:r>
      <w:r>
        <w:rPr>
          <w:rFonts w:hint="eastAsia" w:ascii="宋体" w:hAnsi="宋体" w:eastAsia="宋体" w:cs="宋体"/>
          <w:i w:val="0"/>
          <w:iCs w:val="0"/>
          <w:caps w:val="0"/>
          <w:color w:val="auto"/>
          <w:spacing w:val="0"/>
          <w:sz w:val="21"/>
          <w:szCs w:val="21"/>
          <w:highlight w:val="none"/>
        </w:rPr>
        <w:t>（业务范围包含（商用密码应用安全性评估））</w:t>
      </w:r>
      <w:r>
        <w:rPr>
          <w:rFonts w:hint="eastAsia" w:ascii="宋体" w:hAnsi="宋体" w:cs="宋体"/>
          <w:color w:val="auto"/>
          <w:szCs w:val="21"/>
          <w:highlight w:val="none"/>
        </w:rPr>
        <w:t>，提供证书或证明均在有效期内。</w:t>
      </w:r>
    </w:p>
    <w:p w14:paraId="392F0EDD">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、本项目不接受联合体投标。</w:t>
      </w:r>
    </w:p>
    <w:p w14:paraId="1DBE0BBD">
      <w:pPr>
        <w:wordWrap w:val="0"/>
        <w:spacing w:line="420" w:lineRule="exact"/>
        <w:ind w:firstLine="482" w:firstLineChars="200"/>
        <w:rPr>
          <w:rFonts w:hint="eastAsia" w:ascii="宋体" w:hAnsi="宋体" w:cs="宋体"/>
          <w:b/>
          <w:color w:val="auto"/>
          <w:sz w:val="24"/>
          <w:highlight w:val="none"/>
        </w:rPr>
      </w:pPr>
      <w:bookmarkStart w:id="23" w:name="_Toc71365907"/>
      <w:r>
        <w:rPr>
          <w:rFonts w:hint="eastAsia" w:ascii="宋体" w:hAnsi="宋体" w:cs="宋体"/>
          <w:b/>
          <w:color w:val="auto"/>
          <w:sz w:val="24"/>
          <w:highlight w:val="none"/>
        </w:rPr>
        <w:t>三、获取竞争性磋商文件</w:t>
      </w:r>
      <w:bookmarkEnd w:id="18"/>
      <w:bookmarkEnd w:id="19"/>
      <w:bookmarkEnd w:id="20"/>
      <w:bookmarkEnd w:id="21"/>
      <w:bookmarkEnd w:id="22"/>
      <w:bookmarkEnd w:id="23"/>
    </w:p>
    <w:p w14:paraId="0723340E">
      <w:pPr>
        <w:spacing w:line="420" w:lineRule="exact"/>
        <w:ind w:firstLine="420" w:firstLineChars="200"/>
        <w:rPr>
          <w:rFonts w:hint="eastAsia" w:ascii="宋体" w:hAnsi="宋体" w:cs="宋体"/>
          <w:bCs/>
          <w:color w:val="auto"/>
          <w:kern w:val="0"/>
          <w:szCs w:val="21"/>
          <w:highlight w:val="none"/>
        </w:rPr>
      </w:pPr>
      <w:bookmarkStart w:id="24" w:name="_Toc28359092"/>
      <w:bookmarkStart w:id="25" w:name="_Toc35393801"/>
      <w:bookmarkStart w:id="26" w:name="_Toc28359015"/>
      <w:bookmarkStart w:id="27" w:name="_Toc35393632"/>
      <w:bookmarkStart w:id="28" w:name="_Toc44229881"/>
      <w:r>
        <w:rPr>
          <w:rFonts w:hint="eastAsia" w:ascii="宋体" w:hAnsi="宋体" w:cs="宋体"/>
          <w:bCs/>
          <w:color w:val="auto"/>
          <w:kern w:val="0"/>
          <w:szCs w:val="21"/>
          <w:highlight w:val="none"/>
        </w:rPr>
        <w:t>时间：</w:t>
      </w:r>
      <w:r>
        <w:rPr>
          <w:rFonts w:hint="eastAsia" w:ascii="宋体" w:hAnsi="宋体" w:cs="宋体"/>
          <w:bCs/>
          <w:color w:val="auto"/>
          <w:kern w:val="0"/>
          <w:szCs w:val="21"/>
          <w:highlight w:val="none"/>
          <w:u w:val="single"/>
          <w:lang w:val="en-US" w:eastAsia="zh-CN"/>
        </w:rPr>
        <w:t xml:space="preserve"> 2026 </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05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29</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日至</w:t>
      </w:r>
      <w:r>
        <w:rPr>
          <w:rFonts w:hint="eastAsia" w:ascii="宋体" w:hAnsi="宋体" w:cs="宋体"/>
          <w:bCs/>
          <w:color w:val="auto"/>
          <w:kern w:val="0"/>
          <w:szCs w:val="21"/>
          <w:highlight w:val="none"/>
          <w:u w:val="single"/>
          <w:lang w:val="en-US" w:eastAsia="zh-CN"/>
        </w:rPr>
        <w:t xml:space="preserve"> 2026 </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06</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05 </w:t>
      </w:r>
      <w:r>
        <w:rPr>
          <w:rFonts w:hint="eastAsia" w:ascii="宋体" w:hAnsi="宋体" w:cs="宋体"/>
          <w:bCs/>
          <w:color w:val="auto"/>
          <w:kern w:val="0"/>
          <w:szCs w:val="21"/>
          <w:highlight w:val="none"/>
        </w:rPr>
        <w:t>日，每天上午00:00至12:00，下午12:00至23:59（北京时间，法定节假日除外）。</w:t>
      </w:r>
    </w:p>
    <w:p w14:paraId="53AD2B58">
      <w:pPr>
        <w:spacing w:line="360" w:lineRule="auto"/>
        <w:ind w:firstLine="420" w:firstLineChars="200"/>
        <w:rPr>
          <w:color w:val="auto"/>
          <w:highlight w:val="none"/>
        </w:rPr>
      </w:pPr>
      <w:r>
        <w:rPr>
          <w:rFonts w:hint="eastAsia" w:ascii="宋体" w:hAnsi="宋体" w:cs="宋体"/>
          <w:bCs/>
          <w:color w:val="auto"/>
          <w:kern w:val="0"/>
          <w:szCs w:val="21"/>
          <w:highlight w:val="none"/>
        </w:rPr>
        <w:t>方式：</w:t>
      </w:r>
      <w:r>
        <w:rPr>
          <w:rFonts w:hint="eastAsia" w:ascii="宋体" w:hAnsi="宋体" w:cs="宋体"/>
          <w:color w:val="auto"/>
          <w:highlight w:val="none"/>
        </w:rPr>
        <w:t>网上下载。本项目不发放纸质采购文件，供应商可自行在广西政府采购云平台（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Fonts w:hint="eastAsia" w:ascii="宋体" w:hAnsi="宋体" w:cs="宋体"/>
          <w:color w:val="auto"/>
          <w:highlight w:val="none"/>
        </w:rPr>
        <w:t>https://www.gcy.zfcg.gxzf.gov.cn/</w:t>
      </w:r>
      <w:r>
        <w:rPr>
          <w:rFonts w:hint="eastAsia" w:ascii="宋体" w:hAnsi="宋体" w:cs="宋体"/>
          <w:color w:val="auto"/>
          <w:highlight w:val="none"/>
        </w:rPr>
        <w:fldChar w:fldCharType="end"/>
      </w:r>
      <w:r>
        <w:rPr>
          <w:rFonts w:hint="eastAsia" w:ascii="宋体" w:hAnsi="宋体" w:cs="宋体"/>
          <w:color w:val="auto"/>
          <w:highlight w:val="none"/>
        </w:rPr>
        <w:t>）下载采购文件（操作路径：登录广西政府采购云平台 -项目采购－获取采购文件－找到本项目－点击“ 申请获取采购文件”），电子响应文件制作需要</w:t>
      </w:r>
    </w:p>
    <w:p w14:paraId="477DC4E8">
      <w:pPr>
        <w:spacing w:line="420" w:lineRule="exact"/>
        <w:ind w:firstLine="420" w:firstLineChars="200"/>
        <w:rPr>
          <w:rFonts w:hint="eastAsia" w:ascii="宋体" w:hAnsi="宋体" w:cs="宋体"/>
          <w:bCs/>
          <w:color w:val="auto"/>
          <w:kern w:val="0"/>
          <w:szCs w:val="21"/>
          <w:highlight w:val="none"/>
        </w:rPr>
      </w:pPr>
      <w:r>
        <w:rPr>
          <w:rFonts w:hint="eastAsia" w:ascii="宋体" w:hAnsi="宋体" w:cs="宋体"/>
          <w:color w:val="auto"/>
          <w:highlight w:val="none"/>
        </w:rPr>
        <w:t>基于广西政府采购云平台（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Fonts w:hint="eastAsia" w:ascii="宋体" w:hAnsi="宋体" w:cs="宋体"/>
          <w:color w:val="auto"/>
          <w:highlight w:val="none"/>
        </w:rPr>
        <w:t>https://www.gcy.zfcg.gxzf.gov.cn/</w:t>
      </w:r>
      <w:r>
        <w:rPr>
          <w:rFonts w:hint="eastAsia" w:ascii="宋体" w:hAnsi="宋体" w:cs="宋体"/>
          <w:color w:val="auto"/>
          <w:highlight w:val="none"/>
        </w:rPr>
        <w:fldChar w:fldCharType="end"/>
      </w:r>
      <w:r>
        <w:rPr>
          <w:rFonts w:hint="eastAsia" w:ascii="宋体" w:hAnsi="宋体" w:cs="宋体"/>
          <w:color w:val="auto"/>
          <w:highlight w:val="none"/>
        </w:rPr>
        <w:t>）获取的采购文件编制。</w:t>
      </w:r>
    </w:p>
    <w:p w14:paraId="1D20DA91">
      <w:pPr>
        <w:widowControl/>
        <w:tabs>
          <w:tab w:val="left" w:pos="1260"/>
        </w:tabs>
        <w:spacing w:line="420" w:lineRule="exact"/>
        <w:ind w:firstLine="420" w:firstLineChars="200"/>
        <w:rPr>
          <w:rFonts w:hint="eastAsia"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元</w:t>
      </w:r>
      <w:bookmarkStart w:id="29" w:name="_Toc71365908"/>
    </w:p>
    <w:p w14:paraId="4A9121F7">
      <w:pPr>
        <w:widowControl/>
        <w:tabs>
          <w:tab w:val="left" w:pos="1260"/>
        </w:tabs>
        <w:spacing w:line="42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四、响应文件提交</w:t>
      </w:r>
      <w:bookmarkEnd w:id="24"/>
      <w:bookmarkEnd w:id="25"/>
      <w:bookmarkEnd w:id="26"/>
      <w:bookmarkEnd w:id="27"/>
      <w:bookmarkEnd w:id="28"/>
      <w:bookmarkEnd w:id="29"/>
    </w:p>
    <w:p w14:paraId="69A31984">
      <w:pPr>
        <w:spacing w:line="420" w:lineRule="exact"/>
        <w:ind w:firstLine="420" w:firstLineChars="200"/>
        <w:rPr>
          <w:rFonts w:hint="eastAsia" w:ascii="宋体" w:hAnsi="宋体" w:cs="宋体"/>
          <w:color w:val="auto"/>
          <w:szCs w:val="21"/>
          <w:highlight w:val="none"/>
          <w:u w:val="single"/>
        </w:rPr>
      </w:pPr>
      <w:bookmarkStart w:id="30" w:name="_Toc35393802"/>
      <w:bookmarkStart w:id="31" w:name="_Toc28359093"/>
      <w:bookmarkStart w:id="32" w:name="_Toc35393633"/>
      <w:bookmarkStart w:id="33" w:name="_Toc44229882"/>
      <w:bookmarkStart w:id="34" w:name="_Toc28359016"/>
      <w:r>
        <w:rPr>
          <w:rFonts w:hint="eastAsia" w:ascii="宋体" w:hAnsi="宋体" w:cs="宋体"/>
          <w:color w:val="auto"/>
          <w:szCs w:val="21"/>
          <w:highlight w:val="none"/>
        </w:rPr>
        <w:t>截止时间：202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日 09:30</w:t>
      </w:r>
      <w:r>
        <w:rPr>
          <w:rFonts w:hint="eastAsia" w:ascii="宋体" w:hAnsi="宋体" w:cs="宋体"/>
          <w:bCs/>
          <w:color w:val="auto"/>
          <w:szCs w:val="21"/>
          <w:highlight w:val="none"/>
        </w:rPr>
        <w:t>（北京时间）</w:t>
      </w:r>
    </w:p>
    <w:p w14:paraId="0AC32BFD">
      <w:pPr>
        <w:spacing w:line="420" w:lineRule="exact"/>
        <w:ind w:firstLine="420" w:firstLineChars="200"/>
        <w:rPr>
          <w:rFonts w:hint="eastAsia" w:ascii="宋体" w:hAnsi="宋体" w:cs="宋体"/>
          <w:bCs/>
          <w:color w:val="auto"/>
          <w:kern w:val="0"/>
          <w:szCs w:val="21"/>
          <w:highlight w:val="none"/>
        </w:rPr>
      </w:pPr>
      <w:r>
        <w:rPr>
          <w:rFonts w:hint="eastAsia" w:ascii="宋体" w:hAnsi="宋体" w:cs="宋体"/>
          <w:color w:val="auto"/>
          <w:szCs w:val="21"/>
          <w:highlight w:val="none"/>
        </w:rPr>
        <w:t>地点：</w:t>
      </w:r>
      <w:r>
        <w:rPr>
          <w:rFonts w:hint="eastAsia" w:ascii="宋体" w:hAnsi="宋体" w:cs="宋体"/>
          <w:bCs/>
          <w:color w:val="auto"/>
          <w:kern w:val="0"/>
          <w:szCs w:val="21"/>
          <w:highlight w:val="none"/>
        </w:rPr>
        <w:t>广西政府采购云平台 （https ://www.gcy.zfcg.gxzf.gov.cn/）</w:t>
      </w:r>
    </w:p>
    <w:p w14:paraId="0A0E6156">
      <w:pPr>
        <w:spacing w:line="420" w:lineRule="exact"/>
        <w:ind w:firstLine="482" w:firstLineChars="200"/>
        <w:rPr>
          <w:rFonts w:hint="eastAsia" w:ascii="宋体" w:hAnsi="宋体" w:cs="宋体"/>
          <w:b/>
          <w:color w:val="auto"/>
          <w:sz w:val="24"/>
          <w:highlight w:val="none"/>
        </w:rPr>
      </w:pPr>
      <w:bookmarkStart w:id="35" w:name="_Toc71365909"/>
      <w:r>
        <w:rPr>
          <w:rFonts w:hint="eastAsia" w:ascii="宋体" w:hAnsi="宋体" w:cs="宋体"/>
          <w:b/>
          <w:color w:val="auto"/>
          <w:sz w:val="24"/>
          <w:highlight w:val="none"/>
        </w:rPr>
        <w:t>五、开启</w:t>
      </w:r>
      <w:bookmarkEnd w:id="30"/>
      <w:bookmarkEnd w:id="31"/>
      <w:bookmarkEnd w:id="32"/>
      <w:bookmarkEnd w:id="33"/>
      <w:bookmarkEnd w:id="34"/>
      <w:bookmarkEnd w:id="35"/>
    </w:p>
    <w:p w14:paraId="3C5BFB1A">
      <w:pPr>
        <w:spacing w:line="420" w:lineRule="exact"/>
        <w:ind w:firstLine="420" w:firstLineChars="200"/>
        <w:rPr>
          <w:rFonts w:hint="eastAsia" w:ascii="宋体" w:hAnsi="宋体" w:cs="宋体"/>
          <w:bCs/>
          <w:color w:val="auto"/>
          <w:szCs w:val="21"/>
          <w:highlight w:val="none"/>
          <w:u w:val="single"/>
        </w:rPr>
      </w:pPr>
      <w:r>
        <w:rPr>
          <w:rFonts w:hint="eastAsia" w:ascii="宋体" w:hAnsi="宋体" w:cs="宋体"/>
          <w:color w:val="auto"/>
          <w:szCs w:val="21"/>
          <w:highlight w:val="none"/>
        </w:rPr>
        <w:t>1.时间：202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日 09:30</w:t>
      </w:r>
      <w:r>
        <w:rPr>
          <w:rFonts w:hint="eastAsia" w:ascii="宋体" w:hAnsi="宋体" w:cs="宋体"/>
          <w:bCs/>
          <w:color w:val="auto"/>
          <w:szCs w:val="21"/>
          <w:highlight w:val="none"/>
        </w:rPr>
        <w:t>（北京时间）</w:t>
      </w:r>
    </w:p>
    <w:p w14:paraId="525A4098">
      <w:pPr>
        <w:spacing w:line="420" w:lineRule="exact"/>
        <w:ind w:firstLine="420" w:firstLineChars="200"/>
        <w:rPr>
          <w:rFonts w:hint="eastAsia" w:ascii="宋体" w:hAnsi="宋体" w:cs="宋体"/>
          <w:bCs/>
          <w:color w:val="auto"/>
          <w:kern w:val="0"/>
          <w:szCs w:val="21"/>
          <w:highlight w:val="none"/>
        </w:rPr>
      </w:pPr>
      <w:r>
        <w:rPr>
          <w:rFonts w:hint="eastAsia" w:ascii="宋体" w:hAnsi="宋体" w:cs="宋体"/>
          <w:color w:val="auto"/>
          <w:szCs w:val="21"/>
          <w:highlight w:val="none"/>
        </w:rPr>
        <w:t>2.地点：</w:t>
      </w:r>
      <w:bookmarkStart w:id="36" w:name="_Toc28359017"/>
      <w:bookmarkStart w:id="37" w:name="_Toc28359094"/>
      <w:bookmarkStart w:id="38" w:name="_Toc44229883"/>
      <w:bookmarkStart w:id="39" w:name="_Toc35393634"/>
      <w:bookmarkStart w:id="40" w:name="_Toc35393803"/>
      <w:bookmarkStart w:id="41" w:name="_Toc71365910"/>
      <w:r>
        <w:rPr>
          <w:rFonts w:hint="eastAsia" w:ascii="宋体" w:hAnsi="宋体" w:cs="宋体"/>
          <w:bCs/>
          <w:color w:val="auto"/>
          <w:kern w:val="0"/>
          <w:szCs w:val="21"/>
          <w:highlight w:val="none"/>
        </w:rPr>
        <w:t>广西政府采购云平台 （https ://www.gcy.zfcg.gxzf.gov.cn/）</w:t>
      </w:r>
    </w:p>
    <w:p w14:paraId="2264E182">
      <w:pPr>
        <w:spacing w:line="42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六、公告期限</w:t>
      </w:r>
      <w:bookmarkEnd w:id="36"/>
      <w:bookmarkEnd w:id="37"/>
      <w:bookmarkEnd w:id="38"/>
      <w:bookmarkEnd w:id="39"/>
      <w:bookmarkEnd w:id="40"/>
      <w:bookmarkEnd w:id="41"/>
    </w:p>
    <w:p w14:paraId="0DD43D5E">
      <w:pPr>
        <w:spacing w:line="42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bookmarkStart w:id="42" w:name="_Toc35393804"/>
      <w:bookmarkStart w:id="43" w:name="_Toc35393635"/>
      <w:bookmarkStart w:id="44" w:name="_Toc44229884"/>
      <w:bookmarkStart w:id="45" w:name="_Toc71365911"/>
    </w:p>
    <w:p w14:paraId="7CB9A112">
      <w:pPr>
        <w:spacing w:line="42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七、其他补充事宜</w:t>
      </w:r>
      <w:bookmarkEnd w:id="42"/>
      <w:bookmarkEnd w:id="43"/>
      <w:bookmarkEnd w:id="44"/>
      <w:bookmarkEnd w:id="45"/>
    </w:p>
    <w:p w14:paraId="7F91EFEA">
      <w:pPr>
        <w:pStyle w:val="30"/>
        <w:spacing w:line="360" w:lineRule="exact"/>
        <w:ind w:left="0" w:leftChars="0"/>
        <w:jc w:val="left"/>
        <w:rPr>
          <w:rFonts w:ascii="宋体" w:hAnsi="宋体" w:cs="宋体"/>
          <w:color w:val="auto"/>
          <w:szCs w:val="21"/>
          <w:highlight w:val="none"/>
        </w:rPr>
      </w:pPr>
      <w:r>
        <w:rPr>
          <w:rFonts w:hint="eastAsia" w:ascii="宋体" w:hAnsi="宋体" w:cs="宋体"/>
          <w:color w:val="auto"/>
          <w:szCs w:val="21"/>
          <w:highlight w:val="none"/>
        </w:rPr>
        <w:t>1.磋商保证金（人民币）：</w:t>
      </w:r>
      <w:bookmarkStart w:id="46" w:name="OLE_LINK4"/>
      <w:r>
        <w:rPr>
          <w:rFonts w:hint="eastAsia" w:ascii="宋体" w:hAnsi="宋体" w:cs="宋体"/>
          <w:color w:val="auto"/>
          <w:szCs w:val="21"/>
          <w:highlight w:val="none"/>
        </w:rPr>
        <w:t>A分标：</w:t>
      </w:r>
      <w:bookmarkEnd w:id="46"/>
      <w:bookmarkStart w:id="47" w:name="OLE_LINK5"/>
      <w:r>
        <w:rPr>
          <w:rFonts w:hint="eastAsia" w:ascii="宋体" w:hAnsi="宋体" w:cs="宋体"/>
          <w:color w:val="auto"/>
          <w:szCs w:val="21"/>
          <w:highlight w:val="none"/>
          <w:lang w:val="en-US" w:eastAsia="zh-CN"/>
        </w:rPr>
        <w:t>陆仟元整</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000.00）</w:t>
      </w:r>
      <w:bookmarkEnd w:id="47"/>
      <w:r>
        <w:rPr>
          <w:rFonts w:hint="eastAsia" w:ascii="宋体" w:hAnsi="宋体" w:cs="宋体"/>
          <w:color w:val="auto"/>
          <w:szCs w:val="21"/>
          <w:highlight w:val="none"/>
        </w:rPr>
        <w:t>；B分标：</w:t>
      </w:r>
      <w:r>
        <w:rPr>
          <w:rFonts w:hint="eastAsia" w:ascii="宋体" w:hAnsi="宋体" w:cs="宋体"/>
          <w:color w:val="auto"/>
          <w:szCs w:val="21"/>
          <w:highlight w:val="none"/>
          <w:lang w:val="en-US" w:eastAsia="zh-CN"/>
        </w:rPr>
        <w:t>捌仟元整</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000.00）。</w:t>
      </w:r>
    </w:p>
    <w:p w14:paraId="611935E4">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①磋商保证金的交纳方式：银行转账、支票、汇票、本票或者金融、担保机构出具的保函，禁止采用现钞方式。采用银行转账方式的，在投标截止时间前交至采购人或采购代理机构指定账户并且到账；采用支票、汇票、本票或者保函等方式的，在投标截止时间前，竞标人必须递交单独密封的支票、汇票、本票或者保函原件。否则视为无效磋商保证金。</w:t>
      </w:r>
    </w:p>
    <w:p w14:paraId="3FAA7A74">
      <w:pPr>
        <w:spacing w:line="340" w:lineRule="exact"/>
        <w:jc w:val="left"/>
        <w:rPr>
          <w:rFonts w:ascii="宋体" w:hAnsi="宋体" w:cs="宋体"/>
          <w:color w:val="auto"/>
          <w:szCs w:val="21"/>
          <w:highlight w:val="none"/>
        </w:rPr>
      </w:pPr>
      <w:r>
        <w:rPr>
          <w:rFonts w:hint="eastAsia" w:ascii="宋体" w:hAnsi="宋体" w:cs="宋体"/>
          <w:color w:val="auto"/>
          <w:szCs w:val="21"/>
          <w:highlight w:val="none"/>
        </w:rPr>
        <w:t>本项目磋商保证金缴纳账号信息如下：</w:t>
      </w:r>
    </w:p>
    <w:p w14:paraId="1CDFD972">
      <w:pPr>
        <w:spacing w:line="340" w:lineRule="exact"/>
        <w:jc w:val="left"/>
        <w:rPr>
          <w:rFonts w:ascii="宋体" w:hAnsi="宋体" w:cs="宋体"/>
          <w:color w:val="auto"/>
          <w:szCs w:val="21"/>
          <w:highlight w:val="none"/>
        </w:rPr>
      </w:pPr>
      <w:r>
        <w:rPr>
          <w:rFonts w:hint="eastAsia" w:ascii="宋体" w:hAnsi="宋体" w:cs="宋体"/>
          <w:color w:val="auto"/>
          <w:szCs w:val="21"/>
          <w:highlight w:val="none"/>
        </w:rPr>
        <w:t>开户名称：广西同泽工程项目管理股份有限公司</w:t>
      </w:r>
    </w:p>
    <w:p w14:paraId="15154EB6">
      <w:pPr>
        <w:spacing w:line="340" w:lineRule="exact"/>
        <w:jc w:val="left"/>
        <w:rPr>
          <w:rFonts w:ascii="宋体" w:hAnsi="宋体" w:cs="宋体"/>
          <w:color w:val="auto"/>
          <w:szCs w:val="21"/>
          <w:highlight w:val="none"/>
        </w:rPr>
      </w:pPr>
      <w:r>
        <w:rPr>
          <w:rFonts w:hint="eastAsia" w:ascii="宋体" w:hAnsi="宋体" w:cs="宋体"/>
          <w:color w:val="auto"/>
          <w:szCs w:val="21"/>
          <w:highlight w:val="none"/>
        </w:rPr>
        <w:t>开户银行：建行广西区分行营业部本级营业厅</w:t>
      </w:r>
    </w:p>
    <w:p w14:paraId="3B3CF4E8">
      <w:pPr>
        <w:spacing w:line="340" w:lineRule="exact"/>
        <w:jc w:val="left"/>
        <w:rPr>
          <w:rFonts w:ascii="宋体" w:hAnsi="宋体" w:cs="宋体"/>
          <w:color w:val="auto"/>
          <w:szCs w:val="21"/>
          <w:highlight w:val="none"/>
        </w:rPr>
      </w:pPr>
      <w:r>
        <w:rPr>
          <w:rFonts w:hint="eastAsia" w:ascii="宋体" w:hAnsi="宋体" w:cs="宋体"/>
          <w:color w:val="auto"/>
          <w:szCs w:val="21"/>
          <w:highlight w:val="none"/>
        </w:rPr>
        <w:t>银行账号：45001594151050716039</w:t>
      </w:r>
    </w:p>
    <w:p w14:paraId="47A8E4A0">
      <w:pPr>
        <w:spacing w:line="340" w:lineRule="exact"/>
        <w:jc w:val="left"/>
        <w:rPr>
          <w:rFonts w:ascii="宋体" w:hAnsi="宋体" w:cs="宋体"/>
          <w:b/>
          <w:bCs/>
          <w:color w:val="auto"/>
          <w:szCs w:val="21"/>
          <w:highlight w:val="none"/>
        </w:rPr>
      </w:pPr>
      <w:r>
        <w:rPr>
          <w:rFonts w:hint="eastAsia" w:ascii="宋体" w:hAnsi="宋体" w:cs="宋体"/>
          <w:b/>
          <w:bCs/>
          <w:color w:val="auto"/>
          <w:szCs w:val="21"/>
          <w:highlight w:val="none"/>
        </w:rPr>
        <w:t>多个分标的投标，应按各分标分别缴纳磋商保证金。</w:t>
      </w:r>
    </w:p>
    <w:p w14:paraId="48059E2C">
      <w:pPr>
        <w:spacing w:line="3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②磋商保证金币种应与投标报价币种相同。磋商保证金缴纳后无需开具收据，但必须在投标截止时间之前到达指定账号，其到账时间以银行确认的到账时间为准。</w:t>
      </w:r>
    </w:p>
    <w:p w14:paraId="6BBE5E20">
      <w:pPr>
        <w:spacing w:line="420" w:lineRule="exact"/>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③除招标文件规定不予退还保证金的情形外，采购代理机构在法定时间内通过银行原路退还保证金至竞标人缴纳账户。竞标人自行承担交纳保证金后未参加投标活动或磋商保证金缴纳错误而导致磋商保证金无法及时退还的责任。</w:t>
      </w:r>
    </w:p>
    <w:p w14:paraId="657B314C">
      <w:pPr>
        <w:spacing w:line="42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2.网上查询地址：中国政府采购网（http://www.ccgp.gov.cn/）、广西政府采购网（http://zfcg.gxzf.gov.cn/）。</w:t>
      </w:r>
    </w:p>
    <w:p w14:paraId="629886A6">
      <w:pPr>
        <w:spacing w:line="420" w:lineRule="exact"/>
        <w:ind w:firstLine="424" w:firstLineChars="202"/>
        <w:rPr>
          <w:rFonts w:hint="eastAsia" w:ascii="宋体" w:hAnsi="宋体" w:cs="宋体"/>
          <w:color w:val="auto"/>
          <w:kern w:val="0"/>
          <w:szCs w:val="21"/>
          <w:highlight w:val="none"/>
        </w:rPr>
      </w:pPr>
      <w:bookmarkStart w:id="48" w:name="_Hlk37429674"/>
      <w:bookmarkStart w:id="49" w:name="_Toc28359095"/>
      <w:bookmarkStart w:id="50" w:name="_Toc28359018"/>
      <w:bookmarkStart w:id="51" w:name="_Toc44229885"/>
      <w:bookmarkStart w:id="52" w:name="_Toc35393636"/>
      <w:bookmarkStart w:id="53" w:name="_Toc35393805"/>
      <w:r>
        <w:rPr>
          <w:rFonts w:hint="eastAsia" w:ascii="宋体" w:hAnsi="宋体" w:cs="宋体"/>
          <w:color w:val="auto"/>
          <w:szCs w:val="21"/>
          <w:highlight w:val="none"/>
        </w:rPr>
        <w:t>3.</w:t>
      </w:r>
      <w:r>
        <w:rPr>
          <w:rFonts w:hint="eastAsia" w:ascii="宋体" w:hAnsi="宋体" w:cs="宋体"/>
          <w:color w:val="auto"/>
          <w:kern w:val="0"/>
          <w:szCs w:val="21"/>
          <w:highlight w:val="none"/>
        </w:rPr>
        <w:t>本项目需要落实的政府采购政策：</w:t>
      </w:r>
    </w:p>
    <w:bookmarkEnd w:id="48"/>
    <w:p w14:paraId="0EAFCB9C">
      <w:pPr>
        <w:spacing w:line="42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（1）政府采购促进中小企业发展。</w:t>
      </w:r>
    </w:p>
    <w:p w14:paraId="1FB6F882">
      <w:pPr>
        <w:spacing w:line="42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729C27FD">
      <w:pPr>
        <w:spacing w:line="42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47E515CF">
      <w:pPr>
        <w:spacing w:line="42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（4）政府采购促进残疾人就业政策。</w:t>
      </w:r>
    </w:p>
    <w:p w14:paraId="3FAB6B60">
      <w:pPr>
        <w:spacing w:line="42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（5）政府采购支持监狱企业发展。</w:t>
      </w:r>
    </w:p>
    <w:p w14:paraId="49CB6C61">
      <w:pPr>
        <w:spacing w:line="42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4.注意事项：</w:t>
      </w:r>
    </w:p>
    <w:p w14:paraId="5A8A9775">
      <w:pPr>
        <w:spacing w:line="420" w:lineRule="exact"/>
        <w:ind w:left="420" w:leftChars="200"/>
        <w:rPr>
          <w:rFonts w:hint="eastAsia" w:ascii="宋体" w:hAnsi="宋体" w:cs="宋体"/>
          <w:color w:val="auto"/>
          <w:kern w:val="0"/>
          <w:szCs w:val="21"/>
          <w:highlight w:val="none"/>
        </w:rPr>
      </w:pPr>
      <w:r>
        <w:rPr>
          <w:rFonts w:hint="eastAsia" w:ascii="宋体" w:hAnsi="宋体" w:cs="宋体"/>
          <w:color w:val="auto"/>
          <w:kern w:val="0"/>
          <w:szCs w:val="21"/>
          <w:highlight w:val="none"/>
        </w:rPr>
        <w:t>（1）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1B9DC751">
      <w:pPr>
        <w:spacing w:line="420" w:lineRule="exact"/>
        <w:ind w:left="420" w:leftChars="200"/>
        <w:rPr>
          <w:rFonts w:hint="eastAsia" w:ascii="宋体" w:hAnsi="宋体" w:cs="宋体"/>
          <w:color w:val="auto"/>
          <w:kern w:val="0"/>
          <w:szCs w:val="21"/>
          <w:highlight w:val="none"/>
        </w:rPr>
      </w:pPr>
      <w:r>
        <w:rPr>
          <w:rFonts w:hint="eastAsia" w:ascii="宋体" w:hAnsi="宋体" w:cs="宋体"/>
          <w:color w:val="auto"/>
          <w:kern w:val="0"/>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1E8A61A2">
      <w:pPr>
        <w:spacing w:line="420" w:lineRule="exact"/>
        <w:ind w:left="420" w:leftChars="200"/>
        <w:rPr>
          <w:rFonts w:hint="eastAsia" w:ascii="宋体" w:hAnsi="宋体" w:cs="宋体"/>
          <w:color w:val="auto"/>
          <w:kern w:val="0"/>
          <w:szCs w:val="21"/>
          <w:highlight w:val="none"/>
        </w:rPr>
      </w:pPr>
      <w:r>
        <w:rPr>
          <w:rFonts w:hint="eastAsia" w:ascii="宋体" w:hAnsi="宋体" w:cs="宋体"/>
          <w:color w:val="auto"/>
          <w:kern w:val="0"/>
          <w:szCs w:val="21"/>
          <w:highlight w:val="none"/>
        </w:rPr>
        <w:t>（3）若对项目采购电子交易系统操作有疑问，可登录广西政府采购云平台（https ://www.gcy.zfcg.gxzf.gov.cn/），点击右侧咨询小采获取采小蜜智能服务管家帮助或点击右侧帮助文档查看供应商指南或拨打政采云服务热线95763获取热线服务帮助。 </w:t>
      </w:r>
    </w:p>
    <w:p w14:paraId="4EE82040">
      <w:pPr>
        <w:spacing w:line="240" w:lineRule="auto"/>
        <w:ind w:firstLine="0" w:firstLineChars="0"/>
        <w:rPr>
          <w:rFonts w:hint="eastAsia" w:ascii="宋体" w:hAnsi="宋体" w:cs="宋体"/>
          <w:b/>
          <w:color w:val="auto"/>
          <w:sz w:val="24"/>
          <w:highlight w:val="none"/>
        </w:rPr>
      </w:pPr>
      <w:r>
        <w:rPr>
          <w:rFonts w:hint="eastAsia" w:ascii="宋体" w:hAnsi="宋体" w:cs="宋体"/>
          <w:b/>
          <w:color w:val="auto"/>
          <w:sz w:val="24"/>
          <w:highlight w:val="none"/>
        </w:rPr>
        <w:br w:type="page"/>
      </w:r>
    </w:p>
    <w:p w14:paraId="65F0E319">
      <w:pPr>
        <w:spacing w:line="42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八、凡对本次采购提出询问，请按以下方式联系。</w:t>
      </w:r>
      <w:bookmarkEnd w:id="49"/>
      <w:bookmarkEnd w:id="50"/>
      <w:bookmarkEnd w:id="51"/>
      <w:bookmarkEnd w:id="52"/>
      <w:bookmarkEnd w:id="53"/>
    </w:p>
    <w:bookmarkEnd w:id="5"/>
    <w:p w14:paraId="4E5742D7">
      <w:pPr>
        <w:widowControl/>
        <w:tabs>
          <w:tab w:val="left" w:pos="142"/>
          <w:tab w:val="left" w:pos="284"/>
        </w:tabs>
        <w:spacing w:line="420" w:lineRule="exact"/>
        <w:ind w:leftChars="-202" w:hanging="424" w:hangingChars="202"/>
        <w:jc w:val="left"/>
        <w:rPr>
          <w:rFonts w:hint="eastAsia" w:ascii="宋体" w:hAnsi="宋体" w:cs="宋体"/>
          <w:color w:val="auto"/>
          <w:szCs w:val="21"/>
          <w:highlight w:val="none"/>
        </w:rPr>
      </w:pPr>
      <w:r>
        <w:rPr>
          <w:rFonts w:hint="eastAsia" w:ascii="宋体" w:hAnsi="宋体" w:cs="宋体"/>
          <w:color w:val="auto"/>
          <w:szCs w:val="21"/>
          <w:highlight w:val="none"/>
        </w:rPr>
        <w:t xml:space="preserve">        1.采购人信息</w:t>
      </w:r>
    </w:p>
    <w:p w14:paraId="2714F85F">
      <w:pPr>
        <w:widowControl/>
        <w:tabs>
          <w:tab w:val="left" w:pos="142"/>
          <w:tab w:val="left" w:pos="284"/>
        </w:tabs>
        <w:spacing w:line="420" w:lineRule="exact"/>
        <w:ind w:leftChars="-202" w:hanging="424" w:hangingChars="202"/>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54" w:name="_Toc28359009"/>
      <w:bookmarkStart w:id="55" w:name="_Toc28359086"/>
      <w:r>
        <w:rPr>
          <w:rFonts w:hint="eastAsia" w:ascii="宋体" w:hAnsi="宋体" w:cs="宋体"/>
          <w:color w:val="auto"/>
          <w:szCs w:val="21"/>
          <w:highlight w:val="none"/>
        </w:rPr>
        <w:t>名    称：广西壮族自治区自然资源厅</w:t>
      </w:r>
    </w:p>
    <w:p w14:paraId="12233318">
      <w:pPr>
        <w:widowControl/>
        <w:tabs>
          <w:tab w:val="left" w:pos="142"/>
          <w:tab w:val="left" w:pos="284"/>
        </w:tabs>
        <w:spacing w:line="420" w:lineRule="exact"/>
        <w:ind w:left="212" w:leftChars="0"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地    址：广西南宁市青秀区中新路2号</w:t>
      </w:r>
    </w:p>
    <w:p w14:paraId="43D7D48E">
      <w:pPr>
        <w:widowControl/>
        <w:tabs>
          <w:tab w:val="left" w:pos="142"/>
          <w:tab w:val="left" w:pos="284"/>
        </w:tabs>
        <w:spacing w:line="420" w:lineRule="exact"/>
        <w:ind w:left="212" w:leftChars="0"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 xml:space="preserve">联系方式：黎亮 </w:t>
      </w:r>
    </w:p>
    <w:p w14:paraId="41DDBCC9">
      <w:pPr>
        <w:widowControl/>
        <w:tabs>
          <w:tab w:val="left" w:pos="142"/>
          <w:tab w:val="left" w:pos="284"/>
        </w:tabs>
        <w:spacing w:line="420" w:lineRule="exact"/>
        <w:ind w:left="212" w:leftChars="0"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电话：</w:t>
      </w:r>
      <w:r>
        <w:rPr>
          <w:rFonts w:hint="eastAsia" w:ascii="宋体" w:hAnsi="宋体" w:cs="宋体"/>
          <w:color w:val="auto"/>
          <w:szCs w:val="21"/>
          <w:highlight w:val="none"/>
        </w:rPr>
        <w:t>0771-5388040</w:t>
      </w:r>
    </w:p>
    <w:p w14:paraId="053CDEF8">
      <w:pPr>
        <w:widowControl/>
        <w:tabs>
          <w:tab w:val="left" w:pos="142"/>
          <w:tab w:val="left" w:pos="284"/>
        </w:tabs>
        <w:spacing w:line="420" w:lineRule="exact"/>
        <w:ind w:leftChars="-202" w:hanging="424" w:hangingChars="202"/>
        <w:jc w:val="left"/>
        <w:rPr>
          <w:rFonts w:hint="eastAsia" w:ascii="宋体" w:hAnsi="宋体" w:cs="宋体"/>
          <w:color w:val="auto"/>
          <w:szCs w:val="21"/>
          <w:highlight w:val="none"/>
        </w:rPr>
      </w:pPr>
      <w:r>
        <w:rPr>
          <w:rFonts w:hint="eastAsia" w:ascii="宋体" w:hAnsi="宋体" w:cs="宋体"/>
          <w:color w:val="auto"/>
          <w:szCs w:val="21"/>
          <w:highlight w:val="none"/>
        </w:rPr>
        <w:t xml:space="preserve">        2.采购代理机构信息</w:t>
      </w:r>
      <w:bookmarkEnd w:id="54"/>
      <w:bookmarkEnd w:id="55"/>
    </w:p>
    <w:p w14:paraId="4B5215E0">
      <w:pPr>
        <w:tabs>
          <w:tab w:val="left" w:pos="142"/>
          <w:tab w:val="left" w:pos="284"/>
        </w:tabs>
        <w:spacing w:line="420" w:lineRule="exact"/>
        <w:ind w:leftChars="-202" w:hanging="424" w:hangingChars="202"/>
        <w:rPr>
          <w:rFonts w:hint="eastAsia" w:ascii="宋体" w:hAnsi="宋体" w:cs="宋体"/>
          <w:color w:val="auto"/>
          <w:szCs w:val="21"/>
          <w:highlight w:val="none"/>
        </w:rPr>
      </w:pPr>
      <w:r>
        <w:rPr>
          <w:rFonts w:hint="eastAsia" w:ascii="宋体" w:hAnsi="宋体" w:cs="宋体"/>
          <w:color w:val="auto"/>
          <w:szCs w:val="21"/>
          <w:highlight w:val="none"/>
        </w:rPr>
        <w:t xml:space="preserve">        名 称：</w:t>
      </w:r>
      <w:r>
        <w:rPr>
          <w:rFonts w:hint="eastAsia" w:ascii="宋体" w:hAnsi="宋体" w:cs="宋体"/>
          <w:color w:val="auto"/>
          <w:kern w:val="0"/>
          <w:szCs w:val="21"/>
          <w:highlight w:val="none"/>
        </w:rPr>
        <w:t>广西同泽工程项目管理股份有限公司</w:t>
      </w:r>
    </w:p>
    <w:p w14:paraId="4D7B20E2">
      <w:pPr>
        <w:tabs>
          <w:tab w:val="left" w:pos="142"/>
          <w:tab w:val="left" w:pos="284"/>
        </w:tabs>
        <w:spacing w:line="420" w:lineRule="exact"/>
        <w:ind w:left="212"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szCs w:val="21"/>
          <w:highlight w:val="none"/>
        </w:rPr>
        <w:t>广西南宁市良庆区凯旋路16号广西裕达集团南宁五象总部基地广东大厦十八楼</w:t>
      </w:r>
    </w:p>
    <w:p w14:paraId="3107460F">
      <w:pPr>
        <w:tabs>
          <w:tab w:val="left" w:pos="142"/>
          <w:tab w:val="left" w:pos="284"/>
        </w:tabs>
        <w:spacing w:line="420" w:lineRule="exact"/>
        <w:ind w:left="212" w:firstLine="210" w:firstLineChars="100"/>
        <w:rPr>
          <w:rFonts w:hint="default" w:ascii="宋体" w:hAnsi="宋体" w:eastAsia="宋体" w:cs="宋体"/>
          <w:color w:val="auto"/>
          <w:kern w:val="0"/>
          <w:szCs w:val="21"/>
          <w:highlight w:val="none"/>
          <w:lang w:val="en-US" w:eastAsia="zh-CN"/>
        </w:rPr>
      </w:pPr>
      <w:bookmarkStart w:id="56" w:name="_Toc28359010"/>
      <w:bookmarkStart w:id="57" w:name="_Toc28359087"/>
      <w:r>
        <w:rPr>
          <w:rFonts w:hint="eastAsia" w:ascii="宋体" w:hAnsi="宋体" w:cs="宋体"/>
          <w:color w:val="auto"/>
          <w:kern w:val="0"/>
          <w:szCs w:val="21"/>
          <w:highlight w:val="none"/>
        </w:rPr>
        <w:t>联系人：</w:t>
      </w:r>
      <w:r>
        <w:rPr>
          <w:rFonts w:hint="eastAsia" w:ascii="宋体" w:hAnsi="宋体" w:cs="宋体"/>
          <w:color w:val="auto"/>
          <w:kern w:val="0"/>
          <w:szCs w:val="21"/>
          <w:highlight w:val="none"/>
          <w:lang w:val="en-US" w:eastAsia="zh-CN"/>
        </w:rPr>
        <w:t>陆珍花、奉云、农英民</w:t>
      </w:r>
      <w:r>
        <w:rPr>
          <w:rFonts w:hint="eastAsia" w:ascii="宋体" w:hAnsi="宋体" w:cs="宋体"/>
          <w:color w:val="auto"/>
          <w:kern w:val="0"/>
          <w:szCs w:val="21"/>
          <w:highlight w:val="none"/>
        </w:rPr>
        <w:t xml:space="preserve">     联系电话: 0771-</w:t>
      </w:r>
      <w:r>
        <w:rPr>
          <w:rFonts w:hint="eastAsia" w:ascii="宋体" w:hAnsi="宋体" w:cs="宋体"/>
          <w:color w:val="auto"/>
          <w:kern w:val="0"/>
          <w:szCs w:val="21"/>
          <w:highlight w:val="none"/>
          <w:lang w:val="en-US" w:eastAsia="zh-CN"/>
        </w:rPr>
        <w:t>5590176</w:t>
      </w:r>
    </w:p>
    <w:p w14:paraId="3E29AAFD">
      <w:pPr>
        <w:tabs>
          <w:tab w:val="left" w:pos="142"/>
          <w:tab w:val="left" w:pos="284"/>
        </w:tabs>
        <w:spacing w:line="420" w:lineRule="exact"/>
        <w:ind w:left="212"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3.项目联系方式</w:t>
      </w:r>
      <w:bookmarkEnd w:id="56"/>
      <w:bookmarkEnd w:id="57"/>
    </w:p>
    <w:p w14:paraId="02042DA3">
      <w:pPr>
        <w:tabs>
          <w:tab w:val="left" w:pos="142"/>
          <w:tab w:val="left" w:pos="284"/>
        </w:tabs>
        <w:spacing w:line="420" w:lineRule="exact"/>
        <w:ind w:leftChars="-202" w:hanging="424" w:hangingChars="202"/>
        <w:rPr>
          <w:rFonts w:hint="eastAsia" w:ascii="宋体" w:hAnsi="宋体" w:cs="宋体"/>
          <w:color w:val="auto"/>
          <w:szCs w:val="21"/>
          <w:highlight w:val="none"/>
        </w:rPr>
      </w:pPr>
      <w:r>
        <w:rPr>
          <w:rFonts w:hint="eastAsia" w:ascii="宋体" w:hAnsi="宋体" w:cs="宋体"/>
          <w:color w:val="auto"/>
          <w:szCs w:val="21"/>
          <w:highlight w:val="none"/>
        </w:rPr>
        <w:t xml:space="preserve">        项目联系人：</w:t>
      </w:r>
      <w:r>
        <w:rPr>
          <w:rFonts w:hint="eastAsia" w:ascii="宋体" w:hAnsi="宋体" w:cs="宋体"/>
          <w:color w:val="auto"/>
          <w:kern w:val="0"/>
          <w:szCs w:val="21"/>
          <w:highlight w:val="none"/>
          <w:lang w:val="en-US" w:eastAsia="zh-CN"/>
        </w:rPr>
        <w:t>陆珍花、奉云、农英民</w:t>
      </w:r>
    </w:p>
    <w:p w14:paraId="129C7D47">
      <w:pPr>
        <w:tabs>
          <w:tab w:val="left" w:pos="142"/>
          <w:tab w:val="left" w:pos="284"/>
        </w:tabs>
        <w:spacing w:line="420" w:lineRule="exact"/>
        <w:ind w:leftChars="-202" w:hanging="424" w:hangingChars="202"/>
        <w:rPr>
          <w:rFonts w:hint="eastAsia" w:ascii="宋体" w:hAnsi="宋体" w:cs="宋体"/>
          <w:color w:val="auto"/>
          <w:szCs w:val="21"/>
          <w:highlight w:val="none"/>
        </w:rPr>
      </w:pPr>
      <w:r>
        <w:rPr>
          <w:rFonts w:hint="eastAsia" w:ascii="宋体" w:hAnsi="宋体" w:cs="宋体"/>
          <w:color w:val="auto"/>
          <w:szCs w:val="21"/>
          <w:highlight w:val="none"/>
        </w:rPr>
        <w:t xml:space="preserve">        电　话：</w:t>
      </w:r>
      <w:r>
        <w:rPr>
          <w:rFonts w:hint="eastAsia" w:ascii="宋体" w:hAnsi="宋体" w:cs="宋体"/>
          <w:color w:val="auto"/>
          <w:kern w:val="0"/>
          <w:szCs w:val="21"/>
          <w:highlight w:val="none"/>
        </w:rPr>
        <w:t>0771-</w:t>
      </w:r>
      <w:r>
        <w:rPr>
          <w:rFonts w:hint="eastAsia" w:ascii="宋体" w:hAnsi="宋体" w:cs="宋体"/>
          <w:color w:val="auto"/>
          <w:kern w:val="0"/>
          <w:szCs w:val="21"/>
          <w:highlight w:val="none"/>
          <w:lang w:val="en-US" w:eastAsia="zh-CN"/>
        </w:rPr>
        <w:t>5590176</w:t>
      </w:r>
    </w:p>
    <w:p w14:paraId="2AB76003">
      <w:pPr>
        <w:tabs>
          <w:tab w:val="left" w:pos="142"/>
          <w:tab w:val="left" w:pos="284"/>
        </w:tabs>
        <w:spacing w:line="420" w:lineRule="exact"/>
        <w:ind w:left="212" w:firstLine="5040" w:firstLineChars="2400"/>
        <w:rPr>
          <w:rFonts w:hint="eastAsia" w:ascii="宋体" w:hAnsi="宋体" w:cs="宋体"/>
          <w:color w:val="auto"/>
          <w:szCs w:val="21"/>
          <w:highlight w:val="none"/>
        </w:rPr>
      </w:pPr>
    </w:p>
    <w:p w14:paraId="1CD20B65">
      <w:pPr>
        <w:jc w:val="center"/>
        <w:outlineLvl w:val="0"/>
        <w:rPr>
          <w:rFonts w:hint="eastAsia" w:ascii="宋体" w:hAnsi="宋体" w:cs="宋体"/>
          <w:b/>
          <w:bCs/>
          <w:color w:val="auto"/>
          <w:sz w:val="44"/>
          <w:szCs w:val="44"/>
          <w:highlight w:val="none"/>
        </w:rPr>
      </w:pPr>
      <w:r>
        <w:rPr>
          <w:rFonts w:hint="eastAsia" w:ascii="宋体" w:hAnsi="宋体" w:cs="宋体"/>
          <w:color w:val="auto"/>
          <w:sz w:val="32"/>
          <w:szCs w:val="32"/>
          <w:highlight w:val="none"/>
        </w:rPr>
        <w:br w:type="page"/>
      </w:r>
      <w:bookmarkStart w:id="58" w:name="_Toc20663"/>
      <w:bookmarkStart w:id="59" w:name="_Toc9686"/>
      <w:bookmarkStart w:id="60" w:name="_Toc74323457"/>
      <w:bookmarkStart w:id="61" w:name="_Toc22724"/>
      <w:bookmarkStart w:id="62" w:name="_Toc26581"/>
      <w:r>
        <w:rPr>
          <w:rStyle w:val="42"/>
          <w:rFonts w:hint="eastAsia" w:ascii="宋体" w:hAnsi="宋体" w:cs="宋体"/>
          <w:color w:val="auto"/>
          <w:highlight w:val="none"/>
        </w:rPr>
        <w:t>第二章 供应商须知</w:t>
      </w:r>
      <w:bookmarkEnd w:id="58"/>
      <w:bookmarkEnd w:id="59"/>
      <w:bookmarkEnd w:id="60"/>
      <w:bookmarkEnd w:id="61"/>
      <w:bookmarkEnd w:id="62"/>
    </w:p>
    <w:p w14:paraId="3C503BCE">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供应商须知前附表</w:t>
      </w:r>
    </w:p>
    <w:p w14:paraId="6DA155E3">
      <w:pPr>
        <w:spacing w:line="400" w:lineRule="exact"/>
        <w:jc w:val="center"/>
        <w:rPr>
          <w:rFonts w:hint="eastAsia" w:ascii="宋体" w:hAnsi="宋体" w:cs="宋体"/>
          <w:b/>
          <w:color w:val="auto"/>
          <w:sz w:val="32"/>
          <w:szCs w:val="32"/>
          <w:highlight w:val="none"/>
        </w:rPr>
      </w:pPr>
    </w:p>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7FE17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1F9C0EA5">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noWrap w:val="0"/>
            <w:vAlign w:val="top"/>
          </w:tcPr>
          <w:p w14:paraId="54B32173">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2EEC8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noWrap w:val="0"/>
            <w:vAlign w:val="center"/>
          </w:tcPr>
          <w:p w14:paraId="5369B03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noWrap w:val="0"/>
            <w:vAlign w:val="center"/>
          </w:tcPr>
          <w:p w14:paraId="188EECB4">
            <w:pPr>
              <w:spacing w:line="360" w:lineRule="auto"/>
              <w:rPr>
                <w:rFonts w:hint="eastAsia" w:ascii="宋体" w:hAnsi="宋体" w:cs="宋体"/>
                <w:color w:val="auto"/>
                <w:szCs w:val="21"/>
                <w:highlight w:val="none"/>
                <w:lang w:eastAsia="zh-CN"/>
              </w:rPr>
            </w:pP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供应商的资格条件</w:t>
            </w:r>
            <w:r>
              <w:rPr>
                <w:rFonts w:hint="eastAsia" w:ascii="宋体" w:hAnsi="宋体" w:cs="宋体"/>
                <w:color w:val="auto"/>
                <w:szCs w:val="21"/>
                <w:highlight w:val="none"/>
              </w:rPr>
              <w:t>：详见竞争性磋商公告</w:t>
            </w:r>
            <w:r>
              <w:rPr>
                <w:rFonts w:hint="eastAsia" w:ascii="宋体" w:hAnsi="宋体" w:cs="宋体"/>
                <w:color w:val="auto"/>
                <w:szCs w:val="21"/>
                <w:highlight w:val="none"/>
                <w:lang w:eastAsia="zh-CN"/>
              </w:rPr>
              <w:t>。</w:t>
            </w:r>
          </w:p>
          <w:p w14:paraId="4E4AE031">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4FD00AB8">
            <w:pPr>
              <w:snapToGrid w:val="0"/>
              <w:spacing w:line="360" w:lineRule="auto"/>
              <w:jc w:val="left"/>
              <w:rPr>
                <w:rFonts w:hint="eastAsia"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4F1B902">
            <w:pPr>
              <w:snapToGrid w:val="0"/>
              <w:spacing w:line="360" w:lineRule="auto"/>
              <w:jc w:val="left"/>
              <w:rPr>
                <w:rFonts w:hint="eastAsia"/>
                <w:color w:val="auto"/>
                <w:highlight w:val="none"/>
                <w:lang w:eastAsia="zh-CN"/>
              </w:rPr>
            </w:pPr>
            <w:r>
              <w:rPr>
                <w:rFonts w:hint="eastAsia" w:ascii="宋体" w:hAnsi="宋体" w:eastAsia="宋体" w:cs="Times New Roman"/>
                <w:color w:val="auto"/>
                <w:szCs w:val="21"/>
                <w:highlight w:val="none"/>
              </w:rPr>
              <w:t>2.2对在“信用中国”网站（www.creditchina.gov.cn） 、中国政府采购网（www.ccgp.gov.cn）</w:t>
            </w:r>
            <w:r>
              <w:rPr>
                <w:rFonts w:hint="eastAsia" w:ascii="宋体" w:hAnsi="宋体" w:cs="Times New Roman"/>
                <w:color w:val="auto"/>
                <w:szCs w:val="21"/>
                <w:highlight w:val="none"/>
                <w:lang w:eastAsia="zh-CN"/>
              </w:rPr>
              <w:t>、中国执行信息公开网（https://zxgk.court.gov.cn/）</w:t>
            </w:r>
            <w:r>
              <w:rPr>
                <w:rFonts w:hint="eastAsia" w:ascii="宋体" w:hAnsi="宋体" w:eastAsia="宋体" w:cs="Times New Roman"/>
                <w:color w:val="auto"/>
                <w:szCs w:val="21"/>
                <w:highlight w:val="none"/>
              </w:rPr>
              <w:t>被列入失信被执行人、重大税收违法失信主体、政府采购严重违法失信行为记录名单及其他不符合《中华人民共和国政府采购法》第二十二条规定条件的供应商，不得参与政府采购活动。</w:t>
            </w:r>
          </w:p>
        </w:tc>
      </w:tr>
      <w:tr w14:paraId="74040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jc w:val="center"/>
        </w:trPr>
        <w:tc>
          <w:tcPr>
            <w:tcW w:w="992" w:type="dxa"/>
            <w:noWrap w:val="0"/>
            <w:vAlign w:val="center"/>
          </w:tcPr>
          <w:p w14:paraId="340FD24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noWrap w:val="0"/>
            <w:vAlign w:val="center"/>
          </w:tcPr>
          <w:p w14:paraId="106D0E8E">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是否接受联合体竞标: 详见竞争性磋商公告</w:t>
            </w:r>
            <w:r>
              <w:rPr>
                <w:rFonts w:hint="eastAsia" w:ascii="宋体" w:hAnsi="宋体" w:cs="宋体"/>
                <w:color w:val="auto"/>
                <w:szCs w:val="21"/>
                <w:highlight w:val="none"/>
                <w:lang w:eastAsia="zh-CN"/>
              </w:rPr>
              <w:t>。</w:t>
            </w:r>
          </w:p>
        </w:tc>
      </w:tr>
      <w:tr w14:paraId="0609F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309C6B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5.2</w:t>
            </w:r>
          </w:p>
        </w:tc>
        <w:tc>
          <w:tcPr>
            <w:tcW w:w="7912" w:type="dxa"/>
            <w:noWrap w:val="0"/>
            <w:vAlign w:val="center"/>
          </w:tcPr>
          <w:p w14:paraId="679C4CBF">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如接受联合体竞标，联合体竞标要求如下：</w:t>
            </w:r>
            <w:r>
              <w:rPr>
                <w:rFonts w:hint="eastAsia" w:ascii="宋体" w:hAnsi="宋体" w:cs="宋体"/>
                <w:color w:val="auto"/>
                <w:highlight w:val="none"/>
              </w:rPr>
              <w:t>无</w:t>
            </w:r>
            <w:r>
              <w:rPr>
                <w:rFonts w:hint="eastAsia" w:ascii="宋体" w:hAnsi="宋体" w:cs="宋体"/>
                <w:color w:val="auto"/>
                <w:highlight w:val="none"/>
                <w:lang w:eastAsia="zh-CN"/>
              </w:rPr>
              <w:t>。</w:t>
            </w:r>
          </w:p>
        </w:tc>
      </w:tr>
      <w:tr w14:paraId="33DE1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A03056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noWrap w:val="0"/>
            <w:vAlign w:val="center"/>
          </w:tcPr>
          <w:p w14:paraId="3386B93D">
            <w:pPr>
              <w:pStyle w:val="12"/>
              <w:spacing w:line="360" w:lineRule="auto"/>
              <w:rPr>
                <w:rFonts w:hint="eastAsia" w:ascii="宋体" w:hAnsi="宋体" w:cs="宋体"/>
                <w:color w:val="auto"/>
                <w:szCs w:val="21"/>
                <w:highlight w:val="none"/>
              </w:rPr>
            </w:pPr>
            <w:r>
              <w:rPr>
                <w:rFonts w:hint="eastAsia" w:ascii="宋体" w:hAnsi="宋体" w:cs="宋体"/>
                <w:color w:val="auto"/>
                <w:szCs w:val="21"/>
                <w:highlight w:val="none"/>
              </w:rPr>
              <w:t>☑不允许分包</w:t>
            </w:r>
          </w:p>
          <w:p w14:paraId="3EC3758D">
            <w:pPr>
              <w:pStyle w:val="12"/>
              <w:spacing w:line="360" w:lineRule="auto"/>
              <w:rPr>
                <w:rFonts w:hint="eastAsia" w:ascii="宋体" w:hAnsi="宋体" w:cs="宋体"/>
                <w:color w:val="auto"/>
                <w:szCs w:val="21"/>
                <w:highlight w:val="none"/>
              </w:rPr>
            </w:pPr>
            <w:r>
              <w:rPr>
                <w:rFonts w:hint="eastAsia" w:ascii="宋体" w:hAnsi="宋体" w:cs="宋体"/>
                <w:color w:val="auto"/>
                <w:szCs w:val="21"/>
                <w:highlight w:val="none"/>
              </w:rPr>
              <w:t>□允许分包</w:t>
            </w:r>
          </w:p>
          <w:p w14:paraId="16DDDF83">
            <w:pPr>
              <w:pStyle w:val="12"/>
              <w:spacing w:line="360" w:lineRule="auto"/>
              <w:rPr>
                <w:rFonts w:hint="eastAsia" w:ascii="宋体" w:hAnsi="宋体" w:cs="宋体"/>
                <w:color w:val="auto"/>
                <w:szCs w:val="21"/>
                <w:highlight w:val="none"/>
              </w:rPr>
            </w:pPr>
            <w:r>
              <w:rPr>
                <w:rFonts w:hint="eastAsia" w:ascii="宋体" w:hAnsi="宋体" w:cs="宋体"/>
                <w:color w:val="auto"/>
                <w:szCs w:val="21"/>
                <w:highlight w:val="none"/>
              </w:rPr>
              <w:t>分包内容及分包金额或者比例：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r>
      <w:tr w14:paraId="6EBB1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7" w:hRule="atLeast"/>
          <w:jc w:val="center"/>
        </w:trPr>
        <w:tc>
          <w:tcPr>
            <w:tcW w:w="992" w:type="dxa"/>
            <w:noWrap w:val="0"/>
            <w:vAlign w:val="center"/>
          </w:tcPr>
          <w:p w14:paraId="5FCA8D4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12.1.1</w:t>
            </w:r>
          </w:p>
        </w:tc>
        <w:tc>
          <w:tcPr>
            <w:tcW w:w="7912" w:type="dxa"/>
            <w:noWrap w:val="0"/>
            <w:vAlign w:val="center"/>
          </w:tcPr>
          <w:p w14:paraId="0DE26E93">
            <w:pPr>
              <w:pStyle w:val="12"/>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49520FCD">
            <w:pPr>
              <w:pStyle w:val="12"/>
              <w:tabs>
                <w:tab w:val="left" w:pos="31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1.供应商为法人或者其他组织的提供其营业执照、股权结构图等证明文件（如营业执照或者事业单位法人证书或者执业许可证或者登记证书等）；（</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5A0B579">
            <w:pPr>
              <w:pStyle w:val="12"/>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供应商依法缴纳税收的相关材料[竞标截止前半年内（不含竞标当月）连续3个月的依法缴纳税收的凭据复印件；依法免税的供应商，必须提供相应文件证明其依法免税。从成立之日起到响应文件提交截止时间止不足要求月数的，只需提供从成立之日起的依法缴纳税收相应证明文件]；</w:t>
            </w:r>
            <w:r>
              <w:rPr>
                <w:rFonts w:hint="eastAsia" w:ascii="宋体" w:hAnsi="宋体" w:cs="宋体"/>
                <w:b/>
                <w:color w:val="auto"/>
                <w:szCs w:val="21"/>
                <w:highlight w:val="none"/>
              </w:rPr>
              <w:t>（必须提供，否则按无效投标处理）</w:t>
            </w:r>
          </w:p>
          <w:p w14:paraId="194458E1">
            <w:pPr>
              <w:pStyle w:val="12"/>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依法缴纳社会保障资金的相关材料[竞标截止前半年内（不含竞标当月）连续3个月的依法缴纳社会保障资金的缴费凭证（专用收据或者社会保险缴纳清单或其他缴费证明材料）复印件；依法不需要缴纳社会保障资金的供应商，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77F4420">
            <w:pPr>
              <w:pStyle w:val="12"/>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.供应商财务状况报告（2024年度</w:t>
            </w:r>
            <w:r>
              <w:rPr>
                <w:rFonts w:hint="eastAsia" w:ascii="宋体" w:hAnsi="宋体" w:cs="宋体"/>
                <w:color w:val="auto"/>
                <w:szCs w:val="21"/>
                <w:highlight w:val="none"/>
                <w:lang w:val="en-US" w:eastAsia="zh-CN"/>
              </w:rPr>
              <w:t>或者2025年度</w:t>
            </w:r>
            <w:r>
              <w:rPr>
                <w:rFonts w:hint="eastAsia" w:ascii="宋体" w:hAnsi="宋体" w:cs="宋体"/>
                <w:color w:val="auto"/>
                <w:szCs w:val="21"/>
                <w:highlight w:val="none"/>
              </w:rPr>
              <w:t>财务报表复印件或者银行出具的资信证明；竞标人属于成立时间在规定年度之后的法人或其他组织，需提供成立之日起至投标截止时间前的月报表或银行出具的资信证明；资信证明应在有效期内，未注明有效期的，银行出具时间至投标截止时间不超过一年）；</w:t>
            </w:r>
            <w:r>
              <w:rPr>
                <w:rFonts w:hint="eastAsia" w:ascii="宋体" w:hAnsi="宋体" w:cs="宋体"/>
                <w:b/>
                <w:color w:val="auto"/>
                <w:szCs w:val="21"/>
                <w:highlight w:val="none"/>
              </w:rPr>
              <w:t>（除自然人外必须提供，否则按无效投标处理</w:t>
            </w:r>
            <w:r>
              <w:rPr>
                <w:rFonts w:hint="eastAsia" w:ascii="宋体" w:hAnsi="宋体" w:cs="宋体"/>
                <w:bCs/>
                <w:color w:val="auto"/>
                <w:szCs w:val="21"/>
                <w:highlight w:val="none"/>
              </w:rPr>
              <w:t>）</w:t>
            </w:r>
          </w:p>
          <w:p w14:paraId="5E25DDDD">
            <w:pPr>
              <w:pStyle w:val="12"/>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87C71B5">
            <w:pPr>
              <w:pStyle w:val="12"/>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2CE3DDD">
            <w:pPr>
              <w:pStyle w:val="12"/>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7.供应商的《中小企业声明函》或《残疾人福利性单位声明函》或监狱企业证明【由省级以上监狱管理局、戒毒管理局（含新疆生产建设兵团）出具的属于监狱企业的证明文件】；</w:t>
            </w:r>
            <w:r>
              <w:rPr>
                <w:rFonts w:hint="eastAsia" w:ascii="宋体" w:hAnsi="宋体" w:cs="宋体"/>
                <w:b/>
                <w:bCs/>
                <w:color w:val="auto"/>
                <w:szCs w:val="21"/>
                <w:highlight w:val="none"/>
                <w:lang w:val="en-US" w:eastAsia="zh-CN"/>
              </w:rPr>
              <w:t>（必须提供，否则响应文件按无效响应处理）</w:t>
            </w:r>
          </w:p>
          <w:p w14:paraId="7BDD8F94">
            <w:pPr>
              <w:pStyle w:val="12"/>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.除磋商文件规定必须提供以外，供应商认为需要提供的其他证明材料；</w:t>
            </w:r>
          </w:p>
          <w:p w14:paraId="2197ACF4">
            <w:pPr>
              <w:pStyle w:val="12"/>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注：</w:t>
            </w:r>
          </w:p>
          <w:p w14:paraId="6F10E6E5">
            <w:pPr>
              <w:pStyle w:val="12"/>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w:t>
            </w:r>
            <w:r>
              <w:rPr>
                <w:rFonts w:hint="eastAsia" w:ascii="宋体" w:hAnsi="宋体" w:cs="宋体"/>
                <w:b/>
                <w:color w:val="auto"/>
                <w:highlight w:val="none"/>
              </w:rPr>
              <w:t>电子签章</w:t>
            </w:r>
            <w:r>
              <w:rPr>
                <w:rFonts w:hint="eastAsia" w:ascii="宋体" w:hAnsi="宋体" w:cs="宋体"/>
                <w:b/>
                <w:color w:val="auto"/>
                <w:szCs w:val="21"/>
                <w:highlight w:val="none"/>
              </w:rPr>
              <w:t>，否则响应文件按无效处理。</w:t>
            </w:r>
          </w:p>
          <w:p w14:paraId="34BF9ACD">
            <w:pPr>
              <w:pStyle w:val="12"/>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2.竞标声明必须由法定代表人在规定签章处签字并加盖供应商电子签章，否则响应文件按无效响应处理。</w:t>
            </w:r>
          </w:p>
          <w:p w14:paraId="26E0995E">
            <w:pPr>
              <w:pStyle w:val="12"/>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3.供应商直接控股、管理关系信息表必须由法定代表人或者委托代理人在规定签章处签字并加盖供应商电子签章，否则响应文件按无效响应处理。</w:t>
            </w:r>
          </w:p>
        </w:tc>
      </w:tr>
      <w:tr w14:paraId="25F9C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DA5798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7912" w:type="dxa"/>
            <w:noWrap w:val="0"/>
            <w:vAlign w:val="center"/>
          </w:tcPr>
          <w:p w14:paraId="1FEEDEEA">
            <w:pPr>
              <w:snapToGrid w:val="0"/>
              <w:spacing w:line="360" w:lineRule="auto"/>
              <w:jc w:val="left"/>
              <w:rPr>
                <w:rFonts w:hint="eastAsia" w:ascii="宋体" w:hAnsi="宋体" w:cs="宋体"/>
                <w:b/>
                <w:bCs/>
                <w:color w:val="auto"/>
                <w:highlight w:val="none"/>
              </w:rPr>
            </w:pPr>
            <w:r>
              <w:rPr>
                <w:rFonts w:hint="eastAsia" w:ascii="宋体" w:hAnsi="宋体" w:cs="宋体"/>
                <w:b/>
                <w:bCs/>
                <w:color w:val="auto"/>
                <w:highlight w:val="none"/>
              </w:rPr>
              <w:t>报价文件：</w:t>
            </w:r>
          </w:p>
          <w:p w14:paraId="0B191592">
            <w:pPr>
              <w:numPr>
                <w:ilvl w:val="0"/>
                <w:numId w:val="2"/>
              </w:numPr>
              <w:snapToGrid w:val="0"/>
              <w:spacing w:line="360" w:lineRule="auto"/>
              <w:jc w:val="left"/>
              <w:rPr>
                <w:rFonts w:hint="eastAsia" w:ascii="宋体" w:hAnsi="宋体" w:cs="宋体"/>
                <w:color w:val="auto"/>
                <w:highlight w:val="none"/>
              </w:rPr>
            </w:pPr>
            <w:r>
              <w:rPr>
                <w:rFonts w:hint="eastAsia" w:ascii="宋体" w:hAnsi="宋体" w:cs="宋体"/>
                <w:color w:val="auto"/>
                <w:highlight w:val="none"/>
              </w:rPr>
              <w:t>竞标报价表（格式后附）；（必须提供，否则响应文件按无效处理）</w:t>
            </w:r>
          </w:p>
          <w:p w14:paraId="3CBEF97E">
            <w:pPr>
              <w:snapToGrid w:val="0"/>
              <w:spacing w:line="360" w:lineRule="auto"/>
              <w:jc w:val="left"/>
              <w:rPr>
                <w:rFonts w:hint="eastAsia"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.供应商认为需要提供的其他有关资料。</w:t>
            </w:r>
          </w:p>
        </w:tc>
      </w:tr>
      <w:tr w14:paraId="6DFD9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E34DEE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12.1.3</w:t>
            </w:r>
          </w:p>
        </w:tc>
        <w:tc>
          <w:tcPr>
            <w:tcW w:w="7912" w:type="dxa"/>
            <w:noWrap w:val="0"/>
            <w:vAlign w:val="center"/>
          </w:tcPr>
          <w:p w14:paraId="7934D9F7">
            <w:pPr>
              <w:spacing w:line="360" w:lineRule="auto"/>
              <w:rPr>
                <w:rFonts w:hint="eastAsia" w:ascii="宋体" w:hAnsi="宋体" w:cs="宋体"/>
                <w:b/>
                <w:bCs/>
                <w:color w:val="auto"/>
                <w:highlight w:val="none"/>
              </w:rPr>
            </w:pPr>
            <w:r>
              <w:rPr>
                <w:rFonts w:hint="eastAsia" w:ascii="宋体" w:hAnsi="宋体" w:cs="宋体"/>
                <w:b/>
                <w:bCs/>
                <w:color w:val="auto"/>
                <w:highlight w:val="none"/>
              </w:rPr>
              <w:t>商务技术文件：</w:t>
            </w:r>
          </w:p>
          <w:p w14:paraId="10522BBA">
            <w:pPr>
              <w:spacing w:line="360" w:lineRule="auto"/>
              <w:rPr>
                <w:rFonts w:hint="eastAsia" w:ascii="宋体" w:hAnsi="宋体" w:cs="宋体"/>
                <w:color w:val="auto"/>
                <w:highlight w:val="none"/>
              </w:rPr>
            </w:pPr>
            <w:r>
              <w:rPr>
                <w:rFonts w:hint="eastAsia" w:ascii="宋体" w:hAnsi="宋体" w:cs="宋体"/>
                <w:color w:val="auto"/>
                <w:highlight w:val="none"/>
              </w:rPr>
              <w:t>1.无串通竞标行为的承诺函（格式后附）；（必须提供，否则响应文件按无效响应处理）</w:t>
            </w:r>
          </w:p>
          <w:p w14:paraId="1830A209">
            <w:pPr>
              <w:snapToGrid w:val="0"/>
              <w:spacing w:line="360" w:lineRule="auto"/>
              <w:jc w:val="left"/>
              <w:rPr>
                <w:rFonts w:hint="eastAsia" w:ascii="宋体" w:hAnsi="宋体" w:cs="宋体"/>
                <w:color w:val="auto"/>
                <w:highlight w:val="none"/>
              </w:rPr>
            </w:pPr>
            <w:r>
              <w:rPr>
                <w:rFonts w:hint="eastAsia" w:ascii="宋体" w:hAnsi="宋体" w:cs="宋体"/>
                <w:color w:val="auto"/>
                <w:highlight w:val="none"/>
              </w:rPr>
              <w:t>2.法定代表人身份证明书及法定代表人有效身份证正反面复印件（格式后附）；（除自然人竞标外必须提供，否则响应文件按无效响应处理）</w:t>
            </w:r>
          </w:p>
          <w:p w14:paraId="199511C6">
            <w:pPr>
              <w:spacing w:line="360" w:lineRule="auto"/>
              <w:rPr>
                <w:rFonts w:hint="eastAsia" w:ascii="宋体" w:hAnsi="宋体" w:cs="宋体"/>
                <w:color w:val="auto"/>
                <w:highlight w:val="none"/>
              </w:rPr>
            </w:pPr>
            <w:r>
              <w:rPr>
                <w:rFonts w:hint="eastAsia" w:ascii="宋体" w:hAnsi="宋体" w:cs="宋体"/>
                <w:color w:val="auto"/>
                <w:highlight w:val="none"/>
              </w:rPr>
              <w:t>3.授权委托书及委托代理人有效身份证正反面复印件（格式后附）；（委托时必须提供，否则响应文件按无效响应处理）</w:t>
            </w:r>
          </w:p>
          <w:p w14:paraId="5F6EC0EE">
            <w:pPr>
              <w:pStyle w:val="12"/>
              <w:spacing w:line="360" w:lineRule="auto"/>
              <w:rPr>
                <w:rFonts w:hint="eastAsia" w:ascii="宋体" w:hAnsi="宋体" w:cs="宋体"/>
                <w:color w:val="auto"/>
                <w:highlight w:val="none"/>
              </w:rPr>
            </w:pPr>
            <w:r>
              <w:rPr>
                <w:rFonts w:hint="eastAsia" w:ascii="宋体" w:hAnsi="宋体" w:cs="宋体"/>
                <w:color w:val="auto"/>
                <w:highlight w:val="none"/>
              </w:rPr>
              <w:t>4.商务要求偏离表（格式后附）；（必须提供，否则响应文件按无效响应处理）</w:t>
            </w:r>
          </w:p>
          <w:p w14:paraId="40091F30">
            <w:pPr>
              <w:spacing w:line="360" w:lineRule="auto"/>
              <w:rPr>
                <w:rFonts w:hint="eastAsia" w:ascii="宋体" w:hAnsi="宋体" w:cs="宋体"/>
                <w:color w:val="auto"/>
                <w:highlight w:val="none"/>
              </w:rPr>
            </w:pPr>
            <w:r>
              <w:rPr>
                <w:rFonts w:hint="eastAsia" w:ascii="宋体" w:hAnsi="宋体" w:cs="宋体"/>
                <w:color w:val="auto"/>
                <w:szCs w:val="21"/>
                <w:highlight w:val="none"/>
              </w:rPr>
              <w:t>5.</w:t>
            </w:r>
            <w:r>
              <w:rPr>
                <w:rFonts w:hint="eastAsia" w:ascii="宋体" w:hAnsi="宋体" w:cs="宋体"/>
                <w:color w:val="auto"/>
                <w:highlight w:val="none"/>
              </w:rPr>
              <w:t>技术要求偏离表（格式后附）；（必须提供，否则响应文件按无效响应处理）</w:t>
            </w:r>
          </w:p>
          <w:p w14:paraId="19AA88C4">
            <w:pPr>
              <w:spacing w:line="360" w:lineRule="auto"/>
              <w:rPr>
                <w:rFonts w:hint="eastAsia" w:ascii="宋体" w:hAnsi="宋体" w:cs="宋体"/>
                <w:color w:val="auto"/>
                <w:szCs w:val="21"/>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.技</w:t>
            </w:r>
            <w:r>
              <w:rPr>
                <w:rFonts w:hint="eastAsia" w:ascii="宋体" w:hAnsi="宋体" w:cs="宋体"/>
                <w:color w:val="auto"/>
                <w:szCs w:val="21"/>
                <w:highlight w:val="none"/>
              </w:rPr>
              <w:t>术服务方案；（格式自拟，必须提供，否则响应文件按无效响应处理）</w:t>
            </w:r>
          </w:p>
          <w:p w14:paraId="58C89E44">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.项目实施人员一览表；（格式自拟，必须提供，否则响应文件按无效响应处理）</w:t>
            </w:r>
          </w:p>
          <w:p w14:paraId="5562CEB8">
            <w:pPr>
              <w:spacing w:line="360" w:lineRule="auto"/>
              <w:rPr>
                <w:rFonts w:hint="eastAsia" w:ascii="宋体" w:hAnsi="宋体" w:cs="宋体"/>
                <w:color w:val="auto"/>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.对应采购需求的技术要求、商务要求提供的其他文件资料（格式自拟）；</w:t>
            </w:r>
          </w:p>
          <w:p w14:paraId="03BDC2A4">
            <w:pPr>
              <w:spacing w:line="360" w:lineRule="auto"/>
              <w:rPr>
                <w:rFonts w:hint="eastAsia" w:ascii="宋体" w:hAnsi="宋体" w:cs="宋体"/>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.供应商认为需要提供的其他有关资料。</w:t>
            </w:r>
          </w:p>
          <w:p w14:paraId="564F8DCC">
            <w:pPr>
              <w:snapToGrid w:val="0"/>
              <w:spacing w:line="360" w:lineRule="auto"/>
              <w:jc w:val="left"/>
              <w:rPr>
                <w:rFonts w:hint="eastAsia" w:ascii="宋体" w:hAnsi="宋体" w:cs="宋体"/>
                <w:color w:val="auto"/>
                <w:highlight w:val="none"/>
              </w:rPr>
            </w:pPr>
            <w:r>
              <w:rPr>
                <w:rFonts w:hint="eastAsia" w:ascii="宋体" w:hAnsi="宋体" w:cs="宋体"/>
                <w:color w:val="auto"/>
                <w:highlight w:val="none"/>
              </w:rPr>
              <w:t>注：1.法定代表人授权委托书必须由法定代表人及委托代理人签字或签章，并加盖供应商电子签章，否则响应文件按无效响应处理。</w:t>
            </w:r>
          </w:p>
          <w:p w14:paraId="18086CBB">
            <w:pPr>
              <w:snapToGrid w:val="0"/>
              <w:spacing w:line="360" w:lineRule="auto"/>
              <w:jc w:val="left"/>
              <w:rPr>
                <w:rFonts w:hint="eastAsia" w:ascii="宋体" w:hAnsi="宋体" w:cs="宋体"/>
                <w:color w:val="auto"/>
                <w:highlight w:val="none"/>
              </w:rPr>
            </w:pPr>
            <w:r>
              <w:rPr>
                <w:rFonts w:hint="eastAsia" w:ascii="宋体" w:hAnsi="宋体" w:cs="宋体"/>
                <w:color w:val="auto"/>
                <w:highlight w:val="none"/>
              </w:rPr>
              <w:t>2.以上标明“必须提供”的材料属于复印件的，必须加盖供应商电子签章，否则响应文件按无效响应处理。</w:t>
            </w:r>
          </w:p>
          <w:p w14:paraId="1387CD1A">
            <w:pPr>
              <w:snapToGrid w:val="0"/>
              <w:spacing w:line="360" w:lineRule="auto"/>
              <w:jc w:val="left"/>
              <w:rPr>
                <w:rFonts w:hint="eastAsia" w:ascii="宋体" w:hAnsi="宋体" w:cs="宋体"/>
                <w:color w:val="auto"/>
                <w:highlight w:val="none"/>
              </w:rPr>
            </w:pPr>
            <w:r>
              <w:rPr>
                <w:rFonts w:hint="eastAsia" w:ascii="宋体" w:hAnsi="宋体" w:cs="宋体"/>
                <w:color w:val="auto"/>
                <w:highlight w:val="none"/>
              </w:rPr>
              <w:t>3.以上材料未附格式的，由供应商自行拟定。</w:t>
            </w:r>
          </w:p>
        </w:tc>
      </w:tr>
      <w:tr w14:paraId="37C9B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235425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noWrap w:val="0"/>
            <w:vAlign w:val="center"/>
          </w:tcPr>
          <w:p w14:paraId="628C04F3">
            <w:pPr>
              <w:numPr>
                <w:ilvl w:val="0"/>
                <w:numId w:val="3"/>
              </w:numPr>
              <w:adjustRightInd w:val="0"/>
              <w:snapToGrid w:val="0"/>
              <w:spacing w:line="360" w:lineRule="auto"/>
              <w:ind w:firstLine="210" w:firstLineChars="100"/>
              <w:jc w:val="left"/>
              <w:rPr>
                <w:rFonts w:hint="eastAsia" w:ascii="宋体" w:hAnsi="宋体" w:cs="宋体"/>
                <w:bCs/>
                <w:color w:val="auto"/>
                <w:szCs w:val="21"/>
                <w:highlight w:val="none"/>
              </w:rPr>
            </w:pPr>
            <w:r>
              <w:rPr>
                <w:rFonts w:hint="eastAsia" w:ascii="宋体" w:hAnsi="宋体" w:cs="宋体"/>
                <w:bCs/>
                <w:color w:val="auto"/>
                <w:szCs w:val="21"/>
                <w:highlight w:val="none"/>
              </w:rPr>
              <w:t>报价必须包含：</w:t>
            </w:r>
          </w:p>
          <w:p w14:paraId="32E3D957">
            <w:pPr>
              <w:adjustRightInd w:val="0"/>
              <w:snapToGrid w:val="0"/>
              <w:spacing w:line="360" w:lineRule="auto"/>
              <w:ind w:firstLine="210" w:firstLineChars="100"/>
              <w:jc w:val="left"/>
              <w:rPr>
                <w:rFonts w:hint="eastAsia" w:ascii="宋体" w:hAnsi="宋体" w:cs="宋体"/>
                <w:bCs/>
                <w:color w:val="auto"/>
                <w:szCs w:val="21"/>
                <w:highlight w:val="none"/>
              </w:rPr>
            </w:pPr>
            <w:r>
              <w:rPr>
                <w:rFonts w:hint="eastAsia" w:ascii="宋体" w:hAnsi="宋体" w:cs="宋体"/>
                <w:bCs/>
                <w:color w:val="auto"/>
                <w:szCs w:val="21"/>
                <w:highlight w:val="none"/>
              </w:rPr>
              <w:t>报价包含供应商完成本项目服务所有内容及其他相关服务的投入、项目验收费、附加培训、售后服务、税金、利润及其他所有可能发生的一切费用。项目实施过程中，采购人不再支付任何费用。</w:t>
            </w:r>
          </w:p>
          <w:p w14:paraId="34C98DD1">
            <w:pPr>
              <w:adjustRightInd w:val="0"/>
              <w:snapToGrid w:val="0"/>
              <w:spacing w:line="360" w:lineRule="auto"/>
              <w:ind w:firstLine="210" w:firstLineChars="100"/>
              <w:jc w:val="left"/>
              <w:rPr>
                <w:rFonts w:hint="eastAsia" w:ascii="宋体" w:hAnsi="宋体" w:cs="宋体"/>
                <w:color w:val="auto"/>
                <w:szCs w:val="21"/>
                <w:highlight w:val="none"/>
              </w:rPr>
            </w:pPr>
            <w:r>
              <w:rPr>
                <w:rFonts w:hint="eastAsia" w:ascii="宋体" w:hAnsi="宋体" w:cs="宋体"/>
                <w:bCs/>
                <w:color w:val="auto"/>
                <w:szCs w:val="21"/>
                <w:highlight w:val="none"/>
              </w:rPr>
              <w:t>2、竞标报价是竞标人为完成本项目所发生的一切费用。采购人不接受任何有选择的报价包括最后报价。竞标人最终报价均不得超过采购预算价，否则按无效投标处理。</w:t>
            </w:r>
          </w:p>
        </w:tc>
      </w:tr>
      <w:tr w14:paraId="00E08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545D0F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16.2</w:t>
            </w:r>
          </w:p>
        </w:tc>
        <w:tc>
          <w:tcPr>
            <w:tcW w:w="7912" w:type="dxa"/>
            <w:noWrap w:val="0"/>
            <w:vAlign w:val="center"/>
          </w:tcPr>
          <w:p w14:paraId="34D9EF02">
            <w:pPr>
              <w:pStyle w:val="10"/>
              <w:widowControl w:val="0"/>
              <w:tabs>
                <w:tab w:val="clear" w:pos="454"/>
              </w:tabs>
              <w:snapToGrid w:val="0"/>
              <w:spacing w:afterLines="0" w:line="360"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90</w:t>
            </w:r>
            <w:r>
              <w:rPr>
                <w:rFonts w:hint="eastAsia" w:ascii="宋体" w:hAnsi="宋体" w:cs="宋体"/>
                <w:color w:val="auto"/>
                <w:kern w:val="2"/>
                <w:sz w:val="21"/>
                <w:szCs w:val="21"/>
                <w:highlight w:val="none"/>
              </w:rPr>
              <w:t>日。</w:t>
            </w:r>
          </w:p>
        </w:tc>
      </w:tr>
      <w:tr w14:paraId="2D314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6819B4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noWrap w:val="0"/>
            <w:vAlign w:val="center"/>
          </w:tcPr>
          <w:p w14:paraId="217FE3AE">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□本项目不收取磋商保证金。</w:t>
            </w:r>
          </w:p>
          <w:p w14:paraId="781A9DC6">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☑本项目收取磋商保证金，具体规定如下：</w:t>
            </w:r>
          </w:p>
          <w:p w14:paraId="70EE2E17">
            <w:pPr>
              <w:pStyle w:val="30"/>
              <w:spacing w:line="360" w:lineRule="exact"/>
              <w:ind w:left="0" w:leftChars="0"/>
              <w:jc w:val="left"/>
              <w:rPr>
                <w:rFonts w:ascii="宋体" w:hAnsi="宋体" w:cs="宋体"/>
                <w:color w:val="auto"/>
                <w:szCs w:val="21"/>
                <w:highlight w:val="none"/>
              </w:rPr>
            </w:pPr>
            <w:r>
              <w:rPr>
                <w:rFonts w:hint="eastAsia" w:ascii="宋体" w:hAnsi="宋体" w:cs="宋体"/>
                <w:color w:val="auto"/>
                <w:szCs w:val="21"/>
                <w:highlight w:val="none"/>
              </w:rPr>
              <w:t>1.磋商保证金（人民币）：</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分标：</w:t>
            </w:r>
            <w:r>
              <w:rPr>
                <w:rFonts w:hint="eastAsia" w:ascii="宋体" w:hAnsi="宋体" w:cs="宋体"/>
                <w:color w:val="auto"/>
                <w:szCs w:val="21"/>
                <w:highlight w:val="none"/>
                <w:lang w:val="en-US" w:eastAsia="zh-CN"/>
              </w:rPr>
              <w:t>陆</w:t>
            </w:r>
            <w:r>
              <w:rPr>
                <w:rFonts w:hint="eastAsia" w:ascii="宋体" w:hAnsi="宋体" w:cs="宋体"/>
                <w:color w:val="auto"/>
                <w:szCs w:val="21"/>
                <w:highlight w:val="none"/>
              </w:rPr>
              <w:t>仟元整（¥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000.00）；</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分标：</w:t>
            </w:r>
            <w:r>
              <w:rPr>
                <w:rFonts w:hint="eastAsia" w:ascii="宋体" w:hAnsi="宋体" w:cs="宋体"/>
                <w:color w:val="auto"/>
                <w:szCs w:val="21"/>
                <w:highlight w:val="none"/>
                <w:lang w:val="en-US" w:eastAsia="zh-CN"/>
              </w:rPr>
              <w:t>捌</w:t>
            </w:r>
            <w:r>
              <w:rPr>
                <w:rFonts w:hint="eastAsia" w:ascii="宋体" w:hAnsi="宋体" w:cs="宋体"/>
                <w:color w:val="auto"/>
                <w:szCs w:val="21"/>
                <w:highlight w:val="none"/>
              </w:rPr>
              <w:t>仟元整（¥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000.00）。</w:t>
            </w:r>
          </w:p>
          <w:p w14:paraId="1A11F955">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①磋商保证金的交纳方式：银行转账、支票、汇票、本票或者金融、担保机构出具的保函，禁止采用现钞方式。采用银行转账方式的，在投标截止时间前交至采购人或采购代理机构指定账户并且到账；采用支票、汇票、本票或者保函等方式的，在投标截止时间前，竞标人必须递交单独密封的支票、汇票、本票或者保函原件。否则视为无效磋商保证金。</w:t>
            </w:r>
          </w:p>
          <w:p w14:paraId="570BDAFF">
            <w:pPr>
              <w:spacing w:line="340" w:lineRule="exact"/>
              <w:jc w:val="left"/>
              <w:rPr>
                <w:rFonts w:ascii="宋体" w:hAnsi="宋体" w:cs="宋体"/>
                <w:color w:val="auto"/>
                <w:szCs w:val="21"/>
                <w:highlight w:val="none"/>
              </w:rPr>
            </w:pPr>
            <w:r>
              <w:rPr>
                <w:rFonts w:hint="eastAsia" w:ascii="宋体" w:hAnsi="宋体" w:cs="宋体"/>
                <w:color w:val="auto"/>
                <w:szCs w:val="21"/>
                <w:highlight w:val="none"/>
              </w:rPr>
              <w:t>本项目磋商保证金缴纳账号信息如下：</w:t>
            </w:r>
          </w:p>
          <w:p w14:paraId="0380FE32">
            <w:pPr>
              <w:spacing w:line="340" w:lineRule="exact"/>
              <w:jc w:val="left"/>
              <w:rPr>
                <w:rFonts w:ascii="宋体" w:hAnsi="宋体" w:cs="宋体"/>
                <w:color w:val="auto"/>
                <w:szCs w:val="21"/>
                <w:highlight w:val="none"/>
              </w:rPr>
            </w:pPr>
            <w:r>
              <w:rPr>
                <w:rFonts w:hint="eastAsia" w:ascii="宋体" w:hAnsi="宋体" w:cs="宋体"/>
                <w:color w:val="auto"/>
                <w:szCs w:val="21"/>
                <w:highlight w:val="none"/>
              </w:rPr>
              <w:t>开户名称：广西同泽工程项目管理股份有限公司</w:t>
            </w:r>
          </w:p>
          <w:p w14:paraId="32E803FC">
            <w:pPr>
              <w:spacing w:line="340" w:lineRule="exact"/>
              <w:jc w:val="left"/>
              <w:rPr>
                <w:rFonts w:ascii="宋体" w:hAnsi="宋体" w:cs="宋体"/>
                <w:color w:val="auto"/>
                <w:szCs w:val="21"/>
                <w:highlight w:val="none"/>
              </w:rPr>
            </w:pPr>
            <w:r>
              <w:rPr>
                <w:rFonts w:hint="eastAsia" w:ascii="宋体" w:hAnsi="宋体" w:cs="宋体"/>
                <w:color w:val="auto"/>
                <w:szCs w:val="21"/>
                <w:highlight w:val="none"/>
              </w:rPr>
              <w:t>开户银行：建行广西区分行营业部本级营业厅</w:t>
            </w:r>
          </w:p>
          <w:p w14:paraId="4A145138">
            <w:pPr>
              <w:spacing w:line="340" w:lineRule="exact"/>
              <w:jc w:val="left"/>
              <w:rPr>
                <w:rFonts w:ascii="宋体" w:hAnsi="宋体" w:cs="宋体"/>
                <w:color w:val="auto"/>
                <w:szCs w:val="21"/>
                <w:highlight w:val="none"/>
              </w:rPr>
            </w:pPr>
            <w:r>
              <w:rPr>
                <w:rFonts w:hint="eastAsia" w:ascii="宋体" w:hAnsi="宋体" w:cs="宋体"/>
                <w:color w:val="auto"/>
                <w:szCs w:val="21"/>
                <w:highlight w:val="none"/>
              </w:rPr>
              <w:t>银行账号：45001594151050716039</w:t>
            </w:r>
          </w:p>
          <w:p w14:paraId="077AB2B0">
            <w:pPr>
              <w:spacing w:line="340" w:lineRule="exact"/>
              <w:jc w:val="left"/>
              <w:rPr>
                <w:rFonts w:ascii="宋体" w:hAnsi="宋体" w:cs="宋体"/>
                <w:b/>
                <w:bCs/>
                <w:color w:val="auto"/>
                <w:szCs w:val="21"/>
                <w:highlight w:val="none"/>
              </w:rPr>
            </w:pPr>
            <w:r>
              <w:rPr>
                <w:rFonts w:hint="eastAsia" w:ascii="宋体" w:hAnsi="宋体" w:cs="宋体"/>
                <w:b/>
                <w:bCs/>
                <w:color w:val="auto"/>
                <w:szCs w:val="21"/>
                <w:highlight w:val="none"/>
              </w:rPr>
              <w:t>多个分标的投标，应按各分标分别缴纳磋商保证金。</w:t>
            </w:r>
          </w:p>
          <w:p w14:paraId="40B2A101">
            <w:pPr>
              <w:spacing w:line="3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②磋商保证金币种应与投标报价币种相同。磋商保证金缴纳后无需开具收据，但必须在投标截止时间之前到达指定账号，其到账时间以银行确认的到账时间为准。</w:t>
            </w:r>
          </w:p>
          <w:p w14:paraId="48E901EF">
            <w:pPr>
              <w:snapToGrid w:val="0"/>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③除招标文件规定不予退还保证金的情形外，采购代理机构在法定时间内通过银行原路退还保证金至竞标人缴纳账户。竞标人自行承担交纳保证金后未参加投标活动或磋商保证金缴纳错误而导致磋商保证金无法及时退还的责任。</w:t>
            </w:r>
          </w:p>
          <w:p w14:paraId="79BF4B1B">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 xml:space="preserve">备注： </w:t>
            </w:r>
          </w:p>
          <w:p w14:paraId="2FE5E628">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1.磋商保证金在响应文件提交截止时间后提交的，或者不按规定交纳方式交纳的，或者未足额交纳的（包含保函额度不足的），视为无效磋商保证金。</w:t>
            </w:r>
          </w:p>
          <w:p w14:paraId="7D6ADA9C">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2.供应商采用现钞方式或者从个人账户（自然人竞标除外）转出的磋商保证金，视为无效磋商保证金。</w:t>
            </w:r>
          </w:p>
          <w:p w14:paraId="690E351F">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3.支票、汇票或者本票出现无效或者背书情形的，视为无效磋商保证金。</w:t>
            </w:r>
          </w:p>
          <w:p w14:paraId="61DBC164">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4.保函有效期低于竞标有效期的，视为无效磋商保证金。</w:t>
            </w:r>
          </w:p>
          <w:p w14:paraId="2D56B249">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5.采用银行、保险机构出具保函的，必须为无条件保函，否则视为无效磋商保证金。</w:t>
            </w:r>
          </w:p>
          <w:p w14:paraId="021B0B0A">
            <w:pPr>
              <w:snapToGrid w:val="0"/>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6.广西政府采购云平台暂未支持电子保函功能，故本项目暂不接受电子保函形式的保证金。</w:t>
            </w:r>
          </w:p>
        </w:tc>
      </w:tr>
      <w:tr w14:paraId="7F58F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826EEE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noWrap w:val="0"/>
            <w:vAlign w:val="center"/>
          </w:tcPr>
          <w:p w14:paraId="0450F160">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响应文件提交截止时间：详见竞争性磋商公告或者竞标邀请函。</w:t>
            </w:r>
          </w:p>
          <w:p w14:paraId="0F7BF8CC">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响应文件提交地点：详见竞争性磋商公告或者竞标邀请函。</w:t>
            </w:r>
          </w:p>
          <w:p w14:paraId="679AA1B5">
            <w:pPr>
              <w:spacing w:line="360" w:lineRule="auto"/>
              <w:jc w:val="left"/>
              <w:rPr>
                <w:rFonts w:hint="eastAsia" w:ascii="宋体" w:hAnsi="宋体" w:cs="宋体"/>
                <w:color w:val="auto"/>
                <w:highlight w:val="none"/>
              </w:rPr>
            </w:pPr>
            <w:r>
              <w:rPr>
                <w:rFonts w:hint="eastAsia" w:ascii="宋体" w:hAnsi="宋体" w:cs="宋体"/>
                <w:color w:val="auto"/>
                <w:szCs w:val="21"/>
                <w:highlight w:val="none"/>
              </w:rPr>
              <w:t>电子响应文件解密时间：首次响应文件提交截止时间后30分钟内，供应商必须在此时间段内登录广西政府采购云平台，用“项目采购-开标评标”功能完成电子响应文件的解密。若竞标供应商在规定时间内未按时解密的且未提供备份文件，视为响应文件撤回放弃竞标。</w:t>
            </w:r>
          </w:p>
        </w:tc>
      </w:tr>
      <w:tr w14:paraId="6A70A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03B65C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noWrap w:val="0"/>
            <w:vAlign w:val="center"/>
          </w:tcPr>
          <w:p w14:paraId="40E54209">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w:t>
            </w:r>
          </w:p>
        </w:tc>
      </w:tr>
      <w:tr w14:paraId="262C1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95D42B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25</w:t>
            </w:r>
          </w:p>
        </w:tc>
        <w:tc>
          <w:tcPr>
            <w:tcW w:w="7912" w:type="dxa"/>
            <w:noWrap w:val="0"/>
            <w:vAlign w:val="center"/>
          </w:tcPr>
          <w:p w14:paraId="1B3EA895">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首次响应文件开启时间详见“竞争性磋商公告”或者“竞标邀请函”</w:t>
            </w:r>
          </w:p>
          <w:p w14:paraId="752766D9">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ascii="宋体" w:hAnsi="宋体" w:cs="宋体"/>
                <w:color w:val="auto"/>
                <w:highlight w:val="none"/>
                <w:u w:val="single"/>
              </w:rPr>
              <w:t xml:space="preserve"> 30</w:t>
            </w:r>
            <w:r>
              <w:rPr>
                <w:rFonts w:hint="eastAsia" w:ascii="宋体" w:hAnsi="宋体" w:cs="宋体"/>
                <w:color w:val="auto"/>
                <w:highlight w:val="none"/>
              </w:rPr>
              <w:t>分钟</w:t>
            </w:r>
          </w:p>
        </w:tc>
      </w:tr>
      <w:tr w14:paraId="3D035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noWrap w:val="0"/>
            <w:vAlign w:val="center"/>
          </w:tcPr>
          <w:p w14:paraId="116DE03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26.2</w:t>
            </w:r>
          </w:p>
        </w:tc>
        <w:tc>
          <w:tcPr>
            <w:tcW w:w="7912" w:type="dxa"/>
            <w:noWrap w:val="0"/>
            <w:vAlign w:val="center"/>
          </w:tcPr>
          <w:p w14:paraId="4B8A1D9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p w14:paraId="5342403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2C68F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4BE452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28.1</w:t>
            </w:r>
          </w:p>
        </w:tc>
        <w:tc>
          <w:tcPr>
            <w:tcW w:w="7912" w:type="dxa"/>
            <w:noWrap w:val="0"/>
            <w:vAlign w:val="center"/>
          </w:tcPr>
          <w:p w14:paraId="2AF4A16D">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☑本项目不收取履约保证金。</w:t>
            </w:r>
          </w:p>
          <w:p w14:paraId="59180F35">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□本项目收取履约保证金，具体规定如下：</w:t>
            </w:r>
          </w:p>
          <w:p w14:paraId="5C2EE46A">
            <w:pPr>
              <w:spacing w:line="340" w:lineRule="exact"/>
              <w:jc w:val="left"/>
              <w:rPr>
                <w:rFonts w:ascii="宋体" w:hAnsi="宋体" w:cs="宋体"/>
                <w:color w:val="auto"/>
                <w:szCs w:val="21"/>
                <w:highlight w:val="none"/>
              </w:rPr>
            </w:pPr>
            <w:r>
              <w:rPr>
                <w:rFonts w:hint="eastAsia" w:ascii="宋体" w:hAnsi="宋体" w:cs="宋体"/>
                <w:color w:val="auto"/>
                <w:szCs w:val="21"/>
                <w:highlight w:val="none"/>
              </w:rPr>
              <w:t>履约保证金金额：合同价的2%（按各分标分别交纳）。</w:t>
            </w:r>
          </w:p>
          <w:p w14:paraId="2335FAEE">
            <w:pPr>
              <w:spacing w:line="340" w:lineRule="exact"/>
              <w:jc w:val="left"/>
              <w:rPr>
                <w:rFonts w:ascii="宋体" w:hAnsi="宋体" w:cs="宋体"/>
                <w:color w:val="auto"/>
                <w:szCs w:val="21"/>
                <w:highlight w:val="none"/>
              </w:rPr>
            </w:pPr>
            <w:r>
              <w:rPr>
                <w:rFonts w:hint="eastAsia" w:ascii="宋体" w:hAnsi="宋体" w:cs="宋体"/>
                <w:color w:val="auto"/>
                <w:szCs w:val="21"/>
                <w:highlight w:val="none"/>
              </w:rPr>
              <w:t>履约保证金的形式：使用转账或银行保函形式。</w:t>
            </w:r>
          </w:p>
          <w:p w14:paraId="2B1BA805">
            <w:pPr>
              <w:spacing w:line="340" w:lineRule="exact"/>
              <w:jc w:val="left"/>
              <w:rPr>
                <w:rFonts w:ascii="宋体" w:hAnsi="宋体" w:cs="宋体"/>
                <w:color w:val="auto"/>
                <w:szCs w:val="21"/>
                <w:highlight w:val="none"/>
              </w:rPr>
            </w:pPr>
            <w:r>
              <w:rPr>
                <w:rFonts w:hint="eastAsia" w:ascii="宋体" w:hAnsi="宋体" w:cs="宋体"/>
                <w:color w:val="auto"/>
                <w:szCs w:val="21"/>
                <w:highlight w:val="none"/>
              </w:rPr>
              <w:t>履约保证金的缴纳方式：在收到中标通知书后，成交供应商须在 30 个工作日内向采购人提交履约保证金，否则采购人将取消其中标资格。履约保证金的有效期必须包含成果资料验收合格且完成验收整改后（如有）、成交供应商向采购人移交成果资料的时间段。待质保期满后，双方确认无质量问题，由采购人在三十日内无息原路退回。</w:t>
            </w:r>
          </w:p>
          <w:p w14:paraId="20C98B06">
            <w:pPr>
              <w:spacing w:line="340" w:lineRule="exact"/>
              <w:jc w:val="left"/>
              <w:rPr>
                <w:rFonts w:ascii="宋体" w:hAnsi="宋体" w:cs="宋体"/>
                <w:color w:val="auto"/>
                <w:szCs w:val="21"/>
                <w:highlight w:val="none"/>
              </w:rPr>
            </w:pPr>
            <w:r>
              <w:rPr>
                <w:rFonts w:hint="eastAsia" w:ascii="宋体" w:hAnsi="宋体" w:cs="宋体"/>
                <w:color w:val="auto"/>
                <w:szCs w:val="21"/>
                <w:highlight w:val="none"/>
              </w:rPr>
              <w:t>注：其他可以不予退还履约保证金的情形如下：</w:t>
            </w:r>
          </w:p>
          <w:p w14:paraId="04C3BDA6">
            <w:pPr>
              <w:spacing w:line="340" w:lineRule="exact"/>
              <w:jc w:val="left"/>
              <w:rPr>
                <w:rFonts w:ascii="宋体" w:hAnsi="宋体" w:cs="宋体"/>
                <w:color w:val="auto"/>
                <w:szCs w:val="21"/>
                <w:highlight w:val="none"/>
              </w:rPr>
            </w:pPr>
            <w:r>
              <w:rPr>
                <w:rFonts w:hint="eastAsia" w:ascii="宋体" w:hAnsi="宋体" w:cs="宋体"/>
                <w:color w:val="auto"/>
                <w:szCs w:val="21"/>
                <w:highlight w:val="none"/>
              </w:rPr>
              <w:t>（1）成交供应商串通报价给采购人造成损失的；</w:t>
            </w:r>
          </w:p>
          <w:p w14:paraId="4848C82E">
            <w:pPr>
              <w:spacing w:line="340" w:lineRule="exact"/>
              <w:jc w:val="left"/>
              <w:rPr>
                <w:rFonts w:ascii="宋体" w:hAnsi="宋体" w:cs="宋体"/>
                <w:color w:val="auto"/>
                <w:szCs w:val="21"/>
                <w:highlight w:val="none"/>
              </w:rPr>
            </w:pPr>
            <w:r>
              <w:rPr>
                <w:rFonts w:hint="eastAsia" w:ascii="宋体" w:hAnsi="宋体" w:cs="宋体"/>
                <w:color w:val="auto"/>
                <w:szCs w:val="21"/>
                <w:highlight w:val="none"/>
              </w:rPr>
              <w:t>（2）成交供应商以他人名义报价或者以其他方式弄虚作假骗取成交的；</w:t>
            </w:r>
          </w:p>
          <w:p w14:paraId="69E2E4BA">
            <w:pPr>
              <w:spacing w:line="340" w:lineRule="exact"/>
              <w:jc w:val="left"/>
              <w:rPr>
                <w:rFonts w:ascii="宋体" w:hAnsi="宋体" w:cs="宋体"/>
                <w:color w:val="auto"/>
                <w:szCs w:val="21"/>
                <w:highlight w:val="none"/>
              </w:rPr>
            </w:pPr>
            <w:r>
              <w:rPr>
                <w:rFonts w:hint="eastAsia" w:ascii="宋体" w:hAnsi="宋体" w:cs="宋体"/>
                <w:color w:val="auto"/>
                <w:szCs w:val="21"/>
                <w:highlight w:val="none"/>
              </w:rPr>
              <w:t>（3）成交供应商捏造事实、伪造材料或者以非法手段取得证明材料进行投诉，给采购人造成损失的；</w:t>
            </w:r>
          </w:p>
          <w:p w14:paraId="7AA4D072">
            <w:pPr>
              <w:spacing w:line="340" w:lineRule="exact"/>
              <w:jc w:val="left"/>
              <w:rPr>
                <w:rFonts w:ascii="宋体" w:hAnsi="宋体" w:cs="宋体"/>
                <w:color w:val="auto"/>
                <w:szCs w:val="21"/>
                <w:highlight w:val="none"/>
              </w:rPr>
            </w:pPr>
            <w:r>
              <w:rPr>
                <w:rFonts w:hint="eastAsia" w:ascii="宋体" w:hAnsi="宋体" w:cs="宋体"/>
                <w:color w:val="auto"/>
                <w:szCs w:val="21"/>
                <w:highlight w:val="none"/>
              </w:rPr>
              <w:t>（4）成交供应商在评审、评审结束后，无故否认评审、评审中确认的实质性响应条款的，给采购人造成工作损失的。</w:t>
            </w:r>
          </w:p>
          <w:p w14:paraId="4B90D9A5">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（5）成交供应商成交后不履约执行成交结果的。备注：</w:t>
            </w:r>
          </w:p>
          <w:p w14:paraId="00D2C90E">
            <w:pPr>
              <w:spacing w:line="360" w:lineRule="auto"/>
              <w:contextualSpacing/>
              <w:rPr>
                <w:rFonts w:hint="eastAsia" w:ascii="宋体" w:hAnsi="宋体" w:cs="宋体"/>
                <w:b/>
                <w:color w:val="auto"/>
                <w:szCs w:val="21"/>
                <w:highlight w:val="none"/>
              </w:rPr>
            </w:pPr>
            <w:r>
              <w:rPr>
                <w:rFonts w:hint="eastAsia" w:ascii="宋体" w:hAnsi="宋体" w:cs="宋体"/>
                <w:b/>
                <w:color w:val="auto"/>
                <w:szCs w:val="21"/>
                <w:highlight w:val="none"/>
              </w:rPr>
              <w:t xml:space="preserve">1. </w:t>
            </w:r>
            <w:bookmarkStart w:id="63" w:name="_Hlk54170335"/>
            <w:r>
              <w:rPr>
                <w:rFonts w:hint="eastAsia" w:ascii="宋体" w:hAnsi="宋体" w:cs="宋体"/>
                <w:b/>
                <w:color w:val="auto"/>
                <w:szCs w:val="21"/>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63"/>
          </w:p>
          <w:p w14:paraId="012745A3">
            <w:pPr>
              <w:spacing w:line="360" w:lineRule="auto"/>
              <w:contextualSpacing/>
              <w:rPr>
                <w:rFonts w:hint="eastAsia" w:ascii="宋体" w:hAnsi="宋体" w:cs="宋体"/>
                <w:b/>
                <w:color w:val="auto"/>
                <w:szCs w:val="21"/>
                <w:highlight w:val="none"/>
              </w:rPr>
            </w:pPr>
            <w:r>
              <w:rPr>
                <w:rFonts w:hint="eastAsia" w:ascii="宋体" w:hAnsi="宋体" w:cs="宋体"/>
                <w:b/>
                <w:color w:val="auto"/>
                <w:szCs w:val="21"/>
                <w:highlight w:val="none"/>
              </w:rPr>
              <w:t>2.履约保证金不足额缴纳的，或者银行、保险机构出具的保函额度不足的或者保函有效期低于合同履行期限（即签订采购合同之日起至履行完合同约定的权利及义务之日止）的，不予签订合同。</w:t>
            </w:r>
          </w:p>
          <w:p w14:paraId="5CD88AFA">
            <w:pPr>
              <w:spacing w:line="360" w:lineRule="auto"/>
              <w:contextualSpacing/>
              <w:rPr>
                <w:rFonts w:hint="eastAsia" w:ascii="宋体" w:hAnsi="宋体" w:cs="宋体"/>
                <w:b/>
                <w:color w:val="auto"/>
                <w:szCs w:val="21"/>
                <w:highlight w:val="none"/>
              </w:rPr>
            </w:pPr>
            <w:r>
              <w:rPr>
                <w:rFonts w:hint="eastAsia" w:ascii="宋体" w:hAnsi="宋体" w:cs="宋体"/>
                <w:b/>
                <w:color w:val="auto"/>
                <w:szCs w:val="21"/>
                <w:highlight w:val="none"/>
              </w:rPr>
              <w:t>3.采用银行、保险机构出具的保函的，必须为无条件保函，否则不予签订合同。</w:t>
            </w:r>
          </w:p>
          <w:p w14:paraId="33303FE1">
            <w:pPr>
              <w:snapToGrid w:val="0"/>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4.供应商为联合体的，由联合体任意一方按规定提交的履约保证金，视为有效履约保证金。</w:t>
            </w:r>
          </w:p>
        </w:tc>
      </w:tr>
      <w:tr w14:paraId="6193B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8A4907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29.1</w:t>
            </w:r>
          </w:p>
        </w:tc>
        <w:tc>
          <w:tcPr>
            <w:tcW w:w="7912" w:type="dxa"/>
            <w:noWrap w:val="0"/>
            <w:vAlign w:val="center"/>
          </w:tcPr>
          <w:p w14:paraId="76C8DB85">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21BFF10D">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0A4EFA9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72709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1E1C1B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31.2</w:t>
            </w:r>
          </w:p>
        </w:tc>
        <w:tc>
          <w:tcPr>
            <w:tcW w:w="7912" w:type="dxa"/>
            <w:noWrap w:val="0"/>
            <w:vAlign w:val="center"/>
          </w:tcPr>
          <w:p w14:paraId="6FF7424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07C04D89">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质疑联系部门及联系方式：</w:t>
            </w:r>
            <w:r>
              <w:rPr>
                <w:rFonts w:hint="eastAsia" w:ascii="宋体" w:hAnsi="宋体" w:cs="宋体"/>
                <w:color w:val="auto"/>
                <w:szCs w:val="21"/>
                <w:highlight w:val="none"/>
                <w:u w:val="single"/>
              </w:rPr>
              <w:t>广西同泽工程项目管理股份有限公司</w:t>
            </w:r>
            <w:r>
              <w:rPr>
                <w:rFonts w:hint="eastAsia" w:ascii="宋体" w:hAnsi="宋体" w:cs="宋体"/>
                <w:color w:val="auto"/>
                <w:szCs w:val="21"/>
                <w:highlight w:val="none"/>
              </w:rPr>
              <w:t>，联系电话：详见磋商公告，通讯地址：详见磋商公告</w:t>
            </w:r>
          </w:p>
          <w:p w14:paraId="0AA83931">
            <w:pPr>
              <w:rPr>
                <w:rFonts w:hint="eastAsia" w:ascii="宋体" w:hAnsi="宋体" w:cs="宋体"/>
                <w:color w:val="auto"/>
                <w:szCs w:val="21"/>
                <w:highlight w:val="none"/>
              </w:rPr>
            </w:pPr>
            <w:r>
              <w:rPr>
                <w:rFonts w:hint="eastAsia" w:ascii="宋体" w:hAnsi="宋体" w:cs="宋体"/>
                <w:color w:val="auto"/>
                <w:szCs w:val="21"/>
                <w:highlight w:val="none"/>
              </w:rPr>
              <w:t>业务时间：工作日每天上午9时00分到12时00分，下午2时30分到5时30分。</w:t>
            </w:r>
          </w:p>
        </w:tc>
      </w:tr>
      <w:tr w14:paraId="59EA1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0924F0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32.1</w:t>
            </w:r>
          </w:p>
        </w:tc>
        <w:tc>
          <w:tcPr>
            <w:tcW w:w="7912" w:type="dxa"/>
            <w:noWrap w:val="0"/>
            <w:vAlign w:val="center"/>
          </w:tcPr>
          <w:p w14:paraId="3F4EF5D3">
            <w:pPr>
              <w:pStyle w:val="18"/>
              <w:snapToGrid w:val="0"/>
              <w:spacing w:line="360" w:lineRule="auto"/>
              <w:rPr>
                <w:rFonts w:hint="eastAsia" w:hAnsi="宋体" w:cs="宋体"/>
                <w:color w:val="auto"/>
                <w:sz w:val="21"/>
                <w:highlight w:val="none"/>
              </w:rPr>
            </w:pPr>
            <w:r>
              <w:rPr>
                <w:rFonts w:hint="eastAsia" w:hAnsi="宋体" w:cs="宋体"/>
                <w:color w:val="auto"/>
                <w:sz w:val="21"/>
                <w:highlight w:val="none"/>
              </w:rPr>
              <w:t>1.采购代理费支付方式：由成交供应商领取成交通知书前，一次性向采购代理机构支付。</w:t>
            </w:r>
          </w:p>
          <w:p w14:paraId="10CCD794">
            <w:pPr>
              <w:pStyle w:val="18"/>
              <w:snapToGrid w:val="0"/>
              <w:spacing w:line="360" w:lineRule="auto"/>
              <w:rPr>
                <w:rFonts w:hint="eastAsia" w:hAnsi="宋体" w:cs="宋体"/>
                <w:color w:val="auto"/>
                <w:sz w:val="21"/>
                <w:highlight w:val="none"/>
                <w:u w:val="single"/>
              </w:rPr>
            </w:pPr>
            <w:r>
              <w:rPr>
                <w:rFonts w:hint="eastAsia" w:hAnsi="宋体" w:cs="宋体"/>
                <w:color w:val="auto"/>
                <w:sz w:val="21"/>
                <w:highlight w:val="none"/>
              </w:rPr>
              <w:t>2.采购代理费收取标准：根据《招标代理服务费管理暂行办法》 (计价格﹝2002﹞1980号)、《国家发展改革委关于降低部分建设项目收费标准规范收费行为等有关问题的通知》(发改价格2011﹞534号)的规定（服务类）采用差额定率累进法计算出收费基准价格</w:t>
            </w:r>
            <w:r>
              <w:rPr>
                <w:rFonts w:hint="eastAsia" w:hAnsi="宋体" w:cs="宋体"/>
                <w:color w:val="auto"/>
                <w:sz w:val="21"/>
                <w:highlight w:val="none"/>
                <w:lang w:val="en-US" w:eastAsia="zh-CN"/>
              </w:rPr>
              <w:t>下浮40%</w:t>
            </w:r>
            <w:r>
              <w:rPr>
                <w:rFonts w:hint="eastAsia" w:hAnsi="宋体" w:cs="宋体"/>
                <w:color w:val="auto"/>
                <w:sz w:val="21"/>
                <w:highlight w:val="none"/>
              </w:rPr>
              <w:t>收取。</w:t>
            </w:r>
          </w:p>
          <w:p w14:paraId="702224C1">
            <w:pPr>
              <w:pStyle w:val="18"/>
              <w:snapToGrid w:val="0"/>
              <w:spacing w:line="360" w:lineRule="auto"/>
              <w:rPr>
                <w:rFonts w:hint="eastAsia" w:hAnsi="宋体" w:cs="宋体"/>
                <w:color w:val="auto"/>
                <w:sz w:val="21"/>
                <w:highlight w:val="none"/>
              </w:rPr>
            </w:pPr>
            <w:r>
              <w:rPr>
                <w:rFonts w:hint="eastAsia" w:hAnsi="宋体" w:cs="宋体"/>
                <w:color w:val="auto"/>
                <w:sz w:val="21"/>
                <w:highlight w:val="none"/>
              </w:rPr>
              <w:t>3. 采购代理费收取银行账户</w:t>
            </w:r>
          </w:p>
          <w:p w14:paraId="2508E9D8">
            <w:pPr>
              <w:pStyle w:val="18"/>
              <w:snapToGrid w:val="0"/>
              <w:spacing w:line="360" w:lineRule="auto"/>
              <w:rPr>
                <w:rFonts w:hint="eastAsia" w:hAnsi="宋体" w:cs="宋体"/>
                <w:color w:val="auto"/>
                <w:sz w:val="21"/>
                <w:highlight w:val="none"/>
                <w:u w:val="single"/>
              </w:rPr>
            </w:pPr>
            <w:r>
              <w:rPr>
                <w:rFonts w:hint="eastAsia" w:hAnsi="宋体" w:cs="宋体"/>
                <w:color w:val="auto"/>
                <w:sz w:val="21"/>
                <w:highlight w:val="none"/>
              </w:rPr>
              <w:t>开户名称：</w:t>
            </w:r>
            <w:r>
              <w:rPr>
                <w:rFonts w:hint="eastAsia" w:hAnsi="宋体" w:cs="宋体"/>
                <w:color w:val="auto"/>
                <w:sz w:val="21"/>
                <w:highlight w:val="none"/>
                <w:u w:val="single"/>
              </w:rPr>
              <w:t>（成交后提供）</w:t>
            </w:r>
          </w:p>
          <w:p w14:paraId="1E6947C4">
            <w:pPr>
              <w:pStyle w:val="18"/>
              <w:snapToGrid w:val="0"/>
              <w:spacing w:line="360" w:lineRule="auto"/>
              <w:rPr>
                <w:rFonts w:hint="eastAsia" w:hAnsi="宋体" w:cs="宋体"/>
                <w:color w:val="auto"/>
                <w:sz w:val="21"/>
                <w:highlight w:val="none"/>
                <w:u w:val="single"/>
              </w:rPr>
            </w:pPr>
            <w:r>
              <w:rPr>
                <w:rFonts w:hint="eastAsia" w:hAnsi="宋体" w:cs="宋体"/>
                <w:color w:val="auto"/>
                <w:sz w:val="21"/>
                <w:highlight w:val="none"/>
              </w:rPr>
              <w:t>账号：</w:t>
            </w:r>
            <w:r>
              <w:rPr>
                <w:rFonts w:hint="eastAsia" w:hAnsi="宋体" w:cs="宋体"/>
                <w:color w:val="auto"/>
                <w:sz w:val="21"/>
                <w:highlight w:val="none"/>
                <w:u w:val="single"/>
              </w:rPr>
              <w:t>（成交后提供）</w:t>
            </w:r>
          </w:p>
          <w:p w14:paraId="7C589C67">
            <w:pPr>
              <w:rPr>
                <w:rFonts w:hint="eastAsia" w:ascii="宋体" w:hAnsi="宋体" w:cs="宋体"/>
                <w:color w:val="auto"/>
                <w:szCs w:val="21"/>
                <w:highlight w:val="none"/>
              </w:rPr>
            </w:pPr>
            <w:r>
              <w:rPr>
                <w:rFonts w:hint="eastAsia" w:ascii="宋体" w:hAnsi="宋体" w:cs="宋体"/>
                <w:color w:val="auto"/>
                <w:highlight w:val="none"/>
              </w:rPr>
              <w:t>开户行名称：</w:t>
            </w:r>
            <w:r>
              <w:rPr>
                <w:rFonts w:hint="eastAsia" w:ascii="宋体" w:hAnsi="宋体" w:cs="宋体"/>
                <w:color w:val="auto"/>
                <w:highlight w:val="none"/>
                <w:u w:val="single"/>
              </w:rPr>
              <w:t>（成交后提供）</w:t>
            </w:r>
          </w:p>
        </w:tc>
      </w:tr>
      <w:tr w14:paraId="5EE2C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noWrap w:val="0"/>
            <w:vAlign w:val="center"/>
          </w:tcPr>
          <w:p w14:paraId="3A9AAF8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33.1</w:t>
            </w:r>
          </w:p>
        </w:tc>
        <w:tc>
          <w:tcPr>
            <w:tcW w:w="7912" w:type="dxa"/>
            <w:noWrap w:val="0"/>
            <w:vAlign w:val="center"/>
          </w:tcPr>
          <w:p w14:paraId="1B5162BC">
            <w:pPr>
              <w:pStyle w:val="18"/>
              <w:snapToGrid w:val="0"/>
              <w:spacing w:line="360" w:lineRule="auto"/>
              <w:rPr>
                <w:rFonts w:hint="eastAsia" w:hAnsi="宋体" w:cs="宋体"/>
                <w:color w:val="auto"/>
                <w:kern w:val="2"/>
                <w:sz w:val="21"/>
                <w:highlight w:val="none"/>
              </w:rPr>
            </w:pPr>
            <w:r>
              <w:rPr>
                <w:rFonts w:hint="eastAsia" w:hAnsi="宋体" w:cs="宋体"/>
                <w:color w:val="auto"/>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517A5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2103A4C">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33.2</w:t>
            </w:r>
          </w:p>
        </w:tc>
        <w:tc>
          <w:tcPr>
            <w:tcW w:w="7912" w:type="dxa"/>
            <w:noWrap w:val="0"/>
            <w:vAlign w:val="center"/>
          </w:tcPr>
          <w:p w14:paraId="54B54CD9">
            <w:pPr>
              <w:pStyle w:val="18"/>
              <w:snapToGrid w:val="0"/>
              <w:spacing w:line="360" w:lineRule="auto"/>
              <w:rPr>
                <w:rFonts w:hint="eastAsia"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FD5B4E4">
            <w:pPr>
              <w:pStyle w:val="18"/>
              <w:snapToGrid w:val="0"/>
              <w:spacing w:line="360" w:lineRule="auto"/>
              <w:rPr>
                <w:rFonts w:hint="eastAsia" w:hAnsi="宋体" w:cs="宋体"/>
                <w:color w:val="auto"/>
                <w:sz w:val="21"/>
                <w:highlight w:val="none"/>
              </w:rPr>
            </w:pPr>
            <w:r>
              <w:rPr>
                <w:rFonts w:hint="eastAsia" w:hAnsi="宋体" w:cs="宋体"/>
                <w:color w:val="auto"/>
                <w:sz w:val="21"/>
                <w:highlight w:val="none"/>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2D9D97C5">
            <w:pPr>
              <w:pStyle w:val="18"/>
              <w:snapToGrid w:val="0"/>
              <w:spacing w:line="360" w:lineRule="auto"/>
              <w:rPr>
                <w:rFonts w:hint="eastAsia" w:hAnsi="宋体" w:cs="宋体"/>
                <w:color w:val="auto"/>
                <w:sz w:val="21"/>
                <w:highlight w:val="none"/>
              </w:rPr>
            </w:pPr>
            <w:r>
              <w:rPr>
                <w:rFonts w:hint="eastAsia" w:hAnsi="宋体" w:cs="宋体"/>
                <w:color w:val="auto"/>
                <w:sz w:val="21"/>
                <w:highlight w:val="none"/>
              </w:rPr>
              <w:t>3.供应商为其他组织或者自然人时，本磋商文件规定的法定代表人指负责人或者自然人。本磋商文件所称负责人是指参加竞标的其他组织营业执照或者执业许可证等证照上的负责人，本磋商文件所称自然人指参与竞标的自然人本人，且应具备独立承担民事责任能力，自然人应当为年满18岁以上成年人（十六周岁以上的未成年人，以自己的劳动收入为主要生活来源的，视为完全民事行为能力人）。</w:t>
            </w:r>
          </w:p>
          <w:p w14:paraId="0BF9A280">
            <w:pPr>
              <w:pStyle w:val="18"/>
              <w:snapToGrid w:val="0"/>
              <w:spacing w:line="360" w:lineRule="auto"/>
              <w:rPr>
                <w:rFonts w:hint="eastAsia" w:hAnsi="宋体" w:cs="宋体"/>
                <w:color w:val="auto"/>
                <w:sz w:val="21"/>
                <w:highlight w:val="none"/>
              </w:rPr>
            </w:pPr>
            <w:r>
              <w:rPr>
                <w:rFonts w:hint="eastAsia" w:hAnsi="宋体" w:cs="宋体"/>
                <w:color w:val="auto"/>
                <w:sz w:val="21"/>
                <w:highlight w:val="none"/>
              </w:rPr>
              <w:t>4.本磋商文件中描述供应商的“签字”是指供应商的法定代表人或者委托代理人在文件规定签署处签名（含电子签名）的行为，私章、印鉴等其他形式均不能代替签字。</w:t>
            </w:r>
          </w:p>
          <w:p w14:paraId="5AE9D828">
            <w:pPr>
              <w:pStyle w:val="18"/>
              <w:snapToGrid w:val="0"/>
              <w:spacing w:line="360" w:lineRule="auto"/>
              <w:rPr>
                <w:rFonts w:hint="eastAsia"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tc>
      </w:tr>
      <w:tr w14:paraId="7F5D7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91210BA">
            <w:pPr>
              <w:spacing w:line="360" w:lineRule="auto"/>
              <w:jc w:val="center"/>
              <w:rPr>
                <w:rFonts w:hint="eastAsia" w:ascii="宋体" w:hAnsi="宋体" w:cs="宋体"/>
                <w:color w:val="auto"/>
                <w:kern w:val="0"/>
                <w:szCs w:val="21"/>
                <w:highlight w:val="none"/>
              </w:rPr>
            </w:pPr>
          </w:p>
        </w:tc>
        <w:tc>
          <w:tcPr>
            <w:tcW w:w="7912" w:type="dxa"/>
            <w:noWrap w:val="0"/>
            <w:vAlign w:val="center"/>
          </w:tcPr>
          <w:p w14:paraId="4507E8E0">
            <w:pPr>
              <w:spacing w:line="360" w:lineRule="auto"/>
              <w:jc w:val="left"/>
              <w:rPr>
                <w:rFonts w:hAnsi="宋体" w:cs="宋体"/>
                <w:b/>
                <w:color w:val="auto"/>
                <w:highlight w:val="none"/>
              </w:rPr>
            </w:pPr>
            <w:r>
              <w:rPr>
                <w:rFonts w:hint="eastAsia" w:hAnsi="宋体" w:cs="宋体"/>
                <w:b/>
                <w:color w:val="auto"/>
                <w:highlight w:val="none"/>
              </w:rPr>
              <w:t>特别说明：因项目存档需要，须按以下要求提供纸质投标响应文件：</w:t>
            </w:r>
          </w:p>
          <w:p w14:paraId="278B704E">
            <w:pPr>
              <w:pStyle w:val="18"/>
              <w:snapToGrid w:val="0"/>
              <w:spacing w:line="360" w:lineRule="auto"/>
              <w:rPr>
                <w:rFonts w:hint="eastAsia" w:hAnsi="宋体" w:cs="宋体"/>
                <w:color w:val="auto"/>
                <w:sz w:val="21"/>
                <w:highlight w:val="none"/>
              </w:rPr>
            </w:pPr>
            <w:r>
              <w:rPr>
                <w:rFonts w:hint="eastAsia" w:hAnsi="宋体" w:cs="宋体"/>
                <w:b/>
                <w:color w:val="auto"/>
                <w:highlight w:val="none"/>
                <w:lang w:val="en-US" w:eastAsia="zh-CN"/>
              </w:rPr>
              <w:t>成交</w:t>
            </w:r>
            <w:r>
              <w:rPr>
                <w:rFonts w:hint="eastAsia" w:hAnsi="宋体" w:cs="宋体"/>
                <w:b/>
                <w:color w:val="auto"/>
                <w:highlight w:val="none"/>
              </w:rPr>
              <w:t>供应商在</w:t>
            </w:r>
            <w:r>
              <w:rPr>
                <w:rFonts w:hint="eastAsia" w:hAnsi="宋体" w:cs="宋体"/>
                <w:b/>
                <w:color w:val="auto"/>
                <w:highlight w:val="none"/>
                <w:lang w:val="en-US" w:eastAsia="zh-CN"/>
              </w:rPr>
              <w:t>成交</w:t>
            </w:r>
            <w:r>
              <w:rPr>
                <w:rFonts w:hint="eastAsia" w:hAnsi="宋体" w:cs="宋体"/>
                <w:b/>
                <w:color w:val="auto"/>
                <w:highlight w:val="none"/>
              </w:rPr>
              <w:t>通知书发出后5天内须提交3套纸质版响应文件（含报价文件、资格证明文件、商务文件、技术文件。按要求加盖公章）给招标代理机构，一正二副。提交的纸质版响应文件文本必须与其上传系统的电子响应文件内容一致，不允许有篡改。如项目验收时因所提供的纸质响应文件与评标的响应文件不一致造成纠纷时，所有责任由</w:t>
            </w:r>
            <w:r>
              <w:rPr>
                <w:rFonts w:hint="eastAsia" w:hAnsi="宋体" w:cs="宋体"/>
                <w:b/>
                <w:color w:val="auto"/>
                <w:highlight w:val="none"/>
                <w:lang w:val="en-US" w:eastAsia="zh-CN"/>
              </w:rPr>
              <w:t>成交</w:t>
            </w:r>
            <w:r>
              <w:rPr>
                <w:rFonts w:hint="eastAsia" w:hAnsi="宋体" w:cs="宋体"/>
                <w:b/>
                <w:color w:val="auto"/>
                <w:highlight w:val="none"/>
              </w:rPr>
              <w:t>人承担。</w:t>
            </w:r>
          </w:p>
        </w:tc>
      </w:tr>
    </w:tbl>
    <w:p w14:paraId="42AF952E">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供应商须知正文</w:t>
      </w:r>
    </w:p>
    <w:p w14:paraId="6B9947C2">
      <w:pPr>
        <w:spacing w:line="400" w:lineRule="exact"/>
        <w:jc w:val="center"/>
        <w:rPr>
          <w:rFonts w:hint="eastAsia" w:ascii="宋体" w:hAnsi="宋体" w:cs="宋体"/>
          <w:b/>
          <w:color w:val="auto"/>
          <w:sz w:val="32"/>
          <w:szCs w:val="32"/>
          <w:highlight w:val="none"/>
        </w:rPr>
      </w:pPr>
    </w:p>
    <w:p w14:paraId="196A7280">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一、总则</w:t>
      </w:r>
    </w:p>
    <w:p w14:paraId="17F5E43D">
      <w:pPr>
        <w:spacing w:line="400" w:lineRule="exact"/>
        <w:rPr>
          <w:rFonts w:hint="eastAsia" w:ascii="宋体" w:hAnsi="宋体" w:cs="宋体"/>
          <w:color w:val="auto"/>
          <w:szCs w:val="21"/>
          <w:highlight w:val="none"/>
        </w:rPr>
      </w:pPr>
    </w:p>
    <w:p w14:paraId="7E8D1C32">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1.适用范围</w:t>
      </w:r>
    </w:p>
    <w:p w14:paraId="32D80E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29EB1B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7F9426B6">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2.定义</w:t>
      </w:r>
    </w:p>
    <w:p w14:paraId="22B22B1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5FB64C5D">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3495BB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77FE49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3548B3A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0586361C">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79902865">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62ECEDCC">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06407C7C">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4C5888E5">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2.10“负偏离”，是指响应文件对磋商文件“采购需求”中有关条款作出的响应不满足条款要求，导致采购人要求不能得到满足的情形。</w:t>
      </w:r>
    </w:p>
    <w:p w14:paraId="377A4FFE">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248FB458">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3DC4055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3.供应商的资格条件</w:t>
      </w:r>
    </w:p>
    <w:p w14:paraId="79AECD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7A280605">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4.竞标费用</w:t>
      </w:r>
    </w:p>
    <w:p w14:paraId="4BD25C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7101A582">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5.联合体竞标</w:t>
      </w:r>
    </w:p>
    <w:p w14:paraId="16E87F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5C4130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5C7DE7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w:t>
      </w:r>
      <w:bookmarkStart w:id="64" w:name="_Hlk66782192"/>
      <w:r>
        <w:rPr>
          <w:rFonts w:hint="eastAsia" w:ascii="宋体" w:hAnsi="宋体" w:cs="宋体"/>
          <w:color w:val="auto"/>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的扣除，用扣除后的价格参加评审。</w:t>
      </w:r>
      <w:bookmarkEnd w:id="64"/>
    </w:p>
    <w:p w14:paraId="77E8113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47929083">
      <w:pPr>
        <w:spacing w:line="360" w:lineRule="auto"/>
        <w:ind w:firstLine="420" w:firstLineChars="200"/>
        <w:rPr>
          <w:rFonts w:hint="eastAsia" w:ascii="宋体" w:hAnsi="宋体" w:cs="宋体"/>
          <w:color w:val="auto"/>
          <w:szCs w:val="21"/>
          <w:highlight w:val="none"/>
        </w:rPr>
      </w:pPr>
      <w:bookmarkStart w:id="65" w:name="_Toc254970532"/>
      <w:bookmarkStart w:id="66" w:name="_Toc254970673"/>
      <w:r>
        <w:rPr>
          <w:rFonts w:hint="eastAsia" w:ascii="宋体" w:hAnsi="宋体" w:cs="宋体"/>
          <w:color w:val="auto"/>
          <w:szCs w:val="21"/>
          <w:highlight w:val="none"/>
        </w:rPr>
        <w:t>6.1本项目不允许转包。</w:t>
      </w:r>
    </w:p>
    <w:p w14:paraId="7ADE38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183D46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050ED893">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7.特别说明</w:t>
      </w:r>
      <w:bookmarkEnd w:id="65"/>
      <w:bookmarkEnd w:id="66"/>
    </w:p>
    <w:p w14:paraId="63C14C70">
      <w:pPr>
        <w:spacing w:line="360" w:lineRule="auto"/>
        <w:ind w:firstLine="420" w:firstLineChars="200"/>
        <w:rPr>
          <w:rFonts w:hint="eastAsia" w:ascii="宋体" w:hAnsi="宋体" w:cs="宋体"/>
          <w:color w:val="auto"/>
          <w:szCs w:val="21"/>
          <w:highlight w:val="none"/>
        </w:rPr>
      </w:pPr>
      <w:bookmarkStart w:id="67" w:name="_8.1提供相同品牌产品且通过资格审查、符合性审查的不同投标人参加同一合"/>
      <w:bookmarkEnd w:id="67"/>
      <w:r>
        <w:rPr>
          <w:rFonts w:hint="eastAsia" w:ascii="宋体" w:hAnsi="宋体" w:cs="宋体"/>
          <w:color w:val="auto"/>
          <w:szCs w:val="21"/>
          <w:highlight w:val="none"/>
        </w:rPr>
        <w:t>7.1</w:t>
      </w:r>
      <w:bookmarkStart w:id="68"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68"/>
    <w:p w14:paraId="7F9E6B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208934E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A7483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521090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16F507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1B9FAF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16DE34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72E57C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0529C4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CCE5E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210077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35A1D7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71DF64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282D68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08F999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1D614CFF">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23A88C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60890D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1293A4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485BE6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7F448E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D3EA6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67C59A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34301B6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5B3F37A1">
      <w:pPr>
        <w:spacing w:line="360" w:lineRule="auto"/>
        <w:ind w:firstLine="420" w:firstLineChars="200"/>
        <w:rPr>
          <w:rFonts w:hint="eastAsia" w:ascii="宋体" w:hAnsi="宋体" w:cs="宋体"/>
          <w:color w:val="auto"/>
          <w:szCs w:val="21"/>
          <w:highlight w:val="none"/>
        </w:rPr>
      </w:pPr>
    </w:p>
    <w:p w14:paraId="13B2EB1B">
      <w:pPr>
        <w:spacing w:line="360" w:lineRule="auto"/>
        <w:ind w:left="1" w:firstLine="417" w:firstLineChars="199"/>
        <w:jc w:val="center"/>
        <w:rPr>
          <w:rFonts w:hint="eastAsia" w:ascii="宋体" w:hAnsi="宋体" w:cs="宋体"/>
          <w:color w:val="auto"/>
          <w:highlight w:val="none"/>
        </w:rPr>
      </w:pPr>
      <w:bookmarkStart w:id="69" w:name="_Toc254970534"/>
      <w:bookmarkStart w:id="70" w:name="_Toc254970675"/>
    </w:p>
    <w:p w14:paraId="4D1EDEE3">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二、磋商文件</w:t>
      </w:r>
      <w:bookmarkEnd w:id="69"/>
      <w:bookmarkEnd w:id="70"/>
    </w:p>
    <w:p w14:paraId="146BFF9C">
      <w:pPr>
        <w:spacing w:line="360" w:lineRule="auto"/>
        <w:rPr>
          <w:rFonts w:hint="eastAsia" w:ascii="宋体" w:hAnsi="宋体" w:cs="宋体"/>
          <w:color w:val="auto"/>
          <w:szCs w:val="21"/>
          <w:highlight w:val="none"/>
        </w:rPr>
      </w:pPr>
    </w:p>
    <w:p w14:paraId="079B3A6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8.磋商文件的构成</w:t>
      </w:r>
    </w:p>
    <w:p w14:paraId="137DA29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（1）竞争性磋商公告/竞标邀请函；</w:t>
      </w:r>
    </w:p>
    <w:p w14:paraId="3855416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（2）供应商须知； </w:t>
      </w:r>
    </w:p>
    <w:p w14:paraId="41DC488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（3）采购需求；</w:t>
      </w:r>
    </w:p>
    <w:p w14:paraId="495B0CE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（4）评审程序、评审方法和评审标准；</w:t>
      </w:r>
    </w:p>
    <w:p w14:paraId="400DF3A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（5）响应文件格式；</w:t>
      </w:r>
    </w:p>
    <w:p w14:paraId="48B1663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（6）合同文本。</w:t>
      </w:r>
    </w:p>
    <w:p w14:paraId="5B93F4D7">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9.供应商的询问</w:t>
      </w:r>
    </w:p>
    <w:p w14:paraId="777E80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0EB1DFAB">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56E055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39368670">
      <w:pPr>
        <w:spacing w:line="360" w:lineRule="auto"/>
        <w:rPr>
          <w:rFonts w:hint="eastAsia" w:ascii="宋体" w:hAnsi="宋体" w:cs="宋体"/>
          <w:color w:val="auto"/>
          <w:szCs w:val="21"/>
          <w:highlight w:val="none"/>
        </w:rPr>
      </w:pPr>
    </w:p>
    <w:p w14:paraId="67C484AA">
      <w:pPr>
        <w:spacing w:line="360" w:lineRule="auto"/>
        <w:jc w:val="center"/>
        <w:rPr>
          <w:rFonts w:hint="eastAsia" w:ascii="宋体" w:hAnsi="宋体" w:cs="宋体"/>
          <w:b/>
          <w:bCs/>
          <w:color w:val="auto"/>
          <w:szCs w:val="21"/>
          <w:highlight w:val="none"/>
        </w:rPr>
      </w:pPr>
      <w:r>
        <w:rPr>
          <w:rFonts w:hint="eastAsia" w:ascii="宋体" w:hAnsi="宋体" w:cs="宋体"/>
          <w:b/>
          <w:bCs/>
          <w:color w:val="auto"/>
          <w:sz w:val="32"/>
          <w:szCs w:val="32"/>
          <w:highlight w:val="none"/>
        </w:rPr>
        <w:t>三、响应文件的编制</w:t>
      </w:r>
    </w:p>
    <w:p w14:paraId="778F6D9B">
      <w:pPr>
        <w:spacing w:line="360" w:lineRule="auto"/>
        <w:rPr>
          <w:rFonts w:hint="eastAsia" w:ascii="宋体" w:hAnsi="宋体" w:cs="宋体"/>
          <w:color w:val="auto"/>
          <w:szCs w:val="21"/>
          <w:highlight w:val="none"/>
        </w:rPr>
      </w:pPr>
    </w:p>
    <w:p w14:paraId="2F644A77">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07D94F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056DAA95">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12.响应文件的组成</w:t>
      </w:r>
    </w:p>
    <w:p w14:paraId="73F342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571EACFE">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38451B24">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03E0145C">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7D3C5489">
      <w:pPr>
        <w:pStyle w:val="90"/>
        <w:rPr>
          <w:rFonts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 xml:space="preserve"> 12.1.4 供应商如投多个标包须按需求分别编制响应文件。</w:t>
      </w:r>
    </w:p>
    <w:p w14:paraId="70977B7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13.计量单位</w:t>
      </w:r>
    </w:p>
    <w:p w14:paraId="235EEF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9CB8E49">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14.竞标的风险</w:t>
      </w:r>
    </w:p>
    <w:p w14:paraId="38BEDA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3A2B36AB">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15.竞标报价</w:t>
      </w:r>
    </w:p>
    <w:p w14:paraId="6FE04FD3">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009389BE">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7A8A4E60">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0E5DC8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15.3.1供应商的竞标报价应符合以下要求，否则响应文件按无效响应处理：</w:t>
      </w:r>
    </w:p>
    <w:p w14:paraId="44284D71">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1572B1C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不得存在漏项报价；</w:t>
      </w:r>
    </w:p>
    <w:p w14:paraId="2335E5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4BB47F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15.3.2竞标报价（包含首次报价、最后报价）超过所竞标分标规定的采购预算金额或者最高限价的，其响应文件将按无效处理。</w:t>
      </w:r>
    </w:p>
    <w:p w14:paraId="694929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15.3.3</w:t>
      </w:r>
      <w:bookmarkStart w:id="71" w:name="_Hlk42592874"/>
      <w:r>
        <w:rPr>
          <w:rFonts w:hint="eastAsia" w:ascii="宋体" w:hAnsi="宋体" w:cs="宋体"/>
          <w:color w:val="auto"/>
          <w:szCs w:val="21"/>
          <w:highlight w:val="none"/>
        </w:rPr>
        <w:t>竞标报价（包含首次报价、最后报价）超过分项采购预算金额或者最高限价的，其响应文件将按无效处理。</w:t>
      </w:r>
    </w:p>
    <w:bookmarkEnd w:id="71"/>
    <w:p w14:paraId="38CF6A9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16.竞标有效期</w:t>
      </w:r>
    </w:p>
    <w:p w14:paraId="6395CE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799241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6F6114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20B7459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17.磋商保证金</w:t>
      </w:r>
    </w:p>
    <w:p w14:paraId="702E8C44">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45AE632E">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52731F30">
      <w:pPr>
        <w:spacing w:line="360" w:lineRule="auto"/>
        <w:ind w:firstLine="420" w:firstLineChars="200"/>
        <w:rPr>
          <w:rFonts w:hint="eastAsia" w:ascii="宋体" w:hAnsi="宋体" w:cs="宋体"/>
          <w:color w:val="auto"/>
          <w:szCs w:val="21"/>
          <w:highlight w:val="none"/>
        </w:rPr>
      </w:pPr>
      <w:bookmarkStart w:id="72"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成交供应商的竞标保证金自成交通知书发出之日起4个工作日内退还；</w:t>
      </w:r>
      <w:r>
        <w:rPr>
          <w:rFonts w:hint="eastAsia" w:ascii="宋体" w:hAnsi="宋体" w:cs="宋体"/>
          <w:color w:val="auto"/>
          <w:szCs w:val="21"/>
          <w:highlight w:val="none"/>
        </w:rPr>
        <w:t>成交供应商的磋商保证金自签订合同之日起4个工作日内退还。</w:t>
      </w:r>
      <w:bookmarkEnd w:id="72"/>
      <w:r>
        <w:rPr>
          <w:rFonts w:hint="eastAsia" w:ascii="宋体" w:hAnsi="宋体" w:cs="宋体"/>
          <w:color w:val="auto"/>
          <w:szCs w:val="21"/>
          <w:highlight w:val="none"/>
        </w:rPr>
        <w:t xml:space="preserve"> </w:t>
      </w:r>
    </w:p>
    <w:p w14:paraId="57E5A57E">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17.3磋商保证金不计息。</w:t>
      </w:r>
    </w:p>
    <w:p w14:paraId="323666DE">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26D0D2B4">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6EF012D6">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（2）未按规定提交履约保证金的；</w:t>
      </w:r>
    </w:p>
    <w:p w14:paraId="1F381969">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0892A3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2DD888A9">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6BBE2FEB">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5F52257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682DEE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先安装“政采云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19DD34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7D43F5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2C8EDD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133608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65E8570E">
      <w:pPr>
        <w:spacing w:line="360" w:lineRule="auto"/>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19.电子</w:t>
      </w:r>
      <w:r>
        <w:rPr>
          <w:rFonts w:hint="eastAsia" w:ascii="宋体" w:hAnsi="宋体" w:cs="宋体"/>
          <w:b/>
          <w:color w:val="auto"/>
          <w:sz w:val="24"/>
          <w:highlight w:val="none"/>
        </w:rPr>
        <w:t>备份响应文件</w:t>
      </w:r>
    </w:p>
    <w:p w14:paraId="4BB5DC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电子备份响应文件是指通过“政采云电子投标客户端”在线编制生成且后缀名为“bfbs”的文件，是否接受电子备份响应文件</w:t>
      </w:r>
      <w:r>
        <w:rPr>
          <w:rFonts w:hint="eastAsia" w:ascii="宋体" w:hAnsi="宋体" w:cs="宋体"/>
          <w:bCs/>
          <w:color w:val="auto"/>
          <w:szCs w:val="21"/>
          <w:highlight w:val="none"/>
        </w:rPr>
        <w:t>详见在“供应商须知前附表”。</w:t>
      </w:r>
    </w:p>
    <w:p w14:paraId="0627EB4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20.响应文件的提交</w:t>
      </w:r>
    </w:p>
    <w:p w14:paraId="3AD0A5CD">
      <w:pPr>
        <w:spacing w:line="360" w:lineRule="auto"/>
        <w:ind w:firstLine="420" w:firstLineChars="200"/>
        <w:rPr>
          <w:rFonts w:hint="eastAsia" w:ascii="宋体" w:hAnsi="宋体" w:cs="宋体"/>
          <w:b/>
          <w:color w:val="auto"/>
          <w:highlight w:val="none"/>
        </w:rPr>
      </w:pPr>
      <w:r>
        <w:rPr>
          <w:rFonts w:hint="eastAsia" w:ascii="宋体" w:hAnsi="宋体" w:cs="宋体"/>
          <w:bCs/>
          <w:color w:val="auto"/>
          <w:szCs w:val="21"/>
          <w:highlight w:val="none"/>
        </w:rPr>
        <w:t>20.1供应商必须按“供应商须知前附表”规定的</w:t>
      </w:r>
      <w:r>
        <w:rPr>
          <w:rFonts w:hint="eastAsia" w:ascii="宋体" w:hAnsi="宋体" w:cs="宋体"/>
          <w:color w:val="auto"/>
          <w:szCs w:val="21"/>
          <w:highlight w:val="none"/>
        </w:rPr>
        <w:t>时间及</w:t>
      </w:r>
      <w:r>
        <w:rPr>
          <w:rFonts w:hint="eastAsia" w:ascii="宋体" w:hAnsi="宋体" w:cs="宋体"/>
          <w:bCs/>
          <w:color w:val="auto"/>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 xml:space="preserve">。 </w:t>
      </w:r>
      <w:r>
        <w:rPr>
          <w:rFonts w:hint="eastAsia" w:ascii="宋体" w:hAnsi="宋体" w:cs="宋体"/>
          <w:b/>
          <w:color w:val="auto"/>
          <w:highlight w:val="none"/>
        </w:rPr>
        <w:t xml:space="preserve"> </w:t>
      </w:r>
    </w:p>
    <w:p w14:paraId="0759D8FC">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20.2未在规定时间内提交或者未按照磋商文件要求加密的电子响应文件，广西政府采购云平台将拒收。</w:t>
      </w:r>
    </w:p>
    <w:p w14:paraId="376B67C8">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2B9AA5A3">
      <w:pPr>
        <w:snapToGrid w:val="0"/>
        <w:spacing w:line="360" w:lineRule="auto"/>
        <w:ind w:firstLine="420"/>
        <w:jc w:val="left"/>
        <w:rPr>
          <w:rFonts w:hint="eastAsia" w:ascii="宋体" w:hAnsi="宋体" w:cs="宋体"/>
          <w:color w:val="auto"/>
          <w:szCs w:val="21"/>
          <w:highlight w:val="none"/>
        </w:rPr>
      </w:pPr>
      <w:bookmarkStart w:id="73" w:name="_Toc254970543"/>
      <w:bookmarkStart w:id="74" w:name="_Toc254970684"/>
      <w:r>
        <w:rPr>
          <w:rFonts w:hint="eastAsia" w:ascii="宋体" w:hAnsi="宋体" w:cs="宋体"/>
          <w:color w:val="auto"/>
          <w:szCs w:val="21"/>
          <w:highlight w:val="none"/>
        </w:rPr>
        <w:t>21.1</w:t>
      </w:r>
      <w:r>
        <w:rPr>
          <w:rFonts w:hint="eastAsia" w:ascii="宋体" w:hAnsi="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r>
        <w:rPr>
          <w:rFonts w:hint="eastAsia" w:ascii="宋体" w:hAnsi="宋体" w:cs="宋体"/>
          <w:color w:val="auto"/>
          <w:szCs w:val="21"/>
          <w:highlight w:val="none"/>
        </w:rPr>
        <w:t>（补充、修改或者撤回方式可登陆广西政府采购云平台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进入“服务中心”中查看 “电子响应文件制作与投送教程”）</w:t>
      </w:r>
    </w:p>
    <w:bookmarkEnd w:id="73"/>
    <w:bookmarkEnd w:id="74"/>
    <w:p w14:paraId="753737C7">
      <w:pPr>
        <w:pStyle w:val="75"/>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21.2在提交响应文件截止时间前，除供应商补充、修改或者撤回响应文件外，任何单位和个人不得解密或提取响应文件。</w:t>
      </w:r>
    </w:p>
    <w:p w14:paraId="134CDCB3">
      <w:pPr>
        <w:spacing w:line="360" w:lineRule="auto"/>
        <w:ind w:firstLine="482" w:firstLineChars="200"/>
        <w:rPr>
          <w:rFonts w:hint="eastAsia" w:ascii="宋体" w:hAnsi="宋体" w:cs="宋体"/>
          <w:b/>
          <w:bCs/>
          <w:color w:val="auto"/>
          <w:sz w:val="24"/>
          <w:highlight w:val="none"/>
        </w:rPr>
      </w:pPr>
      <w:bookmarkStart w:id="75" w:name="_Hlk45702405"/>
      <w:r>
        <w:rPr>
          <w:rFonts w:hint="eastAsia" w:ascii="宋体" w:hAnsi="宋体" w:cs="宋体"/>
          <w:b/>
          <w:bCs/>
          <w:color w:val="auto"/>
          <w:sz w:val="24"/>
          <w:highlight w:val="none"/>
        </w:rPr>
        <w:t>22.响应文件的退回</w:t>
      </w:r>
    </w:p>
    <w:p w14:paraId="2510BC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71F2BB2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23.截止时间后的撤回</w:t>
      </w:r>
    </w:p>
    <w:p w14:paraId="5688C8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供应商在响应文件提交截止时间后向采购人、采购代理机构书面申请撤回响应文件的，将根据本须知正文17.4的规定不予退还其磋商保证金。</w:t>
      </w:r>
    </w:p>
    <w:bookmarkEnd w:id="75"/>
    <w:p w14:paraId="6BC9111E">
      <w:pPr>
        <w:spacing w:line="360" w:lineRule="auto"/>
        <w:rPr>
          <w:rFonts w:hint="eastAsia" w:ascii="宋体" w:hAnsi="宋体" w:cs="宋体"/>
          <w:color w:val="auto"/>
          <w:szCs w:val="21"/>
          <w:highlight w:val="none"/>
        </w:rPr>
      </w:pPr>
    </w:p>
    <w:p w14:paraId="54A228A6">
      <w:pPr>
        <w:spacing w:line="360" w:lineRule="auto"/>
        <w:ind w:left="420" w:firstLine="42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四、评审及磋商</w:t>
      </w:r>
    </w:p>
    <w:p w14:paraId="3A9A00A1">
      <w:pPr>
        <w:spacing w:line="360" w:lineRule="auto"/>
        <w:ind w:left="420" w:firstLine="420"/>
        <w:rPr>
          <w:rFonts w:hint="eastAsia" w:ascii="宋体" w:hAnsi="宋体" w:cs="宋体"/>
          <w:color w:val="auto"/>
          <w:szCs w:val="21"/>
          <w:highlight w:val="none"/>
        </w:rPr>
      </w:pPr>
    </w:p>
    <w:p w14:paraId="65938809">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24.磋商小组成立</w:t>
      </w:r>
    </w:p>
    <w:p w14:paraId="46F774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EFB2F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B56E5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ascii="宋体" w:hAnsi="宋体" w:cs="宋体"/>
          <w:bCs/>
          <w:color w:val="auto"/>
          <w:szCs w:val="21"/>
          <w:highlight w:val="none"/>
        </w:rPr>
        <w:t>采购代理机构</w:t>
      </w:r>
      <w:r>
        <w:rPr>
          <w:rFonts w:hint="eastAsia" w:ascii="宋体" w:hAnsi="宋体" w:cs="宋体"/>
          <w:bCs/>
          <w:color w:val="auto"/>
          <w:highlight w:val="none"/>
        </w:rPr>
        <w:t>应当</w:t>
      </w:r>
      <w:r>
        <w:rPr>
          <w:rFonts w:hint="eastAsia" w:ascii="宋体" w:hAnsi="宋体" w:cs="宋体"/>
          <w:bCs/>
          <w:color w:val="auto"/>
          <w:szCs w:val="21"/>
          <w:highlight w:val="none"/>
        </w:rPr>
        <w:t>基于</w:t>
      </w:r>
      <w:r>
        <w:rPr>
          <w:rFonts w:hint="eastAsia" w:ascii="宋体" w:hAnsi="宋体" w:cs="宋体"/>
          <w:color w:val="auto"/>
          <w:szCs w:val="21"/>
          <w:highlight w:val="none"/>
        </w:rPr>
        <w:t>广西政府采购云平台</w:t>
      </w:r>
      <w:r>
        <w:rPr>
          <w:rFonts w:hint="eastAsia" w:ascii="宋体" w:hAnsi="宋体" w:cs="宋体"/>
          <w:bCs/>
          <w:color w:val="auto"/>
          <w:highlight w:val="none"/>
        </w:rPr>
        <w:t>抽（选）取</w:t>
      </w:r>
      <w:r>
        <w:rPr>
          <w:rFonts w:hint="eastAsia" w:ascii="宋体" w:hAnsi="宋体" w:cs="宋体"/>
          <w:bCs/>
          <w:color w:val="auto"/>
          <w:szCs w:val="21"/>
          <w:highlight w:val="none"/>
        </w:rPr>
        <w:t>评审专家。</w:t>
      </w:r>
    </w:p>
    <w:p w14:paraId="42FCF936">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25.首次响应文件的开启和解密</w:t>
      </w:r>
    </w:p>
    <w:p w14:paraId="00174D23">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highlight w:val="none"/>
        </w:rPr>
        <w:t>采购代理机构将在“供应商须知前附表”规定的时</w:t>
      </w:r>
      <w:r>
        <w:rPr>
          <w:rFonts w:hint="eastAsia" w:ascii="宋体" w:hAnsi="宋体" w:cs="宋体"/>
          <w:color w:val="auto"/>
          <w:highlight w:val="none"/>
        </w:rPr>
        <w:t>间通过电子交易平台组织响应文件开启，供应商的法定代表人或其委托代理人须携带加密时所用的CA锁，按平台提示和磋商文件的规定登录到</w:t>
      </w:r>
      <w:r>
        <w:rPr>
          <w:rFonts w:hint="eastAsia" w:ascii="宋体" w:hAnsi="宋体" w:cs="宋体"/>
          <w:color w:val="auto"/>
          <w:szCs w:val="21"/>
          <w:highlight w:val="none"/>
        </w:rPr>
        <w:t>广西政府采购云平台</w:t>
      </w:r>
      <w:r>
        <w:rPr>
          <w:rFonts w:hint="eastAsia" w:ascii="宋体" w:hAnsi="宋体" w:cs="宋体"/>
          <w:color w:val="auto"/>
          <w:highlight w:val="none"/>
        </w:rPr>
        <w:t>电子开标大厅签到，采购代理机构依托</w:t>
      </w:r>
      <w:r>
        <w:rPr>
          <w:rFonts w:hint="eastAsia" w:ascii="宋体" w:hAnsi="宋体" w:cs="宋体"/>
          <w:color w:val="auto"/>
          <w:szCs w:val="21"/>
          <w:highlight w:val="none"/>
        </w:rPr>
        <w:t>广西政府采购云平台</w:t>
      </w:r>
      <w:r>
        <w:rPr>
          <w:rFonts w:hint="eastAsia" w:ascii="宋体" w:hAnsi="宋体" w:cs="宋体"/>
          <w:color w:val="auto"/>
          <w:highlight w:val="none"/>
        </w:rPr>
        <w:t>向各供应商发出电子加密响应文件【开始解密】通知，由供应商按</w:t>
      </w:r>
      <w:r>
        <w:rPr>
          <w:rFonts w:hint="eastAsia" w:ascii="宋体" w:hAnsi="宋体" w:cs="宋体"/>
          <w:bCs/>
          <w:color w:val="auto"/>
          <w:szCs w:val="21"/>
          <w:highlight w:val="none"/>
        </w:rPr>
        <w:t>“供应商须知前附表”</w:t>
      </w:r>
      <w:r>
        <w:rPr>
          <w:rFonts w:hint="eastAsia" w:ascii="宋体" w:hAnsi="宋体" w:cs="宋体"/>
          <w:color w:val="auto"/>
          <w:highlight w:val="none"/>
        </w:rPr>
        <w:t>规定的时间内自行进行响应文件解密。</w:t>
      </w:r>
      <w:r>
        <w:rPr>
          <w:rFonts w:hint="eastAsia" w:ascii="宋体" w:hAnsi="宋体" w:cs="宋体"/>
          <w:b/>
          <w:color w:val="auto"/>
          <w:highlight w:val="none"/>
        </w:rPr>
        <w:t>供应商未在规定的时间内解密响应文件或者解密失败的，供应商</w:t>
      </w:r>
      <w:r>
        <w:rPr>
          <w:rFonts w:hint="eastAsia" w:ascii="宋体" w:hAnsi="宋体" w:cs="宋体"/>
          <w:b/>
          <w:color w:val="auto"/>
          <w:szCs w:val="21"/>
          <w:highlight w:val="none"/>
        </w:rPr>
        <w:t>的响应文件作无效处理</w:t>
      </w:r>
      <w:r>
        <w:rPr>
          <w:rFonts w:hint="eastAsia" w:ascii="宋体" w:hAnsi="宋体" w:cs="宋体"/>
          <w:b/>
          <w:color w:val="auto"/>
          <w:highlight w:val="none"/>
        </w:rPr>
        <w:t>。</w:t>
      </w:r>
    </w:p>
    <w:p w14:paraId="63721584">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30A170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26.1本项目的评审方法为综合评分法。</w:t>
      </w:r>
    </w:p>
    <w:p w14:paraId="43E790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26.2磋商小组按照“第四章 评审程序、评审方法和评审标准”规定的方法、评审因素、标准和程序对响应文件进行评审。</w:t>
      </w:r>
    </w:p>
    <w:p w14:paraId="020666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26.3 商务/技术要求允许负偏离的条款数详见“供应商须知前附表”。</w:t>
      </w:r>
    </w:p>
    <w:p w14:paraId="5B6827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26.4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4D6E4DC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26.5电子交易活动的中止。采购过程中出现以下情形，导致电子交易平台无法正常运行，或者无法保证电子交易的公平、公正和安全时，采购机构可中止电子交易活动：</w:t>
      </w:r>
    </w:p>
    <w:p w14:paraId="313961B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21852A4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5E46C4E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33C4F2F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（4）病毒发作导致不能进行正常操作的； </w:t>
      </w:r>
    </w:p>
    <w:p w14:paraId="39BD3FF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（5）其他无法保证电子交易的公平、公正和安全的情况。</w:t>
      </w:r>
    </w:p>
    <w:p w14:paraId="49FE8E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36B230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2E0DE8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7052D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6" w:name="_Hlk66782294"/>
      <w:r>
        <w:rPr>
          <w:rFonts w:hint="eastAsia" w:ascii="宋体" w:hAnsi="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76"/>
    </w:p>
    <w:p w14:paraId="4C6FB5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27.3出现下列情形之一的，采购人或者采购代理机构应当终止竞争性磋商采购活动，发布项目终止公告并说明原因，重新开展采购活动：</w:t>
      </w:r>
    </w:p>
    <w:p w14:paraId="58A218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75FAFF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664C90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（3）除“第四章 评审程序、评审方法和评审标准”第4.3条规定的情形外，在采购过程中符合要求的供应商或者报价未超过采购预算的供应商不足3家的。</w:t>
      </w:r>
    </w:p>
    <w:p w14:paraId="48F95B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7A032A8B">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28.履约保证金</w:t>
      </w:r>
    </w:p>
    <w:p w14:paraId="7DAFFA3B">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28.1 履约保证金的金额、提交方式、退付的时间和条件详见 “供应商须知前附表”。成交供应商未按规定提交履约保证金的，视为拒绝</w:t>
      </w:r>
      <w:r>
        <w:rPr>
          <w:rFonts w:hint="eastAsia" w:ascii="宋体" w:hAnsi="宋体" w:cs="宋体"/>
          <w:color w:val="auto"/>
          <w:highlight w:val="none"/>
        </w:rPr>
        <w:t>与采购人</w:t>
      </w:r>
      <w:r>
        <w:rPr>
          <w:rFonts w:hint="eastAsia" w:ascii="宋体" w:hAnsi="宋体" w:cs="宋体"/>
          <w:color w:val="auto"/>
          <w:szCs w:val="21"/>
          <w:highlight w:val="none"/>
        </w:rPr>
        <w:t>签订合同。</w:t>
      </w:r>
    </w:p>
    <w:p w14:paraId="7794CAD6">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28.2在履约保证金退还日期前，若成交供应商的开户名称、开户银行、</w:t>
      </w:r>
      <w:r>
        <w:rPr>
          <w:rFonts w:hint="eastAsia" w:ascii="宋体" w:hAnsi="宋体" w:cs="宋体"/>
          <w:color w:val="auto"/>
          <w:szCs w:val="21"/>
          <w:highlight w:val="none"/>
          <w:lang w:eastAsia="zh-CN"/>
        </w:rPr>
        <w:t>账</w:t>
      </w:r>
      <w:r>
        <w:rPr>
          <w:rFonts w:hint="eastAsia" w:ascii="宋体" w:hAnsi="宋体" w:cs="宋体"/>
          <w:color w:val="auto"/>
          <w:szCs w:val="21"/>
          <w:highlight w:val="none"/>
        </w:rPr>
        <w:t>号有变动的，请以书面形式通知履约保证金收取单位，否则由此产生的后果由成交供应商自行承担。</w:t>
      </w:r>
    </w:p>
    <w:p w14:paraId="62281FB0">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29.签订合同</w:t>
      </w:r>
    </w:p>
    <w:p w14:paraId="7BAAB0CC">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0B856BC0">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4ABC5AAF">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1D4D51B6">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4B354E4F">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3CC1B4A">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5A2F6C02">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6C0C7157">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02161294">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30.政府采购合同公告</w:t>
      </w:r>
    </w:p>
    <w:p w14:paraId="782AAF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044CE36">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31. 询问、质疑和投诉</w:t>
      </w:r>
    </w:p>
    <w:p w14:paraId="0FCFEFDA">
      <w:pPr>
        <w:pStyle w:val="7"/>
        <w:spacing w:line="360" w:lineRule="auto"/>
        <w:rPr>
          <w:rFonts w:hint="eastAsia" w:ascii="宋体" w:hAnsi="宋体" w:cs="宋体"/>
          <w:color w:val="auto"/>
          <w:szCs w:val="21"/>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r>
        <w:rPr>
          <w:rFonts w:hint="eastAsia" w:ascii="宋体" w:hAnsi="宋体" w:cs="宋体"/>
          <w:color w:val="auto"/>
          <w:szCs w:val="21"/>
          <w:highlight w:val="none"/>
        </w:rPr>
        <w:t>但答复的内容不得涉及商业秘密</w:t>
      </w:r>
      <w:r>
        <w:rPr>
          <w:rFonts w:hint="eastAsia" w:ascii="宋体" w:hAnsi="宋体" w:cs="宋体"/>
          <w:color w:val="auto"/>
          <w:highlight w:val="none"/>
        </w:rPr>
        <w:t>。</w:t>
      </w:r>
    </w:p>
    <w:p w14:paraId="23B9EF5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0EE5B10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（1）对可以质疑的磋商文件提出质疑的，为收到磋商文件之日或者竞争性磋商公告期限届满之日；</w:t>
      </w:r>
    </w:p>
    <w:p w14:paraId="385E0EB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0C77E68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7EB0ED3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95B6B6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08951A9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428D845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58298DC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5932E4A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2981210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36E4800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18FE60F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1B43BB4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B1A698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3C36037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D42523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5BF515C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71DE7809">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32 .其他内容</w:t>
      </w:r>
    </w:p>
    <w:p w14:paraId="0389103D">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32.1代理服务收取标准及缴费账户详见“供应商须知前附表”，供应商为联合体的，可以由联合体中的一方或者多方共同交纳代理服务费。</w:t>
      </w:r>
    </w:p>
    <w:p w14:paraId="029F69B1">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32.2代理服务费收费计算标准：</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8"/>
        <w:gridCol w:w="1837"/>
        <w:gridCol w:w="1697"/>
        <w:gridCol w:w="1713"/>
      </w:tblGrid>
      <w:tr w14:paraId="765B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tcBorders>
              <w:tl2br w:val="single" w:color="auto" w:sz="4" w:space="0"/>
            </w:tcBorders>
            <w:noWrap w:val="0"/>
            <w:vAlign w:val="top"/>
          </w:tcPr>
          <w:p w14:paraId="436EE48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1DE0A41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837" w:type="dxa"/>
            <w:noWrap w:val="0"/>
            <w:vAlign w:val="center"/>
          </w:tcPr>
          <w:p w14:paraId="66F55DEF">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697" w:type="dxa"/>
            <w:noWrap w:val="0"/>
            <w:vAlign w:val="center"/>
          </w:tcPr>
          <w:p w14:paraId="0BEC439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713" w:type="dxa"/>
            <w:noWrap w:val="0"/>
            <w:vAlign w:val="center"/>
          </w:tcPr>
          <w:p w14:paraId="227F4DA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4B9C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noWrap w:val="0"/>
            <w:vAlign w:val="top"/>
          </w:tcPr>
          <w:p w14:paraId="7CBBB40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837" w:type="dxa"/>
            <w:noWrap w:val="0"/>
            <w:vAlign w:val="top"/>
          </w:tcPr>
          <w:p w14:paraId="7AB064E1">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697" w:type="dxa"/>
            <w:noWrap w:val="0"/>
            <w:vAlign w:val="top"/>
          </w:tcPr>
          <w:p w14:paraId="2FFE9852">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713" w:type="dxa"/>
            <w:noWrap w:val="0"/>
            <w:vAlign w:val="top"/>
          </w:tcPr>
          <w:p w14:paraId="27AA0F22">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6E24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noWrap w:val="0"/>
            <w:vAlign w:val="top"/>
          </w:tcPr>
          <w:p w14:paraId="060691A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837" w:type="dxa"/>
            <w:noWrap w:val="0"/>
            <w:vAlign w:val="top"/>
          </w:tcPr>
          <w:p w14:paraId="6B3424EB">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697" w:type="dxa"/>
            <w:noWrap w:val="0"/>
            <w:vAlign w:val="top"/>
          </w:tcPr>
          <w:p w14:paraId="2F948EF2">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713" w:type="dxa"/>
            <w:noWrap w:val="0"/>
            <w:vAlign w:val="top"/>
          </w:tcPr>
          <w:p w14:paraId="47DD3F81">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2FDF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noWrap w:val="0"/>
            <w:vAlign w:val="top"/>
          </w:tcPr>
          <w:p w14:paraId="330F0D2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837" w:type="dxa"/>
            <w:noWrap w:val="0"/>
            <w:vAlign w:val="top"/>
          </w:tcPr>
          <w:p w14:paraId="0F2FAA7B">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697" w:type="dxa"/>
            <w:noWrap w:val="0"/>
            <w:vAlign w:val="top"/>
          </w:tcPr>
          <w:p w14:paraId="413BE79F">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713" w:type="dxa"/>
            <w:noWrap w:val="0"/>
            <w:vAlign w:val="top"/>
          </w:tcPr>
          <w:p w14:paraId="3CCB7A7A">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5F5F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noWrap w:val="0"/>
            <w:vAlign w:val="top"/>
          </w:tcPr>
          <w:p w14:paraId="2321E7D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837" w:type="dxa"/>
            <w:noWrap w:val="0"/>
            <w:vAlign w:val="top"/>
          </w:tcPr>
          <w:p w14:paraId="4BEF5E1B">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697" w:type="dxa"/>
            <w:noWrap w:val="0"/>
            <w:vAlign w:val="top"/>
          </w:tcPr>
          <w:p w14:paraId="48426CF7">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713" w:type="dxa"/>
            <w:noWrap w:val="0"/>
            <w:vAlign w:val="top"/>
          </w:tcPr>
          <w:p w14:paraId="4B38C0BA">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6CD5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noWrap w:val="0"/>
            <w:vAlign w:val="top"/>
          </w:tcPr>
          <w:p w14:paraId="02C2872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837" w:type="dxa"/>
            <w:noWrap w:val="0"/>
            <w:vAlign w:val="top"/>
          </w:tcPr>
          <w:p w14:paraId="7152F39D">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697" w:type="dxa"/>
            <w:noWrap w:val="0"/>
            <w:vAlign w:val="top"/>
          </w:tcPr>
          <w:p w14:paraId="24968276">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713" w:type="dxa"/>
            <w:noWrap w:val="0"/>
            <w:vAlign w:val="top"/>
          </w:tcPr>
          <w:p w14:paraId="371C89FE">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59A9E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noWrap w:val="0"/>
            <w:vAlign w:val="top"/>
          </w:tcPr>
          <w:p w14:paraId="22DA67A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837" w:type="dxa"/>
            <w:noWrap w:val="0"/>
            <w:vAlign w:val="top"/>
          </w:tcPr>
          <w:p w14:paraId="6097DC40">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0.05%</w:t>
            </w:r>
          </w:p>
        </w:tc>
        <w:tc>
          <w:tcPr>
            <w:tcW w:w="1697" w:type="dxa"/>
            <w:noWrap w:val="0"/>
            <w:vAlign w:val="top"/>
          </w:tcPr>
          <w:p w14:paraId="7120D4F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713" w:type="dxa"/>
            <w:noWrap w:val="0"/>
            <w:vAlign w:val="top"/>
          </w:tcPr>
          <w:p w14:paraId="100A29D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5D9B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noWrap w:val="0"/>
            <w:vAlign w:val="top"/>
          </w:tcPr>
          <w:p w14:paraId="6454CE5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837" w:type="dxa"/>
            <w:noWrap w:val="0"/>
            <w:vAlign w:val="top"/>
          </w:tcPr>
          <w:p w14:paraId="7CD1CD54">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697" w:type="dxa"/>
            <w:noWrap w:val="0"/>
            <w:vAlign w:val="top"/>
          </w:tcPr>
          <w:p w14:paraId="319B943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713" w:type="dxa"/>
            <w:noWrap w:val="0"/>
            <w:vAlign w:val="top"/>
          </w:tcPr>
          <w:p w14:paraId="7D9F1581">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r>
      <w:tr w14:paraId="2E82A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noWrap w:val="0"/>
            <w:vAlign w:val="top"/>
          </w:tcPr>
          <w:p w14:paraId="09875B7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837" w:type="dxa"/>
            <w:noWrap w:val="0"/>
            <w:vAlign w:val="top"/>
          </w:tcPr>
          <w:p w14:paraId="5D292E6D">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697" w:type="dxa"/>
            <w:noWrap w:val="0"/>
            <w:vAlign w:val="top"/>
          </w:tcPr>
          <w:p w14:paraId="4F7E8B7B">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713" w:type="dxa"/>
            <w:noWrap w:val="0"/>
            <w:vAlign w:val="top"/>
          </w:tcPr>
          <w:p w14:paraId="273A7567">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r>
      <w:tr w14:paraId="7DCB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noWrap w:val="0"/>
            <w:vAlign w:val="top"/>
          </w:tcPr>
          <w:p w14:paraId="7F80F04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837" w:type="dxa"/>
            <w:noWrap w:val="0"/>
            <w:vAlign w:val="top"/>
          </w:tcPr>
          <w:p w14:paraId="43D110F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697" w:type="dxa"/>
            <w:noWrap w:val="0"/>
            <w:vAlign w:val="top"/>
          </w:tcPr>
          <w:p w14:paraId="6331DA18">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713" w:type="dxa"/>
            <w:noWrap w:val="0"/>
            <w:vAlign w:val="top"/>
          </w:tcPr>
          <w:p w14:paraId="504A3BCC">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0.006%</w:t>
            </w:r>
          </w:p>
        </w:tc>
      </w:tr>
      <w:tr w14:paraId="61C7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noWrap w:val="0"/>
            <w:vAlign w:val="top"/>
          </w:tcPr>
          <w:p w14:paraId="5F5BB0E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837" w:type="dxa"/>
            <w:noWrap w:val="0"/>
            <w:vAlign w:val="top"/>
          </w:tcPr>
          <w:p w14:paraId="10AB26E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697" w:type="dxa"/>
            <w:noWrap w:val="0"/>
            <w:vAlign w:val="top"/>
          </w:tcPr>
          <w:p w14:paraId="7BDEA016">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713" w:type="dxa"/>
            <w:noWrap w:val="0"/>
            <w:vAlign w:val="top"/>
          </w:tcPr>
          <w:p w14:paraId="7CC4A5D5">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58C3597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注：</w:t>
      </w:r>
    </w:p>
    <w:p w14:paraId="0F00258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（1）按照代理服务费收费计算标准下浮</w:t>
      </w:r>
      <w:r>
        <w:rPr>
          <w:rFonts w:hint="eastAsia" w:ascii="宋体" w:hAnsi="宋体" w:cs="宋体"/>
          <w:color w:val="auto"/>
          <w:highlight w:val="none"/>
          <w:lang w:val="en-US" w:eastAsia="zh-CN"/>
        </w:rPr>
        <w:t>4</w:t>
      </w:r>
      <w:r>
        <w:rPr>
          <w:rFonts w:hint="eastAsia" w:ascii="宋体" w:hAnsi="宋体" w:cs="宋体"/>
          <w:color w:val="auto"/>
          <w:highlight w:val="none"/>
        </w:rPr>
        <w:t>0%收取代理服务费；</w:t>
      </w:r>
    </w:p>
    <w:p w14:paraId="3C99583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（2）按本表费率计算的收费为采购代理的收费基准价格；</w:t>
      </w:r>
    </w:p>
    <w:p w14:paraId="378E11B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（3）采购代理收费按差额定率累进法计算。</w:t>
      </w:r>
    </w:p>
    <w:p w14:paraId="33D759E4">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33.需要补充的其他内容</w:t>
      </w:r>
    </w:p>
    <w:p w14:paraId="580C9B2E">
      <w:pPr>
        <w:pStyle w:val="18"/>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33.1本磋商文件解释规则详见“供应商须知前附表”。</w:t>
      </w:r>
    </w:p>
    <w:p w14:paraId="16CB8428">
      <w:pPr>
        <w:pStyle w:val="18"/>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33.2 其他事项详见“供应商须知前附表”。</w:t>
      </w:r>
    </w:p>
    <w:p w14:paraId="4B11332B">
      <w:pPr>
        <w:pStyle w:val="18"/>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141755AA">
      <w:pPr>
        <w:pStyle w:val="18"/>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7D753F3A">
      <w:pPr>
        <w:pStyle w:val="18"/>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5D19D2B5">
      <w:pPr>
        <w:pStyle w:val="18"/>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1C7B1010">
      <w:pPr>
        <w:pStyle w:val="18"/>
        <w:spacing w:line="360" w:lineRule="auto"/>
        <w:ind w:firstLine="420" w:firstLineChars="200"/>
        <w:contextualSpacing/>
        <w:rPr>
          <w:rFonts w:hint="eastAsia" w:hAnsi="宋体" w:cs="宋体"/>
          <w:color w:val="auto"/>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w:t>
      </w:r>
      <w:r>
        <w:rPr>
          <w:rFonts w:hint="eastAsia" w:hAnsi="宋体" w:cs="宋体"/>
          <w:color w:val="auto"/>
          <w:sz w:val="21"/>
          <w:highlight w:val="none"/>
        </w:rPr>
        <w:t>中小企业的，联合体视同中小企业。其中，联合体各方均为小微企业的，联合体视同小微企业。</w:t>
      </w:r>
    </w:p>
    <w:p w14:paraId="4D7E8B4D">
      <w:pPr>
        <w:pStyle w:val="18"/>
        <w:spacing w:line="360" w:lineRule="auto"/>
        <w:ind w:firstLine="422" w:firstLineChars="200"/>
        <w:contextualSpacing/>
        <w:rPr>
          <w:rFonts w:hint="eastAsia" w:hAnsi="宋体" w:cs="宋体"/>
          <w:color w:val="auto"/>
          <w:sz w:val="21"/>
          <w:highlight w:val="none"/>
        </w:rPr>
      </w:pPr>
      <w:r>
        <w:rPr>
          <w:rFonts w:hint="eastAsia" w:hAnsi="宋体" w:cs="宋体"/>
          <w:b/>
          <w:bCs/>
          <w:color w:val="auto"/>
          <w:sz w:val="21"/>
          <w:highlight w:val="none"/>
        </w:rPr>
        <w:t>依据本磋商文件规定享受扶持政策获得政府采购合同的，小微企业不得将合同分包给大中型企业，中型企业不得将合同分包给大型企业。</w:t>
      </w:r>
    </w:p>
    <w:p w14:paraId="7B4111D4">
      <w:pPr>
        <w:pStyle w:val="18"/>
        <w:snapToGrid w:val="0"/>
        <w:spacing w:line="360" w:lineRule="auto"/>
        <w:rPr>
          <w:rFonts w:hint="eastAsia" w:hAnsi="宋体" w:cs="宋体"/>
          <w:color w:val="auto"/>
          <w:highlight w:val="none"/>
        </w:rPr>
      </w:pPr>
      <w:bookmarkStart w:id="77" w:name="_Toc74323458"/>
    </w:p>
    <w:p w14:paraId="525249EF">
      <w:pPr>
        <w:pStyle w:val="18"/>
        <w:snapToGrid w:val="0"/>
        <w:spacing w:line="360" w:lineRule="auto"/>
        <w:rPr>
          <w:rFonts w:hint="eastAsia" w:hAnsi="宋体" w:cs="宋体"/>
          <w:color w:val="auto"/>
          <w:highlight w:val="none"/>
        </w:rPr>
      </w:pPr>
    </w:p>
    <w:p w14:paraId="04B826F4">
      <w:pPr>
        <w:pStyle w:val="18"/>
        <w:snapToGrid w:val="0"/>
        <w:spacing w:line="360" w:lineRule="auto"/>
        <w:rPr>
          <w:rFonts w:hint="eastAsia" w:hAnsi="宋体" w:cs="宋体"/>
          <w:color w:val="auto"/>
          <w:highlight w:val="none"/>
        </w:rPr>
      </w:pPr>
    </w:p>
    <w:p w14:paraId="50D4B2CB">
      <w:pPr>
        <w:pStyle w:val="18"/>
        <w:snapToGrid w:val="0"/>
        <w:spacing w:line="360" w:lineRule="auto"/>
        <w:rPr>
          <w:rFonts w:hint="eastAsia" w:hAnsi="宋体" w:cs="宋体"/>
          <w:color w:val="auto"/>
          <w:highlight w:val="none"/>
        </w:rPr>
      </w:pPr>
    </w:p>
    <w:p w14:paraId="331AF12C">
      <w:pPr>
        <w:pStyle w:val="18"/>
        <w:snapToGrid w:val="0"/>
        <w:spacing w:line="360" w:lineRule="auto"/>
        <w:rPr>
          <w:rFonts w:hint="eastAsia" w:hAnsi="宋体" w:cs="宋体"/>
          <w:color w:val="auto"/>
          <w:highlight w:val="none"/>
        </w:rPr>
      </w:pPr>
    </w:p>
    <w:p w14:paraId="2E5E5F65">
      <w:pPr>
        <w:pStyle w:val="18"/>
        <w:snapToGrid w:val="0"/>
        <w:spacing w:line="360" w:lineRule="auto"/>
        <w:rPr>
          <w:rFonts w:hint="eastAsia" w:hAnsi="宋体" w:cs="宋体"/>
          <w:color w:val="auto"/>
          <w:highlight w:val="none"/>
        </w:rPr>
      </w:pPr>
    </w:p>
    <w:p w14:paraId="5C7CA4C6">
      <w:pPr>
        <w:pStyle w:val="18"/>
        <w:snapToGrid w:val="0"/>
        <w:spacing w:line="360" w:lineRule="auto"/>
        <w:rPr>
          <w:rFonts w:hint="eastAsia" w:hAnsi="宋体" w:cs="宋体"/>
          <w:color w:val="auto"/>
          <w:highlight w:val="none"/>
        </w:rPr>
      </w:pPr>
    </w:p>
    <w:p w14:paraId="4D4D62F4">
      <w:pPr>
        <w:pStyle w:val="18"/>
        <w:snapToGrid w:val="0"/>
        <w:spacing w:line="360" w:lineRule="auto"/>
        <w:rPr>
          <w:rFonts w:hint="eastAsia" w:hAnsi="宋体" w:cs="宋体"/>
          <w:color w:val="auto"/>
          <w:highlight w:val="none"/>
        </w:rPr>
      </w:pPr>
    </w:p>
    <w:p w14:paraId="251B4FE8">
      <w:pPr>
        <w:pStyle w:val="18"/>
        <w:snapToGrid w:val="0"/>
        <w:spacing w:line="360" w:lineRule="auto"/>
        <w:rPr>
          <w:rFonts w:hint="eastAsia" w:hAnsi="宋体" w:cs="宋体"/>
          <w:color w:val="auto"/>
          <w:highlight w:val="none"/>
        </w:rPr>
      </w:pPr>
    </w:p>
    <w:p w14:paraId="5A5BC0D7">
      <w:pPr>
        <w:pStyle w:val="18"/>
        <w:snapToGrid w:val="0"/>
        <w:spacing w:line="360" w:lineRule="auto"/>
        <w:rPr>
          <w:rFonts w:hint="eastAsia" w:hAnsi="宋体" w:cs="宋体"/>
          <w:color w:val="auto"/>
          <w:highlight w:val="none"/>
        </w:rPr>
      </w:pPr>
    </w:p>
    <w:p w14:paraId="43FEC26A">
      <w:pPr>
        <w:pStyle w:val="18"/>
        <w:snapToGrid w:val="0"/>
        <w:spacing w:line="360" w:lineRule="auto"/>
        <w:rPr>
          <w:rFonts w:hint="eastAsia" w:hAnsi="宋体" w:cs="宋体"/>
          <w:color w:val="auto"/>
          <w:highlight w:val="none"/>
        </w:rPr>
      </w:pPr>
    </w:p>
    <w:p w14:paraId="456021C2">
      <w:pPr>
        <w:pStyle w:val="18"/>
        <w:snapToGrid w:val="0"/>
        <w:spacing w:line="360" w:lineRule="auto"/>
        <w:rPr>
          <w:rFonts w:hint="eastAsia" w:hAnsi="宋体" w:cs="宋体"/>
          <w:color w:val="auto"/>
          <w:highlight w:val="none"/>
        </w:rPr>
      </w:pPr>
    </w:p>
    <w:p w14:paraId="1DF1C084">
      <w:pPr>
        <w:pStyle w:val="18"/>
        <w:snapToGrid w:val="0"/>
        <w:spacing w:line="360" w:lineRule="auto"/>
        <w:rPr>
          <w:rFonts w:hint="eastAsia" w:hAnsi="宋体" w:cs="宋体"/>
          <w:color w:val="auto"/>
          <w:highlight w:val="none"/>
        </w:rPr>
      </w:pPr>
    </w:p>
    <w:p w14:paraId="66403F11">
      <w:pPr>
        <w:pStyle w:val="18"/>
        <w:snapToGrid w:val="0"/>
        <w:spacing w:line="360" w:lineRule="auto"/>
        <w:rPr>
          <w:rFonts w:hint="eastAsia" w:hAnsi="宋体" w:cs="宋体"/>
          <w:color w:val="auto"/>
          <w:highlight w:val="none"/>
        </w:rPr>
      </w:pPr>
    </w:p>
    <w:p w14:paraId="10785937">
      <w:pPr>
        <w:pStyle w:val="18"/>
        <w:snapToGrid w:val="0"/>
        <w:spacing w:line="360" w:lineRule="auto"/>
        <w:rPr>
          <w:rFonts w:hint="eastAsia" w:hAnsi="宋体" w:cs="宋体"/>
          <w:color w:val="auto"/>
          <w:highlight w:val="none"/>
        </w:rPr>
      </w:pPr>
    </w:p>
    <w:p w14:paraId="11844DEC">
      <w:pPr>
        <w:pStyle w:val="18"/>
        <w:snapToGrid w:val="0"/>
        <w:spacing w:line="360" w:lineRule="auto"/>
        <w:rPr>
          <w:rFonts w:hint="eastAsia" w:hAnsi="宋体" w:cs="宋体"/>
          <w:color w:val="auto"/>
          <w:highlight w:val="none"/>
        </w:rPr>
      </w:pPr>
    </w:p>
    <w:p w14:paraId="709082EE">
      <w:pPr>
        <w:pStyle w:val="18"/>
        <w:snapToGrid w:val="0"/>
        <w:spacing w:line="360" w:lineRule="auto"/>
        <w:rPr>
          <w:rFonts w:hint="eastAsia" w:hAnsi="宋体" w:cs="宋体"/>
          <w:color w:val="auto"/>
          <w:highlight w:val="none"/>
        </w:rPr>
      </w:pPr>
    </w:p>
    <w:p w14:paraId="55D400C5">
      <w:pPr>
        <w:pStyle w:val="18"/>
        <w:snapToGrid w:val="0"/>
        <w:spacing w:line="360" w:lineRule="auto"/>
        <w:rPr>
          <w:rFonts w:hint="eastAsia" w:hAnsi="宋体" w:cs="宋体"/>
          <w:color w:val="auto"/>
          <w:highlight w:val="none"/>
        </w:rPr>
      </w:pPr>
    </w:p>
    <w:p w14:paraId="74F31011">
      <w:pPr>
        <w:pStyle w:val="18"/>
        <w:snapToGrid w:val="0"/>
        <w:spacing w:line="360" w:lineRule="auto"/>
        <w:rPr>
          <w:rFonts w:hint="eastAsia" w:hAnsi="宋体" w:cs="宋体"/>
          <w:color w:val="auto"/>
          <w:highlight w:val="none"/>
        </w:rPr>
      </w:pPr>
      <w:r>
        <w:rPr>
          <w:rFonts w:hint="eastAsia" w:hAnsi="宋体" w:cs="宋体"/>
          <w:color w:val="auto"/>
          <w:highlight w:val="none"/>
        </w:rPr>
        <w:t xml:space="preserve">          </w:t>
      </w:r>
    </w:p>
    <w:p w14:paraId="51F25256">
      <w:pPr>
        <w:pStyle w:val="18"/>
        <w:snapToGrid w:val="0"/>
        <w:spacing w:line="360" w:lineRule="auto"/>
        <w:rPr>
          <w:rFonts w:hint="eastAsia" w:hAnsi="宋体" w:cs="宋体"/>
          <w:color w:val="auto"/>
          <w:highlight w:val="none"/>
        </w:rPr>
      </w:pPr>
    </w:p>
    <w:p w14:paraId="7349F391">
      <w:pPr>
        <w:pStyle w:val="18"/>
        <w:snapToGrid w:val="0"/>
        <w:spacing w:line="360" w:lineRule="auto"/>
        <w:rPr>
          <w:rFonts w:hint="eastAsia" w:hAnsi="宋体" w:cs="宋体"/>
          <w:color w:val="auto"/>
          <w:highlight w:val="none"/>
        </w:rPr>
      </w:pPr>
    </w:p>
    <w:p w14:paraId="69ECF99C">
      <w:pPr>
        <w:pStyle w:val="18"/>
        <w:snapToGrid w:val="0"/>
        <w:spacing w:line="360" w:lineRule="auto"/>
        <w:rPr>
          <w:rFonts w:hint="eastAsia" w:hAnsi="宋体" w:cs="宋体"/>
          <w:bCs/>
          <w:color w:val="auto"/>
          <w:sz w:val="32"/>
          <w:szCs w:val="32"/>
          <w:highlight w:val="none"/>
        </w:rPr>
        <w:sectPr>
          <w:footerReference r:id="rId10" w:type="first"/>
          <w:footerReference r:id="rId9" w:type="default"/>
          <w:pgSz w:w="11906" w:h="16838"/>
          <w:pgMar w:top="1440" w:right="1440" w:bottom="1440" w:left="1587" w:header="851" w:footer="992" w:gutter="0"/>
          <w:pgNumType w:start="1"/>
          <w:cols w:space="720" w:num="1"/>
          <w:titlePg/>
          <w:docGrid w:type="lines" w:linePitch="312" w:charSpace="0"/>
        </w:sectPr>
      </w:pPr>
    </w:p>
    <w:p w14:paraId="1CF2DCC2">
      <w:pPr>
        <w:pStyle w:val="18"/>
        <w:snapToGrid w:val="0"/>
        <w:spacing w:line="360" w:lineRule="auto"/>
        <w:rPr>
          <w:rFonts w:hint="eastAsia" w:hAnsi="宋体" w:cs="宋体"/>
          <w:color w:val="auto"/>
          <w:highlight w:val="none"/>
        </w:rPr>
      </w:pPr>
      <w:r>
        <w:rPr>
          <w:rFonts w:hint="eastAsia" w:hAnsi="宋体" w:cs="宋体"/>
          <w:bCs/>
          <w:color w:val="auto"/>
          <w:sz w:val="32"/>
          <w:szCs w:val="32"/>
          <w:highlight w:val="none"/>
        </w:rPr>
        <w:t>附件1：</w:t>
      </w:r>
    </w:p>
    <w:p w14:paraId="107EC87D">
      <w:pPr>
        <w:pStyle w:val="18"/>
        <w:snapToGrid w:val="0"/>
        <w:rPr>
          <w:rFonts w:hint="eastAsia" w:hAnsi="宋体" w:cs="宋体"/>
          <w:color w:val="auto"/>
          <w:sz w:val="32"/>
          <w:szCs w:val="32"/>
          <w:highlight w:val="none"/>
        </w:rPr>
      </w:pPr>
    </w:p>
    <w:p w14:paraId="5B9E28D4">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政府采购项目履约保证金退付意见书</w:t>
      </w:r>
    </w:p>
    <w:p w14:paraId="3B708C0B">
      <w:pPr>
        <w:jc w:val="center"/>
        <w:rPr>
          <w:rFonts w:hint="eastAsia" w:ascii="宋体" w:hAnsi="宋体" w:cs="宋体"/>
          <w:color w:val="auto"/>
          <w:sz w:val="36"/>
          <w:szCs w:val="36"/>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22A3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14:paraId="742C7975">
            <w:pPr>
              <w:jc w:val="center"/>
              <w:rPr>
                <w:rFonts w:hint="eastAsia" w:ascii="宋体" w:hAnsi="宋体" w:cs="宋体"/>
                <w:color w:val="auto"/>
                <w:sz w:val="24"/>
                <w:highlight w:val="none"/>
              </w:rPr>
            </w:pPr>
            <w:r>
              <w:rPr>
                <w:rFonts w:hint="eastAsia" w:ascii="宋体" w:hAnsi="宋体" w:cs="宋体"/>
                <w:color w:val="auto"/>
                <w:sz w:val="24"/>
                <w:highlight w:val="none"/>
              </w:rPr>
              <w:t>供</w:t>
            </w:r>
          </w:p>
          <w:p w14:paraId="5B3CE6D3">
            <w:pPr>
              <w:jc w:val="center"/>
              <w:rPr>
                <w:rFonts w:hint="eastAsia" w:ascii="宋体" w:hAnsi="宋体" w:cs="宋体"/>
                <w:color w:val="auto"/>
                <w:sz w:val="24"/>
                <w:highlight w:val="none"/>
              </w:rPr>
            </w:pPr>
            <w:r>
              <w:rPr>
                <w:rFonts w:hint="eastAsia" w:ascii="宋体" w:hAnsi="宋体" w:cs="宋体"/>
                <w:color w:val="auto"/>
                <w:sz w:val="24"/>
                <w:highlight w:val="none"/>
              </w:rPr>
              <w:t>应</w:t>
            </w:r>
          </w:p>
          <w:p w14:paraId="03736E3E">
            <w:pPr>
              <w:jc w:val="center"/>
              <w:rPr>
                <w:rFonts w:hint="eastAsia" w:ascii="宋体" w:hAnsi="宋体" w:cs="宋体"/>
                <w:color w:val="auto"/>
                <w:sz w:val="24"/>
                <w:highlight w:val="none"/>
              </w:rPr>
            </w:pPr>
            <w:r>
              <w:rPr>
                <w:rFonts w:hint="eastAsia" w:ascii="宋体" w:hAnsi="宋体" w:cs="宋体"/>
                <w:color w:val="auto"/>
                <w:sz w:val="24"/>
                <w:highlight w:val="none"/>
              </w:rPr>
              <w:t>商</w:t>
            </w:r>
          </w:p>
          <w:p w14:paraId="1C121F83">
            <w:pPr>
              <w:jc w:val="center"/>
              <w:rPr>
                <w:rFonts w:hint="eastAsia" w:ascii="宋体" w:hAnsi="宋体" w:cs="宋体"/>
                <w:color w:val="auto"/>
                <w:sz w:val="24"/>
                <w:highlight w:val="none"/>
              </w:rPr>
            </w:pPr>
            <w:r>
              <w:rPr>
                <w:rFonts w:hint="eastAsia" w:ascii="宋体" w:hAnsi="宋体" w:cs="宋体"/>
                <w:color w:val="auto"/>
                <w:sz w:val="24"/>
                <w:highlight w:val="none"/>
              </w:rPr>
              <w:t>申</w:t>
            </w:r>
          </w:p>
          <w:p w14:paraId="0B56E7AF">
            <w:pPr>
              <w:jc w:val="center"/>
              <w:rPr>
                <w:rFonts w:hint="eastAsia" w:ascii="宋体" w:hAnsi="宋体" w:cs="宋体"/>
                <w:color w:val="auto"/>
                <w:sz w:val="24"/>
                <w:highlight w:val="none"/>
              </w:rPr>
            </w:pPr>
            <w:r>
              <w:rPr>
                <w:rFonts w:hint="eastAsia" w:ascii="宋体" w:hAnsi="宋体" w:cs="宋体"/>
                <w:color w:val="auto"/>
                <w:sz w:val="24"/>
                <w:highlight w:val="none"/>
              </w:rPr>
              <w:t>请</w:t>
            </w:r>
          </w:p>
        </w:tc>
        <w:tc>
          <w:tcPr>
            <w:tcW w:w="8009" w:type="dxa"/>
            <w:noWrap w:val="0"/>
            <w:vAlign w:val="center"/>
          </w:tcPr>
          <w:p w14:paraId="78ACFD42">
            <w:pPr>
              <w:rPr>
                <w:rFonts w:hint="eastAsia" w:ascii="宋体" w:hAnsi="宋体" w:cs="宋体"/>
                <w:color w:val="auto"/>
                <w:sz w:val="24"/>
                <w:highlight w:val="none"/>
              </w:rPr>
            </w:pPr>
            <w:r>
              <w:rPr>
                <w:rFonts w:hint="eastAsia" w:ascii="宋体" w:hAnsi="宋体" w:cs="宋体"/>
                <w:color w:val="auto"/>
                <w:sz w:val="24"/>
                <w:highlight w:val="none"/>
              </w:rPr>
              <w:t>项目编号：</w:t>
            </w:r>
          </w:p>
        </w:tc>
      </w:tr>
      <w:tr w14:paraId="0D84D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14:paraId="4695FE5A">
            <w:pPr>
              <w:rPr>
                <w:rFonts w:hint="eastAsia" w:ascii="宋体" w:hAnsi="宋体" w:cs="宋体"/>
                <w:color w:val="auto"/>
                <w:sz w:val="24"/>
                <w:highlight w:val="none"/>
              </w:rPr>
            </w:pPr>
          </w:p>
        </w:tc>
        <w:tc>
          <w:tcPr>
            <w:tcW w:w="8009" w:type="dxa"/>
            <w:noWrap w:val="0"/>
            <w:vAlign w:val="center"/>
          </w:tcPr>
          <w:p w14:paraId="2015D269">
            <w:pPr>
              <w:rPr>
                <w:rFonts w:hint="eastAsia" w:ascii="宋体" w:hAnsi="宋体" w:cs="宋体"/>
                <w:color w:val="auto"/>
                <w:sz w:val="24"/>
                <w:highlight w:val="none"/>
              </w:rPr>
            </w:pPr>
            <w:r>
              <w:rPr>
                <w:rFonts w:hint="eastAsia" w:ascii="宋体" w:hAnsi="宋体" w:cs="宋体"/>
                <w:color w:val="auto"/>
                <w:sz w:val="24"/>
                <w:highlight w:val="none"/>
              </w:rPr>
              <w:t>项目名称：</w:t>
            </w:r>
          </w:p>
        </w:tc>
      </w:tr>
      <w:tr w14:paraId="43E4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14:paraId="1DEF74DB">
            <w:pPr>
              <w:rPr>
                <w:rFonts w:hint="eastAsia" w:ascii="宋体" w:hAnsi="宋体" w:cs="宋体"/>
                <w:color w:val="auto"/>
                <w:sz w:val="24"/>
                <w:highlight w:val="none"/>
              </w:rPr>
            </w:pPr>
          </w:p>
        </w:tc>
        <w:tc>
          <w:tcPr>
            <w:tcW w:w="8009" w:type="dxa"/>
            <w:noWrap w:val="0"/>
            <w:vAlign w:val="top"/>
          </w:tcPr>
          <w:p w14:paraId="45820D15">
            <w:pPr>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FFBB50B">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该项目已于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日验收并交付使用。根据合同规定，该项目的履约保证金期限于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日已满，请将履约保证金</w:t>
            </w:r>
          </w:p>
          <w:p w14:paraId="482F6DB4">
            <w:pPr>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（小写）退付到达以下</w:t>
            </w:r>
            <w:r>
              <w:rPr>
                <w:rFonts w:hint="eastAsia" w:ascii="宋体" w:hAnsi="宋体" w:cs="宋体"/>
                <w:color w:val="auto"/>
                <w:sz w:val="24"/>
                <w:highlight w:val="none"/>
                <w:lang w:eastAsia="zh-CN"/>
              </w:rPr>
              <w:t>账</w:t>
            </w:r>
            <w:r>
              <w:rPr>
                <w:rFonts w:hint="eastAsia" w:ascii="宋体" w:hAnsi="宋体" w:cs="宋体"/>
                <w:color w:val="auto"/>
                <w:sz w:val="24"/>
                <w:highlight w:val="none"/>
              </w:rPr>
              <w:t>户。</w:t>
            </w:r>
          </w:p>
          <w:p w14:paraId="4B759648">
            <w:pPr>
              <w:rPr>
                <w:rFonts w:hint="eastAsia" w:ascii="宋体" w:hAnsi="宋体" w:cs="宋体"/>
                <w:color w:val="auto"/>
                <w:sz w:val="24"/>
                <w:highlight w:val="none"/>
              </w:rPr>
            </w:pPr>
            <w:r>
              <w:rPr>
                <w:rFonts w:hint="eastAsia" w:ascii="宋体" w:hAnsi="宋体" w:cs="宋体"/>
                <w:color w:val="auto"/>
                <w:sz w:val="24"/>
                <w:highlight w:val="none"/>
              </w:rPr>
              <w:t>单位名称：</w:t>
            </w:r>
          </w:p>
          <w:p w14:paraId="3B1B96BD">
            <w:pPr>
              <w:rPr>
                <w:rFonts w:hint="eastAsia" w:ascii="宋体" w:hAnsi="宋体" w:cs="宋体"/>
                <w:color w:val="auto"/>
                <w:sz w:val="24"/>
                <w:highlight w:val="none"/>
              </w:rPr>
            </w:pPr>
            <w:r>
              <w:rPr>
                <w:rFonts w:hint="eastAsia" w:ascii="宋体" w:hAnsi="宋体" w:cs="宋体"/>
                <w:color w:val="auto"/>
                <w:sz w:val="24"/>
                <w:highlight w:val="none"/>
              </w:rPr>
              <w:t>开户银行：</w:t>
            </w:r>
          </w:p>
          <w:p w14:paraId="71B74A17">
            <w:pPr>
              <w:rPr>
                <w:rFonts w:hint="eastAsia" w:ascii="宋体" w:hAnsi="宋体" w:cs="宋体"/>
                <w:color w:val="auto"/>
                <w:sz w:val="24"/>
                <w:highlight w:val="none"/>
              </w:rPr>
            </w:pPr>
            <w:r>
              <w:rPr>
                <w:rFonts w:hint="eastAsia" w:ascii="宋体" w:hAnsi="宋体" w:cs="宋体"/>
                <w:color w:val="auto"/>
                <w:sz w:val="24"/>
                <w:highlight w:val="none"/>
                <w:lang w:eastAsia="zh-CN"/>
              </w:rPr>
              <w:t>账</w:t>
            </w:r>
            <w:r>
              <w:rPr>
                <w:rFonts w:hint="eastAsia" w:ascii="宋体" w:hAnsi="宋体" w:cs="宋体"/>
                <w:color w:val="auto"/>
                <w:sz w:val="24"/>
                <w:highlight w:val="none"/>
              </w:rPr>
              <w:t xml:space="preserve">    号：</w:t>
            </w:r>
          </w:p>
          <w:p w14:paraId="48BE5CBC">
            <w:pPr>
              <w:rPr>
                <w:rFonts w:hint="eastAsia" w:ascii="宋体" w:hAnsi="宋体" w:cs="宋体"/>
                <w:color w:val="auto"/>
                <w:sz w:val="24"/>
                <w:highlight w:val="none"/>
              </w:rPr>
            </w:pPr>
            <w:r>
              <w:rPr>
                <w:rFonts w:hint="eastAsia" w:ascii="宋体" w:hAnsi="宋体" w:cs="宋体"/>
                <w:color w:val="auto"/>
                <w:sz w:val="24"/>
                <w:highlight w:val="none"/>
              </w:rPr>
              <w:t>联系人及电话：</w:t>
            </w:r>
          </w:p>
          <w:p w14:paraId="67BEAED2">
            <w:pPr>
              <w:rPr>
                <w:rFonts w:hint="eastAsia" w:ascii="宋体" w:hAnsi="宋体" w:cs="宋体"/>
                <w:color w:val="auto"/>
                <w:sz w:val="24"/>
                <w:highlight w:val="none"/>
              </w:rPr>
            </w:pPr>
          </w:p>
          <w:p w14:paraId="0EDAE15A">
            <w:pPr>
              <w:jc w:val="center"/>
              <w:rPr>
                <w:rFonts w:hint="eastAsia" w:ascii="宋体" w:hAnsi="宋体" w:cs="宋体"/>
                <w:color w:val="auto"/>
                <w:sz w:val="24"/>
                <w:highlight w:val="none"/>
              </w:rPr>
            </w:pPr>
            <w:r>
              <w:rPr>
                <w:rFonts w:hint="eastAsia" w:ascii="宋体" w:hAnsi="宋体" w:cs="宋体"/>
                <w:color w:val="auto"/>
                <w:sz w:val="24"/>
                <w:highlight w:val="none"/>
              </w:rPr>
              <w:t xml:space="preserve">                           供应商签章：</w:t>
            </w:r>
          </w:p>
          <w:p w14:paraId="61ABF11E">
            <w:pPr>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548A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14:paraId="7769957D">
            <w:pPr>
              <w:jc w:val="center"/>
              <w:rPr>
                <w:rFonts w:hint="eastAsia" w:ascii="宋体" w:hAnsi="宋体" w:cs="宋体"/>
                <w:color w:val="auto"/>
                <w:sz w:val="24"/>
                <w:highlight w:val="none"/>
              </w:rPr>
            </w:pPr>
            <w:r>
              <w:rPr>
                <w:rFonts w:hint="eastAsia" w:ascii="宋体" w:hAnsi="宋体" w:cs="宋体"/>
                <w:color w:val="auto"/>
                <w:sz w:val="24"/>
                <w:highlight w:val="none"/>
              </w:rPr>
              <w:t>采</w:t>
            </w:r>
          </w:p>
          <w:p w14:paraId="05701E7D">
            <w:pPr>
              <w:jc w:val="center"/>
              <w:rPr>
                <w:rFonts w:hint="eastAsia" w:ascii="宋体" w:hAnsi="宋体" w:cs="宋体"/>
                <w:color w:val="auto"/>
                <w:sz w:val="24"/>
                <w:highlight w:val="none"/>
              </w:rPr>
            </w:pPr>
            <w:r>
              <w:rPr>
                <w:rFonts w:hint="eastAsia" w:ascii="宋体" w:hAnsi="宋体" w:cs="宋体"/>
                <w:color w:val="auto"/>
                <w:sz w:val="24"/>
                <w:highlight w:val="none"/>
              </w:rPr>
              <w:t>购</w:t>
            </w:r>
          </w:p>
          <w:p w14:paraId="5A445532">
            <w:pPr>
              <w:jc w:val="center"/>
              <w:rPr>
                <w:rFonts w:hint="eastAsia" w:ascii="宋体" w:hAnsi="宋体" w:cs="宋体"/>
                <w:color w:val="auto"/>
                <w:sz w:val="24"/>
                <w:highlight w:val="none"/>
              </w:rPr>
            </w:pPr>
            <w:r>
              <w:rPr>
                <w:rFonts w:hint="eastAsia" w:ascii="宋体" w:hAnsi="宋体" w:cs="宋体"/>
                <w:color w:val="auto"/>
                <w:sz w:val="24"/>
                <w:highlight w:val="none"/>
              </w:rPr>
              <w:t>单</w:t>
            </w:r>
          </w:p>
          <w:p w14:paraId="04EF2AAD">
            <w:pPr>
              <w:jc w:val="center"/>
              <w:rPr>
                <w:rFonts w:hint="eastAsia" w:ascii="宋体" w:hAnsi="宋体" w:cs="宋体"/>
                <w:color w:val="auto"/>
                <w:sz w:val="24"/>
                <w:highlight w:val="none"/>
              </w:rPr>
            </w:pPr>
            <w:r>
              <w:rPr>
                <w:rFonts w:hint="eastAsia" w:ascii="宋体" w:hAnsi="宋体" w:cs="宋体"/>
                <w:color w:val="auto"/>
                <w:sz w:val="24"/>
                <w:highlight w:val="none"/>
              </w:rPr>
              <w:t>位</w:t>
            </w:r>
          </w:p>
          <w:p w14:paraId="446FF881">
            <w:pPr>
              <w:jc w:val="center"/>
              <w:rPr>
                <w:rFonts w:hint="eastAsia" w:ascii="宋体" w:hAnsi="宋体" w:cs="宋体"/>
                <w:color w:val="auto"/>
                <w:sz w:val="24"/>
                <w:highlight w:val="none"/>
              </w:rPr>
            </w:pPr>
            <w:r>
              <w:rPr>
                <w:rFonts w:hint="eastAsia" w:ascii="宋体" w:hAnsi="宋体" w:cs="宋体"/>
                <w:color w:val="auto"/>
                <w:sz w:val="24"/>
                <w:highlight w:val="none"/>
              </w:rPr>
              <w:t>意</w:t>
            </w:r>
          </w:p>
          <w:p w14:paraId="5A2DE35E">
            <w:pPr>
              <w:jc w:val="center"/>
              <w:rPr>
                <w:rFonts w:hint="eastAsia" w:ascii="宋体" w:hAnsi="宋体" w:cs="宋体"/>
                <w:color w:val="auto"/>
                <w:sz w:val="24"/>
                <w:highlight w:val="none"/>
              </w:rPr>
            </w:pPr>
            <w:r>
              <w:rPr>
                <w:rFonts w:hint="eastAsia" w:ascii="宋体" w:hAnsi="宋体" w:cs="宋体"/>
                <w:color w:val="auto"/>
                <w:sz w:val="24"/>
                <w:highlight w:val="none"/>
              </w:rPr>
              <w:t>见</w:t>
            </w:r>
          </w:p>
        </w:tc>
        <w:tc>
          <w:tcPr>
            <w:tcW w:w="8009" w:type="dxa"/>
            <w:noWrap w:val="0"/>
            <w:vAlign w:val="top"/>
          </w:tcPr>
          <w:p w14:paraId="1D33D1E2">
            <w:pPr>
              <w:rPr>
                <w:rFonts w:hint="eastAsia" w:ascii="宋体" w:hAnsi="宋体" w:cs="宋体"/>
                <w:color w:val="auto"/>
                <w:sz w:val="24"/>
                <w:highlight w:val="none"/>
              </w:rPr>
            </w:pPr>
          </w:p>
          <w:p w14:paraId="599E75A8">
            <w:pPr>
              <w:rPr>
                <w:rFonts w:hint="eastAsia" w:ascii="宋体" w:hAnsi="宋体" w:cs="宋体"/>
                <w:color w:val="auto"/>
                <w:sz w:val="24"/>
                <w:highlight w:val="none"/>
              </w:rPr>
            </w:pPr>
            <w:r>
              <w:rPr>
                <w:rFonts w:hint="eastAsia" w:ascii="宋体" w:hAnsi="宋体" w:cs="宋体"/>
                <w:color w:val="auto"/>
                <w:sz w:val="24"/>
                <w:highlight w:val="none"/>
              </w:rPr>
              <w:t>退付意见：是否同意退付履约保证金及退付金额：</w:t>
            </w:r>
          </w:p>
          <w:p w14:paraId="13BEB9D2">
            <w:pPr>
              <w:rPr>
                <w:rFonts w:hint="eastAsia" w:ascii="宋体" w:hAnsi="宋体" w:cs="宋体"/>
                <w:color w:val="auto"/>
                <w:sz w:val="24"/>
                <w:highlight w:val="none"/>
              </w:rPr>
            </w:pPr>
          </w:p>
          <w:p w14:paraId="0C871EE1">
            <w:pPr>
              <w:rPr>
                <w:rFonts w:hint="eastAsia" w:ascii="宋体" w:hAnsi="宋体" w:cs="宋体"/>
                <w:color w:val="auto"/>
                <w:sz w:val="24"/>
                <w:highlight w:val="none"/>
              </w:rPr>
            </w:pPr>
          </w:p>
          <w:p w14:paraId="3F883567">
            <w:pPr>
              <w:rPr>
                <w:rFonts w:hint="eastAsia" w:ascii="宋体" w:hAnsi="宋体" w:cs="宋体"/>
                <w:color w:val="auto"/>
                <w:sz w:val="24"/>
                <w:highlight w:val="none"/>
              </w:rPr>
            </w:pPr>
            <w:r>
              <w:rPr>
                <w:rFonts w:hint="eastAsia" w:ascii="宋体" w:hAnsi="宋体" w:cs="宋体"/>
                <w:color w:val="auto"/>
                <w:sz w:val="24"/>
                <w:highlight w:val="none"/>
              </w:rPr>
              <w:t xml:space="preserve">联系人及电话：                                </w:t>
            </w:r>
          </w:p>
          <w:p w14:paraId="28C36831">
            <w:pPr>
              <w:rPr>
                <w:rFonts w:hint="eastAsia" w:ascii="宋体" w:hAnsi="宋体" w:cs="宋体"/>
                <w:color w:val="auto"/>
                <w:sz w:val="24"/>
                <w:highlight w:val="none"/>
              </w:rPr>
            </w:pPr>
          </w:p>
          <w:p w14:paraId="55F78A31">
            <w:pPr>
              <w:ind w:firstLine="4560" w:firstLineChars="1900"/>
              <w:rPr>
                <w:rFonts w:hint="eastAsia" w:ascii="宋体" w:hAnsi="宋体" w:cs="宋体"/>
                <w:color w:val="auto"/>
                <w:sz w:val="24"/>
                <w:highlight w:val="none"/>
              </w:rPr>
            </w:pPr>
            <w:r>
              <w:rPr>
                <w:rFonts w:hint="eastAsia" w:ascii="宋体" w:hAnsi="宋体" w:cs="宋体"/>
                <w:color w:val="auto"/>
                <w:sz w:val="24"/>
                <w:highlight w:val="none"/>
              </w:rPr>
              <w:t xml:space="preserve"> 采购单位签章：</w:t>
            </w:r>
          </w:p>
          <w:p w14:paraId="4FC89010">
            <w:pPr>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6709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0"/>
            <w:vAlign w:val="center"/>
          </w:tcPr>
          <w:p w14:paraId="3A3CD454">
            <w:pPr>
              <w:jc w:val="center"/>
              <w:rPr>
                <w:rFonts w:hint="eastAsia" w:ascii="宋体" w:hAnsi="宋体" w:cs="宋体"/>
                <w:color w:val="auto"/>
                <w:sz w:val="24"/>
                <w:highlight w:val="none"/>
              </w:rPr>
            </w:pPr>
            <w:r>
              <w:rPr>
                <w:rFonts w:hint="eastAsia" w:ascii="宋体" w:hAnsi="宋体" w:cs="宋体"/>
                <w:color w:val="auto"/>
                <w:sz w:val="24"/>
                <w:highlight w:val="none"/>
              </w:rPr>
              <w:t>财</w:t>
            </w:r>
          </w:p>
          <w:p w14:paraId="765599A6">
            <w:pPr>
              <w:jc w:val="center"/>
              <w:rPr>
                <w:rFonts w:hint="eastAsia" w:ascii="宋体" w:hAnsi="宋体" w:cs="宋体"/>
                <w:color w:val="auto"/>
                <w:sz w:val="24"/>
                <w:highlight w:val="none"/>
              </w:rPr>
            </w:pPr>
            <w:r>
              <w:rPr>
                <w:rFonts w:hint="eastAsia" w:ascii="宋体" w:hAnsi="宋体" w:cs="宋体"/>
                <w:color w:val="auto"/>
                <w:sz w:val="24"/>
                <w:highlight w:val="none"/>
              </w:rPr>
              <w:t>务</w:t>
            </w:r>
          </w:p>
          <w:p w14:paraId="6DE2A9F8">
            <w:pPr>
              <w:jc w:val="center"/>
              <w:rPr>
                <w:rFonts w:hint="eastAsia" w:ascii="宋体" w:hAnsi="宋体" w:cs="宋体"/>
                <w:color w:val="auto"/>
                <w:sz w:val="24"/>
                <w:highlight w:val="none"/>
              </w:rPr>
            </w:pPr>
            <w:r>
              <w:rPr>
                <w:rFonts w:hint="eastAsia" w:ascii="宋体" w:hAnsi="宋体" w:cs="宋体"/>
                <w:color w:val="auto"/>
                <w:sz w:val="24"/>
                <w:highlight w:val="none"/>
              </w:rPr>
              <w:t>部</w:t>
            </w:r>
          </w:p>
          <w:p w14:paraId="549D6DBD">
            <w:pPr>
              <w:jc w:val="center"/>
              <w:rPr>
                <w:rFonts w:hint="eastAsia" w:ascii="宋体" w:hAnsi="宋体" w:cs="宋体"/>
                <w:color w:val="auto"/>
                <w:sz w:val="24"/>
                <w:highlight w:val="none"/>
              </w:rPr>
            </w:pPr>
            <w:r>
              <w:rPr>
                <w:rFonts w:hint="eastAsia" w:ascii="宋体" w:hAnsi="宋体" w:cs="宋体"/>
                <w:color w:val="auto"/>
                <w:sz w:val="24"/>
                <w:highlight w:val="none"/>
              </w:rPr>
              <w:t>门</w:t>
            </w:r>
          </w:p>
          <w:p w14:paraId="7DEACA56">
            <w:pPr>
              <w:jc w:val="center"/>
              <w:rPr>
                <w:rFonts w:hint="eastAsia" w:ascii="宋体" w:hAnsi="宋体" w:cs="宋体"/>
                <w:color w:val="auto"/>
                <w:sz w:val="24"/>
                <w:highlight w:val="none"/>
              </w:rPr>
            </w:pPr>
            <w:r>
              <w:rPr>
                <w:rFonts w:hint="eastAsia" w:ascii="宋体" w:hAnsi="宋体" w:cs="宋体"/>
                <w:color w:val="auto"/>
                <w:sz w:val="24"/>
                <w:highlight w:val="none"/>
              </w:rPr>
              <w:t>意</w:t>
            </w:r>
          </w:p>
          <w:p w14:paraId="699A6C00">
            <w:pPr>
              <w:jc w:val="center"/>
              <w:rPr>
                <w:rFonts w:hint="eastAsia" w:ascii="宋体" w:hAnsi="宋体" w:cs="宋体"/>
                <w:color w:val="auto"/>
                <w:sz w:val="24"/>
                <w:highlight w:val="none"/>
              </w:rPr>
            </w:pPr>
            <w:r>
              <w:rPr>
                <w:rFonts w:hint="eastAsia" w:ascii="宋体" w:hAnsi="宋体" w:cs="宋体"/>
                <w:color w:val="auto"/>
                <w:sz w:val="24"/>
                <w:highlight w:val="none"/>
              </w:rPr>
              <w:t>见</w:t>
            </w:r>
          </w:p>
        </w:tc>
        <w:tc>
          <w:tcPr>
            <w:tcW w:w="8009" w:type="dxa"/>
            <w:noWrap w:val="0"/>
            <w:vAlign w:val="top"/>
          </w:tcPr>
          <w:p w14:paraId="13C96B00">
            <w:pPr>
              <w:rPr>
                <w:rFonts w:hint="eastAsia" w:ascii="宋体" w:hAnsi="宋体" w:cs="宋体"/>
                <w:color w:val="auto"/>
                <w:sz w:val="24"/>
                <w:highlight w:val="none"/>
              </w:rPr>
            </w:pPr>
            <w:r>
              <w:rPr>
                <w:rFonts w:hint="eastAsia" w:ascii="宋体" w:hAnsi="宋体" w:cs="宋体"/>
                <w:color w:val="auto"/>
                <w:sz w:val="24"/>
                <w:highlight w:val="none"/>
              </w:rPr>
              <w:t>此表于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日收到。</w:t>
            </w:r>
          </w:p>
          <w:p w14:paraId="7EF0488B">
            <w:pPr>
              <w:rPr>
                <w:rFonts w:hint="eastAsia" w:ascii="宋体" w:hAnsi="宋体" w:cs="宋体"/>
                <w:color w:val="auto"/>
                <w:sz w:val="24"/>
                <w:highlight w:val="none"/>
              </w:rPr>
            </w:pPr>
          </w:p>
          <w:p w14:paraId="2FA680EF">
            <w:pPr>
              <w:rPr>
                <w:rFonts w:hint="eastAsia" w:ascii="宋体" w:hAnsi="宋体" w:cs="宋体"/>
                <w:color w:val="auto"/>
                <w:sz w:val="24"/>
                <w:highlight w:val="none"/>
              </w:rPr>
            </w:pPr>
            <w:r>
              <w:rPr>
                <w:rFonts w:hint="eastAsia" w:ascii="宋体" w:hAnsi="宋体" w:cs="宋体"/>
                <w:color w:val="auto"/>
                <w:sz w:val="24"/>
                <w:highlight w:val="none"/>
              </w:rPr>
              <w:t>会计审核：</w:t>
            </w:r>
          </w:p>
          <w:p w14:paraId="58C70E14">
            <w:pPr>
              <w:rPr>
                <w:rFonts w:hint="eastAsia" w:ascii="宋体" w:hAnsi="宋体" w:cs="宋体"/>
                <w:color w:val="auto"/>
                <w:sz w:val="24"/>
                <w:highlight w:val="none"/>
              </w:rPr>
            </w:pPr>
          </w:p>
          <w:p w14:paraId="3455C71F">
            <w:pPr>
              <w:rPr>
                <w:rFonts w:hint="eastAsia" w:ascii="宋体" w:hAnsi="宋体" w:cs="宋体"/>
                <w:color w:val="auto"/>
                <w:sz w:val="24"/>
                <w:highlight w:val="none"/>
              </w:rPr>
            </w:pPr>
            <w:r>
              <w:rPr>
                <w:rFonts w:hint="eastAsia" w:ascii="宋体" w:hAnsi="宋体" w:cs="宋体"/>
                <w:color w:val="auto"/>
                <w:sz w:val="24"/>
                <w:highlight w:val="none"/>
              </w:rPr>
              <w:t>财务负责人审核：</w:t>
            </w:r>
          </w:p>
          <w:p w14:paraId="5409F0C6">
            <w:pPr>
              <w:rPr>
                <w:rFonts w:hint="eastAsia" w:ascii="宋体" w:hAnsi="宋体" w:cs="宋体"/>
                <w:color w:val="auto"/>
                <w:sz w:val="24"/>
                <w:highlight w:val="none"/>
              </w:rPr>
            </w:pPr>
          </w:p>
          <w:p w14:paraId="278E173C">
            <w:pPr>
              <w:rPr>
                <w:rFonts w:hint="eastAsia" w:ascii="宋体" w:hAnsi="宋体" w:cs="宋体"/>
                <w:color w:val="auto"/>
                <w:sz w:val="24"/>
                <w:highlight w:val="none"/>
              </w:rPr>
            </w:pPr>
            <w:r>
              <w:rPr>
                <w:rFonts w:hint="eastAsia" w:ascii="宋体" w:hAnsi="宋体" w:cs="宋体"/>
                <w:color w:val="auto"/>
                <w:sz w:val="24"/>
                <w:highlight w:val="none"/>
              </w:rPr>
              <w:t>单位负责人签字：</w:t>
            </w:r>
          </w:p>
          <w:p w14:paraId="6A55A202">
            <w:pPr>
              <w:rPr>
                <w:rFonts w:hint="eastAsia" w:ascii="宋体" w:hAnsi="宋体" w:cs="宋体"/>
                <w:color w:val="auto"/>
                <w:sz w:val="24"/>
                <w:highlight w:val="none"/>
              </w:rPr>
            </w:pPr>
          </w:p>
          <w:p w14:paraId="48841AC1">
            <w:pPr>
              <w:rPr>
                <w:rFonts w:hint="eastAsia" w:ascii="宋体" w:hAnsi="宋体" w:cs="宋体"/>
                <w:color w:val="auto"/>
                <w:sz w:val="24"/>
                <w:highlight w:val="none"/>
              </w:rPr>
            </w:pPr>
            <w:r>
              <w:rPr>
                <w:rFonts w:hint="eastAsia" w:ascii="宋体" w:hAnsi="宋体" w:cs="宋体"/>
                <w:color w:val="auto"/>
                <w:sz w:val="24"/>
                <w:highlight w:val="none"/>
              </w:rPr>
              <w:t>出纳办理转</w:t>
            </w:r>
            <w:r>
              <w:rPr>
                <w:rFonts w:hint="eastAsia" w:ascii="宋体" w:hAnsi="宋体" w:cs="宋体"/>
                <w:color w:val="auto"/>
                <w:sz w:val="24"/>
                <w:highlight w:val="none"/>
                <w:lang w:eastAsia="zh-CN"/>
              </w:rPr>
              <w:t>账</w:t>
            </w:r>
            <w:r>
              <w:rPr>
                <w:rFonts w:hint="eastAsia" w:ascii="宋体" w:hAnsi="宋体" w:cs="宋体"/>
                <w:color w:val="auto"/>
                <w:sz w:val="24"/>
                <w:highlight w:val="none"/>
              </w:rPr>
              <w:t>日期：</w:t>
            </w:r>
          </w:p>
        </w:tc>
      </w:tr>
    </w:tbl>
    <w:p w14:paraId="702A6A16">
      <w:pPr>
        <w:pStyle w:val="14"/>
        <w:ind w:left="1" w:firstLine="2" w:firstLineChars="1"/>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注：供应商凭经采购单位审批的退付意见书到履约保证金收取单位财务部门办理履约保证金退付事宜。</w:t>
      </w:r>
    </w:p>
    <w:p w14:paraId="55007A36">
      <w:pPr>
        <w:pStyle w:val="2"/>
        <w:ind w:firstLine="2650" w:firstLineChars="600"/>
        <w:jc w:val="left"/>
        <w:rPr>
          <w:rFonts w:hint="eastAsia" w:ascii="宋体" w:hAnsi="宋体" w:cs="宋体"/>
          <w:color w:val="auto"/>
          <w:highlight w:val="none"/>
        </w:rPr>
      </w:pPr>
      <w:bookmarkStart w:id="78" w:name="_Toc11841"/>
      <w:bookmarkStart w:id="79" w:name="_Toc21732"/>
      <w:bookmarkStart w:id="80" w:name="_Toc18164"/>
      <w:bookmarkStart w:id="81" w:name="_Toc11985"/>
      <w:r>
        <w:rPr>
          <w:rFonts w:hint="eastAsia" w:ascii="宋体" w:hAnsi="宋体" w:cs="宋体"/>
          <w:color w:val="auto"/>
          <w:highlight w:val="none"/>
        </w:rPr>
        <w:t>第三章 采购需求</w:t>
      </w:r>
      <w:bookmarkEnd w:id="77"/>
      <w:bookmarkEnd w:id="78"/>
      <w:bookmarkEnd w:id="79"/>
      <w:bookmarkEnd w:id="80"/>
      <w:bookmarkEnd w:id="81"/>
    </w:p>
    <w:p w14:paraId="34294840">
      <w:pPr>
        <w:spacing w:line="44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采购项目技术规格、参数及要求</w:t>
      </w:r>
    </w:p>
    <w:p w14:paraId="01EDACA5">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0CA34192">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说明：</w:t>
      </w:r>
    </w:p>
    <w:p w14:paraId="2109A583">
      <w:pPr>
        <w:numPr>
          <w:ilvl w:val="0"/>
          <w:numId w:val="4"/>
        </w:num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为落实政府采购政策需满足的要求</w:t>
      </w:r>
    </w:p>
    <w:p w14:paraId="128627A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w:t>
      </w:r>
      <w:r>
        <w:rPr>
          <w:rFonts w:hint="eastAsia"/>
          <w:color w:val="auto"/>
          <w:highlight w:val="none"/>
        </w:rPr>
        <w:t>《广西壮族自治区财政厅关于贯彻落实政府采购支持中小企业发展政策的通知》（桂财采〔2022〕31号）、《广西壮族自治区财政厅关于持续优化政府采购营商环境推动高质量发展的通知》（桂财采〔2024〕55号）</w:t>
      </w:r>
      <w:r>
        <w:rPr>
          <w:rFonts w:hint="eastAsia" w:ascii="宋体" w:hAnsi="宋体" w:cs="宋体"/>
          <w:color w:val="auto"/>
          <w:szCs w:val="21"/>
          <w:highlight w:val="none"/>
        </w:rPr>
        <w:t>的规定。</w:t>
      </w:r>
    </w:p>
    <w:p w14:paraId="7E895E8B">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供应商的竞标货物必须使用政府强制采购的节能产品，供应商必须在响应文件中提供所竞标产品的节能产品认证证书扫描件（加盖供应商电子公章），否则响应文件作无效处理。如本项目包含的货物属于品目清单内非标注“★”的产品时，应优先采购，具体详见“第四章 评标方法和评标标准”。</w:t>
      </w:r>
    </w:p>
    <w:p w14:paraId="2CF834CE">
      <w:pPr>
        <w:spacing w:line="360" w:lineRule="auto"/>
        <w:ind w:firstLine="426" w:firstLineChars="202"/>
        <w:jc w:val="left"/>
        <w:rPr>
          <w:rFonts w:hint="eastAsia" w:ascii="宋体" w:hAnsi="宋体" w:cs="宋体"/>
          <w:b/>
          <w:bCs/>
          <w:color w:val="auto"/>
          <w:szCs w:val="21"/>
          <w:highlight w:val="none"/>
        </w:rPr>
      </w:pPr>
      <w:r>
        <w:rPr>
          <w:rFonts w:hint="eastAsia" w:ascii="宋体" w:hAnsi="宋体" w:cs="宋体"/>
          <w:b/>
          <w:bCs/>
          <w:color w:val="auto"/>
          <w:szCs w:val="21"/>
          <w:highlight w:val="none"/>
        </w:rPr>
        <w:t>（3）根据《关于调整网络安全专用产品安全管理有关事项的公告》（国家互联网信息办公室工业和信息化部公安部财政部国家认证认可监督管理委员会公告2023年第1号)的规定，采购标的中包含列入《网络关键设备和网络安全专用产品目录》的网络安全专用产品，供应商应当按照《信息安全技术网络安全专用产品安全技术要求》等相关国家标准的强制性要求，提供由具备资格的机构安全认证合格或者安全检测符合要求证明材料（加盖供应商电子公章），否则响应无效。</w:t>
      </w:r>
    </w:p>
    <w:p w14:paraId="36497E83">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2.“实质性要求”是指招标文件中已经指明不满足则响应无效的条款，或者不能负偏离的条款，或者采购需求中带“▲”的条款。</w:t>
      </w:r>
    </w:p>
    <w:p w14:paraId="22943104">
      <w:pPr>
        <w:spacing w:line="360" w:lineRule="auto"/>
        <w:ind w:firstLine="424" w:firstLineChars="202"/>
        <w:jc w:val="left"/>
        <w:rPr>
          <w:rFonts w:hint="eastAsia" w:ascii="宋体" w:hAnsi="宋体" w:cs="宋体"/>
          <w:b/>
          <w:color w:val="auto"/>
          <w:szCs w:val="21"/>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.如供应商竞标产品存在侵犯他人的知识产权或者专利成果行为的，应承担相应法律责任。</w:t>
      </w:r>
    </w:p>
    <w:p w14:paraId="50785A8B">
      <w:pPr>
        <w:pStyle w:val="14"/>
        <w:ind w:firstLine="420" w:firstLineChars="200"/>
        <w:rPr>
          <w:rFonts w:hint="eastAsia" w:ascii="宋体" w:hAnsi="宋体" w:eastAsia="宋体" w:cs="宋体"/>
          <w:color w:val="auto"/>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b/>
          <w:bCs/>
          <w:color w:val="auto"/>
          <w:highlight w:val="none"/>
        </w:rPr>
        <w:t>所属行业：</w:t>
      </w:r>
      <w:r>
        <w:rPr>
          <w:rFonts w:hint="eastAsia" w:ascii="宋体" w:hAnsi="宋体" w:cs="宋体"/>
          <w:b w:val="0"/>
          <w:bCs w:val="0"/>
          <w:color w:val="auto"/>
          <w:szCs w:val="21"/>
          <w:highlight w:val="none"/>
        </w:rPr>
        <w:t>软件和信息技术服务业</w:t>
      </w:r>
      <w:r>
        <w:rPr>
          <w:rFonts w:hint="eastAsia" w:ascii="宋体" w:hAnsi="宋体" w:cs="宋体"/>
          <w:color w:val="auto"/>
          <w:szCs w:val="21"/>
          <w:highlight w:val="none"/>
          <w:lang w:eastAsia="zh-CN"/>
        </w:rPr>
        <w:t>。</w:t>
      </w:r>
    </w:p>
    <w:p w14:paraId="6A3BC0AA">
      <w:pPr>
        <w:spacing w:after="120" w:line="48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采购预算：</w:t>
      </w:r>
      <w:r>
        <w:rPr>
          <w:rFonts w:hint="eastAsia" w:ascii="宋体" w:hAnsi="宋体" w:cs="宋体"/>
          <w:bCs/>
          <w:color w:val="auto"/>
          <w:sz w:val="24"/>
          <w:highlight w:val="none"/>
          <w:lang w:val="en-US" w:eastAsia="zh-CN"/>
        </w:rPr>
        <w:t>144</w:t>
      </w:r>
      <w:r>
        <w:rPr>
          <w:rFonts w:hint="eastAsia" w:ascii="宋体" w:hAnsi="宋体" w:cs="宋体"/>
          <w:bCs/>
          <w:color w:val="auto"/>
          <w:sz w:val="24"/>
          <w:highlight w:val="none"/>
        </w:rPr>
        <w:t>万元</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其中：</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分标：</w:t>
      </w:r>
      <w:r>
        <w:rPr>
          <w:rFonts w:hint="eastAsia" w:ascii="宋体" w:hAnsi="宋体" w:cs="宋体"/>
          <w:bCs/>
          <w:color w:val="auto"/>
          <w:sz w:val="24"/>
          <w:highlight w:val="none"/>
          <w:lang w:val="en-US" w:eastAsia="zh-CN"/>
        </w:rPr>
        <w:t>64</w:t>
      </w:r>
      <w:r>
        <w:rPr>
          <w:rFonts w:hint="eastAsia" w:ascii="宋体" w:hAnsi="宋体" w:cs="宋体"/>
          <w:bCs/>
          <w:color w:val="auto"/>
          <w:sz w:val="24"/>
          <w:highlight w:val="none"/>
        </w:rPr>
        <w:t>万元；</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分标：</w:t>
      </w:r>
      <w:r>
        <w:rPr>
          <w:rFonts w:hint="eastAsia" w:ascii="宋体" w:hAnsi="宋体" w:cs="宋体"/>
          <w:bCs/>
          <w:color w:val="auto"/>
          <w:sz w:val="24"/>
          <w:highlight w:val="none"/>
          <w:lang w:val="en-US" w:eastAsia="zh-CN"/>
        </w:rPr>
        <w:t>80</w:t>
      </w:r>
      <w:r>
        <w:rPr>
          <w:rFonts w:hint="eastAsia" w:ascii="宋体" w:hAnsi="宋体" w:cs="宋体"/>
          <w:bCs/>
          <w:color w:val="auto"/>
          <w:sz w:val="24"/>
          <w:highlight w:val="none"/>
        </w:rPr>
        <w:t>万元。</w:t>
      </w:r>
    </w:p>
    <w:p w14:paraId="13CD62B1">
      <w:pPr>
        <w:rPr>
          <w:rFonts w:ascii="宋体" w:hAnsi="宋体" w:cs="Arial"/>
          <w:bCs/>
          <w:color w:val="auto"/>
          <w:szCs w:val="21"/>
          <w:highlight w:val="none"/>
          <w:u w:val="single"/>
        </w:rPr>
      </w:pPr>
      <w:bookmarkStart w:id="82" w:name="_Toc24139"/>
      <w:bookmarkStart w:id="83" w:name="_Toc74323459"/>
      <w:r>
        <w:rPr>
          <w:rFonts w:hint="eastAsia" w:ascii="宋体" w:hAnsi="宋体" w:cs="Arial"/>
          <w:bCs/>
          <w:color w:val="auto"/>
          <w:szCs w:val="21"/>
          <w:highlight w:val="none"/>
          <w:u w:val="single"/>
        </w:rPr>
        <w:t xml:space="preserve"> </w:t>
      </w:r>
      <w:r>
        <w:rPr>
          <w:rFonts w:hint="eastAsia" w:ascii="宋体" w:hAnsi="宋体" w:cs="Arial"/>
          <w:bCs/>
          <w:color w:val="auto"/>
          <w:szCs w:val="21"/>
          <w:highlight w:val="none"/>
          <w:u w:val="single"/>
          <w:lang w:val="en-US" w:eastAsia="zh-CN"/>
        </w:rPr>
        <w:t>1</w:t>
      </w:r>
      <w:r>
        <w:rPr>
          <w:rFonts w:hint="eastAsia" w:ascii="宋体" w:hAnsi="宋体" w:cs="Arial"/>
          <w:bCs/>
          <w:color w:val="auto"/>
          <w:szCs w:val="21"/>
          <w:highlight w:val="none"/>
          <w:u w:val="single"/>
        </w:rPr>
        <w:t xml:space="preserve"> </w:t>
      </w:r>
      <w:r>
        <w:rPr>
          <w:rFonts w:hint="eastAsia" w:ascii="宋体" w:hAnsi="宋体"/>
          <w:b/>
          <w:color w:val="auto"/>
          <w:szCs w:val="21"/>
          <w:highlight w:val="none"/>
        </w:rPr>
        <w:t>分标      采购预算：</w:t>
      </w:r>
      <w:r>
        <w:rPr>
          <w:rFonts w:hint="eastAsia" w:ascii="宋体" w:hAnsi="宋体" w:cs="Arial"/>
          <w:bCs/>
          <w:color w:val="auto"/>
          <w:szCs w:val="21"/>
          <w:highlight w:val="none"/>
          <w:u w:val="none"/>
        </w:rPr>
        <w:t xml:space="preserve"> 64.00</w:t>
      </w:r>
      <w:r>
        <w:rPr>
          <w:rFonts w:hint="eastAsia" w:ascii="宋体" w:hAnsi="宋体"/>
          <w:iCs/>
          <w:color w:val="auto"/>
          <w:szCs w:val="21"/>
          <w:highlight w:val="none"/>
          <w:u w:val="none"/>
        </w:rPr>
        <w:t>万元</w:t>
      </w:r>
      <w:r>
        <w:rPr>
          <w:rFonts w:hint="eastAsia" w:ascii="宋体" w:hAnsi="宋体" w:cs="Arial"/>
          <w:bCs/>
          <w:color w:val="auto"/>
          <w:szCs w:val="21"/>
          <w:highlight w:val="none"/>
          <w:u w:val="none"/>
        </w:rPr>
        <w:t xml:space="preserve"> </w:t>
      </w:r>
    </w:p>
    <w:tbl>
      <w:tblPr>
        <w:tblStyle w:val="32"/>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82"/>
        <w:gridCol w:w="1300"/>
        <w:gridCol w:w="32"/>
        <w:gridCol w:w="848"/>
        <w:gridCol w:w="966"/>
        <w:gridCol w:w="5213"/>
      </w:tblGrid>
      <w:tr w14:paraId="4C48B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326" w:type="pct"/>
            <w:noWrap w:val="0"/>
            <w:vAlign w:val="center"/>
          </w:tcPr>
          <w:p w14:paraId="4BDD5AA3">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745" w:type="pct"/>
            <w:gridSpan w:val="2"/>
            <w:noWrap w:val="0"/>
            <w:vAlign w:val="center"/>
          </w:tcPr>
          <w:p w14:paraId="0B7B41A4">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474" w:type="pct"/>
            <w:noWrap w:val="0"/>
            <w:vAlign w:val="center"/>
          </w:tcPr>
          <w:p w14:paraId="2B4B872A">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540" w:type="pct"/>
            <w:noWrap w:val="0"/>
            <w:vAlign w:val="center"/>
          </w:tcPr>
          <w:p w14:paraId="78CED22B">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所属</w:t>
            </w:r>
          </w:p>
          <w:p w14:paraId="4D6CC6BA">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行业</w:t>
            </w:r>
          </w:p>
        </w:tc>
        <w:tc>
          <w:tcPr>
            <w:tcW w:w="2914" w:type="pct"/>
            <w:noWrap w:val="0"/>
            <w:vAlign w:val="center"/>
          </w:tcPr>
          <w:p w14:paraId="467093A2">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技术要求</w:t>
            </w:r>
          </w:p>
        </w:tc>
      </w:tr>
      <w:tr w14:paraId="079EE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326" w:type="pct"/>
            <w:noWrap w:val="0"/>
            <w:vAlign w:val="center"/>
          </w:tcPr>
          <w:p w14:paraId="6DCC2BB1">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745" w:type="pct"/>
            <w:gridSpan w:val="2"/>
            <w:noWrap w:val="0"/>
            <w:vAlign w:val="center"/>
          </w:tcPr>
          <w:p w14:paraId="0BCD5CCA">
            <w:pPr>
              <w:snapToGrid w:val="0"/>
              <w:spacing w:line="360" w:lineRule="exact"/>
              <w:jc w:val="center"/>
              <w:outlineLvl w:val="0"/>
              <w:rPr>
                <w:rFonts w:ascii="宋体" w:hAnsi="宋体" w:cs="宋体"/>
                <w:bCs/>
                <w:color w:val="auto"/>
                <w:szCs w:val="21"/>
                <w:highlight w:val="none"/>
              </w:rPr>
            </w:pPr>
            <w:bookmarkStart w:id="84" w:name="_Toc20690"/>
            <w:bookmarkStart w:id="85" w:name="_Toc17391"/>
            <w:bookmarkStart w:id="86" w:name="_Toc15463"/>
            <w:r>
              <w:rPr>
                <w:rFonts w:hint="eastAsia" w:ascii="宋体" w:hAnsi="宋体" w:cs="宋体"/>
                <w:bCs/>
                <w:color w:val="auto"/>
                <w:szCs w:val="21"/>
                <w:highlight w:val="none"/>
              </w:rPr>
              <w:t>厅本级信息系统安全等级保护测评服务</w:t>
            </w:r>
            <w:bookmarkEnd w:id="84"/>
            <w:bookmarkEnd w:id="85"/>
            <w:bookmarkEnd w:id="86"/>
          </w:p>
        </w:tc>
        <w:tc>
          <w:tcPr>
            <w:tcW w:w="474" w:type="pct"/>
            <w:noWrap w:val="0"/>
            <w:vAlign w:val="center"/>
          </w:tcPr>
          <w:p w14:paraId="2FF42AD1">
            <w:pPr>
              <w:snapToGrid w:val="0"/>
              <w:spacing w:line="360" w:lineRule="exact"/>
              <w:jc w:val="center"/>
              <w:outlineLvl w:val="0"/>
              <w:rPr>
                <w:rFonts w:ascii="宋体" w:hAnsi="宋体" w:cs="宋体"/>
                <w:b/>
                <w:color w:val="auto"/>
                <w:szCs w:val="21"/>
                <w:highlight w:val="none"/>
              </w:rPr>
            </w:pPr>
            <w:bookmarkStart w:id="87" w:name="_Toc24402"/>
            <w:bookmarkStart w:id="88" w:name="_Toc22427"/>
            <w:bookmarkStart w:id="89" w:name="_Toc19805"/>
            <w:r>
              <w:rPr>
                <w:rFonts w:hint="eastAsia" w:ascii="宋体" w:hAnsi="宋体" w:cs="宋体"/>
                <w:color w:val="auto"/>
                <w:szCs w:val="21"/>
                <w:highlight w:val="none"/>
              </w:rPr>
              <w:t>1项</w:t>
            </w:r>
            <w:bookmarkEnd w:id="87"/>
            <w:bookmarkEnd w:id="88"/>
            <w:bookmarkEnd w:id="89"/>
          </w:p>
        </w:tc>
        <w:tc>
          <w:tcPr>
            <w:tcW w:w="540" w:type="pct"/>
            <w:noWrap w:val="0"/>
            <w:vAlign w:val="center"/>
          </w:tcPr>
          <w:p w14:paraId="0EEB8018">
            <w:pPr>
              <w:tabs>
                <w:tab w:val="left" w:pos="180"/>
                <w:tab w:val="left" w:pos="1620"/>
              </w:tabs>
              <w:spacing w:line="360" w:lineRule="exact"/>
              <w:rPr>
                <w:rFonts w:ascii="宋体" w:hAnsi="宋体" w:cs="宋体"/>
                <w:color w:val="auto"/>
                <w:szCs w:val="21"/>
                <w:highlight w:val="none"/>
              </w:rPr>
            </w:pPr>
            <w:r>
              <w:rPr>
                <w:rFonts w:hint="eastAsia" w:ascii="宋体" w:hAnsi="宋体" w:cs="宋体"/>
                <w:color w:val="auto"/>
                <w:szCs w:val="21"/>
                <w:highlight w:val="none"/>
              </w:rPr>
              <w:t>软件和信息技术服务业</w:t>
            </w:r>
          </w:p>
        </w:tc>
        <w:tc>
          <w:tcPr>
            <w:tcW w:w="2914" w:type="pct"/>
            <w:noWrap w:val="0"/>
            <w:vAlign w:val="center"/>
          </w:tcPr>
          <w:p w14:paraId="44703481">
            <w:pPr>
              <w:spacing w:line="360" w:lineRule="exac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一、等级保护测评</w:t>
            </w:r>
          </w:p>
          <w:p w14:paraId="0E876C21">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▲1、总的要求：依据《网络安全等级保护基本要求》（GB/T 22239-2019）对自然资源厅业务系统开展网络安全等级保护测评工作，并出具网络安全等级保护测评报告。具体如下：</w:t>
            </w:r>
          </w:p>
          <w:p w14:paraId="44EC0691">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（1）自然资源业务网：基础网络。</w:t>
            </w:r>
          </w:p>
          <w:p w14:paraId="5D9B958C">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（2）自然资源厅电子政务综合管理系统。</w:t>
            </w:r>
          </w:p>
          <w:p w14:paraId="17B172F2">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（3）广西现代测绘基准管理与综合服务平台。</w:t>
            </w:r>
          </w:p>
          <w:p w14:paraId="7A260782">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（4）广西不动产登记信息管理平台。</w:t>
            </w:r>
          </w:p>
          <w:p w14:paraId="4EFF42D9">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（5）广西壮族自治区地理信息公共服务平台。</w:t>
            </w:r>
          </w:p>
          <w:p w14:paraId="6E7E36C5">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2、测评要求：</w:t>
            </w:r>
          </w:p>
          <w:p w14:paraId="5F1681A5">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分为初测和复测两个阶段。初测阶段测评机构在完成现场测评后，需针对初测结果为用户提供必要的整改项材料（如各项等保要求的表单模板、制度模板等），对不符合项现场与用户逐一核对并提出可行性的整改建议。</w:t>
            </w:r>
          </w:p>
          <w:p w14:paraId="66255770">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（2）在采购人有效实施整改后，开展复测工作，并最终出具符合公安机关要求的（年度）信息系统安全保护等级测评报告。</w:t>
            </w:r>
          </w:p>
          <w:p w14:paraId="04931607">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3、标准依据</w:t>
            </w:r>
          </w:p>
          <w:p w14:paraId="28BE1FB8">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《计算机信息系统安全保护等级划分准则》（GB 17859-1999)</w:t>
            </w:r>
          </w:p>
          <w:p w14:paraId="29A6D997">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《网络安全等级保护基本要求》（GB/T 22239-2019）</w:t>
            </w:r>
          </w:p>
          <w:p w14:paraId="04A238D7">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《网络安全等级保护测评要求》（GB/T 28448-2019）</w:t>
            </w:r>
          </w:p>
          <w:p w14:paraId="73EE7315">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《网络安全等级保护测评过程指南》（GB/T 28449-2018)</w:t>
            </w:r>
          </w:p>
          <w:p w14:paraId="1F39FFB9">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《网络安全等级保护设计技术要求》（GB/T 25070-2019）</w:t>
            </w:r>
          </w:p>
          <w:p w14:paraId="0C191DDA">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《网络安全等级保护测试评估技术指南》（GB/T 36627-2018）</w:t>
            </w:r>
          </w:p>
          <w:p w14:paraId="786A2B73">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▲4、测评内容</w:t>
            </w:r>
          </w:p>
          <w:p w14:paraId="7EA64014">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（1）安全通用要求</w:t>
            </w:r>
          </w:p>
          <w:p w14:paraId="4030605D">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安全通用要求测评内容应包括安全技术和安全管理两大类，其中技术类应包括对安全物理环境、安全通信网络、安全区域边界、安全计算环境、安全管理中心五个方面的测评，安全管理类测评应包括对安全管理制度、安全管理机构、安全管理人员、安全建设管理、安全运维管理五个方面的测评。</w:t>
            </w:r>
          </w:p>
          <w:p w14:paraId="77173250">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安全扩展要求</w:t>
            </w:r>
          </w:p>
          <w:p w14:paraId="31136784">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应用了不同新技术的安全保护对象处于不同的应用场景中，面临不同的安全威胁，因此会有不同的安全需求，该保护对象涉及的安全扩展要求包括：</w:t>
            </w:r>
          </w:p>
          <w:p w14:paraId="281678A5">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1）云计算</w:t>
            </w:r>
          </w:p>
          <w:p w14:paraId="08A80ED5">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云计算安全测评内容包括对安全物理环境、安全通信网络、安全区域边界、安全计算环境、安全管理中心、安全建设管理、安全运维管理等的测评。</w:t>
            </w:r>
          </w:p>
          <w:p w14:paraId="401AAAC2">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2）移动互联</w:t>
            </w:r>
          </w:p>
          <w:p w14:paraId="3FE2B6FF">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移动互联安全测评内容包括对安全物理环境、安全区域边界、安全计算环境、安全建设管理、安全运维管理等的测评。</w:t>
            </w:r>
          </w:p>
          <w:p w14:paraId="14AD7512">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3）物联网</w:t>
            </w:r>
          </w:p>
          <w:p w14:paraId="51AD42B0">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物联网安全测评内容包括对安全物理环境、安全区域边界、安全计算环境、安全运维管理等的测评。</w:t>
            </w:r>
          </w:p>
          <w:p w14:paraId="0F88564D">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4）工业控制系统</w:t>
            </w:r>
          </w:p>
          <w:p w14:paraId="6E04BADA">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工业控制系统安全测评包括对安全物理环境、安全通信网络、安全区域边界、安全计算环境、安全建设管理方面的测评。</w:t>
            </w:r>
          </w:p>
          <w:p w14:paraId="0FB60B58">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5）大数据</w:t>
            </w:r>
          </w:p>
          <w:p w14:paraId="348C14B5">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大数据安全测评包括对安全物理环境、安全通信网络、安全计算环境、安全运维管理等的测评。</w:t>
            </w:r>
          </w:p>
          <w:p w14:paraId="67FF87AB">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5、测评方法</w:t>
            </w:r>
          </w:p>
          <w:p w14:paraId="64ECE5AB">
            <w:pPr>
              <w:widowControl/>
              <w:spacing w:line="36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在测评实施过程中，应采用访谈、检查和测试、渗透测试等测评方法进行，并与国家相关规范及标准的要求相符。</w:t>
            </w: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 xml:space="preserve">    访谈是指测评人员通过引导信息系统相关人员进行有目的（有针对性的）的交流以帮助测评人员理解、分析或取得证据的过程；</w:t>
            </w: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 xml:space="preserve">    检查是指测评人员通过对测评对象（如管理制度、操作记录、安全配置等）进行观察、查验、分析以帮助测评人员理解、分析或取得证据的过程；</w:t>
            </w:r>
          </w:p>
          <w:p w14:paraId="06833D49">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测试是测评人员使用预定的方法/工具使测评对象产生特定的行为，通过查看和分析结果以帮助测评人员获取证据的过程；</w:t>
            </w:r>
          </w:p>
          <w:p w14:paraId="4D8E2A74">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渗透测试是模拟黑客的攻击方法，对受保护对象的应用系统、主机、网络进行攻击，从而验证测评对象的弱点、技术缺陷或漏洞的一种评估方法。</w:t>
            </w:r>
          </w:p>
          <w:p w14:paraId="46E4E190">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6、服务成果</w:t>
            </w:r>
          </w:p>
          <w:p w14:paraId="4F972E58">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测评完成后，对5个信息系统逐一出具符合等保2.0相关技术标准要求、国家网络安全等级保护管理部门规范要求且公安机关认可的的网络安全等级保护测评报告。</w:t>
            </w:r>
          </w:p>
          <w:p w14:paraId="20B102F7">
            <w:pPr>
              <w:spacing w:line="360" w:lineRule="exact"/>
              <w:rPr>
                <w:rFonts w:hint="eastAsia" w:ascii="宋体" w:hAnsi="宋体" w:cs="宋体"/>
                <w:color w:val="auto"/>
                <w:sz w:val="21"/>
                <w:szCs w:val="21"/>
                <w:highlight w:val="none"/>
              </w:rPr>
            </w:pPr>
            <w:r>
              <w:rPr>
                <w:rFonts w:hint="eastAsia" w:ascii="宋体" w:hAnsi="宋体" w:cs="宋体"/>
                <w:b/>
                <w:bCs/>
                <w:color w:val="auto"/>
                <w:sz w:val="21"/>
                <w:szCs w:val="21"/>
                <w:highlight w:val="none"/>
              </w:rPr>
              <w:t>二、商用密码应用安全性评估</w:t>
            </w:r>
          </w:p>
          <w:p w14:paraId="33DF1FE9">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1、总的要求：依据《信息安全技术信息系统密码应用基本要求》( GB / T 39786—2021)、《信息系统密码应用测评要求》、《信息系统密码应用测评过程指南》、《信息系统密码应用高风险判定指引》、《商用密码应用安全性评估量化评估规则》等标准、规范，对自治区自然资源厅5个应用系统开展商用密码应用安全性评估,全面评估其是否符合商用密码应用安全性评估的要求。应用系统具体如下：</w:t>
            </w:r>
          </w:p>
          <w:p w14:paraId="2488CBA0">
            <w:pPr>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（1）自然资源业务网。</w:t>
            </w:r>
          </w:p>
          <w:p w14:paraId="483DD6ED">
            <w:pPr>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（2）自然资源厅电子政务综合管理系统。</w:t>
            </w:r>
          </w:p>
          <w:p w14:paraId="1D13465D">
            <w:pPr>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（3）广西现代测绘基准管理与综合服务平台。</w:t>
            </w:r>
          </w:p>
          <w:p w14:paraId="20BEDA16">
            <w:pPr>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（4）广西不动产登记信息管理平台。</w:t>
            </w:r>
          </w:p>
          <w:p w14:paraId="6FE3F60A">
            <w:pPr>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（5）广西壮族自治区地理信息公共服务平台。</w:t>
            </w:r>
          </w:p>
          <w:p w14:paraId="03637AB8">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本次密评旨在对受测系统的商用密码应用的合规性、正确性和有效性进行评估。根据实际评估结果，对受测系统进行安全风险分析并给出改进建议，出具商用密码应用安全性评估报告。</w:t>
            </w:r>
          </w:p>
          <w:p w14:paraId="76CDE9A2">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2、评估内容</w:t>
            </w:r>
          </w:p>
          <w:p w14:paraId="6955A6BB">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商用密码应用安全性评估要求依据国家有关最新标准和规范对包括(但不限于)物理和环境安全、网络和通信安全、设备和计算安全、应用和数据安全、管理制度、人员管理、建设运行、应急处置等方面进行评估。</w:t>
            </w:r>
          </w:p>
          <w:p w14:paraId="4D8AB6F1">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（1）物理和环境安全包括身份鉴别、电子门禁记录数据完整性、视频记录数据完整性、密码服务、密码产品等评估项。</w:t>
            </w:r>
          </w:p>
          <w:p w14:paraId="5E80512F">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（2）网络和通信安全包括身份鉴别、通信数据完整性、通信过程中重要数据的机密性、网络边界访问控制信息的完整性、安全接入认证、密码服务、密码产品等评估项。</w:t>
            </w:r>
          </w:p>
          <w:p w14:paraId="5F2860D8">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（3）设备和计算安全包括身份鉴别、远程管理通道安全、系统资源访问控制信息完整性、重要信息资源安全标记完整性、日志记录完整性、重要可执行程序来源真实性、密码服务、密码产品等评估项。</w:t>
            </w:r>
          </w:p>
          <w:p w14:paraId="1792D574">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应用和数据安全包括身份鉴别、访问控制信息完整性、重要信息资源安全标记完整性、重要数据传输机密性、重要数据存储机密性、重要数据传输完整性、重要数据存储完整性、不可否认性、密码服务、密码产品等评估项。</w:t>
            </w:r>
          </w:p>
          <w:p w14:paraId="64C2A57A">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（5）管理制度包括具备密码应用安全管理制度、密钥管理规制、建立操作规程、定期修订安全管理制度、明确管理制度发布流程、制度执行过程记录留存等评估项。</w:t>
            </w:r>
          </w:p>
          <w:p w14:paraId="59E9057F">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（6）人员管理包括了解并遵守密码相关法律法规和密码管理制度、建立密码应用岗位责任制度、建立上岗人员培训制度、定期进行安全岗位人员考核、建立关键岗位人员保密制度和调离制度等评估项。</w:t>
            </w:r>
          </w:p>
          <w:p w14:paraId="12DBF59B">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（7）建设运行包括制定密码应用方案、制定密钥安全管理策略、制定实施方案、投入运行前进行密码应用安全性评估、定期开展密码应用安全性评估及攻防对抗演习等评估项。</w:t>
            </w:r>
          </w:p>
          <w:p w14:paraId="55E89F22">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（8）应急处置包括应急策略、事件处置、向有关主管部门上报处置情况等评估项。</w:t>
            </w:r>
          </w:p>
          <w:p w14:paraId="7A1FAFDA">
            <w:pPr>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3、服务成果</w:t>
            </w:r>
          </w:p>
          <w:p w14:paraId="55E97450">
            <w:pPr>
              <w:widowControl/>
              <w:spacing w:line="360" w:lineRule="exact"/>
              <w:ind w:firstLine="420" w:firstLineChars="200"/>
              <w:rPr>
                <w:rFonts w:cs="宋体"/>
                <w:color w:val="auto"/>
                <w:szCs w:val="21"/>
                <w:highlight w:val="none"/>
              </w:rPr>
            </w:pPr>
            <w:r>
              <w:rPr>
                <w:rFonts w:hint="eastAsia" w:ascii="宋体" w:hAnsi="宋体" w:cs="宋体"/>
                <w:color w:val="auto"/>
                <w:sz w:val="21"/>
                <w:szCs w:val="21"/>
                <w:highlight w:val="none"/>
              </w:rPr>
              <w:t>完成被评估系统的商用密码应用安全性评估工作并出具商用密码应用安全性评估报告。报告按照国家密码管理局要求包含的内容编制或参考模板编制。报告中应协助被评估单位认清风险，查找漏洞，找出差距，提出有针对性的加强完善密码安全管理和防护建议。</w:t>
            </w:r>
          </w:p>
        </w:tc>
      </w:tr>
      <w:tr w14:paraId="5CD3D4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top"/>
          </w:tcPr>
          <w:p w14:paraId="30B62751">
            <w:pPr>
              <w:spacing w:line="360" w:lineRule="exact"/>
              <w:rPr>
                <w:rFonts w:ascii="宋体" w:hAnsi="宋体" w:cs="宋体"/>
                <w:color w:val="auto"/>
                <w:szCs w:val="21"/>
                <w:highlight w:val="none"/>
              </w:rPr>
            </w:pPr>
            <w:r>
              <w:rPr>
                <w:rFonts w:hint="eastAsia" w:ascii="宋体" w:hAnsi="宋体" w:cs="宋体"/>
                <w:b/>
                <w:color w:val="auto"/>
                <w:szCs w:val="21"/>
                <w:highlight w:val="none"/>
              </w:rPr>
              <w:t>商务要求</w:t>
            </w:r>
          </w:p>
        </w:tc>
      </w:tr>
      <w:tr w14:paraId="37259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3" w:type="pct"/>
            <w:gridSpan w:val="2"/>
            <w:tcBorders>
              <w:top w:val="single" w:color="auto" w:sz="4" w:space="0"/>
              <w:left w:val="single" w:color="auto" w:sz="4" w:space="0"/>
              <w:bottom w:val="single" w:color="auto" w:sz="4" w:space="0"/>
              <w:right w:val="single" w:color="auto" w:sz="4" w:space="0"/>
            </w:tcBorders>
            <w:noWrap w:val="0"/>
            <w:vAlign w:val="center"/>
          </w:tcPr>
          <w:p w14:paraId="3817417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服务期限及服务地点</w:t>
            </w:r>
          </w:p>
        </w:tc>
        <w:tc>
          <w:tcPr>
            <w:tcW w:w="3947" w:type="pct"/>
            <w:gridSpan w:val="4"/>
            <w:tcBorders>
              <w:top w:val="single" w:color="auto" w:sz="4" w:space="0"/>
              <w:left w:val="single" w:color="auto" w:sz="4" w:space="0"/>
              <w:bottom w:val="single" w:color="auto" w:sz="4" w:space="0"/>
              <w:right w:val="single" w:color="auto" w:sz="4" w:space="0"/>
            </w:tcBorders>
            <w:noWrap w:val="0"/>
            <w:vAlign w:val="center"/>
          </w:tcPr>
          <w:p w14:paraId="22705711">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服务时间：自采购人出具项目进场通知书之日起50个工作日内完成（其中项目现场测评计划：自采购人出具项目进场通知书之日起20个工作日内完成该项目现场测评工作；项目出具测评报告计划：现场测评结束后30个工作日内提供该项目的测评报告。）</w:t>
            </w:r>
          </w:p>
          <w:p w14:paraId="31E8C06F">
            <w:pPr>
              <w:spacing w:line="360" w:lineRule="exact"/>
              <w:rPr>
                <w:rFonts w:ascii="宋体" w:hAnsi="宋体" w:cs="宋体"/>
                <w:color w:val="auto"/>
                <w:szCs w:val="21"/>
                <w:highlight w:val="none"/>
              </w:rPr>
            </w:pPr>
            <w:r>
              <w:rPr>
                <w:rFonts w:hint="eastAsia" w:ascii="宋体" w:hAnsi="宋体" w:cs="宋体"/>
                <w:color w:val="auto"/>
                <w:szCs w:val="21"/>
                <w:highlight w:val="none"/>
              </w:rPr>
              <w:t>2、服务地点：广西壮族自治区内采购人指定地点。</w:t>
            </w:r>
          </w:p>
        </w:tc>
      </w:tr>
      <w:tr w14:paraId="2105C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3" w:type="pct"/>
            <w:gridSpan w:val="2"/>
            <w:tcBorders>
              <w:top w:val="single" w:color="auto" w:sz="4" w:space="0"/>
              <w:left w:val="single" w:color="auto" w:sz="4" w:space="0"/>
              <w:bottom w:val="single" w:color="auto" w:sz="4" w:space="0"/>
              <w:right w:val="single" w:color="auto" w:sz="4" w:space="0"/>
            </w:tcBorders>
            <w:noWrap w:val="0"/>
            <w:vAlign w:val="center"/>
          </w:tcPr>
          <w:p w14:paraId="688682B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报价要求</w:t>
            </w:r>
          </w:p>
        </w:tc>
        <w:tc>
          <w:tcPr>
            <w:tcW w:w="3947" w:type="pct"/>
            <w:gridSpan w:val="4"/>
            <w:tcBorders>
              <w:top w:val="single" w:color="auto" w:sz="4" w:space="0"/>
              <w:left w:val="single" w:color="auto" w:sz="4" w:space="0"/>
              <w:bottom w:val="single" w:color="auto" w:sz="4" w:space="0"/>
              <w:right w:val="single" w:color="auto" w:sz="4" w:space="0"/>
            </w:tcBorders>
            <w:noWrap w:val="0"/>
            <w:vAlign w:val="center"/>
          </w:tcPr>
          <w:p w14:paraId="5539A08B">
            <w:pPr>
              <w:spacing w:line="360" w:lineRule="exact"/>
              <w:rPr>
                <w:rFonts w:ascii="宋体" w:hAnsi="宋体" w:cs="宋体"/>
                <w:color w:val="auto"/>
                <w:szCs w:val="21"/>
                <w:highlight w:val="none"/>
              </w:rPr>
            </w:pPr>
            <w:r>
              <w:rPr>
                <w:rFonts w:hint="eastAsia" w:ascii="宋体" w:hAnsi="宋体" w:cs="宋体"/>
                <w:color w:val="auto"/>
                <w:szCs w:val="21"/>
                <w:highlight w:val="none"/>
              </w:rPr>
              <w:t>报价包含供应商完成本项目服务所有内容及其他相关服务的投入、项目验收费、附加培训、售后服务、税金、利润及其他所有可能发生的一切费用。项目实施过程中，采购人不再支付任何费用。</w:t>
            </w:r>
          </w:p>
        </w:tc>
      </w:tr>
      <w:tr w14:paraId="2C9766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82" w:type="dxa"/>
            <w:gridSpan w:val="2"/>
            <w:tcBorders>
              <w:top w:val="single" w:color="auto" w:sz="4" w:space="0"/>
              <w:left w:val="single" w:color="auto" w:sz="4" w:space="0"/>
              <w:bottom w:val="single" w:color="auto" w:sz="4" w:space="0"/>
              <w:right w:val="single" w:color="auto" w:sz="4" w:space="0"/>
            </w:tcBorders>
            <w:noWrap w:val="0"/>
            <w:vAlign w:val="center"/>
          </w:tcPr>
          <w:p w14:paraId="50082DCF">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合同签订时间</w:t>
            </w:r>
          </w:p>
        </w:tc>
        <w:tc>
          <w:tcPr>
            <w:tcW w:w="7059" w:type="dxa"/>
            <w:gridSpan w:val="4"/>
            <w:tcBorders>
              <w:top w:val="single" w:color="auto" w:sz="4" w:space="0"/>
              <w:left w:val="single" w:color="auto" w:sz="4" w:space="0"/>
              <w:bottom w:val="single" w:color="auto" w:sz="4" w:space="0"/>
              <w:right w:val="single" w:color="auto" w:sz="4" w:space="0"/>
            </w:tcBorders>
            <w:noWrap w:val="0"/>
            <w:vAlign w:val="center"/>
          </w:tcPr>
          <w:p w14:paraId="6D1DE289">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自成交通知书发出之日起25日内。</w:t>
            </w:r>
          </w:p>
        </w:tc>
      </w:tr>
      <w:tr w14:paraId="417A41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3" w:type="pct"/>
            <w:gridSpan w:val="2"/>
            <w:tcBorders>
              <w:top w:val="single" w:color="auto" w:sz="4" w:space="0"/>
              <w:left w:val="single" w:color="auto" w:sz="4" w:space="0"/>
              <w:bottom w:val="single" w:color="auto" w:sz="4" w:space="0"/>
              <w:right w:val="single" w:color="auto" w:sz="4" w:space="0"/>
            </w:tcBorders>
            <w:noWrap w:val="0"/>
            <w:vAlign w:val="center"/>
          </w:tcPr>
          <w:p w14:paraId="6D3BBB6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验收要求</w:t>
            </w:r>
          </w:p>
        </w:tc>
        <w:tc>
          <w:tcPr>
            <w:tcW w:w="3947" w:type="pct"/>
            <w:gridSpan w:val="4"/>
            <w:tcBorders>
              <w:top w:val="single" w:color="auto" w:sz="4" w:space="0"/>
              <w:left w:val="single" w:color="auto" w:sz="4" w:space="0"/>
              <w:bottom w:val="single" w:color="auto" w:sz="4" w:space="0"/>
              <w:right w:val="single" w:color="auto" w:sz="4" w:space="0"/>
            </w:tcBorders>
            <w:noWrap w:val="0"/>
            <w:vAlign w:val="center"/>
          </w:tcPr>
          <w:p w14:paraId="2A30BB9D">
            <w:pPr>
              <w:spacing w:line="360" w:lineRule="exact"/>
              <w:rPr>
                <w:rFonts w:ascii="宋体" w:hAnsi="宋体" w:cs="宋体"/>
                <w:color w:val="auto"/>
                <w:szCs w:val="21"/>
                <w:highlight w:val="none"/>
              </w:rPr>
            </w:pPr>
            <w:r>
              <w:rPr>
                <w:rFonts w:hint="eastAsia" w:ascii="宋体" w:hAnsi="宋体" w:cs="宋体"/>
                <w:color w:val="auto"/>
                <w:szCs w:val="21"/>
                <w:highlight w:val="none"/>
              </w:rPr>
              <w:t>符合现行国家相关标准、行业标准、地方标准或者其他标准、规范。</w:t>
            </w:r>
          </w:p>
        </w:tc>
      </w:tr>
      <w:tr w14:paraId="406A4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3" w:type="pct"/>
            <w:gridSpan w:val="2"/>
            <w:tcBorders>
              <w:top w:val="single" w:color="auto" w:sz="4" w:space="0"/>
              <w:left w:val="single" w:color="auto" w:sz="4" w:space="0"/>
              <w:bottom w:val="single" w:color="auto" w:sz="4" w:space="0"/>
              <w:right w:val="single" w:color="auto" w:sz="4" w:space="0"/>
            </w:tcBorders>
            <w:noWrap w:val="0"/>
            <w:vAlign w:val="center"/>
          </w:tcPr>
          <w:p w14:paraId="269C6BD9">
            <w:pPr>
              <w:spacing w:line="360" w:lineRule="exact"/>
              <w:jc w:val="center"/>
              <w:rPr>
                <w:rFonts w:ascii="宋体" w:hAnsi="宋体" w:cs="宋体"/>
                <w:b/>
                <w:color w:val="auto"/>
                <w:szCs w:val="21"/>
                <w:highlight w:val="none"/>
              </w:rPr>
            </w:pPr>
            <w:r>
              <w:rPr>
                <w:rFonts w:hint="eastAsia" w:ascii="宋体" w:hAnsi="宋体" w:cs="宋体"/>
                <w:color w:val="auto"/>
                <w:szCs w:val="21"/>
                <w:highlight w:val="none"/>
              </w:rPr>
              <w:t>付款条件</w:t>
            </w:r>
          </w:p>
        </w:tc>
        <w:tc>
          <w:tcPr>
            <w:tcW w:w="3947" w:type="pct"/>
            <w:gridSpan w:val="4"/>
            <w:tcBorders>
              <w:top w:val="single" w:color="auto" w:sz="4" w:space="0"/>
              <w:left w:val="single" w:color="auto" w:sz="4" w:space="0"/>
              <w:bottom w:val="single" w:color="auto" w:sz="4" w:space="0"/>
              <w:right w:val="single" w:color="auto" w:sz="4" w:space="0"/>
            </w:tcBorders>
            <w:noWrap w:val="0"/>
            <w:vAlign w:val="center"/>
          </w:tcPr>
          <w:p w14:paraId="1CBF7B2B">
            <w:pPr>
              <w:spacing w:line="360" w:lineRule="exact"/>
              <w:rPr>
                <w:rFonts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合同签订后10个工作日内，采购人向成交供应商支付合同总额30%的款项；成交供应商完成等级保护测评工作并经采购人确认后，采购人在15个工作日内向成交供应商支付合同总价的60%款项；成交供应商完成商用密码应用安全性评估工作并经采购人确认后，采购人在15个工作日内向成交供应商支付合同总价的10%款项。成交供应商在每次收到合同款后7个工作日内开具等额有效合法发票给采购人。</w:t>
            </w:r>
          </w:p>
        </w:tc>
      </w:tr>
      <w:tr w14:paraId="7F6BE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3" w:type="pct"/>
            <w:gridSpan w:val="2"/>
            <w:tcBorders>
              <w:top w:val="single" w:color="auto" w:sz="4" w:space="0"/>
              <w:left w:val="single" w:color="auto" w:sz="4" w:space="0"/>
              <w:bottom w:val="single" w:color="auto" w:sz="4" w:space="0"/>
              <w:right w:val="single" w:color="auto" w:sz="4" w:space="0"/>
            </w:tcBorders>
            <w:noWrap w:val="0"/>
            <w:vAlign w:val="center"/>
          </w:tcPr>
          <w:p w14:paraId="3C2A79FA">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技术服务要求</w:t>
            </w:r>
          </w:p>
        </w:tc>
        <w:tc>
          <w:tcPr>
            <w:tcW w:w="3947" w:type="pct"/>
            <w:gridSpan w:val="4"/>
            <w:tcBorders>
              <w:top w:val="single" w:color="auto" w:sz="4" w:space="0"/>
              <w:left w:val="single" w:color="auto" w:sz="4" w:space="0"/>
              <w:bottom w:val="single" w:color="auto" w:sz="4" w:space="0"/>
              <w:right w:val="single" w:color="auto" w:sz="4" w:space="0"/>
            </w:tcBorders>
            <w:noWrap w:val="0"/>
            <w:vAlign w:val="center"/>
          </w:tcPr>
          <w:p w14:paraId="40228B63">
            <w:pPr>
              <w:pStyle w:val="18"/>
              <w:snapToGrid w:val="0"/>
              <w:spacing w:line="360" w:lineRule="exact"/>
              <w:ind w:left="315" w:hanging="315" w:hangingChars="150"/>
              <w:outlineLvl w:val="0"/>
              <w:rPr>
                <w:rFonts w:hAnsi="宋体" w:cs="宋体"/>
                <w:color w:val="auto"/>
                <w:kern w:val="2"/>
                <w:sz w:val="21"/>
                <w:highlight w:val="none"/>
              </w:rPr>
            </w:pPr>
            <w:bookmarkStart w:id="90" w:name="_Toc29222"/>
            <w:bookmarkStart w:id="91" w:name="_Toc22454"/>
            <w:bookmarkStart w:id="92" w:name="_Toc4990"/>
            <w:r>
              <w:rPr>
                <w:rFonts w:hint="eastAsia" w:hAnsi="宋体" w:cs="宋体"/>
                <w:color w:val="auto"/>
                <w:kern w:val="2"/>
                <w:sz w:val="21"/>
                <w:highlight w:val="none"/>
              </w:rPr>
              <w:t>1、定期回访，免费提供技术支持及培训。</w:t>
            </w:r>
            <w:bookmarkEnd w:id="90"/>
            <w:bookmarkEnd w:id="91"/>
            <w:bookmarkEnd w:id="92"/>
          </w:p>
          <w:p w14:paraId="4F7EA13D">
            <w:pPr>
              <w:pStyle w:val="18"/>
              <w:snapToGrid w:val="0"/>
              <w:spacing w:line="360" w:lineRule="exact"/>
              <w:ind w:left="315" w:hanging="315" w:hangingChars="150"/>
              <w:outlineLvl w:val="0"/>
              <w:rPr>
                <w:rFonts w:hAnsi="宋体" w:cs="宋体"/>
                <w:color w:val="auto"/>
                <w:kern w:val="2"/>
                <w:sz w:val="21"/>
                <w:highlight w:val="none"/>
              </w:rPr>
            </w:pPr>
            <w:bookmarkStart w:id="93" w:name="_Toc19827"/>
            <w:bookmarkStart w:id="94" w:name="_Toc12093"/>
            <w:bookmarkStart w:id="95" w:name="_Toc27425"/>
            <w:r>
              <w:rPr>
                <w:rFonts w:hint="eastAsia" w:hAnsi="宋体" w:cs="宋体"/>
                <w:color w:val="auto"/>
                <w:kern w:val="2"/>
                <w:sz w:val="21"/>
                <w:highlight w:val="none"/>
              </w:rPr>
              <w:t>2、提供全区统一客服电话。有明确的服务规程和项目应急维护方案，并提供售后服务方案和机构的详细情况：包括服务机构的地址、服务人员姓名、联系方式、售后服务措施等。</w:t>
            </w:r>
            <w:bookmarkEnd w:id="93"/>
            <w:bookmarkEnd w:id="94"/>
            <w:bookmarkEnd w:id="95"/>
          </w:p>
          <w:p w14:paraId="0D0953EA">
            <w:pPr>
              <w:pStyle w:val="18"/>
              <w:snapToGrid w:val="0"/>
              <w:spacing w:line="360" w:lineRule="exact"/>
              <w:ind w:left="315" w:hanging="315" w:hangingChars="150"/>
              <w:outlineLvl w:val="0"/>
              <w:rPr>
                <w:rFonts w:hAnsi="宋体" w:cs="宋体"/>
                <w:color w:val="auto"/>
                <w:kern w:val="2"/>
                <w:sz w:val="21"/>
                <w:highlight w:val="none"/>
              </w:rPr>
            </w:pPr>
            <w:bookmarkStart w:id="96" w:name="_Toc12227"/>
            <w:bookmarkStart w:id="97" w:name="_Toc17929"/>
            <w:bookmarkStart w:id="98" w:name="_Toc2680"/>
            <w:r>
              <w:rPr>
                <w:rFonts w:hint="eastAsia" w:hAnsi="宋体" w:cs="宋体"/>
                <w:color w:val="auto"/>
                <w:kern w:val="2"/>
                <w:sz w:val="21"/>
                <w:highlight w:val="none"/>
              </w:rPr>
              <w:t>3、若</w:t>
            </w:r>
            <w:r>
              <w:rPr>
                <w:rFonts w:hint="eastAsia" w:hAnsi="宋体" w:cs="宋体"/>
                <w:color w:val="auto"/>
                <w:sz w:val="21"/>
                <w:highlight w:val="none"/>
              </w:rPr>
              <w:t>成交供应商</w:t>
            </w:r>
            <w:r>
              <w:rPr>
                <w:rFonts w:hint="eastAsia" w:hAnsi="宋体" w:cs="宋体"/>
                <w:color w:val="auto"/>
                <w:kern w:val="2"/>
                <w:sz w:val="21"/>
                <w:highlight w:val="none"/>
              </w:rPr>
              <w:t>提供的相关设备出现故障，</w:t>
            </w:r>
            <w:r>
              <w:rPr>
                <w:rFonts w:hint="eastAsia" w:hAnsi="宋体" w:cs="宋体"/>
                <w:color w:val="auto"/>
                <w:sz w:val="21"/>
                <w:highlight w:val="none"/>
              </w:rPr>
              <w:t>成交供应商</w:t>
            </w:r>
            <w:r>
              <w:rPr>
                <w:rFonts w:hint="eastAsia" w:hAnsi="宋体" w:cs="宋体"/>
                <w:color w:val="auto"/>
                <w:kern w:val="2"/>
                <w:sz w:val="21"/>
                <w:highlight w:val="none"/>
              </w:rPr>
              <w:t>须及时负责修复，在规定的时间内解决问题，否则提供同档次替代品。</w:t>
            </w:r>
            <w:bookmarkEnd w:id="96"/>
            <w:bookmarkEnd w:id="97"/>
            <w:bookmarkEnd w:id="98"/>
          </w:p>
        </w:tc>
      </w:tr>
      <w:tr w14:paraId="570EF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3" w:type="pct"/>
            <w:gridSpan w:val="2"/>
            <w:tcBorders>
              <w:top w:val="single" w:color="auto" w:sz="4" w:space="0"/>
              <w:left w:val="single" w:color="auto" w:sz="4" w:space="0"/>
              <w:bottom w:val="single" w:color="auto" w:sz="4" w:space="0"/>
              <w:right w:val="single" w:color="auto" w:sz="4" w:space="0"/>
            </w:tcBorders>
            <w:noWrap w:val="0"/>
            <w:vAlign w:val="center"/>
          </w:tcPr>
          <w:p w14:paraId="2B5BEDD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3947" w:type="pct"/>
            <w:gridSpan w:val="4"/>
            <w:tcBorders>
              <w:top w:val="single" w:color="auto" w:sz="4" w:space="0"/>
              <w:left w:val="single" w:color="auto" w:sz="4" w:space="0"/>
              <w:bottom w:val="single" w:color="auto" w:sz="4" w:space="0"/>
              <w:right w:val="single" w:color="auto" w:sz="4" w:space="0"/>
            </w:tcBorders>
            <w:noWrap w:val="0"/>
            <w:vAlign w:val="center"/>
          </w:tcPr>
          <w:p w14:paraId="25ED44E4">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1、成交供应商必须签署相关保密协议，严格遵守协议要求</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rPr>
              <w:t>如因</w:t>
            </w:r>
            <w:r>
              <w:rPr>
                <w:rFonts w:hint="eastAsia" w:ascii="宋体" w:hAnsi="宋体" w:cs="宋体"/>
                <w:color w:val="auto"/>
                <w:szCs w:val="21"/>
                <w:highlight w:val="none"/>
              </w:rPr>
              <w:t>成交供应商</w:t>
            </w:r>
            <w:r>
              <w:rPr>
                <w:rFonts w:hint="eastAsia" w:ascii="宋体" w:hAnsi="宋体" w:eastAsia="宋体" w:cs="宋体"/>
                <w:color w:val="auto"/>
                <w:sz w:val="21"/>
                <w:szCs w:val="21"/>
                <w:highlight w:val="none"/>
              </w:rPr>
              <w:t>原因造成的信息泄露事件，采购人可追究其责任</w:t>
            </w:r>
            <w:r>
              <w:rPr>
                <w:rFonts w:hint="eastAsia" w:ascii="宋体" w:hAnsi="宋体" w:cs="宋体"/>
                <w:color w:val="auto"/>
                <w:szCs w:val="21"/>
                <w:highlight w:val="none"/>
              </w:rPr>
              <w:t>。</w:t>
            </w:r>
          </w:p>
          <w:p w14:paraId="02FE0971">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2、供应商必须针对本项目提供技术、实施、售后服务方案。</w:t>
            </w:r>
          </w:p>
          <w:p w14:paraId="6E60DFD1">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3、供应商拟投入本项目的测评人员必须具有信息安全等级测评师证书或网络安全等级测评师证书，项目团队至少包含1名高级测评师、1名中级（含）以上测评师、</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名初级（含）以上测评师和1名CISP注册信息安全工程师。</w:t>
            </w:r>
          </w:p>
          <w:p w14:paraId="0D2DEF7E">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4、成交供应商入场前必须向采购人提供项目实施人员名单。为确保项目稳定实施，供应商如需更换人员，需提前15天通知采购人，经采购人同意后方可更换。</w:t>
            </w:r>
          </w:p>
          <w:p w14:paraId="0E69CC37">
            <w:pPr>
              <w:spacing w:line="360" w:lineRule="exact"/>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知识产权归属：本次项目成果全部知识产权归采购人（或业主单位）所有，</w:t>
            </w:r>
            <w:r>
              <w:rPr>
                <w:rFonts w:hint="eastAsia" w:ascii="宋体" w:hAnsi="宋体" w:eastAsia="宋体" w:cs="宋体"/>
                <w:color w:val="auto"/>
                <w:szCs w:val="21"/>
                <w:highlight w:val="none"/>
                <w:lang w:val="en-US" w:eastAsia="zh-CN"/>
              </w:rPr>
              <w:t>成交供应商</w:t>
            </w:r>
            <w:r>
              <w:rPr>
                <w:rFonts w:hint="eastAsia" w:ascii="宋体" w:hAnsi="宋体" w:eastAsia="宋体" w:cs="宋体"/>
                <w:color w:val="auto"/>
                <w:szCs w:val="21"/>
                <w:highlight w:val="none"/>
              </w:rPr>
              <w:t>不得擅自对外发表、出版。</w:t>
            </w:r>
          </w:p>
        </w:tc>
      </w:tr>
    </w:tbl>
    <w:p w14:paraId="3A96ABB2">
      <w:pPr>
        <w:widowControl/>
        <w:spacing w:line="360" w:lineRule="auto"/>
        <w:jc w:val="left"/>
        <w:rPr>
          <w:rFonts w:ascii="宋体" w:hAnsi="宋体" w:cs="宋体"/>
          <w:b/>
          <w:bCs/>
          <w:color w:val="auto"/>
          <w:kern w:val="0"/>
          <w:szCs w:val="21"/>
          <w:highlight w:val="none"/>
          <w:lang w:bidi="ar"/>
        </w:rPr>
      </w:pPr>
    </w:p>
    <w:p w14:paraId="32DBDBC6">
      <w:pPr>
        <w:widowControl/>
        <w:spacing w:line="360" w:lineRule="auto"/>
        <w:jc w:val="left"/>
        <w:rPr>
          <w:rFonts w:ascii="宋体" w:hAnsi="宋体" w:cs="宋体"/>
          <w:b/>
          <w:bCs/>
          <w:color w:val="auto"/>
          <w:kern w:val="0"/>
          <w:szCs w:val="21"/>
          <w:highlight w:val="none"/>
          <w:lang w:bidi="ar"/>
        </w:rPr>
      </w:pPr>
    </w:p>
    <w:p w14:paraId="77FC9CC3">
      <w:pPr>
        <w:widowControl/>
        <w:spacing w:line="360" w:lineRule="auto"/>
        <w:jc w:val="left"/>
        <w:rPr>
          <w:rFonts w:ascii="宋体" w:hAnsi="宋体" w:cs="宋体"/>
          <w:b/>
          <w:bCs/>
          <w:color w:val="auto"/>
          <w:kern w:val="0"/>
          <w:szCs w:val="21"/>
          <w:highlight w:val="none"/>
          <w:lang w:bidi="ar"/>
        </w:rPr>
      </w:pPr>
    </w:p>
    <w:p w14:paraId="5E086B19">
      <w:pPr>
        <w:widowControl/>
        <w:spacing w:line="360" w:lineRule="auto"/>
        <w:jc w:val="left"/>
        <w:rPr>
          <w:rFonts w:ascii="宋体" w:hAnsi="宋体" w:cs="宋体"/>
          <w:b/>
          <w:bCs/>
          <w:color w:val="auto"/>
          <w:kern w:val="0"/>
          <w:szCs w:val="21"/>
          <w:highlight w:val="none"/>
          <w:lang w:bidi="ar"/>
        </w:rPr>
      </w:pPr>
    </w:p>
    <w:p w14:paraId="01C5F753">
      <w:pPr>
        <w:widowControl/>
        <w:spacing w:line="360" w:lineRule="auto"/>
        <w:jc w:val="left"/>
        <w:rPr>
          <w:rFonts w:ascii="宋体" w:hAnsi="宋体" w:cs="宋体"/>
          <w:b/>
          <w:bCs/>
          <w:color w:val="auto"/>
          <w:kern w:val="0"/>
          <w:szCs w:val="21"/>
          <w:highlight w:val="none"/>
          <w:lang w:bidi="ar"/>
        </w:rPr>
      </w:pPr>
    </w:p>
    <w:p w14:paraId="12ECA86C">
      <w:pPr>
        <w:widowControl/>
        <w:spacing w:line="360" w:lineRule="auto"/>
        <w:jc w:val="left"/>
        <w:rPr>
          <w:rFonts w:ascii="宋体" w:hAnsi="宋体" w:cs="宋体"/>
          <w:b/>
          <w:bCs/>
          <w:color w:val="auto"/>
          <w:kern w:val="0"/>
          <w:szCs w:val="21"/>
          <w:highlight w:val="none"/>
          <w:lang w:bidi="ar"/>
        </w:rPr>
      </w:pPr>
    </w:p>
    <w:p w14:paraId="72E097B8">
      <w:pPr>
        <w:widowControl/>
        <w:spacing w:line="360" w:lineRule="auto"/>
        <w:jc w:val="left"/>
        <w:rPr>
          <w:rFonts w:ascii="宋体" w:hAnsi="宋体" w:cs="宋体"/>
          <w:b/>
          <w:bCs/>
          <w:color w:val="auto"/>
          <w:kern w:val="0"/>
          <w:szCs w:val="21"/>
          <w:highlight w:val="none"/>
          <w:lang w:bidi="ar"/>
        </w:rPr>
      </w:pPr>
    </w:p>
    <w:p w14:paraId="49E7DB05">
      <w:pPr>
        <w:widowControl/>
        <w:spacing w:line="360" w:lineRule="auto"/>
        <w:jc w:val="left"/>
        <w:rPr>
          <w:rFonts w:ascii="宋体" w:hAnsi="宋体" w:cs="宋体"/>
          <w:b/>
          <w:bCs/>
          <w:color w:val="auto"/>
          <w:kern w:val="0"/>
          <w:szCs w:val="21"/>
          <w:highlight w:val="none"/>
          <w:lang w:bidi="ar"/>
        </w:rPr>
      </w:pPr>
    </w:p>
    <w:p w14:paraId="45C45097">
      <w:pPr>
        <w:widowControl/>
        <w:spacing w:line="360" w:lineRule="auto"/>
        <w:jc w:val="left"/>
        <w:rPr>
          <w:rFonts w:ascii="宋体" w:hAnsi="宋体" w:cs="宋体"/>
          <w:b/>
          <w:bCs/>
          <w:color w:val="auto"/>
          <w:kern w:val="0"/>
          <w:szCs w:val="21"/>
          <w:highlight w:val="none"/>
          <w:lang w:bidi="ar"/>
        </w:rPr>
      </w:pPr>
    </w:p>
    <w:p w14:paraId="77BEBFAA">
      <w:pPr>
        <w:widowControl/>
        <w:spacing w:line="360" w:lineRule="auto"/>
        <w:jc w:val="left"/>
        <w:rPr>
          <w:rFonts w:ascii="宋体" w:hAnsi="宋体" w:cs="宋体"/>
          <w:b/>
          <w:bCs/>
          <w:color w:val="auto"/>
          <w:kern w:val="0"/>
          <w:szCs w:val="21"/>
          <w:highlight w:val="none"/>
          <w:lang w:bidi="ar"/>
        </w:rPr>
      </w:pPr>
    </w:p>
    <w:p w14:paraId="5B4692E6">
      <w:pPr>
        <w:widowControl/>
        <w:spacing w:line="360" w:lineRule="auto"/>
        <w:jc w:val="left"/>
        <w:rPr>
          <w:rFonts w:ascii="宋体" w:hAnsi="宋体" w:cs="宋体"/>
          <w:b/>
          <w:bCs/>
          <w:color w:val="auto"/>
          <w:kern w:val="0"/>
          <w:szCs w:val="21"/>
          <w:highlight w:val="none"/>
          <w:lang w:bidi="ar"/>
        </w:rPr>
      </w:pPr>
    </w:p>
    <w:p w14:paraId="32B53FF9">
      <w:pPr>
        <w:widowControl/>
        <w:spacing w:line="360" w:lineRule="auto"/>
        <w:jc w:val="left"/>
        <w:rPr>
          <w:rFonts w:ascii="宋体" w:hAnsi="宋体" w:cs="宋体"/>
          <w:b/>
          <w:bCs/>
          <w:color w:val="auto"/>
          <w:kern w:val="0"/>
          <w:szCs w:val="21"/>
          <w:highlight w:val="none"/>
          <w:lang w:bidi="ar"/>
        </w:rPr>
      </w:pPr>
    </w:p>
    <w:p w14:paraId="13FDF40D">
      <w:pPr>
        <w:widowControl/>
        <w:spacing w:line="360" w:lineRule="auto"/>
        <w:jc w:val="left"/>
        <w:rPr>
          <w:rFonts w:ascii="宋体" w:hAnsi="宋体" w:cs="宋体"/>
          <w:b/>
          <w:bCs/>
          <w:color w:val="auto"/>
          <w:kern w:val="0"/>
          <w:szCs w:val="21"/>
          <w:highlight w:val="none"/>
          <w:lang w:bidi="ar"/>
        </w:rPr>
      </w:pPr>
    </w:p>
    <w:p w14:paraId="33AFE117">
      <w:pPr>
        <w:widowControl/>
        <w:spacing w:line="360" w:lineRule="auto"/>
        <w:jc w:val="left"/>
        <w:rPr>
          <w:rFonts w:ascii="宋体" w:hAnsi="宋体" w:cs="宋体"/>
          <w:b/>
          <w:bCs/>
          <w:color w:val="auto"/>
          <w:kern w:val="0"/>
          <w:szCs w:val="21"/>
          <w:highlight w:val="none"/>
          <w:lang w:bidi="ar"/>
        </w:rPr>
      </w:pPr>
    </w:p>
    <w:p w14:paraId="43D43C6E">
      <w:pPr>
        <w:widowControl/>
        <w:spacing w:line="360" w:lineRule="auto"/>
        <w:jc w:val="left"/>
        <w:rPr>
          <w:rFonts w:ascii="宋体" w:hAnsi="宋体" w:cs="宋体"/>
          <w:b/>
          <w:bCs/>
          <w:color w:val="auto"/>
          <w:kern w:val="0"/>
          <w:szCs w:val="21"/>
          <w:highlight w:val="none"/>
          <w:lang w:bidi="ar"/>
        </w:rPr>
      </w:pPr>
    </w:p>
    <w:p w14:paraId="70A54FC3">
      <w:pPr>
        <w:widowControl/>
        <w:spacing w:line="360" w:lineRule="auto"/>
        <w:jc w:val="left"/>
        <w:rPr>
          <w:rFonts w:ascii="宋体" w:hAnsi="宋体" w:cs="宋体"/>
          <w:b/>
          <w:bCs/>
          <w:color w:val="auto"/>
          <w:kern w:val="0"/>
          <w:szCs w:val="21"/>
          <w:highlight w:val="none"/>
          <w:lang w:bidi="ar"/>
        </w:rPr>
      </w:pPr>
    </w:p>
    <w:p w14:paraId="217246C7">
      <w:pPr>
        <w:widowControl/>
        <w:spacing w:line="360" w:lineRule="auto"/>
        <w:jc w:val="left"/>
        <w:rPr>
          <w:rFonts w:ascii="宋体" w:hAnsi="宋体" w:cs="宋体"/>
          <w:b/>
          <w:bCs/>
          <w:color w:val="auto"/>
          <w:kern w:val="0"/>
          <w:szCs w:val="21"/>
          <w:highlight w:val="none"/>
          <w:lang w:bidi="ar"/>
        </w:rPr>
      </w:pPr>
    </w:p>
    <w:p w14:paraId="1693D710">
      <w:pPr>
        <w:widowControl/>
        <w:spacing w:line="360" w:lineRule="auto"/>
        <w:jc w:val="left"/>
        <w:rPr>
          <w:rFonts w:ascii="宋体" w:hAnsi="宋体" w:cs="宋体"/>
          <w:b/>
          <w:bCs/>
          <w:color w:val="auto"/>
          <w:kern w:val="0"/>
          <w:szCs w:val="21"/>
          <w:highlight w:val="none"/>
          <w:lang w:bidi="ar"/>
        </w:rPr>
      </w:pPr>
    </w:p>
    <w:p w14:paraId="5266D818">
      <w:pPr>
        <w:widowControl/>
        <w:spacing w:line="360" w:lineRule="auto"/>
        <w:jc w:val="left"/>
        <w:rPr>
          <w:rFonts w:ascii="宋体" w:hAnsi="宋体" w:cs="宋体"/>
          <w:b/>
          <w:bCs/>
          <w:color w:val="auto"/>
          <w:kern w:val="0"/>
          <w:szCs w:val="21"/>
          <w:highlight w:val="none"/>
          <w:lang w:bidi="ar"/>
        </w:rPr>
      </w:pPr>
    </w:p>
    <w:p w14:paraId="72F5C821">
      <w:pPr>
        <w:widowControl/>
        <w:spacing w:line="360" w:lineRule="auto"/>
        <w:jc w:val="left"/>
        <w:rPr>
          <w:rFonts w:ascii="宋体" w:hAnsi="宋体" w:cs="宋体"/>
          <w:b/>
          <w:bCs/>
          <w:color w:val="auto"/>
          <w:kern w:val="0"/>
          <w:szCs w:val="21"/>
          <w:highlight w:val="none"/>
          <w:lang w:bidi="ar"/>
        </w:rPr>
      </w:pPr>
    </w:p>
    <w:p w14:paraId="69342344">
      <w:pPr>
        <w:widowControl/>
        <w:spacing w:line="360" w:lineRule="auto"/>
        <w:jc w:val="left"/>
        <w:rPr>
          <w:rFonts w:ascii="宋体" w:hAnsi="宋体" w:cs="宋体"/>
          <w:b/>
          <w:bCs/>
          <w:color w:val="auto"/>
          <w:kern w:val="0"/>
          <w:szCs w:val="21"/>
          <w:highlight w:val="none"/>
          <w:lang w:bidi="ar"/>
        </w:rPr>
      </w:pPr>
    </w:p>
    <w:p w14:paraId="5718E803">
      <w:pPr>
        <w:rPr>
          <w:rFonts w:hint="eastAsia" w:ascii="宋体" w:hAnsi="宋体" w:cs="宋体"/>
          <w:b/>
          <w:bCs/>
          <w:color w:val="auto"/>
          <w:szCs w:val="21"/>
          <w:highlight w:val="none"/>
        </w:rPr>
      </w:pPr>
      <w:r>
        <w:rPr>
          <w:rFonts w:hint="eastAsia" w:ascii="宋体" w:hAnsi="宋体" w:cs="宋体"/>
          <w:b/>
          <w:bCs/>
          <w:color w:val="auto"/>
          <w:szCs w:val="21"/>
          <w:highlight w:val="none"/>
        </w:rPr>
        <w:t xml:space="preserve"> 2 分标 </w:t>
      </w:r>
      <w:r>
        <w:rPr>
          <w:rFonts w:hint="eastAsia" w:ascii="宋体" w:hAnsi="宋体" w:cs="宋体"/>
          <w:b/>
          <w:bCs/>
          <w:color w:val="auto"/>
          <w:szCs w:val="21"/>
          <w:highlight w:val="none"/>
          <w:lang w:val="en-US" w:eastAsia="zh-CN"/>
        </w:rPr>
        <w:t xml:space="preserve">     </w:t>
      </w:r>
      <w:r>
        <w:rPr>
          <w:rFonts w:hint="eastAsia" w:ascii="宋体" w:hAnsi="宋体" w:cs="宋体"/>
          <w:b/>
          <w:bCs/>
          <w:color w:val="auto"/>
          <w:szCs w:val="21"/>
          <w:highlight w:val="none"/>
        </w:rPr>
        <w:t xml:space="preserve">采购预算： 80.00万元 </w:t>
      </w:r>
    </w:p>
    <w:p w14:paraId="453FFC68">
      <w:pPr>
        <w:pStyle w:val="22"/>
        <w:rPr>
          <w:rFonts w:hint="eastAsia"/>
          <w:color w:val="auto"/>
          <w:highlight w:val="none"/>
        </w:rPr>
      </w:pPr>
    </w:p>
    <w:tbl>
      <w:tblPr>
        <w:tblStyle w:val="32"/>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79"/>
        <w:gridCol w:w="665"/>
        <w:gridCol w:w="665"/>
        <w:gridCol w:w="848"/>
        <w:gridCol w:w="966"/>
        <w:gridCol w:w="5218"/>
      </w:tblGrid>
      <w:tr w14:paraId="41C46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324" w:type="pct"/>
            <w:noWrap w:val="0"/>
            <w:vAlign w:val="center"/>
          </w:tcPr>
          <w:p w14:paraId="1E9919D2">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744" w:type="pct"/>
            <w:gridSpan w:val="2"/>
            <w:noWrap w:val="0"/>
            <w:vAlign w:val="center"/>
          </w:tcPr>
          <w:p w14:paraId="7B9CD6EC">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474" w:type="pct"/>
            <w:noWrap w:val="0"/>
            <w:vAlign w:val="center"/>
          </w:tcPr>
          <w:p w14:paraId="1776E003">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540" w:type="pct"/>
            <w:noWrap w:val="0"/>
            <w:vAlign w:val="center"/>
          </w:tcPr>
          <w:p w14:paraId="5B47B9DC">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所属</w:t>
            </w:r>
          </w:p>
          <w:p w14:paraId="3525725C">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行业</w:t>
            </w:r>
          </w:p>
        </w:tc>
        <w:tc>
          <w:tcPr>
            <w:tcW w:w="2916" w:type="pct"/>
            <w:noWrap w:val="0"/>
            <w:vAlign w:val="center"/>
          </w:tcPr>
          <w:p w14:paraId="580C269B">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技术要求</w:t>
            </w:r>
          </w:p>
        </w:tc>
      </w:tr>
      <w:tr w14:paraId="040DB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324" w:type="pct"/>
            <w:noWrap w:val="0"/>
            <w:vAlign w:val="center"/>
          </w:tcPr>
          <w:p w14:paraId="348D94C0">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744" w:type="pct"/>
            <w:gridSpan w:val="2"/>
            <w:noWrap w:val="0"/>
            <w:vAlign w:val="center"/>
          </w:tcPr>
          <w:p w14:paraId="0F851B4B">
            <w:pPr>
              <w:snapToGrid w:val="0"/>
              <w:spacing w:line="360" w:lineRule="exact"/>
              <w:jc w:val="center"/>
              <w:outlineLvl w:val="0"/>
              <w:rPr>
                <w:rFonts w:ascii="宋体" w:hAnsi="宋体" w:cs="宋体"/>
                <w:bCs/>
                <w:color w:val="auto"/>
                <w:szCs w:val="21"/>
                <w:highlight w:val="none"/>
              </w:rPr>
            </w:pPr>
            <w:bookmarkStart w:id="99" w:name="_Toc26172"/>
            <w:bookmarkStart w:id="100" w:name="_Toc3373"/>
            <w:bookmarkStart w:id="101" w:name="_Toc29067"/>
            <w:r>
              <w:rPr>
                <w:rFonts w:hint="eastAsia" w:ascii="宋体" w:hAnsi="宋体" w:cs="宋体"/>
                <w:bCs/>
                <w:color w:val="auto"/>
                <w:szCs w:val="21"/>
                <w:highlight w:val="none"/>
              </w:rPr>
              <w:t>自然资源信息化建设项目咨询设计服务</w:t>
            </w:r>
            <w:bookmarkEnd w:id="99"/>
            <w:bookmarkEnd w:id="100"/>
            <w:bookmarkEnd w:id="101"/>
          </w:p>
        </w:tc>
        <w:tc>
          <w:tcPr>
            <w:tcW w:w="474" w:type="pct"/>
            <w:noWrap w:val="0"/>
            <w:vAlign w:val="center"/>
          </w:tcPr>
          <w:p w14:paraId="1584EEA0">
            <w:pPr>
              <w:snapToGrid w:val="0"/>
              <w:spacing w:line="360" w:lineRule="exact"/>
              <w:jc w:val="center"/>
              <w:outlineLvl w:val="0"/>
              <w:rPr>
                <w:rFonts w:ascii="宋体" w:hAnsi="宋体" w:cs="宋体"/>
                <w:b/>
                <w:color w:val="auto"/>
                <w:szCs w:val="21"/>
                <w:highlight w:val="none"/>
              </w:rPr>
            </w:pPr>
            <w:bookmarkStart w:id="102" w:name="_Toc317"/>
            <w:bookmarkStart w:id="103" w:name="_Toc15118"/>
            <w:bookmarkStart w:id="104" w:name="_Toc12242"/>
            <w:r>
              <w:rPr>
                <w:rFonts w:hint="eastAsia" w:ascii="宋体" w:hAnsi="宋体" w:cs="宋体"/>
                <w:color w:val="auto"/>
                <w:szCs w:val="21"/>
                <w:highlight w:val="none"/>
              </w:rPr>
              <w:t>1项</w:t>
            </w:r>
            <w:bookmarkEnd w:id="102"/>
            <w:bookmarkEnd w:id="103"/>
            <w:bookmarkEnd w:id="104"/>
          </w:p>
        </w:tc>
        <w:tc>
          <w:tcPr>
            <w:tcW w:w="540" w:type="pct"/>
            <w:noWrap w:val="0"/>
            <w:vAlign w:val="center"/>
          </w:tcPr>
          <w:p w14:paraId="115AA25C">
            <w:pPr>
              <w:tabs>
                <w:tab w:val="left" w:pos="180"/>
                <w:tab w:val="left" w:pos="1620"/>
              </w:tabs>
              <w:spacing w:line="360" w:lineRule="exact"/>
              <w:rPr>
                <w:rFonts w:ascii="宋体" w:hAnsi="宋体" w:cs="宋体"/>
                <w:color w:val="auto"/>
                <w:szCs w:val="21"/>
                <w:highlight w:val="none"/>
              </w:rPr>
            </w:pPr>
            <w:r>
              <w:rPr>
                <w:rFonts w:hint="eastAsia" w:ascii="宋体" w:hAnsi="宋体" w:cs="宋体"/>
                <w:color w:val="auto"/>
                <w:szCs w:val="21"/>
                <w:highlight w:val="none"/>
              </w:rPr>
              <w:t>软件和信息技术服务业</w:t>
            </w:r>
          </w:p>
        </w:tc>
        <w:tc>
          <w:tcPr>
            <w:tcW w:w="2916" w:type="pct"/>
            <w:noWrap w:val="0"/>
            <w:vAlign w:val="center"/>
          </w:tcPr>
          <w:p w14:paraId="43650B09">
            <w:pPr>
              <w:spacing w:line="360" w:lineRule="auto"/>
              <w:ind w:firstLine="48" w:firstLineChars="23"/>
              <w:rPr>
                <w:rFonts w:hint="eastAsia" w:ascii="宋体" w:hAnsi="宋体" w:cs="宋体"/>
                <w:b/>
                <w:color w:val="auto"/>
                <w:sz w:val="21"/>
                <w:szCs w:val="21"/>
                <w:highlight w:val="none"/>
              </w:rPr>
            </w:pPr>
            <w:r>
              <w:rPr>
                <w:rFonts w:hint="eastAsia" w:ascii="宋体" w:hAnsi="宋体" w:cs="宋体"/>
                <w:b/>
                <w:color w:val="auto"/>
                <w:sz w:val="21"/>
                <w:szCs w:val="21"/>
                <w:highlight w:val="none"/>
              </w:rPr>
              <w:t>一、项目概况</w:t>
            </w:r>
          </w:p>
          <w:p w14:paraId="0C46247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开展自然资源信息化建设项目咨询设计服务，整体总投资约</w:t>
            </w:r>
            <w:r>
              <w:rPr>
                <w:rFonts w:hint="eastAsia" w:ascii="宋体" w:hAnsi="宋体" w:cs="宋体"/>
                <w:color w:val="auto"/>
                <w:sz w:val="21"/>
                <w:szCs w:val="21"/>
                <w:highlight w:val="none"/>
                <w:lang w:val="en-US" w:eastAsia="zh-CN"/>
              </w:rPr>
              <w:t>3950</w:t>
            </w:r>
            <w:r>
              <w:rPr>
                <w:rFonts w:hint="eastAsia" w:ascii="宋体" w:hAnsi="宋体" w:cs="宋体"/>
                <w:color w:val="auto"/>
                <w:sz w:val="21"/>
                <w:szCs w:val="21"/>
                <w:highlight w:val="none"/>
              </w:rPr>
              <w:t>万元。</w:t>
            </w:r>
          </w:p>
          <w:p w14:paraId="0B849E1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服务内容</w:t>
            </w:r>
            <w:r>
              <w:rPr>
                <w:rFonts w:hint="eastAsia" w:ascii="宋体" w:hAnsi="宋体" w:cs="宋体"/>
                <w:color w:val="auto"/>
                <w:sz w:val="21"/>
                <w:szCs w:val="21"/>
                <w:highlight w:val="none"/>
              </w:rPr>
              <w:t>包括但不限于编制年度信息化项目建设方案、编制项目事前绩效评估报告、编制密码应用方案等服务。</w:t>
            </w:r>
          </w:p>
          <w:p w14:paraId="692907DD">
            <w:pPr>
              <w:spacing w:line="360" w:lineRule="auto"/>
              <w:ind w:firstLine="48" w:firstLineChars="23"/>
              <w:rPr>
                <w:rFonts w:hint="eastAsia" w:ascii="宋体" w:hAnsi="宋体" w:cs="宋体"/>
                <w:b/>
                <w:color w:val="auto"/>
                <w:sz w:val="21"/>
                <w:szCs w:val="21"/>
                <w:highlight w:val="none"/>
              </w:rPr>
            </w:pPr>
            <w:r>
              <w:rPr>
                <w:rFonts w:hint="eastAsia" w:ascii="宋体" w:hAnsi="宋体" w:cs="宋体"/>
                <w:b/>
                <w:color w:val="auto"/>
                <w:sz w:val="21"/>
                <w:szCs w:val="21"/>
                <w:highlight w:val="none"/>
              </w:rPr>
              <w:t>二、项目咨询设计服务内容及要求</w:t>
            </w:r>
          </w:p>
          <w:p w14:paraId="77E65FD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成交供应商在开展咨询设计工作过程中，应充分评估采购人整体的信息化建设现状，为项目建设提出具体的技术比选方案。咨询成果以满足采购人的建设需求以及通过审批部门审批为交付标准，如项目不能通过审批部门审批，成交供应商承诺按审批部门的要求修改直至最终通过。</w:t>
            </w:r>
          </w:p>
          <w:p w14:paraId="19FBB98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根据采购人要求完成本次设计的调研和需求分析工作，充分收集当前信息化建设现状等项目前期工作资料。通过分析国内类似项目信息化发展的情况，深入分析和总结出项目背景，包括项目总体目标、建设任务、建设意义、必要性、经济效益和社会效益等。</w:t>
            </w:r>
          </w:p>
          <w:p w14:paraId="59082B4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3.研究和明确项目的建设思路，包括建设依据、建设思路、建设原则、建设目标、建设规模、建设内容等。并按项目立项各阶段的要求，提供项目建设方案、项目事前绩效评估报告、密码应用方案等。</w:t>
            </w:r>
          </w:p>
          <w:p w14:paraId="381125D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参考《广西壮族自治区人民政府办公厅关于印发&lt;广西政务信息化项目建设管理办法&gt;的通知》（桂政办发〔2024〕59号）文件规定的文档格式和编制要求编制设计文件，并根据采购人的要求，不断完善相关内容。</w:t>
            </w:r>
          </w:p>
          <w:p w14:paraId="50EF257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5.按照自治区住房</w:t>
            </w:r>
            <w:r>
              <w:rPr>
                <w:rFonts w:hint="eastAsia" w:ascii="宋体" w:hAnsi="宋体" w:cs="宋体"/>
                <w:color w:val="auto"/>
                <w:sz w:val="21"/>
                <w:szCs w:val="21"/>
                <w:highlight w:val="none"/>
                <w:lang w:val="en-US" w:eastAsia="zh-CN"/>
              </w:rPr>
              <w:t>和</w:t>
            </w:r>
            <w:r>
              <w:rPr>
                <w:rFonts w:hint="eastAsia" w:ascii="宋体" w:hAnsi="宋体" w:cs="宋体"/>
                <w:color w:val="auto"/>
                <w:sz w:val="21"/>
                <w:szCs w:val="21"/>
                <w:highlight w:val="none"/>
              </w:rPr>
              <w:t>城乡建设厅关于颁发2018年《广西壮族自治区工程建设其他费用定额》的通知（桂建标〔2018〕37号）和自治区财政厅</w:t>
            </w:r>
            <w:r>
              <w:rPr>
                <w:rFonts w:hint="eastAsia" w:ascii="宋体" w:hAnsi="宋体" w:cs="宋体"/>
                <w:color w:val="auto"/>
                <w:sz w:val="21"/>
                <w:szCs w:val="21"/>
                <w:highlight w:val="none"/>
                <w:lang w:val="en-US" w:eastAsia="zh-CN"/>
              </w:rPr>
              <w:t>关于印发《</w:t>
            </w:r>
            <w:r>
              <w:rPr>
                <w:rFonts w:hint="eastAsia" w:ascii="宋体" w:hAnsi="宋体" w:cs="宋体"/>
                <w:color w:val="auto"/>
                <w:sz w:val="21"/>
                <w:szCs w:val="21"/>
                <w:highlight w:val="none"/>
              </w:rPr>
              <w:t>广西壮族自治区本级政务信息化建设和运维项目预算支出标准》的通知（桂财</w:t>
            </w:r>
            <w:r>
              <w:rPr>
                <w:rFonts w:hint="eastAsia" w:ascii="宋体" w:hAnsi="宋体" w:cs="宋体"/>
                <w:color w:val="auto"/>
                <w:sz w:val="21"/>
                <w:szCs w:val="21"/>
                <w:highlight w:val="none"/>
                <w:lang w:val="en-US" w:eastAsia="zh-CN"/>
              </w:rPr>
              <w:t>建</w:t>
            </w:r>
            <w:r>
              <w:rPr>
                <w:rFonts w:hint="eastAsia" w:ascii="宋体" w:hAnsi="宋体" w:cs="宋体"/>
                <w:color w:val="auto"/>
                <w:sz w:val="21"/>
                <w:szCs w:val="21"/>
                <w:highlight w:val="none"/>
              </w:rPr>
              <w:t>〔202</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102</w:t>
            </w:r>
            <w:r>
              <w:rPr>
                <w:rFonts w:hint="eastAsia" w:ascii="宋体" w:hAnsi="宋体" w:cs="宋体"/>
                <w:color w:val="auto"/>
                <w:sz w:val="21"/>
                <w:szCs w:val="21"/>
                <w:highlight w:val="none"/>
              </w:rPr>
              <w:t>号）等文件规定的匡算、估算、概算、预算格式、定额、标准等编制要求编制的投资</w:t>
            </w:r>
            <w:r>
              <w:rPr>
                <w:rFonts w:hint="eastAsia" w:ascii="宋体" w:hAnsi="宋体" w:cs="宋体"/>
                <w:color w:val="auto"/>
                <w:sz w:val="21"/>
                <w:szCs w:val="21"/>
                <w:highlight w:val="none"/>
                <w:lang w:val="en-US" w:eastAsia="zh-CN"/>
              </w:rPr>
              <w:t>估算</w:t>
            </w:r>
            <w:r>
              <w:rPr>
                <w:rFonts w:hint="eastAsia" w:ascii="宋体" w:hAnsi="宋体" w:cs="宋体"/>
                <w:color w:val="auto"/>
                <w:sz w:val="21"/>
                <w:szCs w:val="21"/>
                <w:highlight w:val="none"/>
              </w:rPr>
              <w:t>方案，并根据采购人的要求，不断完善相关内容。</w:t>
            </w:r>
          </w:p>
          <w:p w14:paraId="7CD6B25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6.按照国家、自治区和自然资源部关于网络安全和信息化的相关标准和归档规定的文档格式和内容要求编制设计文档，并根据采购人的要求，不断完善相关内容。</w:t>
            </w:r>
          </w:p>
          <w:p w14:paraId="2DC6978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7.根据批复的项目</w:t>
            </w:r>
            <w:r>
              <w:rPr>
                <w:rFonts w:hint="eastAsia" w:ascii="宋体" w:hAnsi="宋体" w:cs="宋体"/>
                <w:color w:val="auto"/>
                <w:sz w:val="21"/>
                <w:szCs w:val="21"/>
                <w:highlight w:val="none"/>
                <w:lang w:val="en-US" w:eastAsia="zh-CN"/>
              </w:rPr>
              <w:t>建设方案</w:t>
            </w:r>
            <w:r>
              <w:rPr>
                <w:rFonts w:hint="eastAsia" w:ascii="宋体" w:hAnsi="宋体" w:cs="宋体"/>
                <w:color w:val="auto"/>
                <w:sz w:val="21"/>
                <w:szCs w:val="21"/>
                <w:highlight w:val="none"/>
              </w:rPr>
              <w:t>，协助采购人完成项目投资评审、系统建设项目采购需求表的编制。配合采购人进行项目采购前的准备工作。</w:t>
            </w:r>
          </w:p>
          <w:p w14:paraId="2AEA29C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8.配合采购人组织项目的前期实施和技术交底；配合采购人在项目建设期间或实施期间的工作，如系统技术指导等。</w:t>
            </w:r>
          </w:p>
          <w:p w14:paraId="2A9CA7AA">
            <w:pPr>
              <w:spacing w:line="360" w:lineRule="auto"/>
              <w:ind w:firstLine="48" w:firstLineChars="23"/>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三、项目咨询设计编制服务及技术要求（包括但不限于）</w:t>
            </w:r>
          </w:p>
          <w:p w14:paraId="1AB5BA5F">
            <w:pPr>
              <w:spacing w:line="360" w:lineRule="auto"/>
              <w:ind w:firstLine="48" w:firstLineChars="23"/>
              <w:rPr>
                <w:rFonts w:hint="eastAsia" w:ascii="宋体" w:hAnsi="宋体" w:cs="宋体"/>
                <w:color w:val="auto"/>
                <w:sz w:val="21"/>
                <w:szCs w:val="21"/>
                <w:highlight w:val="none"/>
              </w:rPr>
            </w:pPr>
            <w:r>
              <w:rPr>
                <w:rFonts w:hint="eastAsia" w:ascii="宋体" w:hAnsi="宋体" w:cs="宋体"/>
                <w:color w:val="auto"/>
                <w:sz w:val="21"/>
                <w:szCs w:val="21"/>
                <w:highlight w:val="none"/>
              </w:rPr>
              <w:t>（一）总则</w:t>
            </w:r>
          </w:p>
          <w:p w14:paraId="6D7C64E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1.按照国内外领先的方法论进行，包括顶层设计方法理论、信息资源规划理论（IRP）、UML 建模设计等方法论，在对采购人信息化现状全面调研和梳理、评估的基础上，制定业务架构、应用架构、技术架构、信息安全体系、运维体系等建设总体设计方案，为系统建设的实施提供科学化、规范化、可持续的方案指导，最终目的是做好项目设计，保证统一高效、资源整合、互联互通、信息共享目标的实现。</w:t>
            </w:r>
          </w:p>
          <w:p w14:paraId="004AAD4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项目设计和咨询分析应符合国家和地方、行业的相关标准规范、政务信息化建设的要求，结合项目建设实际需求，从架构规划、功能需求、系统性能、系统配置等方面对项目进行规划设计，设计的方案要科学，易于扩展，符合网络安全和信息技术、行业管理的发展方向。</w:t>
            </w:r>
          </w:p>
          <w:p w14:paraId="42CE03B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3.根据国家相关设计标准规范要求进行系统设计，描述系统的构成、分级与组成，设计系统的配置，对系统性能指标和测试要求等进行说明。</w:t>
            </w:r>
          </w:p>
          <w:p w14:paraId="755A147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根据项目的建设内容，明确提出软硬件设备配置原则和系统软硬件配置设备清单，包括：设备及软件性能指标及参数、数量；提出国产化和自主品牌软硬件配置清单比例；分别列出各应用系统开发工作量测算表。</w:t>
            </w:r>
          </w:p>
          <w:p w14:paraId="1208E0C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本设计要求提供的是最低限度的技术要求，并未对一切技术细节做出规定，也未充分引述有关标准和规范的条文，成交供应商应遵循可靠、先进、经济、实用、保密、环保、节能及可持续发展的原则，围绕项目采购人信息化建设统一规划，方案必须具有前瞻性和科学性，保证提供符合本设计的优质服务；</w:t>
            </w:r>
          </w:p>
          <w:p w14:paraId="312B149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6.成交供应商运用的标准、规范和控制过程的程序应满足现行最新版本的国家标准和行业标准；如果遇到规范之间的相互冲突，除非采购人明确指定，否则按照更严格的标准执行；</w:t>
            </w:r>
          </w:p>
          <w:p w14:paraId="696FA27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7.采购人保留在签订合同前对本设计要求具有补充和修改的权利，成交供应商应认可及配合，如提出修改，具体事项由成交供应商与采购人另行商定；</w:t>
            </w:r>
          </w:p>
          <w:p w14:paraId="2AE3D75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8.合同签署后，采购人有权利按照合同、有关附件规定的条件和项目审批主管部门的要求，在建设的范围内，随时调整工作内容和工作范围；</w:t>
            </w:r>
          </w:p>
          <w:p w14:paraId="1FD42CE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除本采购文件外，采购人还将为成交供应商提供本项目的前期相关技术资料。采购人向成交供应商提供的与本采购活动有关的所有资料，成交供应商有义务为采购人保守秘密，并签订保密承诺。同时，必须严格做好与本项目有关资料的保密工作，保密资料包括（但不限于）建设数据、设计需求、功能规划、采购设备配置清单等，均不得泄露给第三方。</w:t>
            </w:r>
          </w:p>
          <w:p w14:paraId="742DFCD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10.成交供应商应对所编制内容提供后续的技术监督和指导。</w:t>
            </w:r>
          </w:p>
          <w:p w14:paraId="42A56CB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（二）项目咨询设计及编制要求（包括但不限于）</w:t>
            </w:r>
          </w:p>
          <w:p w14:paraId="60E1F1B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1.本项目建设成果应可作为后期具体子项目建设实施和采购的重要依据和指导文件，设计方案要求内容全面、合理可行。</w:t>
            </w:r>
          </w:p>
          <w:p w14:paraId="14B6099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2.在开展设计过程中，应充分了解采购人信息化现状，基于科学的方法论对项目涉及的应用建设需求进行收集、梳理及规整，理清业务、流程、边界和范围，详细掌握当前国家和自治区的要求，做好本项目设计。</w:t>
            </w:r>
          </w:p>
          <w:p w14:paraId="0594643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3.基于科学的方法论理清业务、流程、边界和范围，详细掌握业务、数据、技术和系统现状，做好业务架构设计，要求业务颗粒度适中。既保证业务方案的深度，又要防止过细带来的实施成本问题。</w:t>
            </w:r>
          </w:p>
          <w:p w14:paraId="17271E0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4.根据项目建设实际需求规划基础设施建设及安全。</w:t>
            </w:r>
          </w:p>
          <w:p w14:paraId="3710DFF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5．按照网络安全等级保护的相关要求，设计由外到内、由局部到全面、多层次的、纵深的、有效地部署和配置全面安全解决方案，以达到最佳的安全互补状态，保证系统受到可靠、安全的保护。</w:t>
            </w:r>
          </w:p>
          <w:p w14:paraId="7ACFB02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6.从数据、技术和业务出发，制定系统建设标准规范，制定相关数据、技术和业务标准，为资源共享提供标准规范体系支撑。</w:t>
            </w:r>
          </w:p>
          <w:p w14:paraId="7E1ABE6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7．要支持和协助用户确定业务发展的近期、中期和长期需求，在现有信息化的基础上，提出切实可行的建设的具体目标和任务，并制定实施策略。</w:t>
            </w:r>
          </w:p>
          <w:p w14:paraId="4990861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8.有关技术方案应符合国家、自治区和自然资源行业的设计要求。</w:t>
            </w:r>
          </w:p>
          <w:p w14:paraId="5C31AFE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9.有关设计应符合国家及自治区有关要求。同时，设计中引用、套用国家相关专业的设计规范、标准及新的相关专业的技术标准和要求时，应准确引用和套用。</w:t>
            </w:r>
          </w:p>
          <w:p w14:paraId="22DAA6F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10.设计采用新技术、新设备、新材料应说明其技术性能指标和相关要求。同时，应符合系统开放性、可维护性、支持快速迭代和演化、支持大负载响应的设计要求。</w:t>
            </w:r>
          </w:p>
          <w:p w14:paraId="5638347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11.设计中所配置的设备和材料，必须是技术先进，性能可靠，安全适用，经济合理，扩容容易等特点的优质产品。</w:t>
            </w:r>
          </w:p>
          <w:p w14:paraId="58F3CE0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12.项目设计及编制要达到《广西壮族自治区人民政府办公厅关于印发&lt;广西政务信息化项目建设管理办法&gt;的通知》（桂政办发〔2024〕59号）</w:t>
            </w:r>
            <w:r>
              <w:rPr>
                <w:rFonts w:hint="eastAsia" w:ascii="宋体" w:hAnsi="宋体" w:cs="宋体"/>
                <w:color w:val="auto"/>
                <w:sz w:val="21"/>
                <w:szCs w:val="21"/>
                <w:highlight w:val="none"/>
                <w:lang w:val="en-US" w:eastAsia="zh-CN"/>
              </w:rPr>
              <w:t>和《广西壮族自治区大数据发展局关于印发&lt;广西政务信息化项目建设管理办法&gt;配套文件的函》（桂数发〔2024〕34号）</w:t>
            </w:r>
            <w:r>
              <w:rPr>
                <w:rFonts w:hint="eastAsia" w:ascii="宋体" w:hAnsi="宋体" w:cs="宋体"/>
                <w:color w:val="auto"/>
                <w:sz w:val="21"/>
                <w:szCs w:val="21"/>
                <w:highlight w:val="none"/>
              </w:rPr>
              <w:t>规定的文档格式和编制要求。同时，设计文件以满足采购人的建设需求以及通过审批主管部门的审批标准，如项目不能通过审批主管部门审批，设计单位承诺按审批主管部门的要求修改直至最终通过。</w:t>
            </w:r>
          </w:p>
          <w:p w14:paraId="7388C96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（三）项目概算编制要求（包括但不限于）</w:t>
            </w:r>
          </w:p>
          <w:p w14:paraId="420E79E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1.项目投资概算编制包括项目的总概算和各项明细费用概算，概算要科学、合理。</w:t>
            </w:r>
          </w:p>
          <w:p w14:paraId="34D7FD8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概算编制依据：列举所依据的重要法律法规、文件、引用的国家标准和行业标准等名称及具体引用条款内容，并将其中必要的部分全文附后，作为报告的附件。包括概算编制的原则和依据；设备、软件的价格获取方式和确认途径；各种取费依据和标准等，并评价其合理性。</w:t>
            </w:r>
          </w:p>
          <w:p w14:paraId="7AA7865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明确项目所需总投资及其构成，包括工程建设费用、工程建设其他费用和预备费。对投资概算总表中设备购置费内各分项及商业软件部分要提供“项目软硬件配置清单”，包括名称、参考型号、主要参数、数量、单价及其折扣率、部署地点等详细信息；对定制开发应用软件应根据实际需求按照软件工程的规范及要求初步测算各阶段所需工作量、不同类型的技术人员及其对应的人工费用。</w:t>
            </w:r>
          </w:p>
          <w:p w14:paraId="33A6D0E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4.结合项目具体情况，提出项目的资金筹措方案，并分项说明资金来源及使用计划。</w:t>
            </w:r>
          </w:p>
          <w:p w14:paraId="33F84E9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5.结合系统运维方案，对系统建成后的年度运行经费进行估算，说明运行维护的经费来源和使用计划，提供运行维护的人员工资、相关待遇，系统运行所需备件、配件及电力耗损等费用预算。</w:t>
            </w:r>
          </w:p>
          <w:p w14:paraId="01669F1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6.所有概算表要提供可编辑的电子版本，按照有关文件规定的各项设备、软件开发的成本定额，完成项目概算取费。</w:t>
            </w:r>
          </w:p>
          <w:p w14:paraId="2BF2912E">
            <w:pPr>
              <w:spacing w:line="360" w:lineRule="auto"/>
              <w:ind w:firstLine="258" w:firstLineChars="123"/>
              <w:rPr>
                <w:rFonts w:hint="eastAsia" w:ascii="宋体" w:hAnsi="宋体" w:cs="宋体"/>
                <w:color w:val="auto"/>
                <w:sz w:val="21"/>
                <w:szCs w:val="21"/>
                <w:highlight w:val="none"/>
              </w:rPr>
            </w:pPr>
            <w:r>
              <w:rPr>
                <w:rFonts w:hint="eastAsia" w:ascii="宋体" w:hAnsi="宋体" w:cs="宋体"/>
                <w:color w:val="auto"/>
                <w:sz w:val="21"/>
                <w:szCs w:val="21"/>
                <w:highlight w:val="none"/>
              </w:rPr>
              <w:t>（四）图纸设计要求（包括但不限于）</w:t>
            </w:r>
          </w:p>
          <w:p w14:paraId="4C2F41E5">
            <w:pPr>
              <w:spacing w:line="360" w:lineRule="auto"/>
              <w:ind w:firstLine="258" w:firstLineChars="123"/>
              <w:rPr>
                <w:rFonts w:hint="eastAsia" w:ascii="宋体" w:hAnsi="宋体" w:cs="宋体"/>
                <w:color w:val="auto"/>
                <w:sz w:val="21"/>
                <w:szCs w:val="21"/>
                <w:highlight w:val="none"/>
              </w:rPr>
            </w:pPr>
            <w:r>
              <w:rPr>
                <w:rFonts w:hint="eastAsia" w:ascii="宋体" w:hAnsi="宋体" w:cs="宋体"/>
                <w:color w:val="auto"/>
                <w:sz w:val="21"/>
                <w:szCs w:val="21"/>
                <w:highlight w:val="none"/>
              </w:rPr>
              <w:t>1．项目设计的内容为下一步工程实施提供依据。</w:t>
            </w:r>
          </w:p>
          <w:p w14:paraId="7CC1E31B">
            <w:pPr>
              <w:spacing w:line="360" w:lineRule="auto"/>
              <w:ind w:firstLine="258" w:firstLineChars="123"/>
              <w:rPr>
                <w:rFonts w:hint="eastAsia" w:ascii="宋体" w:hAnsi="宋体" w:cs="宋体"/>
                <w:color w:val="auto"/>
                <w:sz w:val="21"/>
                <w:szCs w:val="21"/>
                <w:highlight w:val="none"/>
              </w:rPr>
            </w:pPr>
            <w:r>
              <w:rPr>
                <w:rFonts w:hint="eastAsia" w:ascii="宋体" w:hAnsi="宋体" w:cs="宋体"/>
                <w:color w:val="auto"/>
                <w:sz w:val="21"/>
                <w:szCs w:val="21"/>
                <w:highlight w:val="none"/>
              </w:rPr>
              <w:t>2．本设计要求提供的是最低限度的技术要求，并未对一切技术细节做出规定，也未充分引述有关标准和规范的条文，供应商应遵循可靠、先进、经济、实用、保密、环保、节能及可持续发展的原则，提供优质服务；</w:t>
            </w:r>
          </w:p>
          <w:p w14:paraId="0E48F425">
            <w:pPr>
              <w:spacing w:line="360" w:lineRule="auto"/>
              <w:ind w:firstLine="258" w:firstLineChars="123"/>
              <w:rPr>
                <w:rFonts w:hint="eastAsia" w:ascii="宋体" w:hAnsi="宋体" w:cs="宋体"/>
                <w:color w:val="auto"/>
                <w:sz w:val="21"/>
                <w:szCs w:val="21"/>
                <w:highlight w:val="none"/>
              </w:rPr>
            </w:pPr>
            <w:r>
              <w:rPr>
                <w:rFonts w:hint="eastAsia" w:ascii="宋体" w:hAnsi="宋体" w:cs="宋体"/>
                <w:color w:val="auto"/>
                <w:sz w:val="21"/>
                <w:szCs w:val="21"/>
                <w:highlight w:val="none"/>
              </w:rPr>
              <w:t>3．设计中引用、套用国家相关专业的设计规范、标准及新的相关专业的技术标准和要求时，应准确引用和套用。</w:t>
            </w:r>
          </w:p>
          <w:p w14:paraId="2501F5DC">
            <w:pPr>
              <w:spacing w:line="360" w:lineRule="auto"/>
              <w:ind w:firstLine="258" w:firstLineChars="123"/>
              <w:rPr>
                <w:rFonts w:hint="eastAsia" w:ascii="宋体" w:hAnsi="宋体" w:cs="宋体"/>
                <w:color w:val="auto"/>
                <w:sz w:val="21"/>
                <w:szCs w:val="21"/>
                <w:highlight w:val="none"/>
              </w:rPr>
            </w:pPr>
            <w:r>
              <w:rPr>
                <w:rFonts w:hint="eastAsia" w:ascii="宋体" w:hAnsi="宋体" w:cs="宋体"/>
                <w:color w:val="auto"/>
                <w:sz w:val="21"/>
                <w:szCs w:val="21"/>
                <w:highlight w:val="none"/>
              </w:rPr>
              <w:t>4．设计采用新技术、新设备、新材料应说明其技术性能指标和相关要求。</w:t>
            </w:r>
          </w:p>
          <w:p w14:paraId="06BDFAE8">
            <w:pPr>
              <w:spacing w:line="360" w:lineRule="auto"/>
              <w:ind w:firstLine="258" w:firstLineChars="123"/>
              <w:rPr>
                <w:rFonts w:hint="eastAsia" w:ascii="宋体" w:hAnsi="宋体" w:cs="宋体"/>
                <w:color w:val="auto"/>
                <w:sz w:val="21"/>
                <w:szCs w:val="21"/>
                <w:highlight w:val="none"/>
              </w:rPr>
            </w:pPr>
            <w:r>
              <w:rPr>
                <w:rFonts w:hint="eastAsia" w:ascii="宋体" w:hAnsi="宋体" w:cs="宋体"/>
                <w:color w:val="auto"/>
                <w:sz w:val="21"/>
                <w:szCs w:val="21"/>
                <w:highlight w:val="none"/>
              </w:rPr>
              <w:t>5．图纸应清晰可见，线条粗细分明，文字端正，所标尺寸正确无误，确实能指导施工操作。</w:t>
            </w:r>
          </w:p>
          <w:p w14:paraId="24855759">
            <w:pPr>
              <w:spacing w:line="360" w:lineRule="auto"/>
              <w:ind w:firstLine="258" w:firstLineChars="123"/>
              <w:rPr>
                <w:rFonts w:hint="eastAsia" w:ascii="宋体" w:hAnsi="宋体" w:cs="宋体"/>
                <w:color w:val="auto"/>
                <w:sz w:val="21"/>
                <w:szCs w:val="21"/>
                <w:highlight w:val="none"/>
              </w:rPr>
            </w:pPr>
            <w:r>
              <w:rPr>
                <w:rFonts w:hint="eastAsia" w:ascii="宋体" w:hAnsi="宋体" w:cs="宋体"/>
                <w:color w:val="auto"/>
                <w:sz w:val="21"/>
                <w:szCs w:val="21"/>
                <w:highlight w:val="none"/>
              </w:rPr>
              <w:t>（五）项目文件格式要求（包括但不限于）</w:t>
            </w:r>
          </w:p>
          <w:p w14:paraId="70E5421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1．整体设计文本应格式一致、名称统一，避免出现不同设计人员的不同设计风格。</w:t>
            </w:r>
          </w:p>
          <w:p w14:paraId="51E4BC1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2．设计文件应按照国家标准和部颁（行业）设计规范要求的相关原则套用。设计文件的文字、名词、计量单位等，都应采用现行的国家标准和部颁（行业）标准。</w:t>
            </w:r>
          </w:p>
          <w:p w14:paraId="1B0099A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设计文件的编印应符合规范化、标准化的要求，包括：设计说明书页张篇幅及各号图纸大小篇幅应符合国家标准规定尺寸；设计文件册的封面必须能表示出设计项目的全名、分册编号及工程名称。设计文件的分册由设计单位与采购人协商后决定。</w:t>
            </w:r>
          </w:p>
          <w:p w14:paraId="2821F539">
            <w:pPr>
              <w:spacing w:line="360" w:lineRule="auto"/>
              <w:ind w:firstLine="468" w:firstLineChars="223"/>
              <w:rPr>
                <w:rFonts w:hint="eastAsia" w:ascii="宋体" w:hAnsi="宋体" w:cs="宋体"/>
                <w:color w:val="auto"/>
                <w:sz w:val="21"/>
                <w:szCs w:val="21"/>
                <w:highlight w:val="none"/>
              </w:rPr>
            </w:pPr>
            <w:r>
              <w:rPr>
                <w:rFonts w:hint="eastAsia" w:ascii="宋体" w:hAnsi="宋体" w:cs="宋体"/>
                <w:color w:val="auto"/>
                <w:sz w:val="21"/>
                <w:szCs w:val="21"/>
                <w:highlight w:val="none"/>
              </w:rPr>
              <w:t>4．图纸要求采用Microsoft Visio 2010以上版本或AutoCAD 2010以上版本进行绘制；文档采用Microsoft Office  2010或WPS Office 2013及以上版本软件编制；计算要求采用国内外通行的商业软件，并最终形成具有公式关联计算关系的Microsoft Excel 2010或WPS表格2013及以上版本的电子表格。</w:t>
            </w:r>
          </w:p>
          <w:p w14:paraId="535CCF1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5．设计文件的编制和装订应符合采购人项目申报、归档保存要求。</w:t>
            </w:r>
          </w:p>
          <w:p w14:paraId="046882E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（六）项目设计深度要求</w:t>
            </w:r>
          </w:p>
          <w:p w14:paraId="53ED337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设计文件的编制必须遵循所确定的内容、要求、基础资料及调研成果进行编制，充分结合采购人实际情况，总体设计应</w:t>
            </w:r>
            <w:r>
              <w:rPr>
                <w:rFonts w:hint="eastAsia"/>
                <w:color w:val="auto"/>
                <w:highlight w:val="none"/>
                <w:lang w:val="en-US" w:eastAsia="zh-CN"/>
              </w:rPr>
              <w:t>满足</w:t>
            </w:r>
            <w:r>
              <w:rPr>
                <w:rFonts w:hint="eastAsia" w:ascii="宋体" w:hAnsi="宋体" w:cs="宋体"/>
                <w:color w:val="auto"/>
                <w:sz w:val="21"/>
                <w:szCs w:val="21"/>
                <w:highlight w:val="none"/>
                <w:lang w:val="en-US" w:eastAsia="zh-CN"/>
              </w:rPr>
              <w:t>采购人要求</w:t>
            </w:r>
            <w:r>
              <w:rPr>
                <w:rFonts w:hint="eastAsia" w:ascii="宋体" w:hAnsi="宋体" w:cs="宋体"/>
                <w:color w:val="auto"/>
                <w:sz w:val="21"/>
                <w:szCs w:val="21"/>
                <w:highlight w:val="none"/>
              </w:rPr>
              <w:t>的技术架构，符合信息化发展趋势及相关技术和安全标准规范，设计深度应达到并高于行业内相关标准，能够满足采购人和项目审批主管部门的相关审查要求。</w:t>
            </w:r>
          </w:p>
          <w:p w14:paraId="459C9FE0">
            <w:pPr>
              <w:spacing w:line="360" w:lineRule="auto"/>
              <w:ind w:firstLine="48" w:firstLineChars="23"/>
              <w:rPr>
                <w:rFonts w:hint="eastAsia" w:ascii="宋体" w:hAnsi="宋体" w:cs="宋体"/>
                <w:color w:val="auto"/>
                <w:sz w:val="21"/>
                <w:szCs w:val="21"/>
                <w:highlight w:val="none"/>
              </w:rPr>
            </w:pPr>
            <w:r>
              <w:rPr>
                <w:rFonts w:hint="eastAsia" w:ascii="宋体" w:hAnsi="宋体" w:cs="宋体"/>
                <w:color w:val="auto"/>
                <w:sz w:val="21"/>
                <w:szCs w:val="21"/>
                <w:highlight w:val="none"/>
              </w:rPr>
              <w:t>四、项目后续服务要求</w:t>
            </w:r>
          </w:p>
          <w:p w14:paraId="5AF0880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设计成果交付后，成交供应商需跟进项目设计中所有项目建设的全过程，为采购人提供设计方案交底、技术咨询等技术服务，并参与相关工作，确保采购人的思路及总体设计意图得到实施和落实。具体要求包括但不限于以下内容：</w:t>
            </w:r>
          </w:p>
          <w:p w14:paraId="66CA940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设计方案交底：（1）在项目建设实施过程中，对采购人及项目承建单位进行技术交底，包括但不限于设计的设计思路、技术选型、产品功能特点、质量要求以及其他技术细节等；（2）解答采购人及项目承建单位提出的对设计不清楚或不明确的疑问。</w:t>
            </w:r>
          </w:p>
          <w:p w14:paraId="0FB01BA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2.技术咨询：根据项目建设情况和实际情况，成交供应商参与项目实施过程重要里程牌的评审和验证，及时提交评审意见给采购人，不定期在项目实施过程中参加现场检查，确认是否满足设计规范与设计要求。</w:t>
            </w:r>
          </w:p>
          <w:p w14:paraId="61C5CDDA">
            <w:pPr>
              <w:spacing w:line="360" w:lineRule="auto"/>
              <w:ind w:firstLine="48" w:firstLineChars="23"/>
              <w:rPr>
                <w:rFonts w:hint="eastAsia" w:ascii="宋体" w:hAnsi="宋体" w:cs="宋体"/>
                <w:color w:val="auto"/>
                <w:sz w:val="21"/>
                <w:szCs w:val="21"/>
                <w:highlight w:val="none"/>
              </w:rPr>
            </w:pPr>
            <w:r>
              <w:rPr>
                <w:rFonts w:hint="eastAsia" w:ascii="宋体" w:hAnsi="宋体" w:cs="宋体"/>
                <w:color w:val="auto"/>
                <w:sz w:val="21"/>
                <w:szCs w:val="21"/>
                <w:highlight w:val="none"/>
              </w:rPr>
              <w:t>五、项目服务成果及交付要求</w:t>
            </w:r>
          </w:p>
          <w:p w14:paraId="39E42CF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（一）服务成果要求：</w:t>
            </w:r>
          </w:p>
          <w:p w14:paraId="352D263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包括但不限于《项目建设方案》、《项目事前绩效评估报告》、《密码应用方案》</w:t>
            </w:r>
            <w:r>
              <w:rPr>
                <w:rFonts w:hint="eastAsia" w:ascii="宋体" w:hAnsi="宋体" w:cs="宋体"/>
                <w:color w:val="auto"/>
                <w:sz w:val="21"/>
                <w:szCs w:val="21"/>
                <w:highlight w:val="none"/>
                <w:lang w:val="en-US" w:eastAsia="zh-CN"/>
              </w:rPr>
              <w:t>等</w:t>
            </w:r>
            <w:r>
              <w:rPr>
                <w:rFonts w:hint="eastAsia" w:ascii="宋体" w:hAnsi="宋体" w:cs="宋体"/>
                <w:color w:val="auto"/>
                <w:sz w:val="21"/>
                <w:szCs w:val="21"/>
                <w:highlight w:val="none"/>
              </w:rPr>
              <w:t>，以及自治区大数据</w:t>
            </w:r>
            <w:r>
              <w:rPr>
                <w:rFonts w:hint="eastAsia" w:ascii="宋体" w:hAnsi="宋体" w:cs="宋体"/>
                <w:color w:val="auto"/>
                <w:sz w:val="21"/>
                <w:szCs w:val="21"/>
                <w:highlight w:val="none"/>
                <w:lang w:val="en-US" w:eastAsia="zh-CN"/>
              </w:rPr>
              <w:t>局</w:t>
            </w:r>
            <w:r>
              <w:rPr>
                <w:rFonts w:hint="eastAsia" w:ascii="宋体" w:hAnsi="宋体" w:cs="宋体"/>
                <w:color w:val="auto"/>
                <w:sz w:val="21"/>
                <w:szCs w:val="21"/>
                <w:highlight w:val="none"/>
              </w:rPr>
              <w:t>和自治区发展改革委、自治区财政厅等涉及政务信息化项目管理的部门所要求的其他立项相应材料。</w:t>
            </w:r>
          </w:p>
          <w:p w14:paraId="764CCFF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（二）提交要求：</w:t>
            </w:r>
          </w:p>
          <w:p w14:paraId="2263A94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（1）成交供应商应在项目完成时，将本项目所有相关的技术文件，以及设计服务期间所需要制订的文档汇集成册交付采购人。</w:t>
            </w:r>
          </w:p>
          <w:p w14:paraId="5272183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（2）所有的文件要求用中文书写或有完整的中文注释。</w:t>
            </w:r>
          </w:p>
          <w:p w14:paraId="62D1D12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（3）本项目要求所有文档向采购人提供纸质文档至少3 套，电子文档1 套。成交供应商应设置专人在项目建设期间对文档进行检查和管理，项目最终验收后全部移交给采购人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其中电子文档以只读光盘存储，且必须符合“电子文档格式”的技术要求，同时必须符合《国家电子政务工程建设项目档案管理暂行办法》的归档要求。</w:t>
            </w:r>
          </w:p>
          <w:p w14:paraId="646E5A6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（4）成交供应商应在成交后与采购人签订保密协议，承诺不将任何涉及本项目的信息向外界泄露，该保密义务在合同终止后继续有效。</w:t>
            </w:r>
          </w:p>
          <w:p w14:paraId="7B6973D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）项目</w:t>
            </w:r>
            <w:r>
              <w:rPr>
                <w:rFonts w:hint="eastAsia" w:ascii="宋体" w:hAnsi="宋体" w:cs="宋体"/>
                <w:color w:val="auto"/>
                <w:sz w:val="21"/>
                <w:szCs w:val="21"/>
                <w:highlight w:val="none"/>
                <w:lang w:val="en-US" w:eastAsia="zh-CN"/>
              </w:rPr>
              <w:t>建设方案</w:t>
            </w:r>
            <w:r>
              <w:rPr>
                <w:rFonts w:hint="eastAsia" w:ascii="宋体" w:hAnsi="宋体" w:cs="宋体"/>
                <w:color w:val="auto"/>
                <w:sz w:val="21"/>
                <w:szCs w:val="21"/>
                <w:highlight w:val="none"/>
              </w:rPr>
              <w:t>等前期文档的编制必须遵循所确定的内容、要求及基础资料进行编制，基础设计深度应达到并高于行业内相关标准，能够满足采购人和项目审批主管部门的相关审查要求，并确保所编制的前期文档通过审批。</w:t>
            </w:r>
          </w:p>
          <w:p w14:paraId="0FEDF55B">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六、其它</w:t>
            </w:r>
          </w:p>
          <w:p w14:paraId="20CE7B2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 成交供应商在编制研究过程中应对有关重要的研究结论、技术需求等及时并分阶段向采购人汇报。</w:t>
            </w:r>
          </w:p>
          <w:p w14:paraId="62D86F9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 成交供应商在项目设计及编制过程中，必须严格按照涉密信息系统集成项目管理制度对涉及本项目工作的人员、工具、及信息载体进行管控，不得泄密。</w:t>
            </w:r>
          </w:p>
          <w:p w14:paraId="2C3285C6">
            <w:pPr>
              <w:wordWrap w:val="0"/>
              <w:spacing w:line="360" w:lineRule="auto"/>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rPr>
              <w:t>3.项目组应由</w:t>
            </w:r>
            <w:r>
              <w:rPr>
                <w:rFonts w:hint="eastAsia" w:ascii="宋体" w:hAnsi="宋体" w:cs="宋体"/>
                <w:color w:val="auto"/>
                <w:sz w:val="21"/>
                <w:szCs w:val="21"/>
                <w:highlight w:val="none"/>
                <w:lang w:val="en-US" w:eastAsia="zh-CN"/>
              </w:rPr>
              <w:t>项目负责人</w:t>
            </w:r>
            <w:r>
              <w:rPr>
                <w:rFonts w:hint="eastAsia" w:ascii="宋体" w:hAnsi="宋体" w:cs="宋体"/>
                <w:color w:val="auto"/>
                <w:sz w:val="21"/>
                <w:szCs w:val="21"/>
                <w:highlight w:val="none"/>
              </w:rPr>
              <w:t>、计划工程师、项目工程师以及专业负责人和专业设计人员组成。供应商拟投入本项目中的</w:t>
            </w:r>
            <w:r>
              <w:rPr>
                <w:rFonts w:hint="eastAsia" w:ascii="宋体" w:hAnsi="宋体" w:cs="宋体"/>
                <w:color w:val="auto"/>
                <w:sz w:val="21"/>
                <w:szCs w:val="21"/>
                <w:highlight w:val="none"/>
                <w:lang w:val="en-US" w:eastAsia="zh-CN"/>
              </w:rPr>
              <w:t>项目负责人</w:t>
            </w:r>
            <w:r>
              <w:rPr>
                <w:rFonts w:hint="eastAsia" w:ascii="宋体" w:hAnsi="宋体" w:cs="宋体"/>
                <w:color w:val="auto"/>
                <w:sz w:val="21"/>
                <w:szCs w:val="21"/>
                <w:highlight w:val="none"/>
              </w:rPr>
              <w:t>必须具备通信类、工程类或计算机类高级工程师资格，除项目负责人外的其他技术人员，至少包含1名国家注册咨询工程师和1名高级工程师（所列人员必须提供相关资格证明文件，并且提供递交响应文件截止时间前半年内连续三个月供应商为其缴纳社保的证明文件</w:t>
            </w:r>
            <w:r>
              <w:rPr>
                <w:rFonts w:hint="eastAsia"/>
                <w:color w:val="auto"/>
                <w:sz w:val="21"/>
                <w:szCs w:val="21"/>
                <w:highlight w:val="none"/>
                <w:lang w:val="en-US" w:eastAsia="zh-CN"/>
              </w:rPr>
              <w:t>或劳动合同或工资支付记录亦可</w:t>
            </w:r>
            <w:r>
              <w:rPr>
                <w:rFonts w:hint="eastAsia" w:ascii="宋体" w:hAnsi="宋体" w:cs="宋体"/>
                <w:color w:val="auto"/>
                <w:sz w:val="21"/>
                <w:szCs w:val="21"/>
                <w:highlight w:val="none"/>
              </w:rPr>
              <w:t>）。</w:t>
            </w:r>
          </w:p>
        </w:tc>
      </w:tr>
      <w:tr w14:paraId="32B3B0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top"/>
          </w:tcPr>
          <w:p w14:paraId="010921D3">
            <w:pPr>
              <w:spacing w:line="360" w:lineRule="exact"/>
              <w:rPr>
                <w:rFonts w:ascii="宋体" w:hAnsi="宋体" w:cs="宋体"/>
                <w:color w:val="auto"/>
                <w:szCs w:val="21"/>
                <w:highlight w:val="none"/>
              </w:rPr>
            </w:pPr>
            <w:r>
              <w:rPr>
                <w:rFonts w:hint="eastAsia" w:ascii="宋体" w:hAnsi="宋体" w:cs="宋体"/>
                <w:b/>
                <w:color w:val="auto"/>
                <w:szCs w:val="21"/>
                <w:highlight w:val="none"/>
              </w:rPr>
              <w:t>商务要求</w:t>
            </w:r>
          </w:p>
        </w:tc>
      </w:tr>
      <w:tr w14:paraId="3918E8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96" w:type="pct"/>
            <w:gridSpan w:val="2"/>
            <w:tcBorders>
              <w:top w:val="single" w:color="auto" w:sz="4" w:space="0"/>
              <w:left w:val="single" w:color="auto" w:sz="4" w:space="0"/>
              <w:bottom w:val="single" w:color="auto" w:sz="4" w:space="0"/>
              <w:right w:val="single" w:color="auto" w:sz="4" w:space="0"/>
            </w:tcBorders>
            <w:noWrap w:val="0"/>
            <w:vAlign w:val="center"/>
          </w:tcPr>
          <w:p w14:paraId="4BEA523A">
            <w:pPr>
              <w:spacing w:line="360" w:lineRule="auto"/>
              <w:jc w:val="center"/>
              <w:rPr>
                <w:rFonts w:ascii="宋体" w:hAnsi="宋体" w:cs="宋体"/>
                <w:color w:val="auto"/>
                <w:sz w:val="21"/>
                <w:szCs w:val="21"/>
                <w:highlight w:val="none"/>
              </w:rPr>
            </w:pPr>
            <w:r>
              <w:rPr>
                <w:rFonts w:hint="eastAsia" w:ascii="宋体" w:hAnsi="宋体" w:cs="宋体"/>
                <w:b/>
                <w:bCs/>
                <w:color w:val="auto"/>
                <w:sz w:val="21"/>
                <w:szCs w:val="21"/>
                <w:highlight w:val="none"/>
              </w:rPr>
              <w:t>▲</w:t>
            </w:r>
            <w:r>
              <w:rPr>
                <w:rFonts w:hint="eastAsia" w:ascii="宋体" w:hAnsi="宋体" w:cs="宋体"/>
                <w:color w:val="auto"/>
                <w:sz w:val="21"/>
                <w:szCs w:val="21"/>
                <w:highlight w:val="none"/>
              </w:rPr>
              <w:t>提交服务成果时间及交付地点</w:t>
            </w:r>
          </w:p>
        </w:tc>
        <w:tc>
          <w:tcPr>
            <w:tcW w:w="4303" w:type="pct"/>
            <w:gridSpan w:val="4"/>
            <w:tcBorders>
              <w:top w:val="single" w:color="auto" w:sz="4" w:space="0"/>
              <w:left w:val="single" w:color="auto" w:sz="4" w:space="0"/>
              <w:bottom w:val="single" w:color="auto" w:sz="4" w:space="0"/>
              <w:right w:val="single" w:color="auto" w:sz="4" w:space="0"/>
            </w:tcBorders>
            <w:noWrap w:val="0"/>
            <w:vAlign w:val="center"/>
          </w:tcPr>
          <w:p w14:paraId="72C4330F">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提交服务成果时间：自合同签订之日起一年内提交所有服务成果；</w:t>
            </w:r>
          </w:p>
          <w:p w14:paraId="296768E5">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交付地点：广西南宁市采购人指定地点。</w:t>
            </w:r>
          </w:p>
        </w:tc>
      </w:tr>
      <w:tr w14:paraId="7F964B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96" w:type="pct"/>
            <w:gridSpan w:val="2"/>
            <w:tcBorders>
              <w:top w:val="single" w:color="auto" w:sz="4" w:space="0"/>
              <w:left w:val="single" w:color="auto" w:sz="4" w:space="0"/>
              <w:bottom w:val="single" w:color="auto" w:sz="4" w:space="0"/>
              <w:right w:val="single" w:color="auto" w:sz="4" w:space="0"/>
            </w:tcBorders>
            <w:noWrap w:val="0"/>
            <w:vAlign w:val="center"/>
          </w:tcPr>
          <w:p w14:paraId="6E67DEB0">
            <w:pPr>
              <w:spacing w:line="360" w:lineRule="auto"/>
              <w:jc w:val="center"/>
              <w:rPr>
                <w:rFonts w:ascii="宋体" w:hAnsi="宋体" w:cs="宋体"/>
                <w:color w:val="auto"/>
                <w:sz w:val="21"/>
                <w:szCs w:val="21"/>
                <w:highlight w:val="none"/>
              </w:rPr>
            </w:pPr>
            <w:r>
              <w:rPr>
                <w:rFonts w:hint="eastAsia" w:ascii="宋体" w:hAnsi="宋体" w:cs="宋体"/>
                <w:b/>
                <w:bCs/>
                <w:color w:val="auto"/>
                <w:sz w:val="21"/>
                <w:szCs w:val="21"/>
                <w:highlight w:val="none"/>
              </w:rPr>
              <w:t>▲</w:t>
            </w:r>
            <w:r>
              <w:rPr>
                <w:rFonts w:hint="eastAsia" w:ascii="宋体" w:hAnsi="宋体" w:cs="宋体"/>
                <w:color w:val="auto"/>
                <w:sz w:val="21"/>
                <w:szCs w:val="21"/>
                <w:highlight w:val="none"/>
              </w:rPr>
              <w:t>合同签订时间</w:t>
            </w:r>
          </w:p>
        </w:tc>
        <w:tc>
          <w:tcPr>
            <w:tcW w:w="4303" w:type="pct"/>
            <w:gridSpan w:val="4"/>
            <w:tcBorders>
              <w:top w:val="single" w:color="auto" w:sz="4" w:space="0"/>
              <w:left w:val="single" w:color="auto" w:sz="4" w:space="0"/>
              <w:bottom w:val="single" w:color="auto" w:sz="4" w:space="0"/>
              <w:right w:val="single" w:color="auto" w:sz="4" w:space="0"/>
            </w:tcBorders>
            <w:noWrap w:val="0"/>
            <w:vAlign w:val="center"/>
          </w:tcPr>
          <w:p w14:paraId="02A1C399">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自成交通知书发出之日起25日内。</w:t>
            </w:r>
          </w:p>
        </w:tc>
      </w:tr>
      <w:tr w14:paraId="56518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96" w:type="pct"/>
            <w:gridSpan w:val="2"/>
            <w:tcBorders>
              <w:top w:val="single" w:color="auto" w:sz="4" w:space="0"/>
              <w:left w:val="single" w:color="auto" w:sz="4" w:space="0"/>
              <w:bottom w:val="single" w:color="auto" w:sz="4" w:space="0"/>
              <w:right w:val="single" w:color="auto" w:sz="4" w:space="0"/>
            </w:tcBorders>
            <w:noWrap w:val="0"/>
            <w:vAlign w:val="center"/>
          </w:tcPr>
          <w:p w14:paraId="1D19E1AF">
            <w:pPr>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验收要求</w:t>
            </w:r>
          </w:p>
        </w:tc>
        <w:tc>
          <w:tcPr>
            <w:tcW w:w="4303" w:type="pct"/>
            <w:gridSpan w:val="4"/>
            <w:tcBorders>
              <w:top w:val="single" w:color="auto" w:sz="4" w:space="0"/>
              <w:left w:val="single" w:color="auto" w:sz="4" w:space="0"/>
              <w:bottom w:val="single" w:color="auto" w:sz="4" w:space="0"/>
              <w:right w:val="single" w:color="auto" w:sz="4" w:space="0"/>
            </w:tcBorders>
            <w:noWrap w:val="0"/>
            <w:vAlign w:val="center"/>
          </w:tcPr>
          <w:p w14:paraId="4AB52584">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符合现行国家相关标准、行业标准、地方标准或者其他标准、规范。</w:t>
            </w:r>
          </w:p>
        </w:tc>
      </w:tr>
      <w:tr w14:paraId="1E7445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96" w:type="pct"/>
            <w:gridSpan w:val="2"/>
            <w:tcBorders>
              <w:top w:val="single" w:color="auto" w:sz="4" w:space="0"/>
              <w:left w:val="single" w:color="auto" w:sz="4" w:space="0"/>
              <w:bottom w:val="single" w:color="auto" w:sz="4" w:space="0"/>
              <w:right w:val="single" w:color="auto" w:sz="4" w:space="0"/>
            </w:tcBorders>
            <w:noWrap w:val="0"/>
            <w:vAlign w:val="center"/>
          </w:tcPr>
          <w:p w14:paraId="0B160944">
            <w:pPr>
              <w:spacing w:line="360" w:lineRule="auto"/>
              <w:jc w:val="center"/>
              <w:rPr>
                <w:rFonts w:ascii="宋体" w:hAnsi="宋体" w:cs="宋体"/>
                <w:color w:val="auto"/>
                <w:sz w:val="21"/>
                <w:szCs w:val="21"/>
                <w:highlight w:val="none"/>
              </w:rPr>
            </w:pPr>
            <w:r>
              <w:rPr>
                <w:rFonts w:hint="eastAsia" w:ascii="宋体" w:hAnsi="宋体" w:cs="宋体"/>
                <w:b/>
                <w:bCs/>
                <w:color w:val="auto"/>
                <w:sz w:val="21"/>
                <w:szCs w:val="21"/>
                <w:highlight w:val="none"/>
              </w:rPr>
              <w:t>▲</w:t>
            </w:r>
            <w:r>
              <w:rPr>
                <w:rFonts w:hint="eastAsia" w:ascii="宋体" w:hAnsi="宋体" w:cs="宋体"/>
                <w:color w:val="auto"/>
                <w:sz w:val="21"/>
                <w:szCs w:val="21"/>
                <w:highlight w:val="none"/>
              </w:rPr>
              <w:t>付款条件</w:t>
            </w:r>
          </w:p>
        </w:tc>
        <w:tc>
          <w:tcPr>
            <w:tcW w:w="4303" w:type="pct"/>
            <w:gridSpan w:val="4"/>
            <w:tcBorders>
              <w:top w:val="single" w:color="auto" w:sz="4" w:space="0"/>
              <w:left w:val="single" w:color="auto" w:sz="4" w:space="0"/>
              <w:bottom w:val="single" w:color="auto" w:sz="4" w:space="0"/>
              <w:right w:val="single" w:color="auto" w:sz="4" w:space="0"/>
            </w:tcBorders>
            <w:noWrap w:val="0"/>
            <w:vAlign w:val="center"/>
          </w:tcPr>
          <w:p w14:paraId="1189E92A">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在合同签订后</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个工作日内，采购人支付给成交供应商合同金额的30%；成交供应商完成</w:t>
            </w:r>
            <w:r>
              <w:rPr>
                <w:rFonts w:hint="eastAsia" w:ascii="宋体" w:hAnsi="宋体" w:cs="宋体"/>
                <w:color w:val="auto"/>
                <w:sz w:val="21"/>
                <w:szCs w:val="21"/>
                <w:highlight w:val="none"/>
                <w:lang w:val="en-US" w:eastAsia="zh-CN"/>
              </w:rPr>
              <w:t>密码应用方案经采购人确认后，采购人支付给成交供应商合同金额的20%；</w:t>
            </w:r>
            <w:r>
              <w:rPr>
                <w:rFonts w:hint="eastAsia" w:ascii="宋体" w:hAnsi="宋体" w:cs="宋体"/>
                <w:color w:val="auto"/>
                <w:sz w:val="21"/>
                <w:szCs w:val="21"/>
                <w:highlight w:val="none"/>
              </w:rPr>
              <w:t>成交供应商完成项目事前绩效评估报告经采购人确认后，采购人支付</w:t>
            </w:r>
            <w:r>
              <w:rPr>
                <w:rFonts w:hint="eastAsia" w:ascii="宋体" w:hAnsi="宋体" w:cs="宋体"/>
                <w:color w:val="auto"/>
                <w:sz w:val="21"/>
                <w:szCs w:val="21"/>
                <w:highlight w:val="none"/>
                <w:lang w:val="en-US" w:eastAsia="zh-CN"/>
              </w:rPr>
              <w:t>给成交供应商</w:t>
            </w:r>
            <w:r>
              <w:rPr>
                <w:rFonts w:hint="eastAsia" w:ascii="宋体" w:hAnsi="宋体" w:cs="宋体"/>
                <w:color w:val="auto"/>
                <w:sz w:val="21"/>
                <w:szCs w:val="21"/>
                <w:highlight w:val="none"/>
              </w:rPr>
              <w:t>合同金额的</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0%</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成交供应商提交</w:t>
            </w:r>
            <w:r>
              <w:rPr>
                <w:rFonts w:hint="eastAsia" w:ascii="宋体" w:hAnsi="宋体" w:cs="宋体"/>
                <w:color w:val="auto"/>
                <w:sz w:val="21"/>
                <w:szCs w:val="21"/>
                <w:highlight w:val="none"/>
                <w:lang w:val="en-US" w:eastAsia="zh-CN"/>
              </w:rPr>
              <w:t>项目建设方案</w:t>
            </w:r>
            <w:r>
              <w:rPr>
                <w:rFonts w:hint="eastAsia" w:ascii="宋体" w:hAnsi="宋体" w:cs="宋体"/>
                <w:color w:val="auto"/>
                <w:sz w:val="21"/>
                <w:szCs w:val="21"/>
                <w:highlight w:val="none"/>
              </w:rPr>
              <w:t>经采购人确认后，采购人支付</w:t>
            </w:r>
            <w:r>
              <w:rPr>
                <w:rFonts w:hint="eastAsia" w:ascii="宋体" w:hAnsi="宋体" w:cs="宋体"/>
                <w:color w:val="auto"/>
                <w:sz w:val="21"/>
                <w:szCs w:val="21"/>
                <w:highlight w:val="none"/>
                <w:lang w:val="en-US" w:eastAsia="zh-CN"/>
              </w:rPr>
              <w:t>给成交供应商</w:t>
            </w:r>
            <w:r>
              <w:rPr>
                <w:rFonts w:hint="eastAsia" w:ascii="宋体" w:hAnsi="宋体" w:cs="宋体"/>
                <w:color w:val="auto"/>
                <w:sz w:val="21"/>
                <w:szCs w:val="21"/>
                <w:highlight w:val="none"/>
              </w:rPr>
              <w:t>合同金额的</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0%。</w:t>
            </w:r>
            <w:r>
              <w:rPr>
                <w:rFonts w:hint="eastAsia" w:ascii="宋体" w:hAnsi="宋体" w:eastAsia="宋体" w:cs="宋体"/>
                <w:color w:val="auto"/>
                <w:kern w:val="2"/>
                <w:sz w:val="21"/>
                <w:szCs w:val="21"/>
                <w:highlight w:val="none"/>
                <w:lang w:val="en-US" w:eastAsia="zh-CN" w:bidi="ar-SA"/>
              </w:rPr>
              <w:t>成交供应商在每次收到合同款后7个工作日内开具等额有效合法发票给采购人。</w:t>
            </w:r>
          </w:p>
        </w:tc>
      </w:tr>
      <w:tr w14:paraId="1059C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96" w:type="pct"/>
            <w:gridSpan w:val="2"/>
            <w:tcBorders>
              <w:top w:val="single" w:color="auto" w:sz="4" w:space="0"/>
              <w:left w:val="single" w:color="auto" w:sz="4" w:space="0"/>
              <w:bottom w:val="single" w:color="auto" w:sz="4" w:space="0"/>
              <w:right w:val="single" w:color="auto" w:sz="4" w:space="0"/>
            </w:tcBorders>
            <w:noWrap w:val="0"/>
            <w:vAlign w:val="center"/>
          </w:tcPr>
          <w:p w14:paraId="7602ADA9">
            <w:pPr>
              <w:snapToGrid w:val="0"/>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售后服务要求</w:t>
            </w:r>
          </w:p>
        </w:tc>
        <w:tc>
          <w:tcPr>
            <w:tcW w:w="4303" w:type="pct"/>
            <w:gridSpan w:val="4"/>
            <w:tcBorders>
              <w:top w:val="single" w:color="auto" w:sz="4" w:space="0"/>
              <w:left w:val="single" w:color="auto" w:sz="4" w:space="0"/>
              <w:bottom w:val="single" w:color="auto" w:sz="4" w:space="0"/>
              <w:right w:val="single" w:color="auto" w:sz="4" w:space="0"/>
            </w:tcBorders>
            <w:noWrap w:val="0"/>
            <w:vAlign w:val="center"/>
          </w:tcPr>
          <w:p w14:paraId="086569DB">
            <w:pPr>
              <w:pStyle w:val="18"/>
              <w:snapToGrid w:val="0"/>
              <w:spacing w:line="360" w:lineRule="exact"/>
              <w:ind w:left="360" w:hanging="315" w:hangingChars="150"/>
              <w:outlineLvl w:val="0"/>
              <w:rPr>
                <w:rFonts w:hint="eastAsia" w:hAnsi="宋体" w:cs="宋体"/>
                <w:color w:val="auto"/>
                <w:kern w:val="2"/>
                <w:sz w:val="21"/>
                <w:szCs w:val="21"/>
                <w:highlight w:val="none"/>
              </w:rPr>
            </w:pPr>
            <w:bookmarkStart w:id="105" w:name="_Toc9598"/>
            <w:bookmarkStart w:id="106" w:name="_Toc1752"/>
            <w:bookmarkStart w:id="107" w:name="_Toc3247"/>
            <w:r>
              <w:rPr>
                <w:rFonts w:hint="eastAsia" w:hAnsi="宋体" w:cs="宋体"/>
                <w:color w:val="auto"/>
                <w:kern w:val="2"/>
                <w:sz w:val="21"/>
                <w:szCs w:val="21"/>
                <w:highlight w:val="none"/>
              </w:rPr>
              <w:t>1.处理问题响应时间：接到采购人处理问题通知后2小时内到达采购人指定现场。</w:t>
            </w:r>
            <w:bookmarkEnd w:id="105"/>
            <w:bookmarkEnd w:id="106"/>
            <w:bookmarkEnd w:id="107"/>
          </w:p>
          <w:p w14:paraId="00004CB7">
            <w:pPr>
              <w:pStyle w:val="18"/>
              <w:snapToGrid w:val="0"/>
              <w:spacing w:line="420" w:lineRule="exact"/>
              <w:ind w:left="315" w:leftChars="0" w:hanging="315" w:hangingChars="150"/>
              <w:outlineLvl w:val="0"/>
              <w:rPr>
                <w:rFonts w:hAnsi="宋体" w:cs="宋体"/>
                <w:color w:val="auto"/>
                <w:kern w:val="2"/>
                <w:sz w:val="21"/>
                <w:szCs w:val="21"/>
                <w:highlight w:val="none"/>
              </w:rPr>
            </w:pPr>
            <w:bookmarkStart w:id="108" w:name="_Toc30372"/>
            <w:bookmarkStart w:id="109" w:name="_Toc24748"/>
            <w:bookmarkStart w:id="110" w:name="_Toc3490"/>
            <w:r>
              <w:rPr>
                <w:rFonts w:hint="eastAsia" w:hAnsi="宋体" w:cs="宋体"/>
                <w:color w:val="auto"/>
                <w:kern w:val="2"/>
                <w:sz w:val="21"/>
                <w:szCs w:val="21"/>
                <w:highlight w:val="none"/>
              </w:rPr>
              <w:t>2.其他：根据评审会、工作对接会、协调会等意见相应修改完善设计内容。</w:t>
            </w:r>
            <w:bookmarkEnd w:id="108"/>
            <w:bookmarkEnd w:id="109"/>
            <w:bookmarkEnd w:id="110"/>
          </w:p>
        </w:tc>
      </w:tr>
      <w:tr w14:paraId="7F0008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96" w:type="pct"/>
            <w:gridSpan w:val="2"/>
            <w:tcBorders>
              <w:top w:val="single" w:color="auto" w:sz="4" w:space="0"/>
              <w:left w:val="single" w:color="auto" w:sz="4" w:space="0"/>
              <w:bottom w:val="single" w:color="auto" w:sz="4" w:space="0"/>
              <w:right w:val="single" w:color="auto" w:sz="4" w:space="0"/>
            </w:tcBorders>
            <w:noWrap w:val="0"/>
            <w:vAlign w:val="center"/>
          </w:tcPr>
          <w:p w14:paraId="228D46D9">
            <w:pPr>
              <w:spacing w:line="360" w:lineRule="auto"/>
              <w:jc w:val="center"/>
              <w:rPr>
                <w:rFonts w:ascii="宋体" w:hAnsi="宋体" w:cs="宋体"/>
                <w:color w:val="auto"/>
                <w:sz w:val="21"/>
                <w:szCs w:val="21"/>
                <w:highlight w:val="none"/>
              </w:rPr>
            </w:pPr>
            <w:r>
              <w:rPr>
                <w:rFonts w:hint="eastAsia" w:ascii="宋体" w:hAnsi="宋体" w:cs="宋体"/>
                <w:b/>
                <w:bCs/>
                <w:color w:val="auto"/>
                <w:sz w:val="21"/>
                <w:szCs w:val="21"/>
                <w:highlight w:val="none"/>
              </w:rPr>
              <w:t>▲</w:t>
            </w:r>
            <w:r>
              <w:rPr>
                <w:rFonts w:hint="eastAsia" w:ascii="宋体" w:hAnsi="宋体" w:cs="宋体"/>
                <w:color w:val="auto"/>
                <w:sz w:val="21"/>
                <w:szCs w:val="21"/>
                <w:highlight w:val="none"/>
              </w:rPr>
              <w:t>其他要求</w:t>
            </w:r>
          </w:p>
        </w:tc>
        <w:tc>
          <w:tcPr>
            <w:tcW w:w="4303" w:type="pct"/>
            <w:gridSpan w:val="4"/>
            <w:tcBorders>
              <w:top w:val="single" w:color="auto" w:sz="4" w:space="0"/>
              <w:left w:val="single" w:color="auto" w:sz="4" w:space="0"/>
              <w:bottom w:val="single" w:color="auto" w:sz="4" w:space="0"/>
              <w:right w:val="single" w:color="auto" w:sz="4" w:space="0"/>
            </w:tcBorders>
            <w:noWrap w:val="0"/>
            <w:vAlign w:val="center"/>
          </w:tcPr>
          <w:p w14:paraId="3C347BE1">
            <w:pPr>
              <w:spacing w:line="360" w:lineRule="auto"/>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1.报价必须含以下部分，包括:</w:t>
            </w:r>
          </w:p>
          <w:p w14:paraId="6AF630D8">
            <w:pPr>
              <w:spacing w:line="360" w:lineRule="auto"/>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(1）材料费:包含汇报材料及成果打印费用。</w:t>
            </w:r>
          </w:p>
          <w:p w14:paraId="7C94F5DC">
            <w:pPr>
              <w:spacing w:line="360" w:lineRule="auto"/>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(2）有必要的保险费用和各项税金。</w:t>
            </w:r>
          </w:p>
          <w:p w14:paraId="36F297BE">
            <w:pPr>
              <w:spacing w:line="360" w:lineRule="auto"/>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（3）包含项目评审费用。</w:t>
            </w:r>
          </w:p>
          <w:p w14:paraId="25F3F762">
            <w:pPr>
              <w:spacing w:line="360" w:lineRule="auto"/>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2.本项目竞标报价包含完成上述服务内容所需的费用。如提供服务过程中产生额外费用，由成交供应商自行负责。</w:t>
            </w:r>
          </w:p>
          <w:p w14:paraId="265F273D">
            <w:pPr>
              <w:spacing w:line="360" w:lineRule="auto"/>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lang w:val="en-US" w:eastAsia="zh-CN"/>
              </w:rPr>
              <w:t>3</w:t>
            </w:r>
            <w:r>
              <w:rPr>
                <w:rFonts w:hint="eastAsia" w:ascii="宋体" w:hAnsi="宋体" w:cs="宋体"/>
                <w:color w:val="auto"/>
                <w:sz w:val="21"/>
                <w:szCs w:val="21"/>
                <w:highlight w:val="none"/>
                <w:shd w:val="clear" w:color="auto" w:fill="FFFFFF"/>
              </w:rPr>
              <w:t>.供应商必须配合采购人向评审机构和审批部门等相关部门进行项目申报、评审等相关工作。</w:t>
            </w:r>
          </w:p>
          <w:p w14:paraId="75226C09">
            <w:pPr>
              <w:spacing w:line="360" w:lineRule="auto"/>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lang w:val="en-US" w:eastAsia="zh-CN"/>
              </w:rPr>
              <w:t>4</w:t>
            </w:r>
            <w:r>
              <w:rPr>
                <w:rFonts w:hint="eastAsia" w:ascii="宋体" w:hAnsi="宋体" w:cs="宋体"/>
                <w:color w:val="auto"/>
                <w:sz w:val="21"/>
                <w:szCs w:val="21"/>
                <w:highlight w:val="none"/>
                <w:shd w:val="clear" w:color="auto" w:fill="FFFFFF"/>
              </w:rPr>
              <w:t>.项目设计阶段，供应商必须在广西内安排有常驻设计人员不少于2人开展项目调研、设计等服务，直到本次设计服务验收合格。</w:t>
            </w:r>
          </w:p>
          <w:p w14:paraId="16ECEF90">
            <w:pPr>
              <w:spacing w:line="360" w:lineRule="auto"/>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lang w:val="en-US" w:eastAsia="zh-CN"/>
              </w:rPr>
              <w:t>5</w:t>
            </w:r>
            <w:r>
              <w:rPr>
                <w:rFonts w:hint="eastAsia" w:ascii="宋体" w:hAnsi="宋体" w:cs="宋体"/>
                <w:color w:val="auto"/>
                <w:sz w:val="21"/>
                <w:szCs w:val="21"/>
                <w:highlight w:val="none"/>
                <w:shd w:val="clear" w:color="auto" w:fill="FFFFFF"/>
              </w:rPr>
              <w:t>.成交供应商不得以任何形式向与本项目无关的其他单位或人员提供项目相关文件及所附的有关资料,如违反,按国家保密法规定追究法律责任。</w:t>
            </w:r>
          </w:p>
          <w:p w14:paraId="11FEE689">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lang w:val="en-US" w:eastAsia="zh-CN"/>
              </w:rPr>
              <w:t>6</w:t>
            </w:r>
            <w:r>
              <w:rPr>
                <w:rFonts w:hint="eastAsia" w:ascii="宋体" w:hAnsi="宋体" w:cs="宋体"/>
                <w:color w:val="auto"/>
                <w:sz w:val="21"/>
                <w:szCs w:val="21"/>
                <w:highlight w:val="none"/>
                <w:shd w:val="clear" w:color="auto" w:fill="FFFFFF"/>
              </w:rPr>
              <w:t>.本项目成果及其相关知识产权权利归采购人所有。</w:t>
            </w:r>
          </w:p>
        </w:tc>
      </w:tr>
    </w:tbl>
    <w:p w14:paraId="5406CC78">
      <w:pPr>
        <w:rPr>
          <w:rFonts w:ascii="宋体" w:hAnsi="宋体" w:cs="Arial"/>
          <w:bCs/>
          <w:color w:val="auto"/>
          <w:szCs w:val="21"/>
          <w:highlight w:val="none"/>
          <w:u w:val="single"/>
        </w:rPr>
      </w:pPr>
      <w:r>
        <w:rPr>
          <w:rFonts w:hint="eastAsia" w:ascii="宋体" w:hAnsi="宋体"/>
          <w:b/>
          <w:color w:val="auto"/>
          <w:sz w:val="21"/>
          <w:szCs w:val="21"/>
          <w:highlight w:val="none"/>
        </w:rPr>
        <w:t xml:space="preserve">    </w:t>
      </w:r>
    </w:p>
    <w:p w14:paraId="0CBE99A9">
      <w:pPr>
        <w:pStyle w:val="14"/>
        <w:spacing w:line="360" w:lineRule="auto"/>
        <w:outlineLvl w:val="9"/>
        <w:rPr>
          <w:rFonts w:hint="eastAsia" w:ascii="宋体" w:hAnsi="宋体" w:cs="宋体"/>
          <w:b/>
          <w:bCs/>
          <w:color w:val="auto"/>
          <w:szCs w:val="21"/>
          <w:highlight w:val="none"/>
        </w:rPr>
      </w:pPr>
    </w:p>
    <w:p w14:paraId="2612D72D">
      <w:pPr>
        <w:rPr>
          <w:rFonts w:hint="eastAsia" w:ascii="宋体" w:hAnsi="宋体" w:cs="宋体"/>
          <w:b/>
          <w:bCs/>
          <w:color w:val="auto"/>
          <w:szCs w:val="21"/>
          <w:highlight w:val="none"/>
        </w:rPr>
      </w:pPr>
    </w:p>
    <w:p w14:paraId="644F4709">
      <w:pPr>
        <w:pStyle w:val="22"/>
        <w:rPr>
          <w:rFonts w:hint="eastAsia" w:ascii="宋体" w:hAnsi="宋体" w:cs="宋体"/>
          <w:b/>
          <w:bCs/>
          <w:color w:val="auto"/>
          <w:szCs w:val="21"/>
          <w:highlight w:val="none"/>
        </w:rPr>
      </w:pPr>
    </w:p>
    <w:p w14:paraId="40BF093E">
      <w:pPr>
        <w:rPr>
          <w:rFonts w:hint="eastAsia" w:ascii="宋体" w:hAnsi="宋体" w:cs="宋体"/>
          <w:b/>
          <w:bCs/>
          <w:color w:val="auto"/>
          <w:szCs w:val="21"/>
          <w:highlight w:val="none"/>
        </w:rPr>
      </w:pPr>
    </w:p>
    <w:p w14:paraId="0CA38AF5">
      <w:pPr>
        <w:pStyle w:val="22"/>
        <w:rPr>
          <w:rFonts w:hint="eastAsia" w:ascii="宋体" w:hAnsi="宋体" w:cs="宋体"/>
          <w:b/>
          <w:bCs/>
          <w:color w:val="auto"/>
          <w:szCs w:val="21"/>
          <w:highlight w:val="none"/>
        </w:rPr>
      </w:pPr>
    </w:p>
    <w:p w14:paraId="41CBA53C">
      <w:pPr>
        <w:rPr>
          <w:rFonts w:hint="eastAsia" w:ascii="宋体" w:hAnsi="宋体" w:cs="宋体"/>
          <w:b/>
          <w:bCs/>
          <w:color w:val="auto"/>
          <w:szCs w:val="21"/>
          <w:highlight w:val="none"/>
        </w:rPr>
      </w:pPr>
    </w:p>
    <w:p w14:paraId="221D42B7">
      <w:pPr>
        <w:pStyle w:val="22"/>
        <w:rPr>
          <w:rFonts w:hint="eastAsia" w:ascii="宋体" w:hAnsi="宋体" w:cs="宋体"/>
          <w:b/>
          <w:bCs/>
          <w:color w:val="auto"/>
          <w:szCs w:val="21"/>
          <w:highlight w:val="none"/>
        </w:rPr>
      </w:pPr>
    </w:p>
    <w:p w14:paraId="71E57F16">
      <w:pPr>
        <w:rPr>
          <w:rFonts w:hint="eastAsia" w:ascii="宋体" w:hAnsi="宋体" w:cs="宋体"/>
          <w:b/>
          <w:bCs/>
          <w:color w:val="auto"/>
          <w:szCs w:val="21"/>
          <w:highlight w:val="none"/>
        </w:rPr>
      </w:pPr>
    </w:p>
    <w:p w14:paraId="26B71020">
      <w:pPr>
        <w:pStyle w:val="22"/>
        <w:rPr>
          <w:rFonts w:hint="eastAsia" w:ascii="宋体" w:hAnsi="宋体" w:cs="宋体"/>
          <w:b/>
          <w:bCs/>
          <w:color w:val="auto"/>
          <w:szCs w:val="21"/>
          <w:highlight w:val="none"/>
        </w:rPr>
      </w:pPr>
    </w:p>
    <w:p w14:paraId="61944A87">
      <w:pPr>
        <w:rPr>
          <w:rFonts w:hint="eastAsia" w:ascii="宋体" w:hAnsi="宋体" w:cs="宋体"/>
          <w:b/>
          <w:bCs/>
          <w:color w:val="auto"/>
          <w:szCs w:val="21"/>
          <w:highlight w:val="none"/>
        </w:rPr>
      </w:pPr>
    </w:p>
    <w:p w14:paraId="13644B00">
      <w:pPr>
        <w:pStyle w:val="22"/>
        <w:rPr>
          <w:rFonts w:hint="eastAsia" w:ascii="宋体" w:hAnsi="宋体" w:cs="宋体"/>
          <w:b/>
          <w:bCs/>
          <w:color w:val="auto"/>
          <w:szCs w:val="21"/>
          <w:highlight w:val="none"/>
        </w:rPr>
      </w:pPr>
    </w:p>
    <w:p w14:paraId="13D7D238">
      <w:pPr>
        <w:rPr>
          <w:rFonts w:hint="eastAsia" w:ascii="宋体" w:hAnsi="宋体" w:cs="宋体"/>
          <w:b/>
          <w:bCs/>
          <w:color w:val="auto"/>
          <w:szCs w:val="21"/>
          <w:highlight w:val="none"/>
        </w:rPr>
      </w:pPr>
    </w:p>
    <w:p w14:paraId="593638AA">
      <w:pPr>
        <w:pStyle w:val="22"/>
        <w:rPr>
          <w:rFonts w:hint="eastAsia" w:ascii="宋体" w:hAnsi="宋体" w:cs="宋体"/>
          <w:b/>
          <w:bCs/>
          <w:color w:val="auto"/>
          <w:szCs w:val="21"/>
          <w:highlight w:val="none"/>
        </w:rPr>
      </w:pPr>
    </w:p>
    <w:p w14:paraId="1FC87C11">
      <w:pPr>
        <w:rPr>
          <w:rFonts w:hint="eastAsia" w:ascii="宋体" w:hAnsi="宋体" w:cs="宋体"/>
          <w:b/>
          <w:bCs/>
          <w:color w:val="auto"/>
          <w:szCs w:val="21"/>
          <w:highlight w:val="none"/>
        </w:rPr>
      </w:pPr>
    </w:p>
    <w:p w14:paraId="04B02FC1">
      <w:pPr>
        <w:pStyle w:val="22"/>
        <w:rPr>
          <w:rFonts w:hint="eastAsia" w:ascii="宋体" w:hAnsi="宋体" w:cs="宋体"/>
          <w:b/>
          <w:bCs/>
          <w:color w:val="auto"/>
          <w:szCs w:val="21"/>
          <w:highlight w:val="none"/>
        </w:rPr>
      </w:pPr>
    </w:p>
    <w:p w14:paraId="6BAA7588">
      <w:pPr>
        <w:rPr>
          <w:rFonts w:hint="eastAsia" w:ascii="宋体" w:hAnsi="宋体" w:cs="宋体"/>
          <w:b/>
          <w:bCs/>
          <w:color w:val="auto"/>
          <w:szCs w:val="21"/>
          <w:highlight w:val="none"/>
        </w:rPr>
      </w:pPr>
    </w:p>
    <w:p w14:paraId="45512A50">
      <w:pPr>
        <w:pStyle w:val="22"/>
        <w:rPr>
          <w:rFonts w:hint="eastAsia" w:ascii="宋体" w:hAnsi="宋体" w:cs="宋体"/>
          <w:b/>
          <w:bCs/>
          <w:color w:val="auto"/>
          <w:szCs w:val="21"/>
          <w:highlight w:val="none"/>
        </w:rPr>
      </w:pPr>
    </w:p>
    <w:p w14:paraId="7739F101">
      <w:pPr>
        <w:rPr>
          <w:rFonts w:hint="eastAsia" w:ascii="宋体" w:hAnsi="宋体" w:cs="宋体"/>
          <w:b/>
          <w:bCs/>
          <w:color w:val="auto"/>
          <w:szCs w:val="21"/>
          <w:highlight w:val="none"/>
        </w:rPr>
      </w:pPr>
    </w:p>
    <w:p w14:paraId="355E86CC">
      <w:pPr>
        <w:pStyle w:val="22"/>
        <w:rPr>
          <w:rFonts w:hint="eastAsia" w:ascii="宋体" w:hAnsi="宋体" w:cs="宋体"/>
          <w:b/>
          <w:bCs/>
          <w:color w:val="auto"/>
          <w:szCs w:val="21"/>
          <w:highlight w:val="none"/>
        </w:rPr>
      </w:pPr>
    </w:p>
    <w:p w14:paraId="2F01BE49">
      <w:pPr>
        <w:rPr>
          <w:rFonts w:hint="eastAsia" w:ascii="宋体" w:hAnsi="宋体" w:cs="宋体"/>
          <w:b/>
          <w:bCs/>
          <w:color w:val="auto"/>
          <w:szCs w:val="21"/>
          <w:highlight w:val="none"/>
        </w:rPr>
      </w:pPr>
    </w:p>
    <w:p w14:paraId="20D1458C">
      <w:pPr>
        <w:pStyle w:val="22"/>
        <w:rPr>
          <w:rFonts w:hint="eastAsia" w:ascii="宋体" w:hAnsi="宋体" w:cs="宋体"/>
          <w:b/>
          <w:bCs/>
          <w:color w:val="auto"/>
          <w:szCs w:val="21"/>
          <w:highlight w:val="none"/>
        </w:rPr>
      </w:pPr>
    </w:p>
    <w:p w14:paraId="3E7C2EE8">
      <w:pPr>
        <w:rPr>
          <w:rFonts w:hint="eastAsia"/>
          <w:color w:val="auto"/>
          <w:highlight w:val="none"/>
        </w:rPr>
      </w:pPr>
    </w:p>
    <w:p w14:paraId="61A20AB8">
      <w:pPr>
        <w:rPr>
          <w:rFonts w:hint="eastAsia" w:ascii="宋体" w:hAnsi="宋体" w:cs="宋体"/>
          <w:b/>
          <w:bCs/>
          <w:color w:val="auto"/>
          <w:szCs w:val="21"/>
          <w:highlight w:val="none"/>
        </w:rPr>
      </w:pPr>
    </w:p>
    <w:p w14:paraId="4AA5A378">
      <w:pPr>
        <w:pStyle w:val="22"/>
        <w:rPr>
          <w:rFonts w:hint="eastAsia"/>
          <w:color w:val="auto"/>
          <w:highlight w:val="none"/>
        </w:rPr>
      </w:pPr>
    </w:p>
    <w:p w14:paraId="22193815">
      <w:pPr>
        <w:pStyle w:val="14"/>
        <w:spacing w:line="360" w:lineRule="auto"/>
        <w:outlineLvl w:val="9"/>
        <w:rPr>
          <w:rFonts w:hint="eastAsia" w:ascii="宋体" w:hAnsi="宋体" w:cs="宋体"/>
          <w:b/>
          <w:bCs/>
          <w:color w:val="auto"/>
          <w:szCs w:val="21"/>
          <w:highlight w:val="none"/>
        </w:rPr>
      </w:pPr>
    </w:p>
    <w:p w14:paraId="6ED96276">
      <w:pPr>
        <w:rPr>
          <w:rFonts w:hint="eastAsia" w:ascii="宋体" w:hAnsi="宋体" w:cs="宋体"/>
          <w:b/>
          <w:bCs/>
          <w:color w:val="auto"/>
          <w:szCs w:val="21"/>
          <w:highlight w:val="none"/>
        </w:rPr>
      </w:pPr>
    </w:p>
    <w:p w14:paraId="3E5657C8">
      <w:pPr>
        <w:rPr>
          <w:rFonts w:hint="eastAsia" w:ascii="宋体" w:hAnsi="宋体" w:cs="宋体"/>
          <w:b/>
          <w:bCs/>
          <w:color w:val="auto"/>
          <w:szCs w:val="21"/>
          <w:highlight w:val="none"/>
        </w:rPr>
      </w:pPr>
    </w:p>
    <w:p w14:paraId="290918C9">
      <w:pPr>
        <w:rPr>
          <w:rFonts w:hint="eastAsia" w:ascii="宋体" w:hAnsi="宋体" w:cs="宋体"/>
          <w:b/>
          <w:bCs/>
          <w:color w:val="auto"/>
          <w:szCs w:val="21"/>
          <w:highlight w:val="none"/>
        </w:rPr>
      </w:pPr>
    </w:p>
    <w:p w14:paraId="5063769E">
      <w:pPr>
        <w:rPr>
          <w:rFonts w:hint="eastAsia" w:ascii="宋体" w:hAnsi="宋体" w:cs="宋体"/>
          <w:b/>
          <w:bCs/>
          <w:color w:val="auto"/>
          <w:szCs w:val="21"/>
          <w:highlight w:val="none"/>
        </w:rPr>
      </w:pPr>
    </w:p>
    <w:p w14:paraId="69FF299E">
      <w:pPr>
        <w:rPr>
          <w:rFonts w:hint="eastAsia" w:ascii="宋体" w:hAnsi="宋体" w:cs="宋体"/>
          <w:b/>
          <w:bCs/>
          <w:color w:val="auto"/>
          <w:szCs w:val="21"/>
          <w:highlight w:val="none"/>
        </w:rPr>
      </w:pPr>
    </w:p>
    <w:p w14:paraId="0683E3EB">
      <w:pPr>
        <w:rPr>
          <w:rFonts w:hint="eastAsia" w:ascii="宋体" w:hAnsi="宋体" w:cs="宋体"/>
          <w:b/>
          <w:bCs/>
          <w:color w:val="auto"/>
          <w:szCs w:val="21"/>
          <w:highlight w:val="none"/>
        </w:rPr>
      </w:pPr>
    </w:p>
    <w:p w14:paraId="3B94B0EE">
      <w:pPr>
        <w:rPr>
          <w:rFonts w:hint="eastAsia" w:ascii="宋体" w:hAnsi="宋体" w:cs="宋体"/>
          <w:b/>
          <w:bCs/>
          <w:color w:val="auto"/>
          <w:szCs w:val="21"/>
          <w:highlight w:val="none"/>
        </w:rPr>
      </w:pPr>
    </w:p>
    <w:p w14:paraId="2F6771F1">
      <w:pPr>
        <w:rPr>
          <w:rFonts w:hint="eastAsia" w:ascii="宋体" w:hAnsi="宋体" w:cs="宋体"/>
          <w:b/>
          <w:bCs/>
          <w:color w:val="auto"/>
          <w:szCs w:val="21"/>
          <w:highlight w:val="none"/>
        </w:rPr>
      </w:pPr>
    </w:p>
    <w:p w14:paraId="28D3ABB5">
      <w:pPr>
        <w:rPr>
          <w:rFonts w:hint="eastAsia" w:ascii="宋体" w:hAnsi="宋体" w:cs="宋体"/>
          <w:b/>
          <w:bCs/>
          <w:color w:val="auto"/>
          <w:szCs w:val="21"/>
          <w:highlight w:val="none"/>
        </w:rPr>
      </w:pPr>
    </w:p>
    <w:p w14:paraId="2B959EB9">
      <w:pPr>
        <w:rPr>
          <w:rFonts w:hint="eastAsia" w:ascii="宋体" w:hAnsi="宋体" w:cs="宋体"/>
          <w:b/>
          <w:bCs/>
          <w:color w:val="auto"/>
          <w:szCs w:val="21"/>
          <w:highlight w:val="none"/>
        </w:rPr>
      </w:pPr>
    </w:p>
    <w:p w14:paraId="27B1A8CF">
      <w:pPr>
        <w:rPr>
          <w:rFonts w:hint="eastAsia" w:ascii="宋体" w:hAnsi="宋体" w:cs="宋体"/>
          <w:b/>
          <w:bCs/>
          <w:color w:val="auto"/>
          <w:szCs w:val="21"/>
          <w:highlight w:val="none"/>
        </w:rPr>
      </w:pPr>
    </w:p>
    <w:p w14:paraId="4B5371DD">
      <w:pPr>
        <w:rPr>
          <w:rFonts w:hint="eastAsia" w:ascii="宋体" w:hAnsi="宋体" w:cs="宋体"/>
          <w:b/>
          <w:bCs/>
          <w:color w:val="auto"/>
          <w:szCs w:val="21"/>
          <w:highlight w:val="none"/>
        </w:rPr>
      </w:pPr>
    </w:p>
    <w:p w14:paraId="300DC0D2">
      <w:pPr>
        <w:rPr>
          <w:rFonts w:hint="eastAsia" w:ascii="宋体" w:hAnsi="宋体" w:cs="宋体"/>
          <w:b/>
          <w:bCs/>
          <w:color w:val="auto"/>
          <w:szCs w:val="21"/>
          <w:highlight w:val="none"/>
        </w:rPr>
      </w:pPr>
    </w:p>
    <w:p w14:paraId="5C161937">
      <w:pPr>
        <w:pStyle w:val="14"/>
        <w:spacing w:line="360" w:lineRule="auto"/>
        <w:outlineLvl w:val="0"/>
        <w:rPr>
          <w:rFonts w:hint="eastAsia" w:ascii="宋体" w:hAnsi="宋体" w:cs="宋体"/>
          <w:color w:val="auto"/>
          <w:highlight w:val="none"/>
        </w:rPr>
      </w:pPr>
      <w:bookmarkStart w:id="111" w:name="_Toc19392"/>
      <w:bookmarkStart w:id="112" w:name="_Toc7851"/>
      <w:bookmarkStart w:id="113" w:name="_Toc20834"/>
      <w:r>
        <w:rPr>
          <w:rStyle w:val="42"/>
          <w:rFonts w:hint="eastAsia" w:ascii="宋体" w:hAnsi="宋体" w:cs="宋体"/>
          <w:color w:val="auto"/>
          <w:highlight w:val="none"/>
        </w:rPr>
        <w:t>第四章 评审程序、评审方法和评审标准</w:t>
      </w:r>
      <w:bookmarkEnd w:id="82"/>
      <w:bookmarkEnd w:id="83"/>
      <w:bookmarkEnd w:id="111"/>
      <w:bookmarkEnd w:id="112"/>
      <w:bookmarkEnd w:id="113"/>
    </w:p>
    <w:p w14:paraId="01470C51">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一、评审程序和评审方法</w:t>
      </w:r>
    </w:p>
    <w:p w14:paraId="33DE5566">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1.资格审查</w:t>
      </w:r>
    </w:p>
    <w:p w14:paraId="0357269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1.1响应文件开启后，磋商小组依法对供应商的资格证明文件进行审查。</w:t>
      </w:r>
    </w:p>
    <w:p w14:paraId="23A2549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highlight w:val="none"/>
        </w:rPr>
        <w:t>磋商小组</w:t>
      </w:r>
      <w:r>
        <w:rPr>
          <w:rFonts w:hint="eastAsia" w:ascii="宋体" w:hAnsi="宋体" w:cs="宋体"/>
          <w:color w:val="auto"/>
          <w:szCs w:val="21"/>
          <w:highlight w:val="none"/>
        </w:rPr>
        <w:t>在资格审查结束前，对供应商进行信用查询。</w:t>
      </w:r>
    </w:p>
    <w:p w14:paraId="351CFBA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（1）查询渠道：广西政府采购云平台“信用中国”网站(www.creditchina.gov.cn)、中国政府采购网(www.ccgp.gov.cn)链接入口。</w:t>
      </w:r>
    </w:p>
    <w:p w14:paraId="4428C5C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6033AE7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7C74247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、政府采购严重违法失信行为记录名单及其他不符合《中华人民共和国政府采购法》第二十二条规定条件的供应商）的，视同联合体存在不良信用记录。</w:t>
      </w:r>
    </w:p>
    <w:p w14:paraId="5228D6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4D163E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1.3供应商有下列情形之一的，资格审查不通过，其响应文件按无效响应处理：</w:t>
      </w:r>
    </w:p>
    <w:p w14:paraId="14835F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00B293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073702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（3）响应文件的资格证明文件缺少任一项“供应商须知前附表”资格证明文件规定的“必须提供”的文件资料的；</w:t>
      </w:r>
    </w:p>
    <w:p w14:paraId="328887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（4）响应文件中的资格证明文件出现任一项不符合“供应商须知前附表”资格证明文件规定的“必须提供”的文件资料要求或者无效的；</w:t>
      </w:r>
    </w:p>
    <w:p w14:paraId="0C2F2C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06E468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1.4通过资格审查的合格供应商不足2家的，不得进入符合性审查环节，采购人或者采购代理机构应当重新开展采购活动。</w:t>
      </w:r>
    </w:p>
    <w:p w14:paraId="3AE18C80">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2.符合性审查</w:t>
      </w:r>
    </w:p>
    <w:p w14:paraId="5A6E01CC">
      <w:pPr>
        <w:spacing w:line="360" w:lineRule="auto"/>
        <w:ind w:firstLine="420" w:firstLineChars="200"/>
        <w:rPr>
          <w:rFonts w:hint="eastAsia" w:ascii="宋体" w:hAnsi="宋体" w:cs="宋体"/>
          <w:color w:val="auto"/>
          <w:szCs w:val="21"/>
          <w:highlight w:val="none"/>
        </w:rPr>
      </w:pPr>
      <w:bookmarkStart w:id="114" w:name="_Hlk42528882"/>
      <w:r>
        <w:rPr>
          <w:rFonts w:hint="eastAsia" w:ascii="宋体" w:hAnsi="宋体" w:cs="宋体"/>
          <w:color w:val="auto"/>
          <w:szCs w:val="21"/>
          <w:highlight w:val="none"/>
        </w:rPr>
        <w:t>2.1由磋商小组对通过资格审查的合格供应商的响应文件的竞标报价、商务、技术等实质性要求进行符合性审查，以确定其是否满足磋商文件的实质性要求。</w:t>
      </w:r>
    </w:p>
    <w:bookmarkEnd w:id="114"/>
    <w:p w14:paraId="7E3BF8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EFD9153">
      <w:pP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ascii="宋体" w:hAnsi="宋体" w:cs="宋体"/>
          <w:color w:val="auto"/>
          <w:highlight w:val="none"/>
        </w:rPr>
        <w:t>签章</w:t>
      </w:r>
      <w:r>
        <w:rPr>
          <w:rFonts w:hint="eastAsia" w:ascii="宋体" w:hAnsi="宋体" w:cs="宋体"/>
          <w:color w:val="auto"/>
          <w:spacing w:val="-6"/>
          <w:szCs w:val="21"/>
          <w:highlight w:val="none"/>
        </w:rPr>
        <w:t>。</w:t>
      </w:r>
    </w:p>
    <w:p w14:paraId="3223C39D">
      <w:pP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4A956177">
      <w:pPr>
        <w:spacing w:line="360" w:lineRule="auto"/>
        <w:ind w:firstLine="396" w:firstLineChars="200"/>
        <w:rPr>
          <w:rFonts w:hint="eastAsia" w:ascii="宋体" w:hAnsi="宋体" w:cs="宋体"/>
          <w:color w:val="auto"/>
          <w:szCs w:val="21"/>
          <w:highlight w:val="none"/>
        </w:rPr>
      </w:pPr>
      <w:r>
        <w:rPr>
          <w:rFonts w:hint="eastAsia"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2AA23A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4F2B5A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16F5A57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563FC67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7C1790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2FB3CE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2.5商务技术报价评审</w:t>
      </w:r>
    </w:p>
    <w:p w14:paraId="70161D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44E684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032265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347751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27870B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1CC11E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3566C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21435D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78471D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2A031B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5D63C0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5CFD17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10）属于“供应商须知正文”第7.5条情形；</w:t>
      </w:r>
    </w:p>
    <w:p w14:paraId="38D3EE6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11）技术要求允许负偏离的条款数超过“供应商须知前附表”规定项数；</w:t>
      </w:r>
    </w:p>
    <w:p w14:paraId="528ED0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12）虚假竞标，或者出现其他情形而导致被磋商小组认定无效；</w:t>
      </w:r>
    </w:p>
    <w:p w14:paraId="6C5EBE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w:t>
      </w:r>
      <w:bookmarkStart w:id="115"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115"/>
    </w:p>
    <w:p w14:paraId="44AFCD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14）响应文件标注的项目名称或者项目编号与磋商文件标注的项目名称或者项目编号不一致的；</w:t>
      </w:r>
    </w:p>
    <w:p w14:paraId="1BD941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bCs/>
          <w:color w:val="auto"/>
          <w:szCs w:val="21"/>
          <w:highlight w:val="none"/>
        </w:rPr>
        <w:t>竞争性磋商文件明确不允许分包，响应文件拟分包的；</w:t>
      </w:r>
    </w:p>
    <w:p w14:paraId="23B624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16）未响应磋商文件实质性要求；</w:t>
      </w:r>
    </w:p>
    <w:p w14:paraId="37651F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17）法律、法规和磋商文件规定的其他无效情形。</w:t>
      </w:r>
    </w:p>
    <w:p w14:paraId="7EED1C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（2）报价评审</w:t>
      </w:r>
    </w:p>
    <w:p w14:paraId="09A852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报价文件中规定的“竞标报价表”；</w:t>
      </w:r>
    </w:p>
    <w:p w14:paraId="302562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0B789D9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3442C5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w:t>
      </w:r>
      <w:bookmarkStart w:id="116" w:name="_Hlk42596405"/>
      <w:r>
        <w:rPr>
          <w:rFonts w:hint="eastAsia" w:ascii="宋体" w:hAnsi="宋体" w:cs="宋体"/>
          <w:color w:val="auto"/>
          <w:szCs w:val="21"/>
          <w:highlight w:val="none"/>
        </w:rPr>
        <w:t>竞标报价（包含首次报价、最后报价）</w:t>
      </w:r>
      <w:bookmarkEnd w:id="116"/>
      <w:bookmarkStart w:id="117" w:name="_Hlk42596276"/>
      <w:r>
        <w:rPr>
          <w:rFonts w:hint="eastAsia" w:ascii="宋体" w:hAnsi="宋体" w:cs="宋体"/>
          <w:color w:val="auto"/>
          <w:szCs w:val="21"/>
          <w:highlight w:val="none"/>
        </w:rPr>
        <w:t>超过磋商文件分项采购预算金额或者最高限价的</w:t>
      </w:r>
      <w:bookmarkEnd w:id="117"/>
      <w:r>
        <w:rPr>
          <w:rFonts w:hint="eastAsia" w:ascii="宋体" w:hAnsi="宋体" w:cs="宋体"/>
          <w:color w:val="auto"/>
          <w:szCs w:val="21"/>
          <w:highlight w:val="none"/>
        </w:rPr>
        <w:t>（如本项目公布了最高限价）；</w:t>
      </w:r>
    </w:p>
    <w:p w14:paraId="685E22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6F6910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02579C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2家的供应商参加磋商。</w:t>
      </w:r>
    </w:p>
    <w:p w14:paraId="42E406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2.7通过符合性审查的合格供应商不足2家的，不得进入磋商环节，采购人或者采购代理机构应当重新开展采购活动。</w:t>
      </w:r>
    </w:p>
    <w:p w14:paraId="6A2039E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3.磋商程序</w:t>
      </w:r>
    </w:p>
    <w:p w14:paraId="7107B941">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3.1磋商小组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7BDC3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9546F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3.3对磋商文件作出的实质性变动是磋商文件的有效组成部分，由磋商小组及时以电子澄清函形式同时通知所有参加磋商的供应商。</w:t>
      </w:r>
    </w:p>
    <w:p w14:paraId="025A04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27D3B6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3.5磋商中，</w:t>
      </w:r>
      <w:r>
        <w:rPr>
          <w:rFonts w:hint="eastAsia" w:ascii="宋体" w:hAnsi="宋体" w:cs="宋体"/>
          <w:color w:val="auto"/>
          <w:spacing w:val="-6"/>
          <w:szCs w:val="21"/>
          <w:highlight w:val="none"/>
        </w:rPr>
        <w:t>磋商的任何一方不得透露与磋商有关的其他供应商的技术资料、价格和其他信息。</w:t>
      </w:r>
    </w:p>
    <w:p w14:paraId="1EEDD761">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3.6采购代理机构对磋商过程和重要磋商内容进行记录。</w:t>
      </w:r>
    </w:p>
    <w:p w14:paraId="67551EE3">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3.7</w:t>
      </w:r>
      <w:r>
        <w:rPr>
          <w:rFonts w:hint="eastAsia" w:ascii="宋体" w:hAnsi="宋体" w:cs="宋体"/>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3505AC23">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3.8除</w:t>
      </w:r>
      <w:r>
        <w:rPr>
          <w:rFonts w:hint="eastAsia" w:ascii="宋体" w:hAnsi="宋体" w:cs="宋体"/>
          <w:color w:val="auto"/>
          <w:highlight w:val="none"/>
        </w:rPr>
        <w:t>本章第3.7条情形外，</w:t>
      </w:r>
      <w:r>
        <w:rPr>
          <w:rFonts w:hint="eastAsia" w:ascii="宋体" w:hAnsi="宋体" w:cs="宋体"/>
          <w:color w:val="auto"/>
          <w:szCs w:val="21"/>
          <w:highlight w:val="none"/>
        </w:rPr>
        <w:t>对磋商过程提交的响应文件进行有效性、完整性和响应程度审查，通过审查的合格供应商不足2家的，采购人或者采购代理机构应当重新开展采购活动。</w:t>
      </w:r>
    </w:p>
    <w:p w14:paraId="154D880D">
      <w:pPr>
        <w:spacing w:line="360" w:lineRule="auto"/>
        <w:ind w:firstLine="482" w:firstLineChars="200"/>
        <w:rPr>
          <w:rFonts w:hint="eastAsia" w:ascii="宋体" w:hAnsi="宋体" w:cs="宋体"/>
          <w:color w:val="auto"/>
          <w:szCs w:val="21"/>
          <w:highlight w:val="none"/>
        </w:rPr>
      </w:pPr>
      <w:r>
        <w:rPr>
          <w:rFonts w:hint="eastAsia" w:ascii="宋体" w:hAnsi="宋体" w:cs="宋体"/>
          <w:b/>
          <w:bCs/>
          <w:color w:val="auto"/>
          <w:sz w:val="24"/>
          <w:highlight w:val="none"/>
        </w:rPr>
        <w:t>4. 最后报价</w:t>
      </w:r>
    </w:p>
    <w:p w14:paraId="506337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文件能够详细列明采购标的的技术、服务要求的，磋商结束后，磋商小组应当要求所有继续参加磋商的供应商在规定时间内在广西政府采购云平台开标大厅提交最后报价，除本章第4.3条外，提交最后报价的供应商不得少于2家，否则必须重新采购。</w:t>
      </w:r>
    </w:p>
    <w:p w14:paraId="0A9163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61AB02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最后报价是供应商响应文件的有效组成部分。符合《政府采购竞争性磋商采购方式管理暂行办法》（财库〔2014〕214号）第三条第四项“市场竞争不充分的科研项目，以及需要扶持的科技成果转化项目”和</w:t>
      </w:r>
      <w:r>
        <w:rPr>
          <w:rFonts w:hint="eastAsia" w:ascii="宋体" w:hAnsi="宋体" w:cs="宋体"/>
          <w:color w:val="auto"/>
          <w:highlight w:val="none"/>
        </w:rPr>
        <w:t>本章第3.7条情形的，</w:t>
      </w:r>
      <w:r>
        <w:rPr>
          <w:rFonts w:hint="eastAsia" w:ascii="宋体" w:hAnsi="宋体" w:cs="宋体"/>
          <w:color w:val="auto"/>
          <w:szCs w:val="21"/>
          <w:highlight w:val="none"/>
        </w:rPr>
        <w:t>提交最后报价的供应商可以为2家。</w:t>
      </w:r>
    </w:p>
    <w:p w14:paraId="5FC248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3C0DFD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4.5供应商未在规定时间内提交最后报价的，视同退出磋商，其响应文件按无效处理。</w:t>
      </w:r>
    </w:p>
    <w:p w14:paraId="115B3A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4.6最后报价统一开启后，磋商小组对最后报价进行有效性、完整性和响应程度的审查。</w:t>
      </w:r>
    </w:p>
    <w:p w14:paraId="523F21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4.7最后报价出现前后不一致的，按照本章第2.4条的规定修正。 </w:t>
      </w:r>
    </w:p>
    <w:p w14:paraId="71A8F7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4.8修正后的报价出现下列情形的，按无效响应处理：</w:t>
      </w:r>
    </w:p>
    <w:p w14:paraId="57944B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5AB87B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43F358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314B65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4.9经供应商确认修正后的最后报价作为评审及签订合同的依据。</w:t>
      </w:r>
    </w:p>
    <w:p w14:paraId="3F614A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364610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4.11最后报价结束后，磋商小组不得再与供应商进行任何形式的商谈。</w:t>
      </w:r>
    </w:p>
    <w:p w14:paraId="7782E6E5">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5.比较与评价</w:t>
      </w:r>
    </w:p>
    <w:p w14:paraId="392AFB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5.1评审方法：综合评分法。</w:t>
      </w:r>
    </w:p>
    <w:p w14:paraId="4FDA82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2217FD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5.3评审时，磋商小组各成员应当独立对每个有效响应的文件进行评价、打分，然后汇总每个供应商每项评分因素的得分。</w:t>
      </w:r>
    </w:p>
    <w:p w14:paraId="32BA3C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24548F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18B40B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60DC1162">
      <w:pPr>
        <w:pStyle w:val="22"/>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5.5异常低价响应审查 </w:t>
      </w:r>
    </w:p>
    <w:p w14:paraId="3197DD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 xml:space="preserve">（1）磋商小组在评审中发现下列情形之一的，应当启动异常低价响应审查程序： </w:t>
      </w:r>
    </w:p>
    <w:p w14:paraId="24744A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 xml:space="preserve">①响应报价低于全部通过符合性审查供应商响应报价平均值 65%的，即响应报价＜全部通过符合性审查供应商响应报价平均值×65%； </w:t>
      </w:r>
    </w:p>
    <w:p w14:paraId="388619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 xml:space="preserve">②响应报价低于通过符合性审查的次低报价供应商响应报价 65%的，即响应报价＜通过符合性审查的次低报价供应商响应报价×65%； </w:t>
      </w:r>
    </w:p>
    <w:p w14:paraId="350C9D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 xml:space="preserve">③响应报价低于采购项目最高限价 65%的，即响应报价＜采购项目最高限价×65%； </w:t>
      </w:r>
    </w:p>
    <w:p w14:paraId="737862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 xml:space="preserve">④磋商小组基于专业判断，认为供应商报价过低，有可能影响产品质量或者不能诚信履约的 </w:t>
      </w:r>
    </w:p>
    <w:p w14:paraId="7365FD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 xml:space="preserve">其他情形。 </w:t>
      </w:r>
    </w:p>
    <w:p w14:paraId="6186B2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 xml:space="preserve">（2）磋商小组启动异常低价响应审查后，属于前述第 1 项至第 4 项情形的，应当要求相关 供应商在评审现场合理的时间内对响应价格作出解释，提供项目具体成本测算等与报价合理性相关的书面说明及必要的证明材料，包括但不限于原材料成本、人工成本、制造费用等，给予相关供应商的合理时间一般不少于 30 分钟。其中，属于第③项情形，供应商已随响应文件一并提交相关书面说明及必要的证明材料的，可不再重复提交。 </w:t>
      </w:r>
    </w:p>
    <w:p w14:paraId="518B81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 xml:space="preserve">磋商小组依据专业经验，参考同类项目中标（成交）价格、类似产品市场价格水平、行业人 </w:t>
      </w:r>
    </w:p>
    <w:p w14:paraId="4AC7A8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 xml:space="preserve">工费用标准、国家有关部门指导行业协会发布的行业平均成本等情况，对报价合理性进行判断。 相关供应商不能提供书面说明、证明材料，或者提供的书面说明、证明材料不能证明其报价合 理性的，磋商小组应当将其作为无效响应处理。 </w:t>
      </w:r>
    </w:p>
    <w:p w14:paraId="542722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 xml:space="preserve">采购人、采购代理机构应当为磋商小组在评审现场及时获取同类项目中标（成交）价格、类 </w:t>
      </w:r>
    </w:p>
    <w:p w14:paraId="5F7579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 xml:space="preserve">似产品市场价格水平、行业人工费用标准、国家有关部门指导行业协会发布的行业平均成本等相 关信息资料提供便利。磋商小组借助互联网等渠道查询相关信息的，应当严格遵守评审工作纪律， </w:t>
      </w:r>
    </w:p>
    <w:p w14:paraId="25447B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 xml:space="preserve">不得实施影响评审公正的行为。 </w:t>
      </w:r>
    </w:p>
    <w:p w14:paraId="397F9F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 xml:space="preserve">异常低价响应审查的启动原因、审查意见和审查结果应当在评审报告中记录，并随供应商提 </w:t>
      </w:r>
    </w:p>
    <w:p w14:paraId="35FCE13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kern w:val="2"/>
          <w:sz w:val="21"/>
          <w:szCs w:val="21"/>
          <w:highlight w:val="none"/>
          <w:lang w:val="en-US" w:eastAsia="zh-CN" w:bidi="ar-SA"/>
        </w:rPr>
      </w:pPr>
      <w:r>
        <w:rPr>
          <w:rFonts w:hint="eastAsia"/>
          <w:color w:val="auto"/>
          <w:highlight w:val="none"/>
          <w:lang w:val="en-US" w:eastAsia="zh-CN"/>
        </w:rPr>
        <w:t xml:space="preserve">供的相关书面说明及证明材料，以及磋商小组有关互联网浏览、查询历史一并归档。 </w:t>
      </w:r>
    </w:p>
    <w:p w14:paraId="22D788E7">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39D6C5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7EF37BA">
      <w:pPr>
        <w:spacing w:line="360" w:lineRule="auto"/>
        <w:jc w:val="center"/>
        <w:rPr>
          <w:rFonts w:hint="eastAsia" w:ascii="宋体" w:hAnsi="宋体" w:cs="宋体"/>
          <w:b/>
          <w:color w:val="auto"/>
          <w:sz w:val="32"/>
          <w:szCs w:val="32"/>
          <w:highlight w:val="none"/>
        </w:rPr>
      </w:pPr>
    </w:p>
    <w:p w14:paraId="37177E6E">
      <w:pPr>
        <w:pStyle w:val="89"/>
        <w:rPr>
          <w:rFonts w:hint="eastAsia" w:ascii="宋体" w:hAnsi="宋体" w:cs="宋体"/>
          <w:b/>
          <w:color w:val="auto"/>
          <w:sz w:val="32"/>
          <w:szCs w:val="32"/>
          <w:highlight w:val="none"/>
        </w:rPr>
      </w:pPr>
    </w:p>
    <w:p w14:paraId="523B72F7">
      <w:pPr>
        <w:pStyle w:val="89"/>
        <w:rPr>
          <w:rFonts w:hint="eastAsia" w:ascii="宋体" w:hAnsi="宋体" w:cs="宋体"/>
          <w:b/>
          <w:color w:val="auto"/>
          <w:sz w:val="32"/>
          <w:szCs w:val="32"/>
          <w:highlight w:val="none"/>
        </w:rPr>
      </w:pPr>
    </w:p>
    <w:p w14:paraId="09C69B47">
      <w:pPr>
        <w:pStyle w:val="89"/>
        <w:rPr>
          <w:rFonts w:hint="eastAsia" w:ascii="宋体" w:hAnsi="宋体" w:cs="宋体"/>
          <w:b/>
          <w:color w:val="auto"/>
          <w:sz w:val="32"/>
          <w:szCs w:val="32"/>
          <w:highlight w:val="none"/>
        </w:rPr>
      </w:pPr>
    </w:p>
    <w:p w14:paraId="737BB89A">
      <w:pPr>
        <w:pStyle w:val="89"/>
        <w:rPr>
          <w:rFonts w:hint="eastAsia" w:ascii="宋体" w:hAnsi="宋体" w:cs="宋体"/>
          <w:b/>
          <w:color w:val="auto"/>
          <w:sz w:val="32"/>
          <w:szCs w:val="32"/>
          <w:highlight w:val="none"/>
        </w:rPr>
      </w:pPr>
    </w:p>
    <w:p w14:paraId="67FF62E5">
      <w:pPr>
        <w:pStyle w:val="89"/>
        <w:rPr>
          <w:rFonts w:hint="eastAsia" w:ascii="宋体" w:hAnsi="宋体" w:cs="宋体"/>
          <w:b/>
          <w:color w:val="auto"/>
          <w:sz w:val="32"/>
          <w:szCs w:val="32"/>
          <w:highlight w:val="none"/>
        </w:rPr>
      </w:pPr>
    </w:p>
    <w:p w14:paraId="1929DBDE">
      <w:pPr>
        <w:pStyle w:val="89"/>
        <w:rPr>
          <w:rFonts w:hint="eastAsia" w:ascii="宋体" w:hAnsi="宋体" w:cs="宋体"/>
          <w:b/>
          <w:color w:val="auto"/>
          <w:sz w:val="32"/>
          <w:szCs w:val="32"/>
          <w:highlight w:val="none"/>
        </w:rPr>
      </w:pPr>
    </w:p>
    <w:p w14:paraId="57A3332F">
      <w:pPr>
        <w:pStyle w:val="89"/>
        <w:rPr>
          <w:rFonts w:hint="eastAsia" w:ascii="宋体" w:hAnsi="宋体" w:cs="宋体"/>
          <w:b/>
          <w:color w:val="auto"/>
          <w:sz w:val="32"/>
          <w:szCs w:val="32"/>
          <w:highlight w:val="none"/>
        </w:rPr>
      </w:pPr>
    </w:p>
    <w:p w14:paraId="500AD64E">
      <w:pPr>
        <w:pStyle w:val="89"/>
        <w:rPr>
          <w:rFonts w:hint="eastAsia" w:ascii="宋体" w:hAnsi="宋体" w:cs="宋体"/>
          <w:b/>
          <w:color w:val="auto"/>
          <w:sz w:val="32"/>
          <w:szCs w:val="32"/>
          <w:highlight w:val="none"/>
        </w:rPr>
      </w:pPr>
    </w:p>
    <w:p w14:paraId="0B8C3F02">
      <w:pPr>
        <w:pStyle w:val="89"/>
        <w:rPr>
          <w:rFonts w:hint="eastAsia" w:ascii="宋体" w:hAnsi="宋体" w:cs="宋体"/>
          <w:b/>
          <w:color w:val="auto"/>
          <w:sz w:val="32"/>
          <w:szCs w:val="32"/>
          <w:highlight w:val="none"/>
        </w:rPr>
      </w:pPr>
    </w:p>
    <w:p w14:paraId="6CEDC8D4">
      <w:pPr>
        <w:pStyle w:val="89"/>
        <w:rPr>
          <w:rFonts w:hint="eastAsia" w:ascii="宋体" w:hAnsi="宋体" w:cs="宋体"/>
          <w:b/>
          <w:color w:val="auto"/>
          <w:sz w:val="32"/>
          <w:szCs w:val="32"/>
          <w:highlight w:val="none"/>
        </w:rPr>
      </w:pPr>
    </w:p>
    <w:p w14:paraId="7626FCD7">
      <w:pPr>
        <w:pStyle w:val="89"/>
        <w:rPr>
          <w:rFonts w:hint="eastAsia" w:ascii="宋体" w:hAnsi="宋体" w:cs="宋体"/>
          <w:b/>
          <w:color w:val="auto"/>
          <w:sz w:val="32"/>
          <w:szCs w:val="32"/>
          <w:highlight w:val="none"/>
        </w:rPr>
      </w:pPr>
    </w:p>
    <w:p w14:paraId="08821C44">
      <w:pPr>
        <w:pStyle w:val="89"/>
        <w:rPr>
          <w:rFonts w:hint="eastAsia" w:ascii="宋体" w:hAnsi="宋体" w:cs="宋体"/>
          <w:b/>
          <w:color w:val="auto"/>
          <w:sz w:val="32"/>
          <w:szCs w:val="32"/>
          <w:highlight w:val="none"/>
        </w:rPr>
      </w:pPr>
    </w:p>
    <w:p w14:paraId="4CBFE27E">
      <w:pPr>
        <w:pStyle w:val="89"/>
        <w:rPr>
          <w:rFonts w:hint="eastAsia" w:ascii="宋体" w:hAnsi="宋体" w:cs="宋体"/>
          <w:b/>
          <w:color w:val="auto"/>
          <w:sz w:val="32"/>
          <w:szCs w:val="32"/>
          <w:highlight w:val="none"/>
        </w:rPr>
      </w:pPr>
    </w:p>
    <w:p w14:paraId="39640BD0">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二、评审标准</w:t>
      </w:r>
    </w:p>
    <w:p w14:paraId="6F57E5D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6.评审依据：磋商小组将以磋商响应文件为评审依据，对供应商的报价、技术、商务等方面内容按百分制打分。（计分方法按四舍五入取至百分位）</w:t>
      </w:r>
    </w:p>
    <w:p w14:paraId="366B5FE5">
      <w:pPr>
        <w:pStyle w:val="18"/>
        <w:spacing w:line="360" w:lineRule="atLeast"/>
        <w:ind w:firstLine="413" w:firstLineChars="196"/>
        <w:rPr>
          <w:rFonts w:hAnsi="宋体"/>
          <w:b/>
          <w:color w:val="auto"/>
          <w:kern w:val="2"/>
          <w:sz w:val="21"/>
          <w:highlight w:val="none"/>
        </w:rPr>
      </w:pPr>
      <w:r>
        <w:rPr>
          <w:rFonts w:hint="eastAsia" w:hAnsi="宋体"/>
          <w:b/>
          <w:color w:val="auto"/>
          <w:kern w:val="2"/>
          <w:sz w:val="21"/>
          <w:highlight w:val="none"/>
        </w:rPr>
        <w:t>适用于</w:t>
      </w:r>
      <w:r>
        <w:rPr>
          <w:rFonts w:hint="eastAsia" w:hAnsi="宋体"/>
          <w:b/>
          <w:color w:val="auto"/>
          <w:kern w:val="2"/>
          <w:sz w:val="21"/>
          <w:highlight w:val="none"/>
          <w:lang w:val="en-US" w:eastAsia="zh-CN"/>
        </w:rPr>
        <w:t>1</w:t>
      </w:r>
      <w:r>
        <w:rPr>
          <w:rFonts w:hint="eastAsia" w:hAnsi="宋体"/>
          <w:b/>
          <w:color w:val="auto"/>
          <w:kern w:val="2"/>
          <w:sz w:val="21"/>
          <w:highlight w:val="none"/>
        </w:rPr>
        <w:t>分标：</w:t>
      </w:r>
    </w:p>
    <w:tbl>
      <w:tblPr>
        <w:tblStyle w:val="32"/>
        <w:tblpPr w:leftFromText="181" w:rightFromText="181" w:vertAnchor="text" w:horzAnchor="page" w:tblpX="1373" w:tblpY="171"/>
        <w:tblOverlap w:val="never"/>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945"/>
        <w:gridCol w:w="5767"/>
        <w:gridCol w:w="845"/>
      </w:tblGrid>
      <w:tr w14:paraId="3E88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05" w:type="dxa"/>
            <w:noWrap w:val="0"/>
            <w:vAlign w:val="center"/>
          </w:tcPr>
          <w:p w14:paraId="2DCB645C">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945" w:type="dxa"/>
            <w:noWrap w:val="0"/>
            <w:vAlign w:val="center"/>
          </w:tcPr>
          <w:p w14:paraId="7092F901">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评审因素</w:t>
            </w:r>
          </w:p>
        </w:tc>
        <w:tc>
          <w:tcPr>
            <w:tcW w:w="5767" w:type="dxa"/>
            <w:noWrap w:val="0"/>
            <w:vAlign w:val="center"/>
          </w:tcPr>
          <w:p w14:paraId="0798E9B1">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评审因素具体内容</w:t>
            </w:r>
          </w:p>
        </w:tc>
        <w:tc>
          <w:tcPr>
            <w:tcW w:w="845" w:type="dxa"/>
            <w:noWrap w:val="0"/>
            <w:vAlign w:val="center"/>
          </w:tcPr>
          <w:p w14:paraId="23569129">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66D5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05" w:type="dxa"/>
            <w:noWrap w:val="0"/>
            <w:vAlign w:val="center"/>
          </w:tcPr>
          <w:p w14:paraId="6914915E">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945" w:type="dxa"/>
            <w:noWrap w:val="0"/>
            <w:vAlign w:val="center"/>
          </w:tcPr>
          <w:p w14:paraId="2F97D2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价格分</w:t>
            </w:r>
          </w:p>
        </w:tc>
        <w:tc>
          <w:tcPr>
            <w:tcW w:w="5767" w:type="dxa"/>
            <w:noWrap w:val="0"/>
            <w:vAlign w:val="top"/>
          </w:tcPr>
          <w:p w14:paraId="78D3D2E0">
            <w:pPr>
              <w:spacing w:line="360" w:lineRule="auto"/>
              <w:ind w:firstLine="422" w:firstLineChars="200"/>
              <w:jc w:val="left"/>
              <w:rPr>
                <w:rFonts w:hint="eastAsia" w:hAnsi="宋体" w:cs="宋体"/>
                <w:b/>
                <w:color w:val="auto"/>
                <w:highlight w:val="none"/>
              </w:rPr>
            </w:pPr>
            <w:r>
              <w:rPr>
                <w:rFonts w:hint="eastAsia" w:hAnsi="宋体" w:cs="宋体"/>
                <w:b/>
                <w:color w:val="auto"/>
                <w:highlight w:val="none"/>
              </w:rPr>
              <w:t>本项目专门面向中小企业采购，即</w:t>
            </w:r>
            <w:r>
              <w:rPr>
                <w:rFonts w:hint="eastAsia" w:ascii="宋体" w:hAnsi="宋体" w:cs="Courier New"/>
                <w:b/>
                <w:color w:val="auto"/>
                <w:szCs w:val="21"/>
                <w:highlight w:val="none"/>
              </w:rPr>
              <w:t>服务全部由符合政策要求的</w:t>
            </w:r>
            <w:r>
              <w:rPr>
                <w:rFonts w:hint="eastAsia" w:hAnsi="宋体" w:cs="宋体"/>
                <w:b/>
                <w:color w:val="auto"/>
                <w:highlight w:val="none"/>
              </w:rPr>
              <w:t>中</w:t>
            </w:r>
            <w:r>
              <w:rPr>
                <w:rFonts w:hint="eastAsia" w:ascii="宋体" w:hAnsi="宋体" w:cs="Courier New"/>
                <w:b/>
                <w:color w:val="auto"/>
                <w:szCs w:val="21"/>
                <w:highlight w:val="none"/>
              </w:rPr>
              <w:t>型、小型、微型企业承接的，</w:t>
            </w:r>
            <w:r>
              <w:rPr>
                <w:rFonts w:hint="eastAsia" w:hAnsi="宋体" w:cs="宋体"/>
                <w:b/>
                <w:color w:val="auto"/>
                <w:highlight w:val="none"/>
              </w:rPr>
              <w:t>不再执行价格评审优惠的扶持政策。</w:t>
            </w:r>
          </w:p>
          <w:p w14:paraId="712E320F">
            <w:pPr>
              <w:pStyle w:val="18"/>
              <w:spacing w:line="360" w:lineRule="auto"/>
              <w:ind w:firstLine="420" w:firstLineChars="200"/>
              <w:rPr>
                <w:rFonts w:hint="eastAsia" w:hAnsi="宋体" w:cs="宋体"/>
                <w:bCs/>
                <w:color w:val="auto"/>
                <w:kern w:val="2"/>
                <w:sz w:val="21"/>
                <w:highlight w:val="none"/>
              </w:rPr>
            </w:pPr>
            <w:r>
              <w:rPr>
                <w:rFonts w:hint="eastAsia" w:hAnsi="宋体" w:cs="宋体"/>
                <w:bCs/>
                <w:color w:val="auto"/>
                <w:kern w:val="2"/>
                <w:sz w:val="21"/>
                <w:highlight w:val="none"/>
              </w:rPr>
              <w:t>（1）按照《财政部、司法部关于政府采购支持监狱企业发展有关问题的通知》（财库〔2014〕68号）的规定，监狱企业视同小型、微型企业。监狱企业参加政府采购活动时，应当提供由省级以上监狱管理局、戒毒管理局(含新疆生产建设兵团)出具的属于监狱企业的证明文件。</w:t>
            </w:r>
          </w:p>
          <w:p w14:paraId="33951946">
            <w:pPr>
              <w:spacing w:line="360" w:lineRule="auto"/>
              <w:ind w:firstLine="420" w:firstLineChars="200"/>
              <w:jc w:val="left"/>
              <w:rPr>
                <w:rFonts w:hint="eastAsia" w:ascii="宋体" w:hAnsi="宋体" w:cs="Courier New"/>
                <w:bCs/>
                <w:color w:val="auto"/>
                <w:szCs w:val="21"/>
                <w:highlight w:val="none"/>
              </w:rPr>
            </w:pPr>
            <w:r>
              <w:rPr>
                <w:rFonts w:hint="eastAsia" w:hAnsi="宋体" w:cs="宋体"/>
                <w:bCs/>
                <w:color w:val="auto"/>
                <w:highlight w:val="none"/>
              </w:rPr>
              <w:t>（2）按照《关于促进残疾人就业政府采购政策的通知》（财库〔2017〕141号）的规定，残疾人福利性单位视同小型、微型企业。残疾人福利性单位参加政府采购活动时，应当提供该通知规定的《残疾人福利性单位声明函》，并对声明的真实性负责。</w:t>
            </w:r>
          </w:p>
          <w:p w14:paraId="328AAD7E">
            <w:pPr>
              <w:pStyle w:val="18"/>
              <w:spacing w:line="360" w:lineRule="auto"/>
              <w:ind w:firstLine="420" w:firstLineChars="200"/>
              <w:rPr>
                <w:rFonts w:hint="eastAsia" w:hAnsi="宋体" w:cs="宋体"/>
                <w:bCs/>
                <w:color w:val="auto"/>
                <w:kern w:val="2"/>
                <w:sz w:val="21"/>
                <w:highlight w:val="none"/>
              </w:rPr>
            </w:pPr>
            <w:r>
              <w:rPr>
                <w:rFonts w:hint="eastAsia" w:hAnsi="宋体" w:cs="宋体"/>
                <w:bCs/>
                <w:color w:val="auto"/>
                <w:kern w:val="2"/>
                <w:sz w:val="21"/>
                <w:highlight w:val="none"/>
              </w:rPr>
              <w:t>（3）以进入比较与评价环节的最低的评标报价为基准价，基准价得分为20分。</w:t>
            </w:r>
          </w:p>
          <w:p w14:paraId="2B36D1BD">
            <w:pPr>
              <w:spacing w:line="360" w:lineRule="auto"/>
              <w:ind w:firstLine="420" w:firstLineChars="200"/>
              <w:rPr>
                <w:rFonts w:hint="eastAsia" w:ascii="宋体" w:hAnsi="宋体" w:cs="宋体"/>
                <w:color w:val="auto"/>
                <w:szCs w:val="21"/>
                <w:highlight w:val="none"/>
              </w:rPr>
            </w:pPr>
            <w:r>
              <w:rPr>
                <w:rFonts w:hint="eastAsia" w:hAnsi="宋体" w:cs="宋体"/>
                <w:bCs/>
                <w:color w:val="auto"/>
                <w:highlight w:val="none"/>
              </w:rPr>
              <w:t>（4）价格分计算公式：报价得分=（基准价/最后报价）×20分。</w:t>
            </w:r>
          </w:p>
        </w:tc>
        <w:tc>
          <w:tcPr>
            <w:tcW w:w="845" w:type="dxa"/>
            <w:noWrap w:val="0"/>
            <w:vAlign w:val="center"/>
          </w:tcPr>
          <w:p w14:paraId="20EAA6CD">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20分</w:t>
            </w:r>
          </w:p>
        </w:tc>
      </w:tr>
      <w:tr w14:paraId="38A9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05" w:type="dxa"/>
            <w:noWrap w:val="0"/>
            <w:vAlign w:val="center"/>
          </w:tcPr>
          <w:p w14:paraId="2A15A96F">
            <w:pPr>
              <w:widowControl/>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2</w:t>
            </w:r>
          </w:p>
        </w:tc>
        <w:tc>
          <w:tcPr>
            <w:tcW w:w="1945" w:type="dxa"/>
            <w:noWrap w:val="0"/>
            <w:vAlign w:val="center"/>
          </w:tcPr>
          <w:p w14:paraId="72176F05">
            <w:pPr>
              <w:widowControl/>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技术分</w:t>
            </w:r>
          </w:p>
        </w:tc>
        <w:tc>
          <w:tcPr>
            <w:tcW w:w="5767" w:type="dxa"/>
            <w:noWrap w:val="0"/>
            <w:vAlign w:val="top"/>
          </w:tcPr>
          <w:p w14:paraId="397184B6">
            <w:pPr>
              <w:widowControl/>
              <w:spacing w:line="360" w:lineRule="auto"/>
              <w:ind w:firstLine="422" w:firstLineChars="20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评审因素</w:t>
            </w:r>
          </w:p>
        </w:tc>
        <w:tc>
          <w:tcPr>
            <w:tcW w:w="845" w:type="dxa"/>
            <w:noWrap w:val="0"/>
            <w:vAlign w:val="top"/>
          </w:tcPr>
          <w:p w14:paraId="4278BB8E">
            <w:pPr>
              <w:widowControl/>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分值</w:t>
            </w:r>
          </w:p>
        </w:tc>
      </w:tr>
      <w:tr w14:paraId="21D8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805" w:type="dxa"/>
            <w:noWrap w:val="0"/>
            <w:vAlign w:val="center"/>
          </w:tcPr>
          <w:p w14:paraId="4C8C451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1945" w:type="dxa"/>
            <w:noWrap w:val="0"/>
            <w:vAlign w:val="center"/>
          </w:tcPr>
          <w:p w14:paraId="5DCDAF75">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测评技术方案分（满分</w:t>
            </w:r>
            <w:r>
              <w:rPr>
                <w:rFonts w:hint="eastAsia" w:ascii="宋体" w:hAnsi="宋体" w:cs="宋体"/>
                <w:b/>
                <w:bCs/>
                <w:color w:val="auto"/>
                <w:szCs w:val="21"/>
                <w:highlight w:val="none"/>
                <w:lang w:val="en-US" w:eastAsia="zh-CN"/>
              </w:rPr>
              <w:t>18</w:t>
            </w:r>
            <w:r>
              <w:rPr>
                <w:rFonts w:hint="eastAsia" w:ascii="宋体" w:hAnsi="宋体" w:cs="宋体"/>
                <w:b/>
                <w:bCs/>
                <w:color w:val="auto"/>
                <w:szCs w:val="21"/>
                <w:highlight w:val="none"/>
              </w:rPr>
              <w:t>分）</w:t>
            </w:r>
          </w:p>
        </w:tc>
        <w:tc>
          <w:tcPr>
            <w:tcW w:w="5767" w:type="dxa"/>
            <w:noWrap w:val="0"/>
            <w:vAlign w:val="center"/>
          </w:tcPr>
          <w:p w14:paraId="5C37BEC1">
            <w:pPr>
              <w:spacing w:line="360" w:lineRule="auto"/>
              <w:ind w:firstLine="420" w:firstLineChars="200"/>
              <w:rPr>
                <w:rFonts w:hint="eastAsia" w:hAnsi="宋体" w:cs="宋体"/>
                <w:color w:val="auto"/>
                <w:highlight w:val="none"/>
              </w:rPr>
            </w:pPr>
            <w:r>
              <w:rPr>
                <w:rFonts w:hint="eastAsia" w:hAnsi="宋体" w:cs="宋体"/>
                <w:color w:val="auto"/>
                <w:highlight w:val="none"/>
              </w:rPr>
              <w:t>一档（10分）：供应商提供的方案基本符合采购文件要求，与采购需求（非实质条款）没有负偏离或漏项的，测评措施较能基本满足项目要求。</w:t>
            </w:r>
          </w:p>
          <w:p w14:paraId="1842E899">
            <w:pPr>
              <w:spacing w:line="360" w:lineRule="auto"/>
              <w:ind w:firstLine="420" w:firstLineChars="200"/>
              <w:rPr>
                <w:rFonts w:hint="eastAsia" w:hAnsi="宋体" w:cs="宋体"/>
                <w:color w:val="auto"/>
                <w:highlight w:val="none"/>
              </w:rPr>
            </w:pPr>
            <w:r>
              <w:rPr>
                <w:rFonts w:hint="eastAsia" w:hAnsi="宋体" w:cs="宋体"/>
                <w:color w:val="auto"/>
                <w:highlight w:val="none"/>
              </w:rPr>
              <w:t>二档（1</w:t>
            </w:r>
            <w:r>
              <w:rPr>
                <w:rFonts w:hint="eastAsia" w:hAnsi="宋体" w:cs="宋体"/>
                <w:color w:val="auto"/>
                <w:highlight w:val="none"/>
                <w:lang w:val="en-US" w:eastAsia="zh-CN"/>
              </w:rPr>
              <w:t>4</w:t>
            </w:r>
            <w:r>
              <w:rPr>
                <w:rFonts w:hint="eastAsia" w:hAnsi="宋体" w:cs="宋体"/>
                <w:color w:val="auto"/>
                <w:highlight w:val="none"/>
              </w:rPr>
              <w:t xml:space="preserve">分）：在满足一档的要求基础上，供应商提供的方案符合采购文件要求，详细描述项目测评实现方式，方案可行，具有一定的先进性。详细描述投入本项目测评的主要内容、采用的测评的标准、测评方法合理，能提供具体的质量保证措施。 </w:t>
            </w:r>
          </w:p>
          <w:p w14:paraId="3058B766">
            <w:pPr>
              <w:spacing w:line="360" w:lineRule="auto"/>
              <w:ind w:firstLine="420" w:firstLineChars="200"/>
              <w:rPr>
                <w:rFonts w:hint="eastAsia" w:hAnsi="宋体" w:cs="宋体"/>
                <w:color w:val="auto"/>
                <w:highlight w:val="none"/>
              </w:rPr>
            </w:pPr>
            <w:r>
              <w:rPr>
                <w:rFonts w:hint="eastAsia" w:hAnsi="宋体" w:cs="宋体"/>
                <w:color w:val="auto"/>
                <w:highlight w:val="none"/>
              </w:rPr>
              <w:t>三档（</w:t>
            </w:r>
            <w:r>
              <w:rPr>
                <w:rFonts w:hint="eastAsia" w:hAnsi="宋体" w:cs="宋体"/>
                <w:color w:val="auto"/>
                <w:highlight w:val="none"/>
                <w:lang w:val="en-US" w:eastAsia="zh-CN"/>
              </w:rPr>
              <w:t>18</w:t>
            </w:r>
            <w:r>
              <w:rPr>
                <w:rFonts w:hint="eastAsia" w:hAnsi="宋体" w:cs="宋体"/>
                <w:color w:val="auto"/>
                <w:highlight w:val="none"/>
              </w:rPr>
              <w:t>分）：供应商提供的方案，在满足二档的要求基础上，能详细描述投入项目测评的主要内容、采用的测评的标准、测评设备的型号、测评方法、保密承诺科学合理，能提供具体质量保证措施的，且措施合理、操作性强的。</w:t>
            </w:r>
          </w:p>
          <w:p w14:paraId="31340B1A">
            <w:pPr>
              <w:spacing w:line="360" w:lineRule="auto"/>
              <w:ind w:firstLine="420" w:firstLineChars="200"/>
              <w:rPr>
                <w:rFonts w:hAnsi="宋体" w:cs="宋体"/>
                <w:color w:val="auto"/>
                <w:highlight w:val="none"/>
              </w:rPr>
            </w:pPr>
            <w:r>
              <w:rPr>
                <w:rFonts w:hint="eastAsia" w:hAnsi="宋体" w:cs="宋体"/>
                <w:color w:val="auto"/>
                <w:highlight w:val="none"/>
              </w:rPr>
              <w:t>注：须在响应文件中</w:t>
            </w:r>
            <w:r>
              <w:rPr>
                <w:rFonts w:hint="eastAsia" w:ascii="宋体" w:hAnsi="宋体" w:cs="宋体"/>
                <w:color w:val="auto"/>
                <w:szCs w:val="21"/>
                <w:highlight w:val="none"/>
              </w:rPr>
              <w:t>未提供方案或不满足一档要求的不得分</w:t>
            </w:r>
          </w:p>
        </w:tc>
        <w:tc>
          <w:tcPr>
            <w:tcW w:w="845" w:type="dxa"/>
            <w:noWrap w:val="0"/>
            <w:vAlign w:val="center"/>
          </w:tcPr>
          <w:p w14:paraId="3AA30FA1">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18</w:t>
            </w:r>
            <w:r>
              <w:rPr>
                <w:rFonts w:hint="eastAsia" w:ascii="宋体" w:hAnsi="宋体" w:cs="宋体"/>
                <w:color w:val="auto"/>
                <w:kern w:val="0"/>
                <w:szCs w:val="21"/>
                <w:highlight w:val="none"/>
              </w:rPr>
              <w:t>分</w:t>
            </w:r>
          </w:p>
        </w:tc>
      </w:tr>
      <w:tr w14:paraId="69C5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05" w:type="dxa"/>
            <w:noWrap w:val="0"/>
            <w:vAlign w:val="center"/>
          </w:tcPr>
          <w:p w14:paraId="779FC77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945" w:type="dxa"/>
            <w:noWrap w:val="0"/>
            <w:vAlign w:val="center"/>
          </w:tcPr>
          <w:p w14:paraId="49C48539">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组织实施方案分（满分15分）</w:t>
            </w:r>
          </w:p>
        </w:tc>
        <w:tc>
          <w:tcPr>
            <w:tcW w:w="5767" w:type="dxa"/>
            <w:noWrap w:val="0"/>
            <w:vAlign w:val="center"/>
          </w:tcPr>
          <w:p w14:paraId="2F9C0E52">
            <w:pPr>
              <w:spacing w:line="360" w:lineRule="auto"/>
              <w:ind w:firstLine="420" w:firstLineChars="200"/>
              <w:rPr>
                <w:rFonts w:hint="eastAsia" w:hAnsi="宋体" w:cs="宋体"/>
                <w:color w:val="auto"/>
                <w:highlight w:val="none"/>
              </w:rPr>
            </w:pPr>
            <w:r>
              <w:rPr>
                <w:rFonts w:hint="eastAsia" w:hAnsi="宋体" w:cs="宋体"/>
                <w:color w:val="auto"/>
                <w:highlight w:val="none"/>
              </w:rPr>
              <w:t>一档（5分）：对整体项目的</w:t>
            </w:r>
            <w:r>
              <w:rPr>
                <w:rFonts w:hint="eastAsia" w:hAnsi="宋体" w:cs="宋体"/>
                <w:color w:val="auto"/>
                <w:highlight w:val="none"/>
                <w:lang w:val="en-US" w:eastAsia="zh-CN"/>
              </w:rPr>
              <w:t>仅</w:t>
            </w:r>
            <w:r>
              <w:rPr>
                <w:rFonts w:hint="eastAsia" w:hAnsi="宋体" w:cs="宋体"/>
                <w:color w:val="auto"/>
                <w:highlight w:val="none"/>
              </w:rPr>
              <w:t>理解</w:t>
            </w:r>
            <w:r>
              <w:rPr>
                <w:rFonts w:hint="eastAsia" w:hAnsi="宋体" w:cs="宋体"/>
                <w:color w:val="auto"/>
                <w:highlight w:val="none"/>
                <w:lang w:val="en-US" w:eastAsia="zh-CN"/>
              </w:rPr>
              <w:t>基础</w:t>
            </w:r>
            <w:r>
              <w:rPr>
                <w:rFonts w:hint="eastAsia" w:hAnsi="宋体" w:cs="宋体"/>
                <w:color w:val="auto"/>
                <w:highlight w:val="none"/>
              </w:rPr>
              <w:t>程度，方案中有人员结构、任务分配、进度安排的简单描述。</w:t>
            </w:r>
          </w:p>
          <w:p w14:paraId="39E0DCF9">
            <w:pPr>
              <w:spacing w:line="360" w:lineRule="auto"/>
              <w:ind w:firstLine="420" w:firstLineChars="200"/>
              <w:rPr>
                <w:rFonts w:hint="eastAsia" w:hAnsi="宋体" w:cs="宋体"/>
                <w:color w:val="auto"/>
                <w:highlight w:val="none"/>
              </w:rPr>
            </w:pPr>
            <w:r>
              <w:rPr>
                <w:rFonts w:hint="eastAsia" w:hAnsi="宋体" w:cs="宋体"/>
                <w:color w:val="auto"/>
                <w:highlight w:val="none"/>
              </w:rPr>
              <w:t>二档（10分）：方案中人员结构、任务分配，进度安排合理，能提供比较具体的质量保证措施的。</w:t>
            </w:r>
          </w:p>
          <w:p w14:paraId="031B2853">
            <w:pPr>
              <w:spacing w:line="360" w:lineRule="auto"/>
              <w:ind w:firstLine="420" w:firstLineChars="200"/>
              <w:rPr>
                <w:rFonts w:hint="eastAsia" w:hAnsi="宋体" w:cs="宋体"/>
                <w:color w:val="auto"/>
                <w:highlight w:val="none"/>
              </w:rPr>
            </w:pPr>
            <w:r>
              <w:rPr>
                <w:rFonts w:hint="eastAsia" w:hAnsi="宋体" w:cs="宋体"/>
                <w:color w:val="auto"/>
                <w:highlight w:val="none"/>
              </w:rPr>
              <w:t>三档（15分）：对项目理解透彻，方案中人员结构科学，任务分配妥当，进度安排合理，对项目实施过程的重点难点有描述并且能提供具体质量保证和重点难点问题的解决措施措施，解决措施科学合理；有服务团队有建立反馈纠错措施且措施针对性强。</w:t>
            </w:r>
          </w:p>
          <w:p w14:paraId="31E20B83">
            <w:pPr>
              <w:spacing w:line="360" w:lineRule="auto"/>
              <w:ind w:firstLine="420" w:firstLineChars="200"/>
              <w:rPr>
                <w:rFonts w:hint="eastAsia" w:hAnsi="宋体" w:cs="宋体"/>
                <w:color w:val="auto"/>
                <w:highlight w:val="none"/>
              </w:rPr>
            </w:pPr>
            <w:r>
              <w:rPr>
                <w:rFonts w:hint="eastAsia" w:hAnsi="宋体" w:cs="宋体"/>
                <w:color w:val="auto"/>
                <w:highlight w:val="none"/>
              </w:rPr>
              <w:t>注：须在响应文件中</w:t>
            </w:r>
            <w:r>
              <w:rPr>
                <w:rFonts w:hint="eastAsia" w:ascii="宋体" w:hAnsi="宋体" w:cs="宋体"/>
                <w:color w:val="auto"/>
                <w:szCs w:val="21"/>
                <w:highlight w:val="none"/>
              </w:rPr>
              <w:t>未提供方案或不满足一档要求的不得分</w:t>
            </w:r>
          </w:p>
        </w:tc>
        <w:tc>
          <w:tcPr>
            <w:tcW w:w="845" w:type="dxa"/>
            <w:noWrap w:val="0"/>
            <w:vAlign w:val="center"/>
          </w:tcPr>
          <w:p w14:paraId="48FFA3FA">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15分</w:t>
            </w:r>
          </w:p>
        </w:tc>
      </w:tr>
      <w:tr w14:paraId="0E97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05" w:type="dxa"/>
            <w:noWrap w:val="0"/>
            <w:vAlign w:val="center"/>
          </w:tcPr>
          <w:p w14:paraId="0A097FF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1945" w:type="dxa"/>
            <w:noWrap w:val="0"/>
            <w:vAlign w:val="center"/>
          </w:tcPr>
          <w:p w14:paraId="3A2D2926">
            <w:pPr>
              <w:spacing w:line="360" w:lineRule="auto"/>
              <w:jc w:val="center"/>
              <w:rPr>
                <w:rFonts w:hint="eastAsia" w:ascii="宋体" w:hAnsi="宋体" w:cs="宋体"/>
                <w:color w:val="auto"/>
                <w:kern w:val="0"/>
                <w:szCs w:val="21"/>
                <w:highlight w:val="none"/>
              </w:rPr>
            </w:pPr>
            <w:r>
              <w:rPr>
                <w:rFonts w:hint="eastAsia" w:ascii="宋体" w:hAnsi="宋体" w:cs="宋体"/>
                <w:b/>
                <w:bCs/>
                <w:color w:val="auto"/>
                <w:szCs w:val="21"/>
                <w:highlight w:val="none"/>
              </w:rPr>
              <w:t>人员能力素质分（满分</w:t>
            </w:r>
            <w:r>
              <w:rPr>
                <w:rFonts w:hint="eastAsia" w:ascii="宋体" w:hAnsi="宋体" w:cs="宋体"/>
                <w:b/>
                <w:bCs/>
                <w:color w:val="auto"/>
                <w:szCs w:val="21"/>
                <w:highlight w:val="none"/>
                <w:lang w:val="en-US" w:eastAsia="zh-CN"/>
              </w:rPr>
              <w:t>20</w:t>
            </w:r>
            <w:r>
              <w:rPr>
                <w:rFonts w:hint="eastAsia" w:ascii="宋体" w:hAnsi="宋体" w:cs="宋体"/>
                <w:b/>
                <w:bCs/>
                <w:color w:val="auto"/>
                <w:szCs w:val="21"/>
                <w:highlight w:val="none"/>
              </w:rPr>
              <w:t>分）</w:t>
            </w:r>
          </w:p>
        </w:tc>
        <w:tc>
          <w:tcPr>
            <w:tcW w:w="5767" w:type="dxa"/>
            <w:noWrap w:val="0"/>
            <w:vAlign w:val="center"/>
          </w:tcPr>
          <w:p w14:paraId="5D429834">
            <w:pPr>
              <w:spacing w:line="360" w:lineRule="auto"/>
              <w:ind w:firstLine="420" w:firstLineChars="200"/>
              <w:rPr>
                <w:rFonts w:hint="eastAsia" w:hAnsi="宋体" w:cs="宋体"/>
                <w:color w:val="auto"/>
                <w:highlight w:val="none"/>
              </w:rPr>
            </w:pPr>
            <w:r>
              <w:rPr>
                <w:rFonts w:hint="eastAsia" w:hAnsi="宋体" w:cs="宋体"/>
                <w:color w:val="auto"/>
                <w:highlight w:val="none"/>
              </w:rPr>
              <w:t>供应商提供的测评人员必须具有信息安全等级测评师证书或网络安全等级测评师证书，项目团队至少包含1名高级测评师、1名中级（含）以上测评师、1名初级（含）以上测评师和1名CISP注册信息安全专业人员。满足以上要求的得</w:t>
            </w:r>
            <w:r>
              <w:rPr>
                <w:rFonts w:hint="eastAsia" w:hAnsi="宋体" w:cs="宋体"/>
                <w:color w:val="auto"/>
                <w:highlight w:val="none"/>
                <w:lang w:val="en-US" w:eastAsia="zh-CN"/>
              </w:rPr>
              <w:t>8</w:t>
            </w:r>
            <w:r>
              <w:rPr>
                <w:rFonts w:hint="eastAsia" w:hAnsi="宋体" w:cs="宋体"/>
                <w:color w:val="auto"/>
                <w:highlight w:val="none"/>
              </w:rPr>
              <w:t>分。</w:t>
            </w:r>
          </w:p>
          <w:p w14:paraId="07416A14">
            <w:pPr>
              <w:spacing w:line="360" w:lineRule="auto"/>
              <w:ind w:firstLine="420" w:firstLineChars="200"/>
              <w:rPr>
                <w:rFonts w:hint="eastAsia" w:hAnsi="宋体" w:cs="宋体"/>
                <w:color w:val="auto"/>
                <w:highlight w:val="none"/>
              </w:rPr>
            </w:pPr>
            <w:r>
              <w:rPr>
                <w:rFonts w:hint="eastAsia" w:hAnsi="宋体" w:cs="宋体"/>
                <w:color w:val="auto"/>
                <w:highlight w:val="none"/>
              </w:rPr>
              <w:t>①在以上要求的基础上，每增加1名高级测评师加3分，每增加1名中级测评师加2分，最多加6分。</w:t>
            </w:r>
          </w:p>
          <w:p w14:paraId="7A4221E7">
            <w:pPr>
              <w:spacing w:line="360" w:lineRule="auto"/>
              <w:ind w:firstLine="420" w:firstLineChars="200"/>
              <w:rPr>
                <w:rFonts w:hint="eastAsia" w:hAnsi="宋体" w:cs="宋体"/>
                <w:color w:val="auto"/>
                <w:highlight w:val="none"/>
              </w:rPr>
            </w:pPr>
            <w:r>
              <w:rPr>
                <w:rFonts w:hint="eastAsia" w:hAnsi="宋体" w:cs="宋体"/>
                <w:color w:val="auto"/>
                <w:highlight w:val="none"/>
              </w:rPr>
              <w:t>②除上述人员要求外，每增加1名CISP注册信息安全专业人员加2分，最多加6分。</w:t>
            </w:r>
          </w:p>
          <w:p w14:paraId="7DB4FB02">
            <w:pPr>
              <w:spacing w:line="360" w:lineRule="auto"/>
              <w:ind w:firstLine="422" w:firstLineChars="200"/>
              <w:rPr>
                <w:rFonts w:hint="eastAsia" w:hAnsi="宋体" w:cs="宋体"/>
                <w:color w:val="auto"/>
                <w:highlight w:val="none"/>
              </w:rPr>
            </w:pPr>
            <w:r>
              <w:rPr>
                <w:rFonts w:hAnsi="宋体" w:cs="宋体"/>
                <w:b/>
                <w:bCs/>
                <w:color w:val="auto"/>
                <w:highlight w:val="none"/>
              </w:rPr>
              <w:t>注：须在响应文件中提供证书相关证明材料扫描件并加盖供应商公章，需提供上述相关人员供应商在202</w:t>
            </w:r>
            <w:r>
              <w:rPr>
                <w:rFonts w:hint="eastAsia" w:hAnsi="宋体" w:cs="宋体"/>
                <w:b/>
                <w:bCs/>
                <w:color w:val="auto"/>
                <w:highlight w:val="none"/>
                <w:lang w:val="en-US" w:eastAsia="zh-CN"/>
              </w:rPr>
              <w:t>5</w:t>
            </w:r>
            <w:r>
              <w:rPr>
                <w:rFonts w:hAnsi="宋体" w:cs="宋体"/>
                <w:b/>
                <w:bCs/>
                <w:color w:val="auto"/>
                <w:highlight w:val="none"/>
              </w:rPr>
              <w:t>年12月</w:t>
            </w:r>
            <w:r>
              <w:rPr>
                <w:rFonts w:hint="eastAsia" w:hAnsi="宋体" w:cs="宋体"/>
                <w:b/>
                <w:bCs/>
                <w:color w:val="auto"/>
                <w:highlight w:val="none"/>
                <w:lang w:val="en-US" w:eastAsia="zh-CN"/>
              </w:rPr>
              <w:t>以来</w:t>
            </w:r>
            <w:r>
              <w:rPr>
                <w:rFonts w:hAnsi="宋体" w:cs="宋体"/>
                <w:b/>
                <w:bCs/>
                <w:color w:val="auto"/>
                <w:highlight w:val="none"/>
              </w:rPr>
              <w:t>任意1个月为其缴纳社保的证明复印件或劳动合同或劳务合同等证明材料扫描件并加盖供应商公章，否则不予计分</w:t>
            </w:r>
          </w:p>
        </w:tc>
        <w:tc>
          <w:tcPr>
            <w:tcW w:w="845" w:type="dxa"/>
            <w:noWrap w:val="0"/>
            <w:vAlign w:val="center"/>
          </w:tcPr>
          <w:p w14:paraId="75BC8804">
            <w:pPr>
              <w:spacing w:line="360" w:lineRule="auto"/>
              <w:jc w:val="center"/>
              <w:rPr>
                <w:rFonts w:hint="eastAsia" w:ascii="宋体" w:hAnsi="宋体" w:cs="宋体"/>
                <w:color w:val="auto"/>
                <w:kern w:val="0"/>
                <w:szCs w:val="21"/>
                <w:highlight w:val="none"/>
              </w:rPr>
            </w:pPr>
            <w:r>
              <w:rPr>
                <w:rStyle w:val="106"/>
                <w:rFonts w:hint="eastAsia" w:hAnsi="宋体" w:cs="宋体"/>
                <w:color w:val="auto"/>
                <w:szCs w:val="21"/>
                <w:highlight w:val="none"/>
                <w:lang w:val="en-US" w:eastAsia="zh-CN"/>
              </w:rPr>
              <w:t>20</w:t>
            </w:r>
            <w:r>
              <w:rPr>
                <w:rStyle w:val="106"/>
                <w:rFonts w:hint="eastAsia" w:hAnsi="宋体" w:cs="宋体"/>
                <w:color w:val="auto"/>
                <w:szCs w:val="21"/>
                <w:highlight w:val="none"/>
              </w:rPr>
              <w:t>分</w:t>
            </w:r>
          </w:p>
        </w:tc>
      </w:tr>
      <w:tr w14:paraId="0B8C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05" w:type="dxa"/>
            <w:noWrap w:val="0"/>
            <w:vAlign w:val="center"/>
          </w:tcPr>
          <w:p w14:paraId="1F3D416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w:t>
            </w:r>
          </w:p>
        </w:tc>
        <w:tc>
          <w:tcPr>
            <w:tcW w:w="1945" w:type="dxa"/>
            <w:noWrap w:val="0"/>
            <w:vAlign w:val="center"/>
          </w:tcPr>
          <w:p w14:paraId="0FF60D8E">
            <w:pPr>
              <w:spacing w:line="360" w:lineRule="auto"/>
              <w:jc w:val="center"/>
              <w:rPr>
                <w:rFonts w:hint="eastAsia" w:ascii="宋体" w:hAnsi="宋体" w:cs="宋体"/>
                <w:color w:val="auto"/>
                <w:kern w:val="0"/>
                <w:szCs w:val="21"/>
                <w:highlight w:val="none"/>
              </w:rPr>
            </w:pPr>
            <w:r>
              <w:rPr>
                <w:rFonts w:hint="eastAsia" w:ascii="宋体" w:hAnsi="宋体" w:cs="宋体"/>
                <w:b/>
                <w:bCs/>
                <w:color w:val="auto"/>
                <w:szCs w:val="21"/>
                <w:highlight w:val="none"/>
              </w:rPr>
              <w:t>售后服务方案分（满分15分）</w:t>
            </w:r>
          </w:p>
        </w:tc>
        <w:tc>
          <w:tcPr>
            <w:tcW w:w="5767" w:type="dxa"/>
            <w:noWrap w:val="0"/>
            <w:vAlign w:val="center"/>
          </w:tcPr>
          <w:p w14:paraId="2169B815">
            <w:pPr>
              <w:spacing w:line="360" w:lineRule="auto"/>
              <w:ind w:firstLine="420" w:firstLineChars="200"/>
              <w:rPr>
                <w:rFonts w:hint="eastAsia" w:hAnsi="宋体" w:cs="宋体"/>
                <w:color w:val="auto"/>
                <w:highlight w:val="none"/>
              </w:rPr>
            </w:pPr>
            <w:r>
              <w:rPr>
                <w:rFonts w:hint="eastAsia" w:hAnsi="宋体" w:cs="宋体"/>
                <w:color w:val="auto"/>
                <w:highlight w:val="none"/>
              </w:rPr>
              <w:t>一档（5分）：供应商承诺的响应时间、咨询保障服务、重要时期咨询服务、应急响应服务、文档管理咨询、售后服务方案基本完整。</w:t>
            </w:r>
          </w:p>
          <w:p w14:paraId="2909D05C">
            <w:pPr>
              <w:spacing w:line="360" w:lineRule="auto"/>
              <w:ind w:firstLine="420" w:firstLineChars="200"/>
              <w:rPr>
                <w:rFonts w:hint="eastAsia" w:hAnsi="宋体" w:cs="宋体"/>
                <w:color w:val="auto"/>
                <w:highlight w:val="none"/>
              </w:rPr>
            </w:pPr>
            <w:r>
              <w:rPr>
                <w:rFonts w:hint="eastAsia" w:hAnsi="宋体" w:cs="宋体"/>
                <w:color w:val="auto"/>
                <w:highlight w:val="none"/>
              </w:rPr>
              <w:t>二档（10分）：供应商承诺的响应时间、故障咨询服务、重要时期咨询服务、应急响应服务、文档管理咨询、售后服务方案比较完整、详细，提供的故障处理咨询措施可行性、及时性、可操作性强，重要时期咨询保障措施针对性、可行性强，有人员保障预案、资源协调预案且考虑较周全，应急服务管理方案细致、全面。</w:t>
            </w:r>
          </w:p>
          <w:p w14:paraId="48183863">
            <w:pPr>
              <w:spacing w:line="360" w:lineRule="auto"/>
              <w:ind w:firstLine="420" w:firstLineChars="200"/>
              <w:rPr>
                <w:rFonts w:hint="eastAsia" w:hAnsi="宋体" w:cs="宋体"/>
                <w:color w:val="auto"/>
                <w:highlight w:val="none"/>
              </w:rPr>
            </w:pPr>
            <w:r>
              <w:rPr>
                <w:rFonts w:hint="eastAsia" w:hAnsi="宋体" w:cs="宋体"/>
                <w:color w:val="auto"/>
                <w:highlight w:val="none"/>
              </w:rPr>
              <w:t>三档（15分）：供应商承诺的响应时间、故障咨询服务、重要时期咨询服务、应急响应服务、文档管理咨询、售后服务方案非常完整、详细，提供的故障处理咨询措施可行性、及时性、可操作性强，重要时期咨询保障措施针对性、可行性强，有人员保障预案、资源协调预案考虑周全，应急服务管理方案细致、全面，针对本项目采购需求提供了详细的服务管理方案，提供的售后服务方案规范性及标准化程度高。</w:t>
            </w:r>
          </w:p>
          <w:p w14:paraId="6C346446">
            <w:pPr>
              <w:spacing w:line="360" w:lineRule="auto"/>
              <w:ind w:firstLine="420" w:firstLineChars="200"/>
              <w:rPr>
                <w:rFonts w:hint="eastAsia" w:hAnsi="宋体" w:eastAsia="宋体" w:cs="宋体"/>
                <w:color w:val="auto"/>
                <w:highlight w:val="none"/>
                <w:lang w:eastAsia="zh-CN"/>
              </w:rPr>
            </w:pPr>
            <w:r>
              <w:rPr>
                <w:rFonts w:hint="eastAsia" w:ascii="宋体" w:hAnsi="宋体" w:cs="宋体"/>
                <w:color w:val="auto"/>
                <w:szCs w:val="21"/>
                <w:highlight w:val="none"/>
              </w:rPr>
              <w:t>注：须在响应文件中未提供方案或者不满足一档要求的不得分</w:t>
            </w:r>
            <w:r>
              <w:rPr>
                <w:rFonts w:hint="eastAsia" w:ascii="宋体" w:hAnsi="宋体" w:cs="宋体"/>
                <w:color w:val="auto"/>
                <w:szCs w:val="21"/>
                <w:highlight w:val="none"/>
                <w:lang w:eastAsia="zh-CN"/>
              </w:rPr>
              <w:t>。</w:t>
            </w:r>
          </w:p>
        </w:tc>
        <w:tc>
          <w:tcPr>
            <w:tcW w:w="845" w:type="dxa"/>
            <w:noWrap w:val="0"/>
            <w:vAlign w:val="center"/>
          </w:tcPr>
          <w:p w14:paraId="522E4131">
            <w:pPr>
              <w:spacing w:line="360" w:lineRule="auto"/>
              <w:jc w:val="center"/>
              <w:rPr>
                <w:rStyle w:val="106"/>
                <w:rFonts w:hAnsi="宋体" w:cs="宋体"/>
                <w:color w:val="auto"/>
                <w:szCs w:val="21"/>
                <w:highlight w:val="none"/>
              </w:rPr>
            </w:pPr>
            <w:r>
              <w:rPr>
                <w:rStyle w:val="106"/>
                <w:rFonts w:hint="eastAsia" w:hAnsi="宋体" w:cs="宋体"/>
                <w:color w:val="auto"/>
                <w:szCs w:val="21"/>
                <w:highlight w:val="none"/>
              </w:rPr>
              <w:t>15分</w:t>
            </w:r>
          </w:p>
        </w:tc>
      </w:tr>
      <w:tr w14:paraId="2A0F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05" w:type="dxa"/>
            <w:noWrap w:val="0"/>
            <w:vAlign w:val="center"/>
          </w:tcPr>
          <w:p w14:paraId="59B9E41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945" w:type="dxa"/>
            <w:noWrap w:val="0"/>
            <w:vAlign w:val="center"/>
          </w:tcPr>
          <w:p w14:paraId="7B94DF3D">
            <w:pPr>
              <w:widowControl/>
              <w:spacing w:line="360" w:lineRule="auto"/>
              <w:jc w:val="center"/>
              <w:rPr>
                <w:rFonts w:hint="eastAsia" w:ascii="宋体" w:hAnsi="宋体" w:cs="宋体"/>
                <w:b/>
                <w:bCs/>
                <w:color w:val="auto"/>
                <w:szCs w:val="21"/>
                <w:highlight w:val="none"/>
              </w:rPr>
            </w:pPr>
            <w:r>
              <w:rPr>
                <w:rFonts w:hint="eastAsia" w:ascii="宋体" w:hAnsi="宋体" w:cs="宋体"/>
                <w:b/>
                <w:color w:val="auto"/>
                <w:kern w:val="0"/>
                <w:szCs w:val="21"/>
                <w:highlight w:val="none"/>
              </w:rPr>
              <w:t>商务分</w:t>
            </w:r>
          </w:p>
        </w:tc>
        <w:tc>
          <w:tcPr>
            <w:tcW w:w="5767" w:type="dxa"/>
            <w:noWrap w:val="0"/>
            <w:vAlign w:val="top"/>
          </w:tcPr>
          <w:p w14:paraId="09A65B2B">
            <w:pPr>
              <w:widowControl/>
              <w:spacing w:line="360" w:lineRule="auto"/>
              <w:ind w:firstLine="422" w:firstLineChars="200"/>
              <w:jc w:val="center"/>
              <w:rPr>
                <w:rFonts w:hint="eastAsia" w:hAnsi="宋体" w:cs="宋体"/>
                <w:color w:val="auto"/>
                <w:highlight w:val="none"/>
              </w:rPr>
            </w:pPr>
            <w:r>
              <w:rPr>
                <w:rFonts w:hint="eastAsia" w:ascii="宋体" w:hAnsi="宋体" w:cs="宋体"/>
                <w:b/>
                <w:color w:val="auto"/>
                <w:kern w:val="0"/>
                <w:szCs w:val="21"/>
                <w:highlight w:val="none"/>
              </w:rPr>
              <w:t>评审因素</w:t>
            </w:r>
          </w:p>
        </w:tc>
        <w:tc>
          <w:tcPr>
            <w:tcW w:w="845" w:type="dxa"/>
            <w:noWrap w:val="0"/>
            <w:vAlign w:val="top"/>
          </w:tcPr>
          <w:p w14:paraId="661AF9CA">
            <w:pPr>
              <w:widowControl/>
              <w:spacing w:line="360" w:lineRule="auto"/>
              <w:jc w:val="center"/>
              <w:rPr>
                <w:rStyle w:val="106"/>
                <w:rFonts w:hint="eastAsia" w:hAnsi="宋体" w:cs="宋体"/>
                <w:color w:val="auto"/>
                <w:szCs w:val="21"/>
                <w:highlight w:val="none"/>
              </w:rPr>
            </w:pPr>
            <w:r>
              <w:rPr>
                <w:rFonts w:hint="eastAsia" w:ascii="宋体" w:hAnsi="宋体" w:cs="宋体"/>
                <w:b/>
                <w:color w:val="auto"/>
                <w:kern w:val="0"/>
                <w:szCs w:val="21"/>
                <w:highlight w:val="none"/>
              </w:rPr>
              <w:t>分值</w:t>
            </w:r>
          </w:p>
        </w:tc>
      </w:tr>
      <w:tr w14:paraId="3B34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05" w:type="dxa"/>
            <w:noWrap w:val="0"/>
            <w:vAlign w:val="center"/>
          </w:tcPr>
          <w:p w14:paraId="3AE716D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1945" w:type="dxa"/>
            <w:noWrap w:val="0"/>
            <w:vAlign w:val="center"/>
          </w:tcPr>
          <w:p w14:paraId="691332DA">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信誉分</w:t>
            </w:r>
          </w:p>
          <w:p w14:paraId="2B345561">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（满分2分）</w:t>
            </w:r>
          </w:p>
        </w:tc>
        <w:tc>
          <w:tcPr>
            <w:tcW w:w="5767" w:type="dxa"/>
            <w:noWrap w:val="0"/>
            <w:vAlign w:val="center"/>
          </w:tcPr>
          <w:p w14:paraId="6C36E5FF">
            <w:pPr>
              <w:pStyle w:val="107"/>
              <w:spacing w:line="360" w:lineRule="auto"/>
              <w:ind w:firstLine="420" w:firstLineChars="200"/>
              <w:textAlignment w:val="auto"/>
              <w:rPr>
                <w:rStyle w:val="106"/>
                <w:rFonts w:hint="eastAsia" w:hAnsi="宋体" w:cs="宋体"/>
                <w:color w:val="auto"/>
                <w:szCs w:val="21"/>
                <w:highlight w:val="none"/>
              </w:rPr>
            </w:pPr>
            <w:r>
              <w:rPr>
                <w:rFonts w:hint="eastAsia" w:hAnsi="宋体" w:cs="宋体"/>
                <w:color w:val="auto"/>
                <w:szCs w:val="21"/>
                <w:highlight w:val="none"/>
              </w:rPr>
              <w:t>供应商具有有效期内的ISO9001质量管理体系认证证书，得2分，满分2分（</w:t>
            </w:r>
            <w:r>
              <w:rPr>
                <w:rStyle w:val="106"/>
                <w:rFonts w:hAnsi="宋体" w:cs="宋体"/>
                <w:color w:val="auto"/>
                <w:szCs w:val="21"/>
                <w:highlight w:val="none"/>
              </w:rPr>
              <w:t>提供</w:t>
            </w:r>
            <w:r>
              <w:rPr>
                <w:rStyle w:val="106"/>
                <w:rFonts w:hint="eastAsia" w:hAnsi="宋体" w:cs="宋体"/>
                <w:color w:val="auto"/>
                <w:szCs w:val="21"/>
                <w:highlight w:val="none"/>
              </w:rPr>
              <w:t>扫描件并加盖供应商公章</w:t>
            </w:r>
            <w:r>
              <w:rPr>
                <w:rFonts w:hint="eastAsia" w:hAnsi="宋体" w:cs="宋体"/>
                <w:color w:val="auto"/>
                <w:szCs w:val="21"/>
                <w:highlight w:val="none"/>
              </w:rPr>
              <w:t>）。</w:t>
            </w:r>
          </w:p>
        </w:tc>
        <w:tc>
          <w:tcPr>
            <w:tcW w:w="845" w:type="dxa"/>
            <w:noWrap w:val="0"/>
            <w:vAlign w:val="center"/>
          </w:tcPr>
          <w:p w14:paraId="10BB0404">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2分</w:t>
            </w:r>
          </w:p>
        </w:tc>
      </w:tr>
      <w:tr w14:paraId="65AD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05" w:type="dxa"/>
            <w:noWrap w:val="0"/>
            <w:vAlign w:val="center"/>
          </w:tcPr>
          <w:p w14:paraId="6860773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3.2</w:t>
            </w:r>
          </w:p>
        </w:tc>
        <w:tc>
          <w:tcPr>
            <w:tcW w:w="1945" w:type="dxa"/>
            <w:noWrap w:val="0"/>
            <w:vAlign w:val="center"/>
          </w:tcPr>
          <w:p w14:paraId="33D1A43A">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业绩分</w:t>
            </w:r>
          </w:p>
          <w:p w14:paraId="685A966D">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（满分10分）</w:t>
            </w:r>
          </w:p>
        </w:tc>
        <w:tc>
          <w:tcPr>
            <w:tcW w:w="5767" w:type="dxa"/>
            <w:noWrap w:val="0"/>
            <w:vAlign w:val="center"/>
          </w:tcPr>
          <w:p w14:paraId="6AD35864">
            <w:pPr>
              <w:pStyle w:val="107"/>
              <w:spacing w:line="360" w:lineRule="auto"/>
              <w:ind w:firstLine="420" w:firstLineChars="200"/>
              <w:textAlignment w:val="auto"/>
              <w:rPr>
                <w:rStyle w:val="106"/>
                <w:rFonts w:hint="eastAsia" w:hAnsi="宋体" w:cs="宋体"/>
                <w:color w:val="auto"/>
                <w:szCs w:val="21"/>
                <w:highlight w:val="none"/>
              </w:rPr>
            </w:pPr>
            <w:r>
              <w:rPr>
                <w:rFonts w:hint="eastAsia" w:hAnsi="宋体" w:cs="宋体"/>
                <w:color w:val="auto"/>
                <w:szCs w:val="21"/>
                <w:highlight w:val="none"/>
              </w:rPr>
              <w:t>供应商202</w:t>
            </w:r>
            <w:r>
              <w:rPr>
                <w:rFonts w:hint="eastAsia" w:hAnsi="宋体" w:cs="宋体"/>
                <w:color w:val="auto"/>
                <w:szCs w:val="21"/>
                <w:highlight w:val="none"/>
                <w:lang w:val="en-US" w:eastAsia="zh-CN"/>
              </w:rPr>
              <w:t>3</w:t>
            </w:r>
            <w:r>
              <w:rPr>
                <w:rFonts w:hint="eastAsia" w:hAnsi="宋体" w:cs="宋体"/>
                <w:color w:val="auto"/>
                <w:szCs w:val="21"/>
                <w:highlight w:val="none"/>
              </w:rPr>
              <w:t>年</w:t>
            </w:r>
            <w:r>
              <w:rPr>
                <w:rFonts w:hint="eastAsia" w:hAnsi="宋体" w:cs="宋体"/>
                <w:color w:val="auto"/>
                <w:highlight w:val="none"/>
              </w:rPr>
              <w:t>1月1日</w:t>
            </w:r>
            <w:r>
              <w:rPr>
                <w:rFonts w:hint="eastAsia" w:hAnsi="宋体" w:cs="宋体"/>
                <w:color w:val="auto"/>
                <w:szCs w:val="21"/>
                <w:highlight w:val="none"/>
              </w:rPr>
              <w:t>以来完成同类项目业绩</w:t>
            </w:r>
            <w:r>
              <w:rPr>
                <w:rFonts w:hint="eastAsia" w:hAnsi="宋体" w:cs="宋体"/>
                <w:color w:val="auto"/>
                <w:highlight w:val="none"/>
              </w:rPr>
              <w:t>（信息系统评测）</w:t>
            </w:r>
            <w:r>
              <w:rPr>
                <w:rFonts w:hint="eastAsia" w:hAnsi="宋体" w:cs="宋体"/>
                <w:color w:val="auto"/>
                <w:szCs w:val="21"/>
                <w:highlight w:val="none"/>
              </w:rPr>
              <w:t>，每份得2分</w:t>
            </w:r>
            <w:r>
              <w:rPr>
                <w:rFonts w:hint="eastAsia" w:hAnsi="宋体" w:cs="宋体"/>
                <w:color w:val="auto"/>
                <w:highlight w:val="none"/>
              </w:rPr>
              <w:t>，满分10分</w:t>
            </w:r>
            <w:r>
              <w:rPr>
                <w:rFonts w:hint="eastAsia" w:hAnsi="宋体" w:cs="宋体"/>
                <w:color w:val="auto"/>
                <w:szCs w:val="21"/>
                <w:highlight w:val="none"/>
              </w:rPr>
              <w:t>。</w:t>
            </w:r>
            <w:r>
              <w:rPr>
                <w:rStyle w:val="106"/>
                <w:rFonts w:hAnsi="宋体" w:cs="宋体"/>
                <w:color w:val="auto"/>
                <w:szCs w:val="21"/>
                <w:highlight w:val="none"/>
              </w:rPr>
              <w:t>（以中标（成交）通知书或合同等验收证明文件为准</w:t>
            </w:r>
            <w:r>
              <w:rPr>
                <w:rStyle w:val="106"/>
                <w:rFonts w:hint="eastAsia" w:hAnsi="宋体" w:cs="宋体"/>
                <w:color w:val="auto"/>
                <w:szCs w:val="21"/>
                <w:highlight w:val="none"/>
              </w:rPr>
              <w:t>，</w:t>
            </w:r>
            <w:r>
              <w:rPr>
                <w:rStyle w:val="106"/>
                <w:rFonts w:hAnsi="宋体" w:cs="宋体"/>
                <w:color w:val="auto"/>
                <w:szCs w:val="21"/>
                <w:highlight w:val="none"/>
              </w:rPr>
              <w:t>提供</w:t>
            </w:r>
            <w:r>
              <w:rPr>
                <w:rStyle w:val="106"/>
                <w:rFonts w:hint="eastAsia" w:hAnsi="宋体" w:cs="宋体"/>
                <w:color w:val="auto"/>
                <w:szCs w:val="21"/>
                <w:highlight w:val="none"/>
              </w:rPr>
              <w:t>扫描件并加盖供应商公章</w:t>
            </w:r>
            <w:r>
              <w:rPr>
                <w:rStyle w:val="106"/>
                <w:rFonts w:hAnsi="宋体" w:cs="宋体"/>
                <w:color w:val="auto"/>
                <w:szCs w:val="21"/>
                <w:highlight w:val="none"/>
              </w:rPr>
              <w:t>）</w:t>
            </w:r>
            <w:r>
              <w:rPr>
                <w:rStyle w:val="106"/>
                <w:rFonts w:hint="eastAsia" w:hAnsi="宋体" w:cs="宋体"/>
                <w:color w:val="auto"/>
                <w:szCs w:val="21"/>
                <w:highlight w:val="none"/>
              </w:rPr>
              <w:t>。</w:t>
            </w:r>
          </w:p>
          <w:p w14:paraId="041C5AF5">
            <w:pPr>
              <w:pStyle w:val="107"/>
              <w:spacing w:line="360" w:lineRule="auto"/>
              <w:ind w:firstLine="420" w:firstLineChars="200"/>
              <w:textAlignment w:val="auto"/>
              <w:rPr>
                <w:rStyle w:val="106"/>
                <w:rFonts w:hint="eastAsia" w:hAnsi="宋体" w:cs="宋体"/>
                <w:color w:val="auto"/>
                <w:szCs w:val="21"/>
                <w:highlight w:val="none"/>
              </w:rPr>
            </w:pPr>
            <w:r>
              <w:rPr>
                <w:rStyle w:val="106"/>
                <w:rFonts w:hAnsi="宋体" w:cs="宋体"/>
                <w:color w:val="auto"/>
                <w:szCs w:val="21"/>
                <w:highlight w:val="none"/>
              </w:rPr>
              <w:t>注：供应商在响应文件中，</w:t>
            </w:r>
            <w:r>
              <w:rPr>
                <w:rStyle w:val="106"/>
                <w:rFonts w:hint="eastAsia" w:hAnsi="宋体" w:cs="宋体"/>
                <w:color w:val="auto"/>
                <w:szCs w:val="21"/>
                <w:highlight w:val="none"/>
              </w:rPr>
              <w:t>须</w:t>
            </w:r>
            <w:r>
              <w:rPr>
                <w:rStyle w:val="106"/>
                <w:rFonts w:hAnsi="宋体" w:cs="宋体"/>
                <w:color w:val="auto"/>
                <w:szCs w:val="21"/>
                <w:highlight w:val="none"/>
              </w:rPr>
              <w:t>将具体项目以列表的形式表现，后附中标（成交）通知书或</w:t>
            </w:r>
            <w:r>
              <w:rPr>
                <w:rStyle w:val="106"/>
                <w:rFonts w:hint="eastAsia" w:hAnsi="宋体" w:cs="宋体"/>
                <w:color w:val="auto"/>
                <w:szCs w:val="21"/>
                <w:highlight w:val="none"/>
              </w:rPr>
              <w:t>服务</w:t>
            </w:r>
            <w:r>
              <w:rPr>
                <w:rStyle w:val="106"/>
                <w:rFonts w:hAnsi="宋体" w:cs="宋体"/>
                <w:color w:val="auto"/>
                <w:szCs w:val="21"/>
                <w:highlight w:val="none"/>
              </w:rPr>
              <w:t>合同相关材料</w:t>
            </w:r>
            <w:r>
              <w:rPr>
                <w:rStyle w:val="106"/>
                <w:rFonts w:hint="eastAsia" w:hAnsi="宋体" w:cs="宋体"/>
                <w:color w:val="auto"/>
                <w:szCs w:val="21"/>
                <w:highlight w:val="none"/>
              </w:rPr>
              <w:t>扫描件</w:t>
            </w:r>
            <w:r>
              <w:rPr>
                <w:rStyle w:val="106"/>
                <w:rFonts w:hAnsi="宋体" w:cs="宋体"/>
                <w:color w:val="auto"/>
                <w:szCs w:val="21"/>
                <w:highlight w:val="none"/>
              </w:rPr>
              <w:t>。同一个编号的项目有两个或两个以上的分标中标的只算一次。</w:t>
            </w:r>
          </w:p>
        </w:tc>
        <w:tc>
          <w:tcPr>
            <w:tcW w:w="845" w:type="dxa"/>
            <w:noWrap w:val="0"/>
            <w:vAlign w:val="center"/>
          </w:tcPr>
          <w:p w14:paraId="0B885CEF">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10分</w:t>
            </w:r>
          </w:p>
        </w:tc>
      </w:tr>
      <w:tr w14:paraId="452D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362" w:type="dxa"/>
            <w:gridSpan w:val="4"/>
            <w:noWrap w:val="0"/>
            <w:vAlign w:val="top"/>
          </w:tcPr>
          <w:p w14:paraId="4E3B2C8B">
            <w:pPr>
              <w:widowControl/>
              <w:spacing w:line="360" w:lineRule="auto"/>
              <w:jc w:val="left"/>
              <w:rPr>
                <w:rFonts w:hint="eastAsia" w:ascii="宋体" w:hAnsi="宋体" w:cs="宋体"/>
                <w:color w:val="auto"/>
                <w:kern w:val="0"/>
                <w:szCs w:val="21"/>
                <w:highlight w:val="none"/>
              </w:rPr>
            </w:pPr>
            <w:r>
              <w:rPr>
                <w:rFonts w:hint="eastAsia" w:ascii="宋体" w:hAnsi="宋体" w:cs="宋体"/>
                <w:b/>
                <w:color w:val="auto"/>
                <w:szCs w:val="21"/>
                <w:highlight w:val="none"/>
              </w:rPr>
              <w:t>总得分＝1+2+3</w:t>
            </w:r>
          </w:p>
        </w:tc>
      </w:tr>
    </w:tbl>
    <w:p w14:paraId="0A55B37E">
      <w:pPr>
        <w:rPr>
          <w:rFonts w:hint="eastAsia"/>
          <w:color w:val="auto"/>
          <w:highlight w:val="none"/>
        </w:rPr>
      </w:pPr>
    </w:p>
    <w:p w14:paraId="29402501">
      <w:pPr>
        <w:pStyle w:val="22"/>
        <w:rPr>
          <w:rFonts w:hint="eastAsia"/>
          <w:color w:val="auto"/>
          <w:highlight w:val="none"/>
        </w:rPr>
      </w:pPr>
    </w:p>
    <w:p w14:paraId="7A28958B">
      <w:pPr>
        <w:rPr>
          <w:rFonts w:hint="eastAsia"/>
          <w:color w:val="auto"/>
          <w:highlight w:val="none"/>
        </w:rPr>
      </w:pPr>
    </w:p>
    <w:p w14:paraId="7B94D774">
      <w:pPr>
        <w:pStyle w:val="22"/>
        <w:rPr>
          <w:rFonts w:hint="eastAsia"/>
          <w:color w:val="auto"/>
          <w:highlight w:val="none"/>
        </w:rPr>
      </w:pPr>
    </w:p>
    <w:p w14:paraId="6BB24882">
      <w:pPr>
        <w:rPr>
          <w:rFonts w:hint="eastAsia"/>
          <w:color w:val="auto"/>
          <w:highlight w:val="none"/>
        </w:rPr>
      </w:pPr>
    </w:p>
    <w:p w14:paraId="5E1A170F">
      <w:pPr>
        <w:rPr>
          <w:rFonts w:hint="eastAsia"/>
          <w:color w:val="auto"/>
          <w:highlight w:val="none"/>
        </w:rPr>
      </w:pPr>
    </w:p>
    <w:p w14:paraId="6C9F860F">
      <w:pPr>
        <w:rPr>
          <w:rFonts w:hint="eastAsia"/>
          <w:color w:val="auto"/>
          <w:highlight w:val="none"/>
        </w:rPr>
      </w:pPr>
    </w:p>
    <w:p w14:paraId="438A7921">
      <w:pPr>
        <w:rPr>
          <w:rFonts w:hint="eastAsia"/>
          <w:color w:val="auto"/>
          <w:highlight w:val="none"/>
        </w:rPr>
      </w:pPr>
    </w:p>
    <w:p w14:paraId="73A66D16">
      <w:pPr>
        <w:rPr>
          <w:rFonts w:hint="eastAsia"/>
          <w:color w:val="auto"/>
          <w:highlight w:val="none"/>
        </w:rPr>
      </w:pPr>
    </w:p>
    <w:p w14:paraId="482CD529">
      <w:pPr>
        <w:rPr>
          <w:rFonts w:hint="eastAsia"/>
          <w:color w:val="auto"/>
          <w:highlight w:val="none"/>
        </w:rPr>
      </w:pPr>
    </w:p>
    <w:p w14:paraId="699FBACA">
      <w:pPr>
        <w:rPr>
          <w:rFonts w:hint="eastAsia"/>
          <w:color w:val="auto"/>
          <w:highlight w:val="none"/>
        </w:rPr>
      </w:pPr>
    </w:p>
    <w:p w14:paraId="6BD443C3">
      <w:pPr>
        <w:rPr>
          <w:rFonts w:hint="eastAsia"/>
          <w:color w:val="auto"/>
          <w:highlight w:val="none"/>
        </w:rPr>
      </w:pPr>
    </w:p>
    <w:p w14:paraId="5369950B">
      <w:pPr>
        <w:rPr>
          <w:rFonts w:hint="eastAsia"/>
          <w:color w:val="auto"/>
          <w:highlight w:val="none"/>
        </w:rPr>
      </w:pPr>
    </w:p>
    <w:p w14:paraId="46BD6ED8">
      <w:pPr>
        <w:rPr>
          <w:rFonts w:hint="eastAsia" w:hAnsi="宋体"/>
          <w:b/>
          <w:color w:val="auto"/>
          <w:kern w:val="2"/>
          <w:sz w:val="21"/>
          <w:highlight w:val="none"/>
        </w:rPr>
      </w:pPr>
      <w:r>
        <w:rPr>
          <w:rFonts w:hint="eastAsia" w:hAnsi="宋体"/>
          <w:b/>
          <w:color w:val="auto"/>
          <w:kern w:val="2"/>
          <w:sz w:val="21"/>
          <w:highlight w:val="none"/>
        </w:rPr>
        <w:br w:type="page"/>
      </w:r>
    </w:p>
    <w:p w14:paraId="3B22CDEF">
      <w:pPr>
        <w:pStyle w:val="18"/>
        <w:spacing w:line="360" w:lineRule="atLeast"/>
        <w:rPr>
          <w:rFonts w:hAnsi="宋体"/>
          <w:b/>
          <w:color w:val="auto"/>
          <w:kern w:val="2"/>
          <w:sz w:val="21"/>
          <w:highlight w:val="none"/>
        </w:rPr>
      </w:pPr>
      <w:r>
        <w:rPr>
          <w:rFonts w:hint="eastAsia" w:hAnsi="宋体"/>
          <w:b/>
          <w:color w:val="auto"/>
          <w:kern w:val="2"/>
          <w:sz w:val="21"/>
          <w:highlight w:val="none"/>
        </w:rPr>
        <w:t>适用于2分标：</w:t>
      </w:r>
    </w:p>
    <w:p w14:paraId="498CECE7">
      <w:pPr>
        <w:rPr>
          <w:color w:val="auto"/>
          <w:highlight w:val="none"/>
        </w:rPr>
      </w:pPr>
    </w:p>
    <w:tbl>
      <w:tblPr>
        <w:tblStyle w:val="32"/>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418"/>
        <w:gridCol w:w="6288"/>
        <w:gridCol w:w="851"/>
      </w:tblGrid>
      <w:tr w14:paraId="284CD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62" w:type="dxa"/>
            <w:noWrap w:val="0"/>
            <w:vAlign w:val="center"/>
          </w:tcPr>
          <w:p w14:paraId="61E801B6">
            <w:pPr>
              <w:widowControl/>
              <w:snapToGrid w:val="0"/>
              <w:spacing w:line="360" w:lineRule="auto"/>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1418" w:type="dxa"/>
            <w:noWrap w:val="0"/>
            <w:vAlign w:val="center"/>
          </w:tcPr>
          <w:p w14:paraId="4117EF6F">
            <w:pPr>
              <w:widowControl/>
              <w:snapToGrid w:val="0"/>
              <w:spacing w:line="360" w:lineRule="auto"/>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评审因素</w:t>
            </w:r>
          </w:p>
        </w:tc>
        <w:tc>
          <w:tcPr>
            <w:tcW w:w="6288" w:type="dxa"/>
            <w:noWrap w:val="0"/>
            <w:vAlign w:val="center"/>
          </w:tcPr>
          <w:p w14:paraId="41C684FF">
            <w:pPr>
              <w:widowControl/>
              <w:snapToGrid w:val="0"/>
              <w:spacing w:line="360" w:lineRule="auto"/>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评审因素具体内容</w:t>
            </w:r>
          </w:p>
        </w:tc>
        <w:tc>
          <w:tcPr>
            <w:tcW w:w="851" w:type="dxa"/>
            <w:noWrap w:val="0"/>
            <w:vAlign w:val="center"/>
          </w:tcPr>
          <w:p w14:paraId="3D7733B6">
            <w:pPr>
              <w:widowControl/>
              <w:snapToGrid w:val="0"/>
              <w:spacing w:line="360" w:lineRule="auto"/>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分值</w:t>
            </w:r>
          </w:p>
        </w:tc>
      </w:tr>
      <w:tr w14:paraId="28DC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62" w:type="dxa"/>
            <w:noWrap w:val="0"/>
            <w:vAlign w:val="center"/>
          </w:tcPr>
          <w:p w14:paraId="2BCAB560">
            <w:pPr>
              <w:widowControl/>
              <w:snapToGrid w:val="0"/>
              <w:spacing w:line="36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418" w:type="dxa"/>
            <w:noWrap w:val="0"/>
            <w:vAlign w:val="center"/>
          </w:tcPr>
          <w:p w14:paraId="6562BAA6">
            <w:pPr>
              <w:widowControl/>
              <w:snapToGrid w:val="0"/>
              <w:spacing w:line="36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价格分</w:t>
            </w:r>
          </w:p>
          <w:p w14:paraId="1AEE09BA">
            <w:pPr>
              <w:widowControl/>
              <w:snapToGrid w:val="0"/>
              <w:spacing w:line="36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0分）</w:t>
            </w:r>
          </w:p>
        </w:tc>
        <w:tc>
          <w:tcPr>
            <w:tcW w:w="6288" w:type="dxa"/>
            <w:noWrap w:val="0"/>
            <w:vAlign w:val="top"/>
          </w:tcPr>
          <w:p w14:paraId="64447B28">
            <w:pPr>
              <w:spacing w:line="360" w:lineRule="auto"/>
              <w:rPr>
                <w:rFonts w:ascii="宋体" w:hAnsi="宋体" w:cs="宋体"/>
                <w:b/>
                <w:bCs/>
                <w:color w:val="auto"/>
                <w:sz w:val="21"/>
                <w:szCs w:val="21"/>
                <w:highlight w:val="none"/>
              </w:rPr>
            </w:pPr>
            <w:r>
              <w:rPr>
                <w:rFonts w:hint="eastAsia" w:ascii="宋体" w:hAnsi="宋体" w:cs="宋体"/>
                <w:b/>
                <w:bCs/>
                <w:color w:val="auto"/>
                <w:sz w:val="21"/>
                <w:szCs w:val="21"/>
                <w:highlight w:val="none"/>
              </w:rPr>
              <w:t>一、政府采购政策扣除：本项目为专门面向中小企业采购的项目，不再执行价格评审优惠的扶持政策</w:t>
            </w:r>
            <w:r>
              <w:rPr>
                <w:rFonts w:hint="eastAsia" w:ascii="宋体" w:hAnsi="宋体" w:cs="宋体"/>
                <w:bCs/>
                <w:color w:val="auto"/>
                <w:sz w:val="21"/>
                <w:szCs w:val="21"/>
                <w:highlight w:val="none"/>
              </w:rPr>
              <w:t>，评审报价＝磋商报价</w:t>
            </w:r>
            <w:r>
              <w:rPr>
                <w:rFonts w:hint="eastAsia" w:ascii="宋体" w:hAnsi="宋体" w:cs="宋体"/>
                <w:b/>
                <w:bCs/>
                <w:color w:val="auto"/>
                <w:sz w:val="21"/>
                <w:szCs w:val="21"/>
                <w:highlight w:val="none"/>
              </w:rPr>
              <w:t>。</w:t>
            </w:r>
          </w:p>
          <w:p w14:paraId="05C3AF1C">
            <w:pPr>
              <w:pStyle w:val="18"/>
              <w:spacing w:line="360" w:lineRule="auto"/>
              <w:outlineLvl w:val="0"/>
              <w:rPr>
                <w:rFonts w:hAnsi="宋体" w:cs="宋体"/>
                <w:b/>
                <w:color w:val="auto"/>
                <w:sz w:val="21"/>
                <w:szCs w:val="21"/>
                <w:highlight w:val="none"/>
              </w:rPr>
            </w:pPr>
            <w:bookmarkStart w:id="118" w:name="_Toc17649"/>
            <w:bookmarkStart w:id="119" w:name="_Toc24822"/>
            <w:bookmarkStart w:id="120" w:name="_Toc2487"/>
            <w:r>
              <w:rPr>
                <w:rFonts w:hint="eastAsia" w:hAnsi="宋体" w:cs="宋体"/>
                <w:b/>
                <w:color w:val="auto"/>
                <w:sz w:val="21"/>
                <w:szCs w:val="21"/>
                <w:highlight w:val="none"/>
              </w:rPr>
              <w:t>二、报价分（满分20分）</w:t>
            </w:r>
            <w:bookmarkEnd w:id="118"/>
            <w:bookmarkEnd w:id="119"/>
            <w:bookmarkEnd w:id="120"/>
          </w:p>
          <w:p w14:paraId="2EB4B0E9">
            <w:pPr>
              <w:pStyle w:val="18"/>
              <w:spacing w:line="360" w:lineRule="auto"/>
              <w:rPr>
                <w:rFonts w:hAnsi="宋体" w:cs="宋体"/>
                <w:bCs/>
                <w:color w:val="auto"/>
                <w:sz w:val="21"/>
                <w:szCs w:val="21"/>
                <w:highlight w:val="none"/>
              </w:rPr>
            </w:pPr>
            <w:r>
              <w:rPr>
                <w:rFonts w:hint="eastAsia" w:hAnsi="宋体" w:cs="宋体"/>
                <w:color w:val="auto"/>
                <w:sz w:val="21"/>
                <w:szCs w:val="21"/>
                <w:highlight w:val="none"/>
              </w:rPr>
              <w:t>1、</w:t>
            </w:r>
            <w:r>
              <w:rPr>
                <w:rFonts w:hint="eastAsia" w:hAnsi="宋体" w:cs="宋体"/>
                <w:bCs/>
                <w:color w:val="auto"/>
                <w:sz w:val="21"/>
                <w:szCs w:val="21"/>
                <w:highlight w:val="none"/>
              </w:rPr>
              <w:t>报价分采用低价优先法计算，满足磋商文件要求且评标价最低的有效供应商的评标价为评标基准价，其报价分为满分。</w:t>
            </w:r>
          </w:p>
          <w:p w14:paraId="39BCDACD">
            <w:pPr>
              <w:pStyle w:val="18"/>
              <w:spacing w:line="360" w:lineRule="auto"/>
              <w:rPr>
                <w:rFonts w:hAnsi="宋体" w:cs="宋体"/>
                <w:bCs/>
                <w:color w:val="auto"/>
                <w:sz w:val="21"/>
                <w:szCs w:val="21"/>
                <w:highlight w:val="none"/>
              </w:rPr>
            </w:pPr>
            <w:r>
              <w:rPr>
                <w:rFonts w:hint="eastAsia" w:hAnsi="宋体" w:cs="宋体"/>
                <w:bCs/>
                <w:color w:val="auto"/>
                <w:sz w:val="21"/>
                <w:szCs w:val="21"/>
                <w:highlight w:val="none"/>
              </w:rPr>
              <w:t>2、其他供应商的价格分统一按照下列公式计算：</w:t>
            </w:r>
          </w:p>
          <w:p w14:paraId="5EF20081">
            <w:pPr>
              <w:pStyle w:val="18"/>
              <w:snapToGrid w:val="0"/>
              <w:spacing w:line="360" w:lineRule="auto"/>
              <w:rPr>
                <w:rFonts w:hint="eastAsia" w:hAnsi="宋体" w:cs="宋体"/>
                <w:bCs/>
                <w:color w:val="auto"/>
                <w:kern w:val="2"/>
                <w:sz w:val="21"/>
                <w:szCs w:val="21"/>
                <w:highlight w:val="none"/>
              </w:rPr>
            </w:pPr>
            <w:r>
              <w:rPr>
                <w:rFonts w:hint="eastAsia" w:hAnsi="宋体" w:cs="宋体"/>
                <w:bCs/>
                <w:color w:val="auto"/>
                <w:sz w:val="21"/>
                <w:szCs w:val="21"/>
                <w:highlight w:val="none"/>
              </w:rPr>
              <w:t>某有效供应商的报价分=（评标基准价／某有效供应商评标价）×20分</w:t>
            </w:r>
          </w:p>
        </w:tc>
        <w:tc>
          <w:tcPr>
            <w:tcW w:w="851" w:type="dxa"/>
            <w:noWrap w:val="0"/>
            <w:vAlign w:val="center"/>
          </w:tcPr>
          <w:p w14:paraId="1EA89712">
            <w:pPr>
              <w:widowControl/>
              <w:snapToGrid w:val="0"/>
              <w:spacing w:line="36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0分</w:t>
            </w:r>
          </w:p>
        </w:tc>
      </w:tr>
      <w:tr w14:paraId="6482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62" w:type="dxa"/>
            <w:noWrap w:val="0"/>
            <w:vAlign w:val="center"/>
          </w:tcPr>
          <w:p w14:paraId="7F1F5211">
            <w:pPr>
              <w:adjustRightInd w:val="0"/>
              <w:snapToGrid w:val="0"/>
              <w:spacing w:line="360" w:lineRule="auto"/>
              <w:ind w:left="-105" w:leftChars="-50" w:right="-105" w:rightChars="-50"/>
              <w:jc w:val="center"/>
              <w:textAlignment w:val="baseline"/>
              <w:rPr>
                <w:rFonts w:hint="eastAsia" w:ascii="宋体" w:hAnsi="宋体" w:cs="宋体"/>
                <w:bCs/>
                <w:color w:val="auto"/>
                <w:kern w:val="0"/>
                <w:sz w:val="21"/>
                <w:szCs w:val="21"/>
                <w:highlight w:val="none"/>
              </w:rPr>
            </w:pPr>
            <w:r>
              <w:rPr>
                <w:rFonts w:hint="eastAsia" w:ascii="宋体" w:hAnsi="宋体" w:cs="宋体"/>
                <w:bCs/>
                <w:color w:val="auto"/>
                <w:kern w:val="0"/>
                <w:sz w:val="21"/>
                <w:szCs w:val="21"/>
                <w:highlight w:val="none"/>
              </w:rPr>
              <w:t>2</w:t>
            </w:r>
          </w:p>
        </w:tc>
        <w:tc>
          <w:tcPr>
            <w:tcW w:w="8557" w:type="dxa"/>
            <w:gridSpan w:val="3"/>
            <w:noWrap w:val="0"/>
            <w:vAlign w:val="center"/>
          </w:tcPr>
          <w:p w14:paraId="64D74B54">
            <w:pPr>
              <w:snapToGrid w:val="0"/>
              <w:spacing w:line="360" w:lineRule="auto"/>
              <w:ind w:firstLine="211" w:firstLineChars="100"/>
              <w:rPr>
                <w:rFonts w:hint="eastAsia" w:ascii="宋体" w:hAnsi="宋体" w:cs="宋体"/>
                <w:color w:val="auto"/>
                <w:kern w:val="0"/>
                <w:sz w:val="21"/>
                <w:szCs w:val="21"/>
                <w:highlight w:val="none"/>
              </w:rPr>
            </w:pPr>
            <w:r>
              <w:rPr>
                <w:rFonts w:hint="eastAsia" w:ascii="宋体" w:hAnsi="宋体" w:cs="宋体"/>
                <w:b/>
                <w:bCs/>
                <w:color w:val="auto"/>
                <w:kern w:val="0"/>
                <w:sz w:val="21"/>
                <w:szCs w:val="21"/>
                <w:highlight w:val="none"/>
              </w:rPr>
              <w:t>技术分（</w:t>
            </w:r>
            <w:r>
              <w:rPr>
                <w:rFonts w:hint="eastAsia" w:ascii="宋体" w:hAnsi="宋体" w:cs="宋体"/>
                <w:b/>
                <w:bCs/>
                <w:color w:val="auto"/>
                <w:kern w:val="0"/>
                <w:sz w:val="21"/>
                <w:szCs w:val="21"/>
                <w:highlight w:val="none"/>
                <w:lang w:val="en-US" w:eastAsia="zh-CN"/>
              </w:rPr>
              <w:t>满分68</w:t>
            </w:r>
            <w:r>
              <w:rPr>
                <w:rFonts w:hint="eastAsia" w:ascii="宋体" w:hAnsi="宋体" w:cs="宋体"/>
                <w:b/>
                <w:bCs/>
                <w:color w:val="auto"/>
                <w:kern w:val="0"/>
                <w:sz w:val="21"/>
                <w:szCs w:val="21"/>
                <w:highlight w:val="none"/>
              </w:rPr>
              <w:t>分）</w:t>
            </w:r>
          </w:p>
        </w:tc>
      </w:tr>
      <w:tr w14:paraId="231E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62" w:type="dxa"/>
            <w:noWrap w:val="0"/>
            <w:vAlign w:val="center"/>
          </w:tcPr>
          <w:p w14:paraId="40F5BF2B">
            <w:pPr>
              <w:adjustRightInd w:val="0"/>
              <w:snapToGrid w:val="0"/>
              <w:spacing w:line="360" w:lineRule="auto"/>
              <w:ind w:left="-105" w:leftChars="-50" w:right="-105" w:rightChars="-50"/>
              <w:jc w:val="center"/>
              <w:textAlignment w:val="baseline"/>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2.1</w:t>
            </w:r>
          </w:p>
        </w:tc>
        <w:tc>
          <w:tcPr>
            <w:tcW w:w="1418" w:type="dxa"/>
            <w:noWrap w:val="0"/>
            <w:vAlign w:val="center"/>
          </w:tcPr>
          <w:p w14:paraId="7846C5CD">
            <w:pPr>
              <w:adjustRightInd w:val="0"/>
              <w:snapToGrid w:val="0"/>
              <w:spacing w:line="360" w:lineRule="auto"/>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项目设计方案（满分</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分）</w:t>
            </w:r>
          </w:p>
        </w:tc>
        <w:tc>
          <w:tcPr>
            <w:tcW w:w="6288" w:type="dxa"/>
            <w:noWrap w:val="0"/>
            <w:vAlign w:val="center"/>
          </w:tcPr>
          <w:p w14:paraId="3178AB9B">
            <w:pPr>
              <w:pStyle w:val="18"/>
              <w:snapToGrid w:val="0"/>
              <w:spacing w:line="360" w:lineRule="auto"/>
              <w:rPr>
                <w:rFonts w:hint="eastAsia" w:hAnsi="宋体" w:cs="宋体"/>
                <w:color w:val="auto"/>
                <w:sz w:val="21"/>
                <w:szCs w:val="21"/>
                <w:highlight w:val="none"/>
              </w:rPr>
            </w:pPr>
            <w:r>
              <w:rPr>
                <w:rFonts w:hint="eastAsia" w:hAnsi="宋体" w:cs="宋体"/>
                <w:color w:val="auto"/>
                <w:sz w:val="21"/>
                <w:highlight w:val="none"/>
                <w:lang w:val="en-US" w:eastAsia="zh-CN"/>
              </w:rPr>
              <w:t>响应文件中</w:t>
            </w:r>
            <w:r>
              <w:rPr>
                <w:rFonts w:hint="eastAsia" w:hAnsi="宋体" w:cs="宋体"/>
                <w:color w:val="auto"/>
                <w:sz w:val="21"/>
                <w:szCs w:val="21"/>
                <w:highlight w:val="none"/>
              </w:rPr>
              <w:t>未提供方案或方案严重不合理的不得分。</w:t>
            </w:r>
          </w:p>
          <w:p w14:paraId="6404E9CD">
            <w:pPr>
              <w:adjustRightInd w:val="0"/>
              <w:snapToGrid w:val="0"/>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一档（2分）：供应商提供的方案能根据国家、自治区关于行业建设的标准及依据提出项目需求方案，但对建设背景、建设思路、必要性等内容描述简单。</w:t>
            </w:r>
          </w:p>
          <w:p w14:paraId="20468823">
            <w:pPr>
              <w:adjustRightInd w:val="0"/>
              <w:snapToGrid w:val="0"/>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二档（4分）：在一档的基础上，供应商提供的方案对项目建设目标、建设内容、立项申报流程与规范等内容描述清楚，符合项目实际需求，具备可行性、可靠性；</w:t>
            </w:r>
          </w:p>
          <w:p w14:paraId="71A0C728">
            <w:p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三档（</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分）：在二档的基础上，供应商提供的方案有简要的总体框架方案，并对技术路线进行说明，能对项目各子系统进行简要描述，符合项目实际需求、思路清晰、针对性强；</w:t>
            </w:r>
          </w:p>
          <w:p w14:paraId="61D785F6">
            <w:p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四档（</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分）：在三档的基础上，供应商提供的方案有详细的总体框架设计、技术路线说明等架构设计方案，提供的项目各子系统建设方案完善、针对性强，并符合项目建设实际情况，方案设计规划合理、描述准确，具备可行性、可靠性、合理性。</w:t>
            </w:r>
          </w:p>
        </w:tc>
        <w:tc>
          <w:tcPr>
            <w:tcW w:w="851" w:type="dxa"/>
            <w:noWrap w:val="0"/>
            <w:vAlign w:val="center"/>
          </w:tcPr>
          <w:p w14:paraId="1354C335">
            <w:pPr>
              <w:snapToGrid w:val="0"/>
              <w:spacing w:line="360" w:lineRule="auto"/>
              <w:jc w:val="center"/>
              <w:rPr>
                <w:rFonts w:ascii="宋体" w:hAnsi="宋体" w:cs="宋体"/>
                <w:color w:val="auto"/>
                <w:kern w:val="0"/>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分</w:t>
            </w:r>
          </w:p>
        </w:tc>
      </w:tr>
      <w:tr w14:paraId="153F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62" w:type="dxa"/>
            <w:noWrap w:val="0"/>
            <w:vAlign w:val="center"/>
          </w:tcPr>
          <w:p w14:paraId="04838C18">
            <w:pPr>
              <w:adjustRightInd w:val="0"/>
              <w:snapToGrid w:val="0"/>
              <w:spacing w:line="360" w:lineRule="auto"/>
              <w:ind w:left="-105" w:leftChars="-50" w:right="-105" w:rightChars="-50"/>
              <w:jc w:val="center"/>
              <w:textAlignment w:val="baseline"/>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2.2</w:t>
            </w:r>
          </w:p>
        </w:tc>
        <w:tc>
          <w:tcPr>
            <w:tcW w:w="1418" w:type="dxa"/>
            <w:noWrap w:val="0"/>
            <w:vAlign w:val="center"/>
          </w:tcPr>
          <w:p w14:paraId="4D64A758">
            <w:pPr>
              <w:adjustRightInd w:val="0"/>
              <w:snapToGrid w:val="0"/>
              <w:spacing w:line="360" w:lineRule="auto"/>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项目概预算编制方案（满分8分）</w:t>
            </w:r>
          </w:p>
        </w:tc>
        <w:tc>
          <w:tcPr>
            <w:tcW w:w="6288" w:type="dxa"/>
            <w:noWrap w:val="0"/>
            <w:vAlign w:val="center"/>
          </w:tcPr>
          <w:p w14:paraId="511B5F47">
            <w:pPr>
              <w:pStyle w:val="18"/>
              <w:snapToGrid w:val="0"/>
              <w:spacing w:line="360" w:lineRule="auto"/>
              <w:rPr>
                <w:rFonts w:hint="eastAsia" w:hAnsi="宋体" w:cs="宋体"/>
                <w:color w:val="auto"/>
                <w:sz w:val="21"/>
                <w:szCs w:val="21"/>
                <w:highlight w:val="none"/>
              </w:rPr>
            </w:pPr>
            <w:r>
              <w:rPr>
                <w:rFonts w:hint="eastAsia" w:hAnsi="宋体" w:cs="宋体"/>
                <w:color w:val="auto"/>
                <w:sz w:val="21"/>
                <w:highlight w:val="none"/>
                <w:lang w:val="en-US" w:eastAsia="zh-CN"/>
              </w:rPr>
              <w:t>响应文件中</w:t>
            </w:r>
            <w:r>
              <w:rPr>
                <w:rFonts w:hint="eastAsia" w:hAnsi="宋体" w:cs="宋体"/>
                <w:color w:val="auto"/>
                <w:sz w:val="21"/>
                <w:szCs w:val="21"/>
                <w:highlight w:val="none"/>
              </w:rPr>
              <w:t>未提供方案或方案严重不合理的不得分。</w:t>
            </w:r>
          </w:p>
          <w:p w14:paraId="31AD4678">
            <w:p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一档（2分）：供应商提供有项目概预算政策依据、编制方法、编制内容等内容描述简单，符合项目评审及项目建设要求；</w:t>
            </w:r>
          </w:p>
          <w:p w14:paraId="184B92D5">
            <w:p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二档（4分）：在一档的基础上，供应商提供有项目概预算各项费用构成、概预算使用工具等内容描述清晰、明确，方案符合项目实际需求，完整、可行；</w:t>
            </w:r>
          </w:p>
          <w:p w14:paraId="01B6723C">
            <w:p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三档（6分）：在二档的基础上，供应商结合项目实际需求，依据相关标准要求编制概预算书框架等内容，可操作性强，各项费用措施齐全；</w:t>
            </w:r>
          </w:p>
          <w:p w14:paraId="33BE87DD">
            <w:p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四档（8分）：在三档的基础上，供应商结合项目实际需求，依据相关标准要求套用造价定额等，定额内容详细全面、预算针对性强，各项费用措施完整。</w:t>
            </w:r>
          </w:p>
        </w:tc>
        <w:tc>
          <w:tcPr>
            <w:tcW w:w="851" w:type="dxa"/>
            <w:noWrap w:val="0"/>
            <w:vAlign w:val="center"/>
          </w:tcPr>
          <w:p w14:paraId="4F4FB674">
            <w:pPr>
              <w:snapToGrid w:val="0"/>
              <w:spacing w:line="360" w:lineRule="auto"/>
              <w:jc w:val="center"/>
              <w:rPr>
                <w:rFonts w:ascii="宋体" w:hAnsi="宋体" w:cs="宋体"/>
                <w:color w:val="auto"/>
                <w:kern w:val="0"/>
                <w:sz w:val="21"/>
                <w:szCs w:val="21"/>
                <w:highlight w:val="none"/>
              </w:rPr>
            </w:pPr>
            <w:r>
              <w:rPr>
                <w:rFonts w:hint="eastAsia" w:ascii="宋体" w:hAnsi="宋体" w:cs="宋体"/>
                <w:color w:val="auto"/>
                <w:sz w:val="21"/>
                <w:szCs w:val="21"/>
                <w:highlight w:val="none"/>
              </w:rPr>
              <w:t>8分</w:t>
            </w:r>
          </w:p>
        </w:tc>
      </w:tr>
      <w:tr w14:paraId="41ED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62" w:type="dxa"/>
            <w:noWrap w:val="0"/>
            <w:vAlign w:val="center"/>
          </w:tcPr>
          <w:p w14:paraId="73A6FE85">
            <w:pPr>
              <w:adjustRightInd w:val="0"/>
              <w:snapToGrid w:val="0"/>
              <w:spacing w:line="360" w:lineRule="auto"/>
              <w:ind w:left="-105" w:leftChars="-50" w:right="-105" w:rightChars="-50"/>
              <w:jc w:val="center"/>
              <w:textAlignment w:val="baseline"/>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2.3</w:t>
            </w:r>
          </w:p>
        </w:tc>
        <w:tc>
          <w:tcPr>
            <w:tcW w:w="1418" w:type="dxa"/>
            <w:noWrap w:val="0"/>
            <w:vAlign w:val="center"/>
          </w:tcPr>
          <w:p w14:paraId="27CE6176">
            <w:pPr>
              <w:adjustRightInd w:val="0"/>
              <w:snapToGrid w:val="0"/>
              <w:spacing w:line="360" w:lineRule="auto"/>
              <w:jc w:val="center"/>
              <w:textAlignment w:val="baseline"/>
              <w:rPr>
                <w:rFonts w:hint="eastAsia" w:ascii="宋体" w:hAnsi="宋体" w:cs="宋体"/>
                <w:color w:val="auto"/>
                <w:sz w:val="21"/>
                <w:szCs w:val="21"/>
                <w:highlight w:val="none"/>
              </w:rPr>
            </w:pPr>
            <w:r>
              <w:rPr>
                <w:rFonts w:hint="eastAsia" w:ascii="宋体" w:hAnsi="宋体" w:cs="宋体"/>
                <w:bCs/>
                <w:color w:val="auto"/>
                <w:sz w:val="21"/>
                <w:szCs w:val="21"/>
                <w:highlight w:val="none"/>
              </w:rPr>
              <w:t>设计项目管理方案分（满分8分）</w:t>
            </w:r>
          </w:p>
        </w:tc>
        <w:tc>
          <w:tcPr>
            <w:tcW w:w="6288" w:type="dxa"/>
            <w:noWrap w:val="0"/>
            <w:vAlign w:val="center"/>
          </w:tcPr>
          <w:p w14:paraId="5AFC77D4">
            <w:pPr>
              <w:pStyle w:val="18"/>
              <w:snapToGrid w:val="0"/>
              <w:spacing w:line="360" w:lineRule="auto"/>
              <w:rPr>
                <w:rFonts w:hint="eastAsia" w:hAnsi="宋体" w:cs="宋体"/>
                <w:color w:val="auto"/>
                <w:sz w:val="21"/>
                <w:szCs w:val="21"/>
                <w:highlight w:val="none"/>
              </w:rPr>
            </w:pPr>
            <w:r>
              <w:rPr>
                <w:rFonts w:hint="eastAsia" w:hAnsi="宋体" w:cs="宋体"/>
                <w:color w:val="auto"/>
                <w:sz w:val="21"/>
                <w:highlight w:val="none"/>
                <w:lang w:val="en-US" w:eastAsia="zh-CN"/>
              </w:rPr>
              <w:t>响应文件中</w:t>
            </w:r>
            <w:r>
              <w:rPr>
                <w:rFonts w:hint="eastAsia" w:hAnsi="宋体" w:cs="宋体"/>
                <w:color w:val="auto"/>
                <w:sz w:val="21"/>
                <w:szCs w:val="21"/>
                <w:highlight w:val="none"/>
              </w:rPr>
              <w:t>未提供方案或方案严重不合理的不得分。</w:t>
            </w:r>
          </w:p>
          <w:p w14:paraId="269F4CF3">
            <w:p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一档（2分）：供应商提供有项目管理范围、工作内容等描述简单；</w:t>
            </w:r>
          </w:p>
          <w:p w14:paraId="08B5DAA6">
            <w:p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二档（4分）：在一档的基础上，供应商提供有组织管理、进度管理等内容基本满足项目要求；</w:t>
            </w:r>
          </w:p>
          <w:p w14:paraId="57003386">
            <w:p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三档（6分）：在二档的基础上，供应商提供有合同管理、沟通管理等内容描述清晰、完整、合理。</w:t>
            </w:r>
          </w:p>
          <w:p w14:paraId="38599FCB">
            <w:p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四档（8分）：在三档的基础上，供应商提供的方案涵盖成本管理、风险管理等内容，能针对项目变更管理提出原因、分类以及控制措施等内容，且具备可行性、可靠性，吻合项目实际。</w:t>
            </w:r>
          </w:p>
        </w:tc>
        <w:tc>
          <w:tcPr>
            <w:tcW w:w="851" w:type="dxa"/>
            <w:noWrap w:val="0"/>
            <w:vAlign w:val="center"/>
          </w:tcPr>
          <w:p w14:paraId="69B64875">
            <w:pPr>
              <w:snapToGrid w:val="0"/>
              <w:spacing w:line="360" w:lineRule="auto"/>
              <w:jc w:val="center"/>
              <w:rPr>
                <w:rFonts w:ascii="宋体" w:hAnsi="宋体" w:cs="宋体"/>
                <w:color w:val="auto"/>
                <w:kern w:val="0"/>
                <w:sz w:val="21"/>
                <w:szCs w:val="21"/>
                <w:highlight w:val="none"/>
              </w:rPr>
            </w:pPr>
            <w:r>
              <w:rPr>
                <w:rFonts w:hint="eastAsia" w:ascii="宋体" w:hAnsi="宋体" w:cs="宋体"/>
                <w:color w:val="auto"/>
                <w:sz w:val="21"/>
                <w:szCs w:val="21"/>
                <w:highlight w:val="none"/>
              </w:rPr>
              <w:t>8分</w:t>
            </w:r>
          </w:p>
        </w:tc>
      </w:tr>
      <w:tr w14:paraId="1C80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62" w:type="dxa"/>
            <w:noWrap w:val="0"/>
            <w:vAlign w:val="center"/>
          </w:tcPr>
          <w:p w14:paraId="39C37F7F">
            <w:pPr>
              <w:adjustRightInd w:val="0"/>
              <w:snapToGrid w:val="0"/>
              <w:spacing w:line="360" w:lineRule="auto"/>
              <w:ind w:left="-105" w:leftChars="-50" w:right="-105" w:rightChars="-50"/>
              <w:jc w:val="center"/>
              <w:textAlignment w:val="baseline"/>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2.4</w:t>
            </w:r>
          </w:p>
        </w:tc>
        <w:tc>
          <w:tcPr>
            <w:tcW w:w="1418" w:type="dxa"/>
            <w:noWrap w:val="0"/>
            <w:vAlign w:val="center"/>
          </w:tcPr>
          <w:p w14:paraId="6458066D">
            <w:pPr>
              <w:adjustRightInd w:val="0"/>
              <w:snapToGrid w:val="0"/>
              <w:spacing w:line="360" w:lineRule="auto"/>
              <w:jc w:val="center"/>
              <w:textAlignment w:val="baseline"/>
              <w:rPr>
                <w:rFonts w:hint="eastAsia" w:ascii="宋体" w:hAnsi="宋体" w:cs="宋体"/>
                <w:color w:val="auto"/>
                <w:sz w:val="21"/>
                <w:szCs w:val="21"/>
                <w:highlight w:val="none"/>
                <w:lang w:val="zh-CN"/>
              </w:rPr>
            </w:pPr>
            <w:r>
              <w:rPr>
                <w:rFonts w:hint="eastAsia" w:ascii="宋体" w:hAnsi="宋体" w:cs="宋体"/>
                <w:bCs/>
                <w:color w:val="auto"/>
                <w:sz w:val="21"/>
                <w:szCs w:val="21"/>
                <w:highlight w:val="none"/>
              </w:rPr>
              <w:t>设计服务保障方案分（满分8分）</w:t>
            </w:r>
          </w:p>
        </w:tc>
        <w:tc>
          <w:tcPr>
            <w:tcW w:w="6288" w:type="dxa"/>
            <w:noWrap w:val="0"/>
            <w:vAlign w:val="center"/>
          </w:tcPr>
          <w:p w14:paraId="0F00845F">
            <w:pPr>
              <w:pStyle w:val="18"/>
              <w:snapToGrid w:val="0"/>
              <w:spacing w:line="360" w:lineRule="auto"/>
              <w:rPr>
                <w:rFonts w:hint="eastAsia" w:hAnsi="宋体" w:cs="宋体"/>
                <w:color w:val="auto"/>
                <w:sz w:val="21"/>
                <w:szCs w:val="21"/>
                <w:highlight w:val="none"/>
              </w:rPr>
            </w:pPr>
            <w:r>
              <w:rPr>
                <w:rFonts w:hint="eastAsia" w:hAnsi="宋体" w:cs="宋体"/>
                <w:color w:val="auto"/>
                <w:sz w:val="21"/>
                <w:highlight w:val="none"/>
                <w:lang w:val="en-US" w:eastAsia="zh-CN"/>
              </w:rPr>
              <w:t>响应文件中</w:t>
            </w:r>
            <w:r>
              <w:rPr>
                <w:rFonts w:hint="eastAsia" w:hAnsi="宋体" w:cs="宋体"/>
                <w:color w:val="auto"/>
                <w:sz w:val="21"/>
                <w:szCs w:val="21"/>
                <w:highlight w:val="none"/>
              </w:rPr>
              <w:t>未提供方案或方案严重不合理的不得分。</w:t>
            </w:r>
          </w:p>
          <w:p w14:paraId="4C0595D6">
            <w:p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一档（2分）：供应商提供有设计服务保障目标、任务等内容描述简单；</w:t>
            </w:r>
          </w:p>
          <w:p w14:paraId="2E6EC682">
            <w:p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二档（4分）：在一档的基础上，供应商提供有项目组织计划、进度计划等内容描述清晰，方案合理、可行、完整；</w:t>
            </w:r>
          </w:p>
          <w:p w14:paraId="7A04AA0A">
            <w:p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三档（6分）：在二档的基础上，供应商提供有详细的工程进度保障方法，内容描述详尽、操作性强。</w:t>
            </w:r>
          </w:p>
          <w:p w14:paraId="37FBC01C">
            <w:pPr>
              <w:snapToGrid w:val="0"/>
              <w:spacing w:line="360" w:lineRule="auto"/>
              <w:rPr>
                <w:rFonts w:hint="eastAsia" w:ascii="宋体" w:hAnsi="宋体" w:cs="宋体"/>
                <w:color w:val="auto"/>
                <w:sz w:val="21"/>
                <w:szCs w:val="21"/>
                <w:highlight w:val="none"/>
              </w:rPr>
            </w:pPr>
            <w:r>
              <w:rPr>
                <w:rFonts w:hint="eastAsia" w:hAnsi="宋体" w:cs="宋体"/>
                <w:color w:val="auto"/>
                <w:sz w:val="21"/>
                <w:szCs w:val="21"/>
                <w:highlight w:val="none"/>
              </w:rPr>
              <w:t>四档（8分）：在三档的基础上，供应商提供有明确的保障措施、管理措施等内容描述详细全面、各项措施合理。</w:t>
            </w:r>
          </w:p>
        </w:tc>
        <w:tc>
          <w:tcPr>
            <w:tcW w:w="851" w:type="dxa"/>
            <w:noWrap w:val="0"/>
            <w:vAlign w:val="center"/>
          </w:tcPr>
          <w:p w14:paraId="1D71814D">
            <w:pPr>
              <w:snapToGrid w:val="0"/>
              <w:spacing w:line="360" w:lineRule="auto"/>
              <w:jc w:val="center"/>
              <w:rPr>
                <w:rFonts w:hint="eastAsia" w:ascii="宋体" w:hAnsi="宋体" w:cs="宋体"/>
                <w:color w:val="auto"/>
                <w:kern w:val="0"/>
                <w:sz w:val="21"/>
                <w:szCs w:val="21"/>
                <w:highlight w:val="none"/>
              </w:rPr>
            </w:pPr>
            <w:r>
              <w:rPr>
                <w:rFonts w:hint="eastAsia" w:ascii="宋体" w:hAnsi="宋体" w:cs="宋体"/>
                <w:color w:val="auto"/>
                <w:sz w:val="21"/>
                <w:szCs w:val="21"/>
                <w:highlight w:val="none"/>
              </w:rPr>
              <w:t>8分</w:t>
            </w:r>
          </w:p>
        </w:tc>
      </w:tr>
      <w:tr w14:paraId="4DA6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62" w:type="dxa"/>
            <w:noWrap w:val="0"/>
            <w:vAlign w:val="center"/>
          </w:tcPr>
          <w:p w14:paraId="056C4F16">
            <w:pPr>
              <w:adjustRightInd w:val="0"/>
              <w:snapToGrid w:val="0"/>
              <w:spacing w:line="360" w:lineRule="auto"/>
              <w:ind w:left="-105" w:leftChars="-50" w:right="-105" w:rightChars="-50"/>
              <w:jc w:val="center"/>
              <w:textAlignment w:val="baseline"/>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2.5</w:t>
            </w:r>
          </w:p>
        </w:tc>
        <w:tc>
          <w:tcPr>
            <w:tcW w:w="1418" w:type="dxa"/>
            <w:noWrap w:val="0"/>
            <w:vAlign w:val="center"/>
          </w:tcPr>
          <w:p w14:paraId="2EAAADA6">
            <w:pPr>
              <w:adjustRightInd w:val="0"/>
              <w:snapToGrid w:val="0"/>
              <w:spacing w:line="360" w:lineRule="auto"/>
              <w:jc w:val="center"/>
              <w:textAlignment w:val="baseline"/>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设计质量保障方案（满分</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分）</w:t>
            </w:r>
          </w:p>
        </w:tc>
        <w:tc>
          <w:tcPr>
            <w:tcW w:w="6288" w:type="dxa"/>
            <w:noWrap w:val="0"/>
            <w:vAlign w:val="center"/>
          </w:tcPr>
          <w:p w14:paraId="0B902442">
            <w:pPr>
              <w:pStyle w:val="18"/>
              <w:snapToGrid w:val="0"/>
              <w:spacing w:line="360" w:lineRule="auto"/>
              <w:rPr>
                <w:rFonts w:hint="eastAsia" w:hAnsi="宋体" w:cs="宋体"/>
                <w:color w:val="auto"/>
                <w:sz w:val="21"/>
                <w:szCs w:val="21"/>
                <w:highlight w:val="none"/>
              </w:rPr>
            </w:pPr>
            <w:r>
              <w:rPr>
                <w:rFonts w:hint="eastAsia" w:hAnsi="宋体" w:cs="宋体"/>
                <w:color w:val="auto"/>
                <w:sz w:val="21"/>
                <w:highlight w:val="none"/>
                <w:lang w:val="en-US" w:eastAsia="zh-CN"/>
              </w:rPr>
              <w:t>响应文件中</w:t>
            </w:r>
            <w:r>
              <w:rPr>
                <w:rFonts w:hint="eastAsia" w:hAnsi="宋体" w:cs="宋体"/>
                <w:color w:val="auto"/>
                <w:sz w:val="21"/>
                <w:szCs w:val="21"/>
                <w:highlight w:val="none"/>
              </w:rPr>
              <w:t>未提供方案或方案严重不合理的不得分。</w:t>
            </w:r>
          </w:p>
          <w:p w14:paraId="0D511951">
            <w:p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一档（2分）： 供应商提供的本项目设计质量保障方案及措施能够基本保障项目设计质量，基本符合项目采购及建设要求，方案简单，基本可行的为一档；</w:t>
            </w:r>
          </w:p>
          <w:p w14:paraId="42BDF69E">
            <w:p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二档（</w:t>
            </w:r>
            <w:r>
              <w:rPr>
                <w:rFonts w:hint="default" w:ascii="宋体" w:hAnsi="宋体" w:cs="宋体"/>
                <w:color w:val="auto"/>
                <w:sz w:val="21"/>
                <w:szCs w:val="21"/>
                <w:highlight w:val="none"/>
                <w:lang w:val="en-US"/>
              </w:rPr>
              <w:t>4</w:t>
            </w:r>
            <w:r>
              <w:rPr>
                <w:rFonts w:hint="eastAsia" w:ascii="宋体" w:hAnsi="宋体" w:cs="宋体"/>
                <w:color w:val="auto"/>
                <w:sz w:val="21"/>
                <w:szCs w:val="21"/>
                <w:highlight w:val="none"/>
              </w:rPr>
              <w:t>分）： 在一档基础上，供应商提供的本项目设计质量保障方案及措施有利于保障项目设计质量，符合项目采购及建设要求，方案详细，合理可行的为二档；</w:t>
            </w:r>
          </w:p>
          <w:p w14:paraId="23BBB2EB">
            <w:p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三档（</w:t>
            </w:r>
            <w:r>
              <w:rPr>
                <w:rFonts w:hint="default" w:ascii="宋体" w:hAnsi="宋体" w:cs="宋体"/>
                <w:color w:val="auto"/>
                <w:sz w:val="21"/>
                <w:szCs w:val="21"/>
                <w:highlight w:val="none"/>
                <w:lang w:val="en-US"/>
              </w:rPr>
              <w:t>6</w:t>
            </w:r>
            <w:r>
              <w:rPr>
                <w:rFonts w:hint="eastAsia" w:ascii="宋体" w:hAnsi="宋体" w:cs="宋体"/>
                <w:color w:val="auto"/>
                <w:sz w:val="21"/>
                <w:szCs w:val="21"/>
                <w:highlight w:val="none"/>
              </w:rPr>
              <w:t>分）： 在二档基础上，供应商提供的本项目设计质量保障方案及措施确保项目设计质量，符合项目采购及建设要求，方案详细合理、可行、全面，方案内容及措施较完整的为三档；</w:t>
            </w:r>
          </w:p>
          <w:p w14:paraId="74AC780C">
            <w:pPr>
              <w:snapToGrid w:val="0"/>
              <w:spacing w:line="360" w:lineRule="auto"/>
              <w:rPr>
                <w:rFonts w:hint="eastAsia" w:ascii="宋体" w:hAnsi="宋体" w:cs="宋体"/>
                <w:color w:val="auto"/>
                <w:sz w:val="21"/>
                <w:szCs w:val="21"/>
                <w:highlight w:val="none"/>
              </w:rPr>
            </w:pPr>
            <w:r>
              <w:rPr>
                <w:rFonts w:hint="eastAsia" w:hAnsi="宋体" w:cs="宋体"/>
                <w:color w:val="auto"/>
                <w:sz w:val="21"/>
                <w:szCs w:val="21"/>
                <w:highlight w:val="none"/>
              </w:rPr>
              <w:t>四档（</w:t>
            </w:r>
            <w:r>
              <w:rPr>
                <w:rFonts w:hint="default" w:hAnsi="宋体" w:cs="宋体"/>
                <w:color w:val="auto"/>
                <w:sz w:val="21"/>
                <w:szCs w:val="21"/>
                <w:highlight w:val="none"/>
                <w:lang w:val="en-US"/>
              </w:rPr>
              <w:t>8</w:t>
            </w:r>
            <w:r>
              <w:rPr>
                <w:rFonts w:hint="eastAsia" w:hAnsi="宋体" w:cs="宋体"/>
                <w:color w:val="auto"/>
                <w:sz w:val="21"/>
                <w:szCs w:val="21"/>
                <w:highlight w:val="none"/>
              </w:rPr>
              <w:t>分）： 在三档基础上，供应商提供的设计质量保障方案及措施明显有利于项目的实施，完全符合项目采购及建设要求，方案详细全面、先进性及可操作性强，各项保障方法及措施合理、可行，针对性强，并能确保项目高质量、高效率完成的为四档。</w:t>
            </w:r>
          </w:p>
        </w:tc>
        <w:tc>
          <w:tcPr>
            <w:tcW w:w="851" w:type="dxa"/>
            <w:noWrap w:val="0"/>
            <w:vAlign w:val="center"/>
          </w:tcPr>
          <w:p w14:paraId="571F9228">
            <w:pPr>
              <w:snapToGrid w:val="0"/>
              <w:spacing w:line="360" w:lineRule="auto"/>
              <w:jc w:val="center"/>
              <w:rPr>
                <w:rFonts w:hint="eastAsia" w:ascii="宋体" w:hAnsi="宋体" w:cs="宋体"/>
                <w:color w:val="auto"/>
                <w:kern w:val="0"/>
                <w:sz w:val="21"/>
                <w:szCs w:val="21"/>
                <w:highlight w:val="none"/>
              </w:rPr>
            </w:pPr>
            <w:r>
              <w:rPr>
                <w:rFonts w:hint="eastAsia" w:ascii="宋体" w:hAnsi="宋体" w:cs="宋体"/>
                <w:color w:val="auto"/>
                <w:sz w:val="21"/>
                <w:szCs w:val="21"/>
                <w:highlight w:val="none"/>
              </w:rPr>
              <w:t>8分</w:t>
            </w:r>
          </w:p>
        </w:tc>
      </w:tr>
      <w:tr w14:paraId="3DD6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62" w:type="dxa"/>
            <w:noWrap w:val="0"/>
            <w:vAlign w:val="center"/>
          </w:tcPr>
          <w:p w14:paraId="6584678F">
            <w:pPr>
              <w:adjustRightInd w:val="0"/>
              <w:snapToGrid w:val="0"/>
              <w:spacing w:line="360" w:lineRule="auto"/>
              <w:ind w:left="-105" w:leftChars="-50" w:right="-105" w:rightChars="-50"/>
              <w:jc w:val="center"/>
              <w:textAlignment w:val="baseline"/>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2.6</w:t>
            </w:r>
          </w:p>
        </w:tc>
        <w:tc>
          <w:tcPr>
            <w:tcW w:w="1418" w:type="dxa"/>
            <w:noWrap w:val="0"/>
            <w:vAlign w:val="center"/>
          </w:tcPr>
          <w:p w14:paraId="1233A8FC">
            <w:pPr>
              <w:adjustRightInd w:val="0"/>
              <w:snapToGrid w:val="0"/>
              <w:spacing w:line="360" w:lineRule="auto"/>
              <w:jc w:val="center"/>
              <w:textAlignment w:val="baseline"/>
              <w:rPr>
                <w:rFonts w:hint="eastAsia" w:ascii="宋体" w:hAnsi="宋体" w:cs="宋体"/>
                <w:color w:val="auto"/>
                <w:sz w:val="21"/>
                <w:szCs w:val="21"/>
                <w:highlight w:val="none"/>
                <w:lang w:val="zh-CN"/>
              </w:rPr>
            </w:pPr>
            <w:r>
              <w:rPr>
                <w:rFonts w:hint="eastAsia" w:ascii="宋体" w:hAnsi="宋体" w:cs="宋体"/>
                <w:bCs/>
                <w:color w:val="auto"/>
                <w:sz w:val="21"/>
                <w:szCs w:val="21"/>
                <w:highlight w:val="none"/>
              </w:rPr>
              <w:t>后续服务方案分</w:t>
            </w:r>
            <w:r>
              <w:rPr>
                <w:rFonts w:hint="eastAsia" w:ascii="宋体" w:hAnsi="宋体" w:cs="宋体"/>
                <w:color w:val="auto"/>
                <w:sz w:val="21"/>
                <w:szCs w:val="21"/>
                <w:highlight w:val="none"/>
              </w:rPr>
              <w:t>（满分</w:t>
            </w:r>
            <w:r>
              <w:rPr>
                <w:rFonts w:hint="default" w:ascii="宋体" w:hAnsi="宋体" w:cs="宋体"/>
                <w:color w:val="auto"/>
                <w:sz w:val="21"/>
                <w:szCs w:val="21"/>
                <w:highlight w:val="none"/>
                <w:lang w:val="en-US" w:eastAsia="zh-CN"/>
              </w:rPr>
              <w:t>6</w:t>
            </w:r>
            <w:r>
              <w:rPr>
                <w:rFonts w:hint="eastAsia" w:ascii="宋体" w:hAnsi="宋体" w:cs="宋体"/>
                <w:color w:val="auto"/>
                <w:sz w:val="21"/>
                <w:szCs w:val="21"/>
                <w:highlight w:val="none"/>
              </w:rPr>
              <w:t>分）</w:t>
            </w:r>
          </w:p>
        </w:tc>
        <w:tc>
          <w:tcPr>
            <w:tcW w:w="6288" w:type="dxa"/>
            <w:noWrap w:val="0"/>
            <w:vAlign w:val="center"/>
          </w:tcPr>
          <w:p w14:paraId="714B8890">
            <w:pPr>
              <w:pStyle w:val="18"/>
              <w:snapToGrid w:val="0"/>
              <w:spacing w:line="360" w:lineRule="auto"/>
              <w:rPr>
                <w:rFonts w:hint="eastAsia" w:hAnsi="宋体" w:cs="宋体"/>
                <w:color w:val="auto"/>
                <w:sz w:val="21"/>
                <w:szCs w:val="21"/>
                <w:highlight w:val="none"/>
              </w:rPr>
            </w:pPr>
            <w:r>
              <w:rPr>
                <w:rFonts w:hint="eastAsia" w:hAnsi="宋体" w:cs="宋体"/>
                <w:color w:val="auto"/>
                <w:sz w:val="21"/>
                <w:highlight w:val="none"/>
                <w:lang w:val="en-US" w:eastAsia="zh-CN"/>
              </w:rPr>
              <w:t>响应文件中</w:t>
            </w:r>
            <w:r>
              <w:rPr>
                <w:rFonts w:hint="eastAsia" w:hAnsi="宋体" w:cs="宋体"/>
                <w:color w:val="auto"/>
                <w:sz w:val="21"/>
                <w:szCs w:val="21"/>
                <w:highlight w:val="none"/>
              </w:rPr>
              <w:t>未提供方案或方案严重不合理的不得分。</w:t>
            </w:r>
          </w:p>
          <w:p w14:paraId="404A466F">
            <w:p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一档（</w:t>
            </w:r>
            <w:r>
              <w:rPr>
                <w:rFonts w:hint="default" w:ascii="宋体" w:hAnsi="宋体" w:cs="宋体"/>
                <w:color w:val="auto"/>
                <w:sz w:val="21"/>
                <w:szCs w:val="21"/>
                <w:highlight w:val="none"/>
                <w:lang w:val="en-US"/>
              </w:rPr>
              <w:t>2</w:t>
            </w:r>
            <w:r>
              <w:rPr>
                <w:rFonts w:hint="eastAsia" w:ascii="宋体" w:hAnsi="宋体" w:cs="宋体"/>
                <w:color w:val="auto"/>
                <w:sz w:val="21"/>
                <w:szCs w:val="21"/>
                <w:highlight w:val="none"/>
              </w:rPr>
              <w:t>分）：后续服务方案有后续服务承诺、服务内容等内容，内容描述简单、符合项目采购需求；</w:t>
            </w:r>
          </w:p>
          <w:p w14:paraId="10BABBA1">
            <w:p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二档（</w:t>
            </w:r>
            <w:r>
              <w:rPr>
                <w:rFonts w:hint="default" w:ascii="宋体" w:hAnsi="宋体" w:cs="宋体"/>
                <w:color w:val="auto"/>
                <w:sz w:val="21"/>
                <w:szCs w:val="21"/>
                <w:highlight w:val="none"/>
                <w:lang w:val="en-US" w:eastAsia="zh-CN"/>
              </w:rPr>
              <w:t>4</w:t>
            </w:r>
            <w:r>
              <w:rPr>
                <w:rFonts w:hint="eastAsia" w:ascii="宋体" w:hAnsi="宋体" w:cs="宋体"/>
                <w:color w:val="auto"/>
                <w:sz w:val="21"/>
                <w:szCs w:val="21"/>
                <w:highlight w:val="none"/>
              </w:rPr>
              <w:t>分）：在一档的基础上，后续服务方案有服务流程、响应与处置等内容，内容描述清晰、完整、合理，具备可行性；</w:t>
            </w:r>
          </w:p>
          <w:p w14:paraId="5D87AAE1">
            <w:p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三档（</w:t>
            </w:r>
            <w:r>
              <w:rPr>
                <w:rFonts w:hint="default" w:ascii="宋体" w:hAnsi="宋体" w:cs="宋体"/>
                <w:color w:val="auto"/>
                <w:sz w:val="21"/>
                <w:szCs w:val="21"/>
                <w:highlight w:val="none"/>
                <w:lang w:val="en-US" w:eastAsia="zh-CN"/>
              </w:rPr>
              <w:t>6</w:t>
            </w:r>
            <w:r>
              <w:rPr>
                <w:rFonts w:hint="eastAsia" w:ascii="宋体" w:hAnsi="宋体" w:cs="宋体"/>
                <w:color w:val="auto"/>
                <w:sz w:val="21"/>
                <w:szCs w:val="21"/>
                <w:highlight w:val="none"/>
              </w:rPr>
              <w:t>分）：在二档的基础上，后续服务方案有本地化服务、应急预案、培训等内容，内容描述详细全面、针对性强、可操作性强，各项保障方法及措施齐全。</w:t>
            </w:r>
          </w:p>
        </w:tc>
        <w:tc>
          <w:tcPr>
            <w:tcW w:w="851" w:type="dxa"/>
            <w:noWrap w:val="0"/>
            <w:vAlign w:val="center"/>
          </w:tcPr>
          <w:p w14:paraId="0A08DCA6">
            <w:pPr>
              <w:snapToGrid w:val="0"/>
              <w:spacing w:line="360" w:lineRule="auto"/>
              <w:jc w:val="center"/>
              <w:rPr>
                <w:rFonts w:hint="eastAsia" w:ascii="宋体" w:hAnsi="宋体" w:cs="宋体"/>
                <w:color w:val="auto"/>
                <w:kern w:val="0"/>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分</w:t>
            </w:r>
          </w:p>
        </w:tc>
      </w:tr>
      <w:tr w14:paraId="19A0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62" w:type="dxa"/>
            <w:noWrap w:val="0"/>
            <w:vAlign w:val="center"/>
          </w:tcPr>
          <w:p w14:paraId="2BD1EE28">
            <w:pPr>
              <w:adjustRightInd w:val="0"/>
              <w:snapToGrid w:val="0"/>
              <w:spacing w:line="360" w:lineRule="auto"/>
              <w:ind w:left="-105" w:leftChars="-50" w:right="-105" w:rightChars="-50"/>
              <w:jc w:val="center"/>
              <w:textAlignment w:val="baseline"/>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2.7</w:t>
            </w:r>
          </w:p>
        </w:tc>
        <w:tc>
          <w:tcPr>
            <w:tcW w:w="1418" w:type="dxa"/>
            <w:noWrap w:val="0"/>
            <w:vAlign w:val="center"/>
          </w:tcPr>
          <w:p w14:paraId="0FA4705F">
            <w:pPr>
              <w:snapToGrid w:val="0"/>
              <w:spacing w:line="360" w:lineRule="auto"/>
              <w:ind w:right="-57" w:rightChars="-27"/>
              <w:outlineLvl w:val="1"/>
              <w:rPr>
                <w:rFonts w:hint="eastAsia" w:ascii="宋体" w:hAnsi="宋体" w:cs="宋体"/>
                <w:color w:val="auto"/>
                <w:sz w:val="21"/>
                <w:szCs w:val="21"/>
                <w:highlight w:val="none"/>
              </w:rPr>
            </w:pPr>
            <w:bookmarkStart w:id="121" w:name="_Toc14660"/>
            <w:r>
              <w:rPr>
                <w:rFonts w:hint="eastAsia" w:ascii="宋体" w:hAnsi="宋体" w:cs="宋体"/>
                <w:bCs/>
                <w:color w:val="auto"/>
                <w:sz w:val="21"/>
                <w:szCs w:val="21"/>
                <w:highlight w:val="none"/>
              </w:rPr>
              <w:t>团队人员分</w:t>
            </w:r>
            <w:r>
              <w:rPr>
                <w:rFonts w:hint="eastAsia" w:ascii="宋体" w:hAnsi="宋体" w:cs="宋体"/>
                <w:color w:val="auto"/>
                <w:sz w:val="21"/>
                <w:szCs w:val="21"/>
                <w:highlight w:val="none"/>
              </w:rPr>
              <w:t>（满分</w:t>
            </w:r>
            <w:r>
              <w:rPr>
                <w:rFonts w:hint="eastAsia" w:ascii="宋体" w:hAnsi="宋体" w:cs="宋体"/>
                <w:color w:val="auto"/>
                <w:sz w:val="21"/>
                <w:szCs w:val="21"/>
                <w:highlight w:val="none"/>
                <w:lang w:val="en-US" w:eastAsia="zh-CN"/>
              </w:rPr>
              <w:t>22</w:t>
            </w:r>
            <w:r>
              <w:rPr>
                <w:rFonts w:hint="eastAsia" w:ascii="宋体" w:hAnsi="宋体" w:cs="宋体"/>
                <w:color w:val="auto"/>
                <w:sz w:val="21"/>
                <w:szCs w:val="21"/>
                <w:highlight w:val="none"/>
              </w:rPr>
              <w:t>分）</w:t>
            </w:r>
            <w:bookmarkEnd w:id="121"/>
          </w:p>
          <w:p w14:paraId="48A60A31">
            <w:pPr>
              <w:adjustRightInd w:val="0"/>
              <w:snapToGrid w:val="0"/>
              <w:spacing w:line="360" w:lineRule="auto"/>
              <w:jc w:val="center"/>
              <w:textAlignment w:val="baseline"/>
              <w:rPr>
                <w:rFonts w:hint="eastAsia" w:ascii="宋体" w:hAnsi="宋体" w:cs="宋体"/>
                <w:color w:val="auto"/>
                <w:sz w:val="21"/>
                <w:szCs w:val="21"/>
                <w:highlight w:val="none"/>
                <w:lang w:val="zh-CN"/>
              </w:rPr>
            </w:pPr>
          </w:p>
        </w:tc>
        <w:tc>
          <w:tcPr>
            <w:tcW w:w="6288" w:type="dxa"/>
            <w:noWrap w:val="0"/>
            <w:vAlign w:val="center"/>
          </w:tcPr>
          <w:p w14:paraId="5B46AB98">
            <w:pPr>
              <w:snapToGrid w:val="0"/>
              <w:spacing w:line="360" w:lineRule="auto"/>
              <w:rPr>
                <w:rFonts w:hint="eastAsia" w:ascii="宋体" w:hAnsi="宋体" w:cs="宋体"/>
                <w:color w:val="auto"/>
                <w:sz w:val="21"/>
                <w:szCs w:val="21"/>
                <w:highlight w:val="none"/>
              </w:rPr>
            </w:pPr>
            <w:r>
              <w:rPr>
                <w:rFonts w:ascii="宋体" w:hAnsi="宋体" w:eastAsia="宋体" w:cs="宋体"/>
                <w:color w:val="auto"/>
                <w:sz w:val="21"/>
                <w:szCs w:val="21"/>
                <w:highlight w:val="none"/>
              </w:rPr>
              <w:t>（1）供应商投入项目负责人，满分</w:t>
            </w:r>
            <w:r>
              <w:rPr>
                <w:rFonts w:hint="eastAsia" w:ascii="宋体" w:hAnsi="宋体" w:cs="宋体"/>
                <w:color w:val="auto"/>
                <w:sz w:val="21"/>
                <w:szCs w:val="21"/>
                <w:highlight w:val="none"/>
                <w:lang w:val="en-US" w:eastAsia="zh-CN"/>
              </w:rPr>
              <w:t>3</w:t>
            </w:r>
            <w:r>
              <w:rPr>
                <w:rFonts w:ascii="宋体" w:hAnsi="宋体" w:eastAsia="宋体" w:cs="宋体"/>
                <w:color w:val="auto"/>
                <w:sz w:val="21"/>
                <w:szCs w:val="21"/>
                <w:highlight w:val="none"/>
              </w:rPr>
              <w:t>分：</w:t>
            </w:r>
            <w:r>
              <w:rPr>
                <w:rFonts w:ascii="宋体" w:hAnsi="宋体" w:eastAsia="宋体" w:cs="宋体"/>
                <w:color w:val="auto"/>
                <w:sz w:val="21"/>
                <w:szCs w:val="21"/>
                <w:highlight w:val="none"/>
              </w:rPr>
              <w:br w:type="textWrapping"/>
            </w:r>
            <w:r>
              <w:rPr>
                <w:rFonts w:ascii="宋体" w:hAnsi="宋体" w:eastAsia="宋体" w:cs="宋体"/>
                <w:color w:val="auto"/>
                <w:sz w:val="21"/>
                <w:szCs w:val="21"/>
                <w:highlight w:val="none"/>
              </w:rPr>
              <w:t>①具有高级信息系统项目管理师证书的，得</w:t>
            </w:r>
            <w:r>
              <w:rPr>
                <w:rFonts w:hint="eastAsia" w:ascii="宋体" w:hAnsi="宋体" w:cs="宋体"/>
                <w:color w:val="auto"/>
                <w:sz w:val="21"/>
                <w:szCs w:val="21"/>
                <w:highlight w:val="none"/>
                <w:lang w:val="en-US" w:eastAsia="zh-CN"/>
              </w:rPr>
              <w:t>3</w:t>
            </w:r>
            <w:r>
              <w:rPr>
                <w:rFonts w:ascii="宋体" w:hAnsi="宋体" w:eastAsia="宋体" w:cs="宋体"/>
                <w:color w:val="auto"/>
                <w:sz w:val="21"/>
                <w:szCs w:val="21"/>
                <w:highlight w:val="none"/>
              </w:rPr>
              <w:t>分；</w:t>
            </w:r>
            <w:r>
              <w:rPr>
                <w:rFonts w:ascii="宋体" w:hAnsi="宋体" w:eastAsia="宋体" w:cs="宋体"/>
                <w:color w:val="auto"/>
                <w:sz w:val="21"/>
                <w:szCs w:val="21"/>
                <w:highlight w:val="none"/>
              </w:rPr>
              <w:br w:type="textWrapping"/>
            </w:r>
            <w:r>
              <w:rPr>
                <w:rFonts w:ascii="宋体" w:hAnsi="宋体" w:eastAsia="宋体" w:cs="宋体"/>
                <w:color w:val="auto"/>
                <w:sz w:val="21"/>
                <w:szCs w:val="21"/>
                <w:highlight w:val="none"/>
              </w:rPr>
              <w:t>（2）供应商投入其他项目实施人员，满分1</w:t>
            </w:r>
            <w:r>
              <w:rPr>
                <w:rFonts w:hint="eastAsia" w:ascii="宋体" w:hAnsi="宋体" w:cs="宋体"/>
                <w:color w:val="auto"/>
                <w:sz w:val="21"/>
                <w:szCs w:val="21"/>
                <w:highlight w:val="none"/>
                <w:lang w:val="en-US" w:eastAsia="zh-CN"/>
              </w:rPr>
              <w:t>9</w:t>
            </w:r>
            <w:r>
              <w:rPr>
                <w:rFonts w:ascii="宋体" w:hAnsi="宋体" w:eastAsia="宋体" w:cs="宋体"/>
                <w:color w:val="auto"/>
                <w:sz w:val="21"/>
                <w:szCs w:val="21"/>
                <w:highlight w:val="none"/>
              </w:rPr>
              <w:t>分：</w:t>
            </w:r>
            <w:r>
              <w:rPr>
                <w:rFonts w:ascii="宋体" w:hAnsi="宋体" w:eastAsia="宋体" w:cs="宋体"/>
                <w:color w:val="auto"/>
                <w:sz w:val="21"/>
                <w:szCs w:val="21"/>
                <w:highlight w:val="none"/>
              </w:rPr>
              <w:br w:type="textWrapping"/>
            </w:r>
            <w:r>
              <w:rPr>
                <w:rFonts w:ascii="宋体" w:hAnsi="宋体" w:eastAsia="宋体" w:cs="宋体"/>
                <w:color w:val="auto"/>
                <w:sz w:val="21"/>
                <w:szCs w:val="21"/>
                <w:highlight w:val="none"/>
              </w:rPr>
              <w:t>①具有通信类、计算机类或工程类高级职称证书，每人得</w:t>
            </w:r>
            <w:r>
              <w:rPr>
                <w:rFonts w:hint="eastAsia" w:ascii="宋体" w:hAnsi="宋体" w:cs="宋体"/>
                <w:color w:val="auto"/>
                <w:sz w:val="21"/>
                <w:szCs w:val="21"/>
                <w:highlight w:val="none"/>
                <w:lang w:val="en-US" w:eastAsia="zh-CN"/>
              </w:rPr>
              <w:t>1</w:t>
            </w:r>
            <w:r>
              <w:rPr>
                <w:rFonts w:ascii="宋体" w:hAnsi="宋体" w:eastAsia="宋体" w:cs="宋体"/>
                <w:color w:val="auto"/>
                <w:sz w:val="21"/>
                <w:szCs w:val="21"/>
                <w:highlight w:val="none"/>
              </w:rPr>
              <w:t>分，满分</w:t>
            </w:r>
            <w:r>
              <w:rPr>
                <w:rFonts w:hint="eastAsia" w:ascii="宋体" w:hAnsi="宋体" w:cs="宋体"/>
                <w:color w:val="auto"/>
                <w:sz w:val="21"/>
                <w:szCs w:val="21"/>
                <w:highlight w:val="none"/>
                <w:lang w:val="en-US" w:eastAsia="zh-CN"/>
              </w:rPr>
              <w:t>2</w:t>
            </w:r>
            <w:r>
              <w:rPr>
                <w:rFonts w:ascii="宋体" w:hAnsi="宋体" w:eastAsia="宋体" w:cs="宋体"/>
                <w:color w:val="auto"/>
                <w:sz w:val="21"/>
                <w:szCs w:val="21"/>
                <w:highlight w:val="none"/>
              </w:rPr>
              <w:t>分；</w:t>
            </w:r>
            <w:r>
              <w:rPr>
                <w:rFonts w:ascii="宋体" w:hAnsi="宋体" w:eastAsia="宋体" w:cs="宋体"/>
                <w:color w:val="auto"/>
                <w:sz w:val="21"/>
                <w:szCs w:val="21"/>
                <w:highlight w:val="none"/>
              </w:rPr>
              <w:br w:type="textWrapping"/>
            </w:r>
            <w:r>
              <w:rPr>
                <w:rFonts w:ascii="宋体" w:hAnsi="宋体" w:eastAsia="宋体" w:cs="宋体"/>
                <w:color w:val="auto"/>
                <w:sz w:val="21"/>
                <w:szCs w:val="21"/>
                <w:highlight w:val="none"/>
              </w:rPr>
              <w:t>②具有通信类、计算机类或工程类正高级（教授级）职称证书，每人得1分，满分3分；</w:t>
            </w:r>
            <w:r>
              <w:rPr>
                <w:rFonts w:ascii="宋体" w:hAnsi="宋体" w:eastAsia="宋体" w:cs="宋体"/>
                <w:color w:val="auto"/>
                <w:sz w:val="21"/>
                <w:szCs w:val="21"/>
                <w:highlight w:val="none"/>
              </w:rPr>
              <w:br w:type="textWrapping"/>
            </w:r>
            <w:r>
              <w:rPr>
                <w:rFonts w:ascii="宋体" w:hAnsi="宋体" w:eastAsia="宋体" w:cs="宋体"/>
                <w:color w:val="auto"/>
                <w:sz w:val="21"/>
                <w:szCs w:val="21"/>
                <w:highlight w:val="none"/>
              </w:rPr>
              <w:t>③具有国家注册咨询工程师证书1人或以上，得</w:t>
            </w:r>
            <w:r>
              <w:rPr>
                <w:rFonts w:hint="eastAsia" w:ascii="宋体" w:hAnsi="宋体" w:cs="宋体"/>
                <w:color w:val="auto"/>
                <w:sz w:val="21"/>
                <w:szCs w:val="21"/>
                <w:highlight w:val="none"/>
                <w:lang w:val="en-US" w:eastAsia="zh-CN"/>
              </w:rPr>
              <w:t>2</w:t>
            </w:r>
            <w:r>
              <w:rPr>
                <w:rFonts w:ascii="宋体" w:hAnsi="宋体" w:eastAsia="宋体" w:cs="宋体"/>
                <w:color w:val="auto"/>
                <w:sz w:val="21"/>
                <w:szCs w:val="21"/>
                <w:highlight w:val="none"/>
              </w:rPr>
              <w:t>分；</w:t>
            </w:r>
            <w:r>
              <w:rPr>
                <w:rFonts w:ascii="宋体" w:hAnsi="宋体" w:eastAsia="宋体" w:cs="宋体"/>
                <w:color w:val="auto"/>
                <w:sz w:val="21"/>
                <w:szCs w:val="21"/>
                <w:highlight w:val="none"/>
              </w:rPr>
              <w:br w:type="textWrapping"/>
            </w:r>
            <w:r>
              <w:rPr>
                <w:rFonts w:ascii="宋体" w:hAnsi="宋体" w:eastAsia="宋体" w:cs="宋体"/>
                <w:color w:val="auto"/>
                <w:sz w:val="21"/>
                <w:szCs w:val="21"/>
                <w:highlight w:val="none"/>
              </w:rPr>
              <w:t>④具有国家注册造价师资格证书的，每人得1分，满分</w:t>
            </w:r>
            <w:r>
              <w:rPr>
                <w:rFonts w:hint="eastAsia" w:ascii="宋体" w:hAnsi="宋体" w:cs="宋体"/>
                <w:color w:val="auto"/>
                <w:sz w:val="21"/>
                <w:szCs w:val="21"/>
                <w:highlight w:val="none"/>
                <w:lang w:val="en-US" w:eastAsia="zh-CN"/>
              </w:rPr>
              <w:t>2</w:t>
            </w:r>
            <w:r>
              <w:rPr>
                <w:rFonts w:ascii="宋体" w:hAnsi="宋体" w:eastAsia="宋体" w:cs="宋体"/>
                <w:color w:val="auto"/>
                <w:sz w:val="21"/>
                <w:szCs w:val="21"/>
                <w:highlight w:val="none"/>
              </w:rPr>
              <w:t>分；</w:t>
            </w:r>
            <w:r>
              <w:rPr>
                <w:rFonts w:ascii="宋体" w:hAnsi="宋体" w:eastAsia="宋体" w:cs="宋体"/>
                <w:color w:val="auto"/>
                <w:sz w:val="21"/>
                <w:szCs w:val="21"/>
                <w:highlight w:val="none"/>
              </w:rPr>
              <w:br w:type="textWrapping"/>
            </w:r>
            <w:r>
              <w:rPr>
                <w:rFonts w:ascii="宋体" w:hAnsi="宋体" w:eastAsia="宋体" w:cs="宋体"/>
                <w:color w:val="auto"/>
                <w:sz w:val="21"/>
                <w:szCs w:val="21"/>
                <w:highlight w:val="none"/>
              </w:rPr>
              <w:t>⑤具有高级信息系统项目管理师资格证书，每人</w:t>
            </w:r>
            <w:r>
              <w:rPr>
                <w:rFonts w:hint="eastAsia" w:ascii="宋体" w:hAnsi="宋体" w:cs="宋体"/>
                <w:color w:val="auto"/>
                <w:sz w:val="21"/>
                <w:szCs w:val="21"/>
                <w:highlight w:val="none"/>
                <w:lang w:val="en-US" w:eastAsia="zh-CN"/>
              </w:rPr>
              <w:t>3</w:t>
            </w:r>
            <w:r>
              <w:rPr>
                <w:rFonts w:ascii="宋体" w:hAnsi="宋体" w:eastAsia="宋体" w:cs="宋体"/>
                <w:color w:val="auto"/>
                <w:sz w:val="21"/>
                <w:szCs w:val="21"/>
                <w:highlight w:val="none"/>
              </w:rPr>
              <w:t>分，满分</w:t>
            </w:r>
            <w:r>
              <w:rPr>
                <w:rFonts w:hint="eastAsia" w:ascii="宋体" w:hAnsi="宋体" w:cs="宋体"/>
                <w:color w:val="auto"/>
                <w:sz w:val="21"/>
                <w:szCs w:val="21"/>
                <w:highlight w:val="none"/>
                <w:lang w:val="en-US" w:eastAsia="zh-CN"/>
              </w:rPr>
              <w:t>9</w:t>
            </w:r>
            <w:r>
              <w:rPr>
                <w:rFonts w:ascii="宋体" w:hAnsi="宋体" w:eastAsia="宋体" w:cs="宋体"/>
                <w:color w:val="auto"/>
                <w:sz w:val="21"/>
                <w:szCs w:val="21"/>
                <w:highlight w:val="none"/>
              </w:rPr>
              <w:t>分；</w:t>
            </w:r>
            <w:r>
              <w:rPr>
                <w:rFonts w:ascii="宋体" w:hAnsi="宋体" w:eastAsia="宋体" w:cs="宋体"/>
                <w:color w:val="auto"/>
                <w:sz w:val="21"/>
                <w:szCs w:val="21"/>
                <w:highlight w:val="none"/>
              </w:rPr>
              <w:br w:type="textWrapping"/>
            </w:r>
            <w:r>
              <w:rPr>
                <w:rFonts w:ascii="宋体" w:hAnsi="宋体" w:eastAsia="宋体" w:cs="宋体"/>
                <w:color w:val="auto"/>
                <w:sz w:val="21"/>
                <w:szCs w:val="21"/>
                <w:highlight w:val="none"/>
              </w:rPr>
              <w:t>⑥具有信息安全保障人员认证证书（CISAW）的1人或以上，得1分。</w:t>
            </w:r>
            <w:r>
              <w:rPr>
                <w:rFonts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 xml:space="preserve">   </w:t>
            </w:r>
            <w:r>
              <w:rPr>
                <w:rFonts w:ascii="宋体" w:hAnsi="宋体" w:eastAsia="宋体" w:cs="宋体"/>
                <w:color w:val="auto"/>
                <w:sz w:val="21"/>
                <w:szCs w:val="21"/>
                <w:highlight w:val="none"/>
              </w:rPr>
              <w:t>投入的专业技术人员，同一个人具有不同专业证书的，只能按一个专业计分，不能分别计分。同一人同时具备不同等级证书的，只按最高级计分一次，不重复计分。</w:t>
            </w:r>
          </w:p>
          <w:p w14:paraId="41635126">
            <w:pPr>
              <w:snapToGrid w:val="0"/>
              <w:spacing w:line="360" w:lineRule="auto"/>
              <w:rPr>
                <w:rFonts w:hint="eastAsia" w:ascii="宋体" w:hAnsi="宋体" w:cs="宋体"/>
                <w:color w:val="auto"/>
                <w:sz w:val="21"/>
                <w:szCs w:val="21"/>
                <w:highlight w:val="none"/>
              </w:rPr>
            </w:pPr>
            <w:r>
              <w:rPr>
                <w:rFonts w:hAnsi="宋体" w:cs="宋体"/>
                <w:b/>
                <w:bCs/>
                <w:color w:val="auto"/>
                <w:highlight w:val="none"/>
              </w:rPr>
              <w:t>注：须在响应文件中提供证书相关证明材料扫描件并加盖供应商公章，需提供上述相关人员供应商在202</w:t>
            </w:r>
            <w:r>
              <w:rPr>
                <w:rFonts w:hint="eastAsia" w:hAnsi="宋体" w:cs="宋体"/>
                <w:b/>
                <w:bCs/>
                <w:color w:val="auto"/>
                <w:highlight w:val="none"/>
                <w:lang w:val="en-US" w:eastAsia="zh-CN"/>
              </w:rPr>
              <w:t>5</w:t>
            </w:r>
            <w:r>
              <w:rPr>
                <w:rFonts w:hAnsi="宋体" w:cs="宋体"/>
                <w:b/>
                <w:bCs/>
                <w:color w:val="auto"/>
                <w:highlight w:val="none"/>
              </w:rPr>
              <w:t>年12月</w:t>
            </w:r>
            <w:r>
              <w:rPr>
                <w:rFonts w:hint="eastAsia" w:hAnsi="宋体" w:cs="宋体"/>
                <w:b/>
                <w:bCs/>
                <w:color w:val="auto"/>
                <w:highlight w:val="none"/>
                <w:lang w:val="en-US" w:eastAsia="zh-CN"/>
              </w:rPr>
              <w:t>以来</w:t>
            </w:r>
            <w:r>
              <w:rPr>
                <w:rFonts w:hAnsi="宋体" w:cs="宋体"/>
                <w:b/>
                <w:bCs/>
                <w:color w:val="auto"/>
                <w:highlight w:val="none"/>
              </w:rPr>
              <w:t>任意1个月为其缴纳社保的证明复印件或劳动合同或劳务合同等证明材料扫描件并加盖供应商公章，否则不予计分</w:t>
            </w:r>
            <w:r>
              <w:rPr>
                <w:rFonts w:hint="eastAsia" w:hAnsi="宋体" w:cs="宋体"/>
                <w:b/>
                <w:bCs/>
                <w:color w:val="auto"/>
                <w:highlight w:val="none"/>
                <w:lang w:eastAsia="zh-CN"/>
              </w:rPr>
              <w:t>。</w:t>
            </w:r>
          </w:p>
        </w:tc>
        <w:tc>
          <w:tcPr>
            <w:tcW w:w="851" w:type="dxa"/>
            <w:noWrap w:val="0"/>
            <w:vAlign w:val="center"/>
          </w:tcPr>
          <w:p w14:paraId="2C28738A">
            <w:pPr>
              <w:snapToGrid w:val="0"/>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22</w:t>
            </w:r>
            <w:r>
              <w:rPr>
                <w:rFonts w:hint="eastAsia" w:ascii="宋体" w:hAnsi="宋体" w:cs="宋体"/>
                <w:color w:val="auto"/>
                <w:kern w:val="0"/>
                <w:sz w:val="21"/>
                <w:szCs w:val="21"/>
                <w:highlight w:val="none"/>
              </w:rPr>
              <w:t>分</w:t>
            </w:r>
          </w:p>
        </w:tc>
      </w:tr>
      <w:tr w14:paraId="3D61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62" w:type="dxa"/>
            <w:noWrap w:val="0"/>
            <w:vAlign w:val="center"/>
          </w:tcPr>
          <w:p w14:paraId="70BBF6B7">
            <w:pPr>
              <w:adjustRightInd w:val="0"/>
              <w:snapToGrid w:val="0"/>
              <w:spacing w:line="360" w:lineRule="auto"/>
              <w:ind w:left="-105" w:leftChars="-50" w:right="-105" w:rightChars="-50"/>
              <w:jc w:val="center"/>
              <w:textAlignment w:val="baseline"/>
              <w:rPr>
                <w:rFonts w:hint="eastAsia" w:ascii="宋体" w:hAnsi="宋体" w:cs="宋体"/>
                <w:bCs/>
                <w:color w:val="auto"/>
                <w:kern w:val="0"/>
                <w:sz w:val="21"/>
                <w:szCs w:val="21"/>
                <w:highlight w:val="none"/>
              </w:rPr>
            </w:pPr>
            <w:r>
              <w:rPr>
                <w:rFonts w:hint="eastAsia" w:ascii="宋体" w:hAnsi="宋体" w:cs="宋体"/>
                <w:bCs/>
                <w:color w:val="auto"/>
                <w:kern w:val="0"/>
                <w:sz w:val="21"/>
                <w:szCs w:val="21"/>
                <w:highlight w:val="none"/>
              </w:rPr>
              <w:t>3</w:t>
            </w:r>
          </w:p>
        </w:tc>
        <w:tc>
          <w:tcPr>
            <w:tcW w:w="8557" w:type="dxa"/>
            <w:gridSpan w:val="3"/>
            <w:noWrap w:val="0"/>
            <w:vAlign w:val="center"/>
          </w:tcPr>
          <w:p w14:paraId="46593404">
            <w:pPr>
              <w:snapToGrid w:val="0"/>
              <w:spacing w:line="360" w:lineRule="auto"/>
              <w:ind w:firstLine="211" w:firstLineChars="100"/>
              <w:rPr>
                <w:rFonts w:hint="eastAsia" w:ascii="宋体" w:hAnsi="宋体" w:cs="宋体"/>
                <w:color w:val="auto"/>
                <w:kern w:val="0"/>
                <w:sz w:val="21"/>
                <w:szCs w:val="21"/>
                <w:highlight w:val="none"/>
              </w:rPr>
            </w:pPr>
            <w:r>
              <w:rPr>
                <w:rFonts w:hint="eastAsia" w:ascii="宋体" w:hAnsi="宋体" w:cs="宋体"/>
                <w:b/>
                <w:bCs/>
                <w:color w:val="auto"/>
                <w:kern w:val="0"/>
                <w:sz w:val="21"/>
                <w:szCs w:val="21"/>
                <w:highlight w:val="none"/>
              </w:rPr>
              <w:t>商务分（</w:t>
            </w:r>
            <w:r>
              <w:rPr>
                <w:rFonts w:hint="eastAsia" w:ascii="宋体" w:hAnsi="宋体" w:cs="宋体"/>
                <w:b/>
                <w:bCs/>
                <w:color w:val="auto"/>
                <w:kern w:val="0"/>
                <w:sz w:val="21"/>
                <w:szCs w:val="21"/>
                <w:highlight w:val="none"/>
                <w:lang w:val="en-US" w:eastAsia="zh-CN"/>
              </w:rPr>
              <w:t>满分</w:t>
            </w:r>
            <w:r>
              <w:rPr>
                <w:rFonts w:hint="eastAsia" w:ascii="宋体" w:hAnsi="宋体" w:cs="宋体"/>
                <w:b/>
                <w:color w:val="auto"/>
                <w:sz w:val="21"/>
                <w:szCs w:val="21"/>
                <w:highlight w:val="none"/>
              </w:rPr>
              <w:t>1</w:t>
            </w:r>
            <w:r>
              <w:rPr>
                <w:rFonts w:hint="eastAsia" w:ascii="宋体" w:hAnsi="宋体" w:cs="宋体"/>
                <w:b/>
                <w:color w:val="auto"/>
                <w:sz w:val="21"/>
                <w:szCs w:val="21"/>
                <w:highlight w:val="none"/>
                <w:lang w:val="en-US" w:eastAsia="zh-CN"/>
              </w:rPr>
              <w:t>2</w:t>
            </w:r>
            <w:r>
              <w:rPr>
                <w:rFonts w:hint="eastAsia" w:ascii="宋体" w:hAnsi="宋体" w:cs="宋体"/>
                <w:b/>
                <w:color w:val="auto"/>
                <w:sz w:val="21"/>
                <w:szCs w:val="21"/>
                <w:highlight w:val="none"/>
              </w:rPr>
              <w:t>分</w:t>
            </w:r>
            <w:r>
              <w:rPr>
                <w:rFonts w:hint="eastAsia" w:ascii="宋体" w:hAnsi="宋体" w:cs="宋体"/>
                <w:b/>
                <w:bCs/>
                <w:color w:val="auto"/>
                <w:kern w:val="0"/>
                <w:sz w:val="21"/>
                <w:szCs w:val="21"/>
                <w:highlight w:val="none"/>
              </w:rPr>
              <w:t>）</w:t>
            </w:r>
          </w:p>
        </w:tc>
      </w:tr>
      <w:tr w14:paraId="70E6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962" w:type="dxa"/>
            <w:noWrap w:val="0"/>
            <w:vAlign w:val="center"/>
          </w:tcPr>
          <w:p w14:paraId="07765017">
            <w:pPr>
              <w:adjustRightInd w:val="0"/>
              <w:snapToGrid w:val="0"/>
              <w:spacing w:line="360" w:lineRule="auto"/>
              <w:ind w:left="-105" w:leftChars="-50" w:right="-105" w:rightChars="-50"/>
              <w:jc w:val="center"/>
              <w:textAlignment w:val="baseline"/>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3.1</w:t>
            </w:r>
          </w:p>
        </w:tc>
        <w:tc>
          <w:tcPr>
            <w:tcW w:w="7706" w:type="dxa"/>
            <w:gridSpan w:val="2"/>
            <w:noWrap w:val="0"/>
            <w:vAlign w:val="center"/>
          </w:tcPr>
          <w:p w14:paraId="734498CF">
            <w:pPr>
              <w:snapToGrid w:val="0"/>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供应商具备有效的质量管理体系认证证书、企业知识产权管理体系认证证书、信息安全管理体系认证证书、信息技术服务管理体系认证证书的，每个得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分，满分</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分；</w:t>
            </w:r>
          </w:p>
        </w:tc>
        <w:tc>
          <w:tcPr>
            <w:tcW w:w="851" w:type="dxa"/>
            <w:noWrap w:val="0"/>
            <w:vAlign w:val="center"/>
          </w:tcPr>
          <w:p w14:paraId="53817133">
            <w:pPr>
              <w:snapToGrid w:val="0"/>
              <w:spacing w:line="360" w:lineRule="auto"/>
              <w:jc w:val="center"/>
              <w:rPr>
                <w:rFonts w:ascii="宋体" w:hAnsi="宋体" w:cs="宋体"/>
                <w:color w:val="auto"/>
                <w:kern w:val="0"/>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分</w:t>
            </w:r>
          </w:p>
        </w:tc>
      </w:tr>
      <w:tr w14:paraId="761B4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62" w:type="dxa"/>
            <w:noWrap w:val="0"/>
            <w:vAlign w:val="center"/>
          </w:tcPr>
          <w:p w14:paraId="7119D5FF">
            <w:pPr>
              <w:adjustRightInd w:val="0"/>
              <w:snapToGrid w:val="0"/>
              <w:spacing w:line="360" w:lineRule="auto"/>
              <w:ind w:left="-105" w:leftChars="-50" w:right="-105" w:rightChars="-50"/>
              <w:jc w:val="center"/>
              <w:textAlignment w:val="baseline"/>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 w:val="21"/>
                <w:szCs w:val="21"/>
                <w:highlight w:val="none"/>
              </w:rPr>
              <w:t>3.</w:t>
            </w:r>
            <w:r>
              <w:rPr>
                <w:rFonts w:hint="eastAsia" w:ascii="宋体" w:hAnsi="宋体" w:cs="宋体"/>
                <w:bCs/>
                <w:color w:val="auto"/>
                <w:kern w:val="0"/>
                <w:sz w:val="21"/>
                <w:szCs w:val="21"/>
                <w:highlight w:val="none"/>
                <w:lang w:val="en-US" w:eastAsia="zh-CN"/>
              </w:rPr>
              <w:t>2</w:t>
            </w:r>
          </w:p>
        </w:tc>
        <w:tc>
          <w:tcPr>
            <w:tcW w:w="7706" w:type="dxa"/>
            <w:gridSpan w:val="2"/>
            <w:noWrap w:val="0"/>
            <w:vAlign w:val="center"/>
          </w:tcPr>
          <w:p w14:paraId="63FB9B6C">
            <w:pPr>
              <w:snapToGrid w:val="0"/>
              <w:spacing w:line="360" w:lineRule="auto"/>
              <w:jc w:val="left"/>
              <w:rPr>
                <w:rFonts w:hint="eastAsia"/>
                <w:color w:val="auto"/>
                <w:sz w:val="21"/>
                <w:szCs w:val="21"/>
                <w:highlight w:val="none"/>
              </w:rPr>
            </w:pPr>
            <w:r>
              <w:rPr>
                <w:rFonts w:hint="eastAsia" w:ascii="宋体" w:hAnsi="宋体" w:cs="宋体"/>
                <w:color w:val="auto"/>
                <w:szCs w:val="21"/>
                <w:highlight w:val="none"/>
              </w:rPr>
              <w:t>供应商202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hAnsi="宋体" w:cs="宋体"/>
                <w:color w:val="auto"/>
                <w:highlight w:val="none"/>
              </w:rPr>
              <w:t>1月1日</w:t>
            </w:r>
            <w:r>
              <w:rPr>
                <w:rFonts w:hint="eastAsia" w:hAnsi="宋体" w:cs="宋体"/>
                <w:color w:val="auto"/>
                <w:szCs w:val="21"/>
                <w:highlight w:val="none"/>
              </w:rPr>
              <w:t>以来完成同类项目业绩</w:t>
            </w:r>
            <w:r>
              <w:rPr>
                <w:rFonts w:hint="eastAsia" w:ascii="宋体" w:hAnsi="宋体" w:cs="宋体"/>
                <w:color w:val="auto"/>
                <w:szCs w:val="21"/>
                <w:highlight w:val="none"/>
              </w:rPr>
              <w:t>，以</w:t>
            </w:r>
            <w:r>
              <w:rPr>
                <w:rStyle w:val="106"/>
                <w:rFonts w:hAnsi="宋体" w:cs="宋体"/>
                <w:color w:val="auto"/>
                <w:szCs w:val="21"/>
                <w:highlight w:val="none"/>
              </w:rPr>
              <w:t>中标（成交）通知书或合同等验收证明文件为准</w:t>
            </w:r>
            <w:r>
              <w:rPr>
                <w:rStyle w:val="106"/>
                <w:rFonts w:hint="eastAsia" w:hAnsi="宋体" w:cs="宋体"/>
                <w:color w:val="auto"/>
                <w:szCs w:val="21"/>
                <w:highlight w:val="none"/>
              </w:rPr>
              <w:t>，</w:t>
            </w:r>
            <w:r>
              <w:rPr>
                <w:rStyle w:val="106"/>
                <w:rFonts w:hAnsi="宋体" w:cs="宋体"/>
                <w:color w:val="auto"/>
                <w:szCs w:val="21"/>
                <w:highlight w:val="none"/>
              </w:rPr>
              <w:t>提供</w:t>
            </w:r>
            <w:r>
              <w:rPr>
                <w:rStyle w:val="106"/>
                <w:rFonts w:hint="eastAsia" w:hAnsi="宋体" w:cs="宋体"/>
                <w:color w:val="auto"/>
                <w:szCs w:val="21"/>
                <w:highlight w:val="none"/>
              </w:rPr>
              <w:t>扫描件并加盖供应商公章</w:t>
            </w:r>
            <w:r>
              <w:rPr>
                <w:rFonts w:hint="eastAsia" w:ascii="宋体" w:hAnsi="宋体" w:cs="宋体"/>
                <w:color w:val="auto"/>
                <w:szCs w:val="21"/>
                <w:highlight w:val="none"/>
              </w:rPr>
              <w:t>，每份得2分</w:t>
            </w:r>
            <w:r>
              <w:rPr>
                <w:rFonts w:hint="eastAsia" w:ascii="宋体" w:hAnsi="宋体" w:cs="宋体"/>
                <w:color w:val="auto"/>
                <w:sz w:val="21"/>
                <w:szCs w:val="21"/>
                <w:highlight w:val="none"/>
              </w:rPr>
              <w:t>，满分</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p>
        </w:tc>
        <w:tc>
          <w:tcPr>
            <w:tcW w:w="851" w:type="dxa"/>
            <w:noWrap w:val="0"/>
            <w:vAlign w:val="center"/>
          </w:tcPr>
          <w:p w14:paraId="49582450">
            <w:pPr>
              <w:snapToGrid w:val="0"/>
              <w:spacing w:line="360" w:lineRule="auto"/>
              <w:jc w:val="center"/>
              <w:rPr>
                <w:rFonts w:hint="eastAsia" w:ascii="宋体" w:hAnsi="宋体" w:cs="宋体"/>
                <w:color w:val="auto"/>
                <w:kern w:val="0"/>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p>
        </w:tc>
      </w:tr>
      <w:tr w14:paraId="6055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668" w:type="dxa"/>
            <w:gridSpan w:val="3"/>
            <w:noWrap w:val="0"/>
            <w:vAlign w:val="top"/>
          </w:tcPr>
          <w:p w14:paraId="6CD2876D">
            <w:pPr>
              <w:pStyle w:val="18"/>
              <w:snapToGrid w:val="0"/>
              <w:spacing w:line="360" w:lineRule="auto"/>
              <w:rPr>
                <w:rFonts w:hint="eastAsia" w:hAnsi="宋体" w:cs="宋体"/>
                <w:bCs/>
                <w:color w:val="auto"/>
                <w:kern w:val="2"/>
                <w:sz w:val="21"/>
                <w:szCs w:val="21"/>
                <w:highlight w:val="none"/>
              </w:rPr>
            </w:pPr>
            <w:r>
              <w:rPr>
                <w:rFonts w:hint="eastAsia" w:hAnsi="宋体" w:cs="宋体"/>
                <w:bCs/>
                <w:color w:val="auto"/>
                <w:kern w:val="2"/>
                <w:sz w:val="21"/>
                <w:szCs w:val="21"/>
                <w:highlight w:val="none"/>
              </w:rPr>
              <w:t>总得分＝1＋2＋3</w:t>
            </w:r>
          </w:p>
        </w:tc>
        <w:tc>
          <w:tcPr>
            <w:tcW w:w="851" w:type="dxa"/>
            <w:noWrap w:val="0"/>
            <w:vAlign w:val="center"/>
          </w:tcPr>
          <w:p w14:paraId="72B92661">
            <w:pPr>
              <w:pStyle w:val="18"/>
              <w:snapToGrid w:val="0"/>
              <w:spacing w:line="360" w:lineRule="auto"/>
              <w:rPr>
                <w:rFonts w:hAnsi="宋体" w:cs="宋体"/>
                <w:bCs/>
                <w:color w:val="auto"/>
                <w:kern w:val="2"/>
                <w:sz w:val="21"/>
                <w:szCs w:val="21"/>
                <w:highlight w:val="none"/>
              </w:rPr>
            </w:pPr>
            <w:r>
              <w:rPr>
                <w:rFonts w:hint="eastAsia" w:hAnsi="宋体" w:cs="宋体"/>
                <w:bCs/>
                <w:color w:val="auto"/>
                <w:kern w:val="2"/>
                <w:sz w:val="21"/>
                <w:szCs w:val="21"/>
                <w:highlight w:val="none"/>
              </w:rPr>
              <w:t>100</w:t>
            </w:r>
          </w:p>
        </w:tc>
      </w:tr>
    </w:tbl>
    <w:p w14:paraId="404882EA">
      <w:pPr>
        <w:pStyle w:val="14"/>
        <w:rPr>
          <w:color w:val="auto"/>
          <w:highlight w:val="none"/>
        </w:rPr>
      </w:pPr>
    </w:p>
    <w:p w14:paraId="0CAE1E5E">
      <w:pPr>
        <w:spacing w:line="360" w:lineRule="auto"/>
        <w:ind w:firstLine="420" w:firstLineChars="200"/>
        <w:rPr>
          <w:rFonts w:hint="eastAsia" w:ascii="宋体" w:hAnsi="宋体" w:cs="宋体"/>
          <w:bCs/>
          <w:color w:val="auto"/>
          <w:szCs w:val="21"/>
          <w:highlight w:val="none"/>
        </w:rPr>
      </w:pPr>
    </w:p>
    <w:p w14:paraId="5C8AAA2F">
      <w:pPr>
        <w:numPr>
          <w:ilvl w:val="0"/>
          <w:numId w:val="5"/>
        </w:numPr>
        <w:spacing w:line="360" w:lineRule="auto"/>
        <w:rPr>
          <w:rFonts w:hint="eastAsia" w:ascii="宋体" w:hAnsi="宋体" w:cs="宋体"/>
          <w:color w:val="auto"/>
          <w:highlight w:val="none"/>
        </w:rPr>
      </w:pPr>
      <w:r>
        <w:rPr>
          <w:rFonts w:hint="eastAsia" w:ascii="宋体" w:hAnsi="宋体" w:cs="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评审报告通过电子交易平台向采购人、采购代理机构提交。</w:t>
      </w:r>
      <w:r>
        <w:rPr>
          <w:rFonts w:hint="eastAsia" w:ascii="宋体" w:hAnsi="宋体" w:cs="宋体"/>
          <w:bCs/>
          <w:color w:val="auto"/>
          <w:szCs w:val="21"/>
          <w:highlight w:val="none"/>
        </w:rPr>
        <w:t>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14:paraId="11B5B352">
      <w:pPr>
        <w:numPr>
          <w:ilvl w:val="0"/>
          <w:numId w:val="5"/>
        </w:numPr>
        <w:spacing w:line="360" w:lineRule="auto"/>
        <w:rPr>
          <w:rFonts w:hint="eastAsia" w:ascii="宋体" w:hAnsi="宋体" w:cs="宋体"/>
          <w:bCs/>
          <w:color w:val="auto"/>
          <w:szCs w:val="21"/>
          <w:highlight w:val="none"/>
        </w:rPr>
      </w:pPr>
      <w:bookmarkStart w:id="122" w:name="_Toc74323460"/>
      <w:r>
        <w:rPr>
          <w:rFonts w:hint="eastAsia" w:ascii="宋体" w:hAnsi="宋体" w:cs="宋体"/>
          <w:bCs/>
          <w:color w:val="auto"/>
          <w:szCs w:val="21"/>
          <w:highlight w:val="none"/>
        </w:rPr>
        <w:t>本项目分为A分标、B分标，共2个标段，一个投标人可同时投多个分标，但一个投标人最多只能中一个分标。评标时按A分标→B分的先后顺序进行评审，如某一投标人在评审顺序排前的分标中已成为第一成交候选供应商，其将不再参与后续其他分标成交候选供应商的排名推荐。</w:t>
      </w:r>
    </w:p>
    <w:p w14:paraId="60EF55A4">
      <w:pPr>
        <w:pStyle w:val="18"/>
        <w:rPr>
          <w:rFonts w:hint="eastAsia" w:hAnsi="宋体" w:cs="宋体"/>
          <w:color w:val="auto"/>
          <w:highlight w:val="none"/>
        </w:rPr>
      </w:pPr>
    </w:p>
    <w:p w14:paraId="0F449984">
      <w:pPr>
        <w:pStyle w:val="18"/>
        <w:rPr>
          <w:rFonts w:hint="eastAsia" w:hAnsi="宋体" w:cs="宋体"/>
          <w:color w:val="auto"/>
          <w:highlight w:val="none"/>
        </w:rPr>
      </w:pPr>
    </w:p>
    <w:p w14:paraId="0AC3505B">
      <w:pPr>
        <w:pStyle w:val="18"/>
        <w:rPr>
          <w:rFonts w:hint="eastAsia" w:hAnsi="宋体" w:cs="宋体"/>
          <w:color w:val="auto"/>
          <w:highlight w:val="none"/>
        </w:rPr>
      </w:pPr>
    </w:p>
    <w:p w14:paraId="0274275B">
      <w:pPr>
        <w:pStyle w:val="18"/>
        <w:rPr>
          <w:rFonts w:hint="eastAsia" w:hAnsi="宋体" w:cs="宋体"/>
          <w:color w:val="auto"/>
          <w:highlight w:val="none"/>
        </w:rPr>
      </w:pPr>
    </w:p>
    <w:p w14:paraId="49997A97">
      <w:pPr>
        <w:pStyle w:val="18"/>
        <w:rPr>
          <w:rFonts w:hint="eastAsia" w:hAnsi="宋体" w:cs="宋体"/>
          <w:color w:val="auto"/>
          <w:highlight w:val="none"/>
        </w:rPr>
      </w:pPr>
    </w:p>
    <w:p w14:paraId="3477149C">
      <w:pPr>
        <w:pStyle w:val="18"/>
        <w:rPr>
          <w:rFonts w:hint="eastAsia" w:hAnsi="宋体" w:cs="宋体"/>
          <w:color w:val="auto"/>
          <w:highlight w:val="none"/>
        </w:rPr>
      </w:pPr>
    </w:p>
    <w:p w14:paraId="2C438BE4">
      <w:pPr>
        <w:pStyle w:val="2"/>
        <w:jc w:val="center"/>
        <w:rPr>
          <w:rFonts w:hint="eastAsia" w:ascii="宋体" w:hAnsi="宋体" w:cs="宋体"/>
          <w:color w:val="auto"/>
          <w:highlight w:val="none"/>
        </w:rPr>
      </w:pPr>
      <w:bookmarkStart w:id="123" w:name="_Toc6792"/>
      <w:r>
        <w:rPr>
          <w:rFonts w:hint="eastAsia" w:ascii="宋体" w:hAnsi="宋体" w:cs="宋体"/>
          <w:color w:val="auto"/>
          <w:highlight w:val="none"/>
        </w:rPr>
        <w:br w:type="page"/>
      </w:r>
      <w:bookmarkStart w:id="124" w:name="_Toc8266"/>
      <w:bookmarkStart w:id="125" w:name="_Toc8363"/>
      <w:bookmarkStart w:id="126" w:name="_Toc14385"/>
      <w:r>
        <w:rPr>
          <w:rFonts w:hint="eastAsia" w:ascii="宋体" w:hAnsi="宋体" w:cs="宋体"/>
          <w:color w:val="auto"/>
          <w:highlight w:val="none"/>
        </w:rPr>
        <w:t>第五章 响应文件格式</w:t>
      </w:r>
      <w:bookmarkEnd w:id="122"/>
      <w:bookmarkEnd w:id="123"/>
      <w:bookmarkEnd w:id="124"/>
      <w:bookmarkEnd w:id="125"/>
      <w:bookmarkEnd w:id="126"/>
    </w:p>
    <w:p w14:paraId="5DE81E00">
      <w:pPr>
        <w:spacing w:line="240" w:lineRule="atLeast"/>
        <w:rPr>
          <w:rFonts w:hint="eastAsia" w:ascii="宋体" w:hAnsi="宋体" w:cs="宋体"/>
          <w:b/>
          <w:color w:val="auto"/>
          <w:sz w:val="32"/>
          <w:szCs w:val="32"/>
          <w:highlight w:val="none"/>
        </w:rPr>
      </w:pPr>
    </w:p>
    <w:p w14:paraId="1EDBB126">
      <w:pPr>
        <w:spacing w:line="240" w:lineRule="atLeast"/>
        <w:rPr>
          <w:rFonts w:hint="eastAsia" w:ascii="宋体" w:hAnsi="宋体" w:cs="宋体"/>
          <w:b/>
          <w:color w:val="auto"/>
          <w:sz w:val="32"/>
          <w:szCs w:val="32"/>
          <w:highlight w:val="none"/>
        </w:rPr>
      </w:pPr>
    </w:p>
    <w:p w14:paraId="3A906AA4">
      <w:pPr>
        <w:spacing w:line="240" w:lineRule="atLeast"/>
        <w:rPr>
          <w:rFonts w:hint="eastAsia" w:ascii="宋体" w:hAnsi="宋体" w:cs="宋体"/>
          <w:b/>
          <w:color w:val="auto"/>
          <w:sz w:val="32"/>
          <w:szCs w:val="32"/>
          <w:highlight w:val="none"/>
        </w:rPr>
      </w:pPr>
    </w:p>
    <w:p w14:paraId="07D22285">
      <w:pPr>
        <w:spacing w:line="240" w:lineRule="atLeast"/>
        <w:rPr>
          <w:rFonts w:hint="eastAsia" w:ascii="宋体" w:hAnsi="宋体" w:cs="宋体"/>
          <w:b/>
          <w:color w:val="auto"/>
          <w:sz w:val="32"/>
          <w:szCs w:val="32"/>
          <w:highlight w:val="none"/>
        </w:rPr>
      </w:pPr>
    </w:p>
    <w:p w14:paraId="71866434">
      <w:pPr>
        <w:spacing w:line="240" w:lineRule="atLeast"/>
        <w:rPr>
          <w:rFonts w:hint="eastAsia" w:ascii="宋体" w:hAnsi="宋体" w:cs="宋体"/>
          <w:b/>
          <w:color w:val="auto"/>
          <w:sz w:val="32"/>
          <w:szCs w:val="32"/>
          <w:highlight w:val="none"/>
        </w:rPr>
      </w:pPr>
    </w:p>
    <w:p w14:paraId="32741C08">
      <w:pPr>
        <w:spacing w:line="240" w:lineRule="atLeast"/>
        <w:rPr>
          <w:rFonts w:hint="eastAsia" w:ascii="宋体" w:hAnsi="宋体" w:cs="宋体"/>
          <w:b/>
          <w:color w:val="auto"/>
          <w:sz w:val="32"/>
          <w:szCs w:val="32"/>
          <w:highlight w:val="none"/>
        </w:rPr>
      </w:pPr>
    </w:p>
    <w:p w14:paraId="16745C52">
      <w:pPr>
        <w:spacing w:line="240" w:lineRule="atLeast"/>
        <w:rPr>
          <w:rFonts w:hint="eastAsia" w:ascii="宋体" w:hAnsi="宋体" w:cs="宋体"/>
          <w:b/>
          <w:color w:val="auto"/>
          <w:sz w:val="32"/>
          <w:szCs w:val="32"/>
          <w:highlight w:val="none"/>
        </w:rPr>
      </w:pPr>
    </w:p>
    <w:p w14:paraId="677C09F3">
      <w:pPr>
        <w:rPr>
          <w:rFonts w:hint="eastAsia" w:ascii="宋体" w:hAnsi="宋体" w:cs="宋体"/>
          <w:color w:val="auto"/>
          <w:highlight w:val="none"/>
        </w:rPr>
      </w:pPr>
    </w:p>
    <w:p w14:paraId="3B025EDA">
      <w:pPr>
        <w:snapToGrid w:val="0"/>
        <w:spacing w:before="120" w:beforeLines="50" w:after="50"/>
        <w:rPr>
          <w:rFonts w:hint="eastAsia" w:ascii="宋体" w:hAnsi="宋体" w:cs="宋体"/>
          <w:b/>
          <w:color w:val="auto"/>
          <w:sz w:val="32"/>
          <w:szCs w:val="32"/>
          <w:highlight w:val="none"/>
        </w:rPr>
      </w:pPr>
      <w:r>
        <w:rPr>
          <w:rFonts w:hint="eastAsia" w:ascii="宋体" w:hAnsi="宋体" w:cs="宋体"/>
          <w:bCs/>
          <w:color w:val="auto"/>
          <w:sz w:val="32"/>
          <w:szCs w:val="32"/>
          <w:highlight w:val="none"/>
        </w:rPr>
        <w:br w:type="page"/>
      </w:r>
      <w:bookmarkStart w:id="127" w:name="_Toc35611516"/>
      <w:bookmarkStart w:id="128" w:name="_Toc31728084"/>
      <w:bookmarkStart w:id="129" w:name="_Toc71366186"/>
      <w:bookmarkStart w:id="130" w:name="_Toc31723070"/>
      <w:bookmarkStart w:id="131" w:name="_Toc35611438"/>
      <w:bookmarkStart w:id="132" w:name="_Toc44229899"/>
      <w:r>
        <w:rPr>
          <w:rFonts w:hint="eastAsia" w:ascii="宋体" w:hAnsi="宋体" w:cs="宋体"/>
          <w:b/>
          <w:color w:val="auto"/>
          <w:sz w:val="32"/>
          <w:szCs w:val="32"/>
          <w:highlight w:val="none"/>
        </w:rPr>
        <w:t>一、资格证明文件格式</w:t>
      </w:r>
      <w:bookmarkEnd w:id="127"/>
      <w:bookmarkEnd w:id="128"/>
      <w:bookmarkEnd w:id="129"/>
      <w:bookmarkEnd w:id="130"/>
      <w:bookmarkEnd w:id="131"/>
      <w:bookmarkEnd w:id="132"/>
    </w:p>
    <w:p w14:paraId="34084D15">
      <w:p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32"/>
          <w:szCs w:val="32"/>
          <w:highlight w:val="none"/>
        </w:rPr>
        <w:t>1.资格证明文件封面格式：</w:t>
      </w:r>
      <w:r>
        <w:rPr>
          <w:rFonts w:hint="eastAsia" w:ascii="宋体" w:hAnsi="宋体" w:cs="宋体"/>
          <w:b/>
          <w:color w:val="auto"/>
          <w:sz w:val="24"/>
          <w:highlight w:val="none"/>
        </w:rPr>
        <w:t xml:space="preserve"> </w:t>
      </w:r>
    </w:p>
    <w:p w14:paraId="3375D01C">
      <w:pPr>
        <w:snapToGrid w:val="0"/>
        <w:spacing w:before="120" w:beforeLines="50" w:after="50"/>
        <w:jc w:val="center"/>
        <w:rPr>
          <w:rFonts w:hint="eastAsia" w:ascii="宋体" w:hAnsi="宋体" w:cs="宋体"/>
          <w:color w:val="auto"/>
          <w:sz w:val="44"/>
          <w:szCs w:val="44"/>
          <w:highlight w:val="none"/>
        </w:rPr>
      </w:pPr>
    </w:p>
    <w:p w14:paraId="1AF4F320">
      <w:pPr>
        <w:snapToGrid w:val="0"/>
        <w:spacing w:before="120" w:beforeLines="50" w:after="50"/>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电 子 响 应 文 件</w:t>
      </w:r>
    </w:p>
    <w:p w14:paraId="569ACE0A">
      <w:pPr>
        <w:snapToGrid w:val="0"/>
        <w:spacing w:before="120" w:beforeLines="50" w:after="50"/>
        <w:rPr>
          <w:rFonts w:hint="eastAsia" w:ascii="宋体" w:hAnsi="宋体" w:cs="宋体"/>
          <w:color w:val="auto"/>
          <w:sz w:val="24"/>
          <w:szCs w:val="20"/>
          <w:highlight w:val="none"/>
        </w:rPr>
      </w:pPr>
    </w:p>
    <w:p w14:paraId="004B5FE9">
      <w:pPr>
        <w:snapToGrid w:val="0"/>
        <w:spacing w:before="12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资  格  证  明  文  件</w:t>
      </w:r>
    </w:p>
    <w:p w14:paraId="3D89C239">
      <w:pPr>
        <w:snapToGrid w:val="0"/>
        <w:spacing w:before="120" w:beforeLines="50" w:after="50"/>
        <w:rPr>
          <w:rFonts w:hint="eastAsia" w:ascii="宋体" w:hAnsi="宋体" w:cs="宋体"/>
          <w:bCs/>
          <w:color w:val="auto"/>
          <w:sz w:val="24"/>
          <w:szCs w:val="20"/>
          <w:highlight w:val="none"/>
        </w:rPr>
      </w:pPr>
    </w:p>
    <w:p w14:paraId="66EBA769">
      <w:pPr>
        <w:snapToGrid w:val="0"/>
        <w:spacing w:before="120" w:beforeLines="50" w:after="50"/>
        <w:rPr>
          <w:rFonts w:hint="eastAsia" w:ascii="宋体" w:hAnsi="宋体" w:cs="宋体"/>
          <w:bCs/>
          <w:color w:val="auto"/>
          <w:sz w:val="24"/>
          <w:szCs w:val="20"/>
          <w:highlight w:val="none"/>
        </w:rPr>
      </w:pPr>
    </w:p>
    <w:p w14:paraId="75A13664">
      <w:pPr>
        <w:snapToGrid w:val="0"/>
        <w:spacing w:before="120" w:beforeLines="50" w:after="50"/>
        <w:rPr>
          <w:rFonts w:hint="eastAsia" w:ascii="宋体" w:hAnsi="宋体" w:cs="宋体"/>
          <w:bCs/>
          <w:color w:val="auto"/>
          <w:sz w:val="24"/>
          <w:szCs w:val="20"/>
          <w:highlight w:val="none"/>
        </w:rPr>
      </w:pPr>
    </w:p>
    <w:p w14:paraId="0EA259BA">
      <w:pPr>
        <w:snapToGrid w:val="0"/>
        <w:spacing w:before="120" w:beforeLines="50" w:after="50"/>
        <w:rPr>
          <w:rFonts w:hint="eastAsia" w:ascii="宋体" w:hAnsi="宋体" w:cs="宋体"/>
          <w:bCs/>
          <w:color w:val="auto"/>
          <w:sz w:val="24"/>
          <w:szCs w:val="20"/>
          <w:highlight w:val="none"/>
        </w:rPr>
      </w:pPr>
    </w:p>
    <w:p w14:paraId="5A321533">
      <w:pPr>
        <w:snapToGrid w:val="0"/>
        <w:spacing w:before="120" w:beforeLines="50" w:after="50"/>
        <w:rPr>
          <w:rFonts w:hint="eastAsia" w:ascii="宋体" w:hAnsi="宋体" w:cs="宋体"/>
          <w:bCs/>
          <w:color w:val="auto"/>
          <w:sz w:val="24"/>
          <w:szCs w:val="20"/>
          <w:highlight w:val="none"/>
        </w:rPr>
      </w:pPr>
    </w:p>
    <w:p w14:paraId="129D739E">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1D561226">
      <w:pPr>
        <w:snapToGrid w:val="0"/>
        <w:spacing w:before="120" w:beforeLines="50" w:after="50"/>
        <w:ind w:firstLine="720" w:firstLineChars="225"/>
        <w:rPr>
          <w:rFonts w:hint="eastAsia" w:ascii="宋体" w:hAnsi="宋体" w:cs="宋体"/>
          <w:bCs/>
          <w:color w:val="auto"/>
          <w:sz w:val="32"/>
          <w:szCs w:val="32"/>
          <w:highlight w:val="none"/>
        </w:rPr>
      </w:pPr>
    </w:p>
    <w:p w14:paraId="048DB69B">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6E89B579">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3712E09C">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78A0BB04">
      <w:pPr>
        <w:snapToGrid w:val="0"/>
        <w:spacing w:before="120" w:beforeLines="50" w:after="50"/>
        <w:ind w:firstLine="720" w:firstLineChars="225"/>
        <w:rPr>
          <w:rFonts w:hint="eastAsia" w:ascii="宋体" w:hAnsi="宋体" w:cs="宋体"/>
          <w:bCs/>
          <w:color w:val="auto"/>
          <w:sz w:val="32"/>
          <w:szCs w:val="32"/>
          <w:highlight w:val="none"/>
        </w:rPr>
      </w:pPr>
    </w:p>
    <w:p w14:paraId="5990A60D">
      <w:pPr>
        <w:pStyle w:val="7"/>
        <w:snapToGrid w:val="0"/>
        <w:spacing w:before="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228AACC3">
      <w:pPr>
        <w:snapToGrid w:val="0"/>
        <w:spacing w:before="120" w:beforeLines="50" w:after="50"/>
        <w:ind w:firstLine="640" w:firstLineChars="200"/>
        <w:rPr>
          <w:rFonts w:hint="eastAsia" w:ascii="宋体" w:hAnsi="宋体" w:cs="宋体"/>
          <w:bCs/>
          <w:color w:val="auto"/>
          <w:sz w:val="32"/>
          <w:szCs w:val="32"/>
          <w:highlight w:val="none"/>
        </w:rPr>
      </w:pPr>
    </w:p>
    <w:p w14:paraId="2E6E1B39">
      <w:pPr>
        <w:pStyle w:val="7"/>
        <w:snapToGrid w:val="0"/>
        <w:spacing w:before="50" w:after="50"/>
        <w:ind w:firstLine="720" w:firstLineChars="225"/>
        <w:rPr>
          <w:rFonts w:hint="eastAsia" w:ascii="宋体" w:hAnsi="宋体" w:cs="宋体"/>
          <w:bCs/>
          <w:color w:val="auto"/>
          <w:sz w:val="32"/>
          <w:szCs w:val="32"/>
          <w:highlight w:val="none"/>
        </w:rPr>
      </w:pPr>
    </w:p>
    <w:p w14:paraId="32F0ABF2">
      <w:pPr>
        <w:pStyle w:val="7"/>
        <w:snapToGrid w:val="0"/>
        <w:spacing w:before="50" w:after="50"/>
        <w:ind w:firstLine="720" w:firstLineChars="225"/>
        <w:rPr>
          <w:rFonts w:hint="eastAsia" w:ascii="宋体" w:hAnsi="宋体" w:cs="宋体"/>
          <w:bCs/>
          <w:color w:val="auto"/>
          <w:sz w:val="32"/>
          <w:szCs w:val="32"/>
          <w:highlight w:val="none"/>
        </w:rPr>
      </w:pPr>
    </w:p>
    <w:p w14:paraId="45CFD9A9">
      <w:pPr>
        <w:pStyle w:val="7"/>
        <w:snapToGrid w:val="0"/>
        <w:spacing w:before="50" w:after="50"/>
        <w:ind w:firstLine="1280" w:firstLineChars="400"/>
        <w:rPr>
          <w:rFonts w:hint="eastAsia" w:ascii="宋体" w:hAnsi="宋体" w:cs="宋体"/>
          <w:bCs/>
          <w:color w:val="auto"/>
          <w:sz w:val="32"/>
          <w:szCs w:val="32"/>
          <w:highlight w:val="none"/>
        </w:rPr>
      </w:pPr>
    </w:p>
    <w:p w14:paraId="170A3536">
      <w:pPr>
        <w:snapToGrid w:val="0"/>
        <w:spacing w:before="12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4E7EB8B1">
      <w:pPr>
        <w:snapToGrid w:val="0"/>
        <w:spacing w:before="120" w:beforeLines="50" w:after="50" w:line="360" w:lineRule="auto"/>
        <w:ind w:left="142"/>
        <w:jc w:val="left"/>
        <w:rPr>
          <w:rFonts w:hint="eastAsia"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2.资格证明文件目录</w:t>
      </w:r>
    </w:p>
    <w:p w14:paraId="37942703">
      <w:pPr>
        <w:snapToGrid w:val="0"/>
        <w:spacing w:before="120" w:beforeLines="50" w:after="50" w:line="360" w:lineRule="auto"/>
        <w:ind w:firstLine="645"/>
        <w:rPr>
          <w:rFonts w:hint="eastAsia"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631520DA">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50555C47">
      <w:pPr>
        <w:spacing w:line="300" w:lineRule="auto"/>
        <w:rPr>
          <w:rFonts w:hint="eastAsia" w:ascii="宋体" w:hAnsi="宋体" w:cs="宋体"/>
          <w:color w:val="auto"/>
          <w:szCs w:val="21"/>
          <w:highlight w:val="none"/>
        </w:rPr>
      </w:pPr>
    </w:p>
    <w:p w14:paraId="185D1527">
      <w:pPr>
        <w:spacing w:line="300" w:lineRule="auto"/>
        <w:rPr>
          <w:rFonts w:hint="eastAsia" w:ascii="宋体" w:hAnsi="宋体" w:cs="宋体"/>
          <w:color w:val="auto"/>
          <w:szCs w:val="21"/>
          <w:highlight w:val="none"/>
        </w:rPr>
      </w:pPr>
    </w:p>
    <w:p w14:paraId="26B6E03C">
      <w:pPr>
        <w:spacing w:line="300" w:lineRule="auto"/>
        <w:rPr>
          <w:rFonts w:hint="eastAsia" w:ascii="宋体" w:hAnsi="宋体" w:cs="宋体"/>
          <w:color w:val="auto"/>
          <w:szCs w:val="21"/>
          <w:highlight w:val="none"/>
        </w:rPr>
      </w:pPr>
    </w:p>
    <w:p w14:paraId="2A88826F">
      <w:pPr>
        <w:spacing w:line="300" w:lineRule="auto"/>
        <w:rPr>
          <w:rFonts w:hint="eastAsia" w:ascii="宋体" w:hAnsi="宋体" w:cs="宋体"/>
          <w:color w:val="auto"/>
          <w:szCs w:val="21"/>
          <w:highlight w:val="none"/>
        </w:rPr>
      </w:pPr>
    </w:p>
    <w:p w14:paraId="7C67F5BA">
      <w:pPr>
        <w:spacing w:line="300" w:lineRule="auto"/>
        <w:rPr>
          <w:rFonts w:hint="eastAsia" w:ascii="宋体" w:hAnsi="宋体" w:cs="宋体"/>
          <w:color w:val="auto"/>
          <w:szCs w:val="21"/>
          <w:highlight w:val="none"/>
        </w:rPr>
      </w:pPr>
    </w:p>
    <w:p w14:paraId="6C3B6C2E">
      <w:pPr>
        <w:spacing w:line="300" w:lineRule="auto"/>
        <w:rPr>
          <w:rFonts w:hint="eastAsia" w:ascii="宋体" w:hAnsi="宋体" w:cs="宋体"/>
          <w:color w:val="auto"/>
          <w:szCs w:val="21"/>
          <w:highlight w:val="none"/>
        </w:rPr>
      </w:pPr>
    </w:p>
    <w:p w14:paraId="104F3631">
      <w:pPr>
        <w:spacing w:line="300" w:lineRule="auto"/>
        <w:rPr>
          <w:rFonts w:hint="eastAsia" w:ascii="宋体" w:hAnsi="宋体" w:cs="宋体"/>
          <w:color w:val="auto"/>
          <w:szCs w:val="21"/>
          <w:highlight w:val="none"/>
        </w:rPr>
      </w:pPr>
    </w:p>
    <w:p w14:paraId="6FC9EEB1">
      <w:pPr>
        <w:spacing w:line="300" w:lineRule="auto"/>
        <w:rPr>
          <w:rFonts w:hint="eastAsia" w:ascii="宋体" w:hAnsi="宋体" w:cs="宋体"/>
          <w:color w:val="auto"/>
          <w:szCs w:val="21"/>
          <w:highlight w:val="none"/>
        </w:rPr>
      </w:pPr>
    </w:p>
    <w:p w14:paraId="0B779926">
      <w:pPr>
        <w:spacing w:line="300" w:lineRule="auto"/>
        <w:rPr>
          <w:rFonts w:hint="eastAsia" w:ascii="宋体" w:hAnsi="宋体" w:cs="宋体"/>
          <w:color w:val="auto"/>
          <w:szCs w:val="21"/>
          <w:highlight w:val="none"/>
        </w:rPr>
      </w:pPr>
    </w:p>
    <w:p w14:paraId="2F3EAF6A">
      <w:pPr>
        <w:spacing w:line="300" w:lineRule="auto"/>
        <w:rPr>
          <w:rFonts w:hint="eastAsia" w:ascii="宋体" w:hAnsi="宋体" w:cs="宋体"/>
          <w:color w:val="auto"/>
          <w:szCs w:val="21"/>
          <w:highlight w:val="none"/>
        </w:rPr>
      </w:pPr>
    </w:p>
    <w:p w14:paraId="797EF163">
      <w:pPr>
        <w:spacing w:line="300" w:lineRule="auto"/>
        <w:rPr>
          <w:rFonts w:hint="eastAsia" w:ascii="宋体" w:hAnsi="宋体" w:cs="宋体"/>
          <w:color w:val="auto"/>
          <w:szCs w:val="21"/>
          <w:highlight w:val="none"/>
        </w:rPr>
      </w:pPr>
    </w:p>
    <w:p w14:paraId="4D1C6111">
      <w:pPr>
        <w:spacing w:line="300" w:lineRule="auto"/>
        <w:rPr>
          <w:rFonts w:hint="eastAsia" w:ascii="宋体" w:hAnsi="宋体" w:cs="宋体"/>
          <w:color w:val="auto"/>
          <w:szCs w:val="21"/>
          <w:highlight w:val="none"/>
        </w:rPr>
      </w:pPr>
    </w:p>
    <w:p w14:paraId="6F420AB3">
      <w:pPr>
        <w:spacing w:line="300" w:lineRule="auto"/>
        <w:rPr>
          <w:rFonts w:hint="eastAsia" w:ascii="宋体" w:hAnsi="宋体" w:cs="宋体"/>
          <w:color w:val="auto"/>
          <w:szCs w:val="21"/>
          <w:highlight w:val="none"/>
        </w:rPr>
      </w:pPr>
    </w:p>
    <w:p w14:paraId="3866D8DC">
      <w:pPr>
        <w:spacing w:line="300" w:lineRule="auto"/>
        <w:rPr>
          <w:rFonts w:hint="eastAsia" w:ascii="宋体" w:hAnsi="宋体" w:cs="宋体"/>
          <w:color w:val="auto"/>
          <w:szCs w:val="21"/>
          <w:highlight w:val="none"/>
        </w:rPr>
      </w:pPr>
    </w:p>
    <w:p w14:paraId="49AC7C66">
      <w:pPr>
        <w:spacing w:line="300" w:lineRule="auto"/>
        <w:rPr>
          <w:rFonts w:hint="eastAsia" w:ascii="宋体" w:hAnsi="宋体" w:cs="宋体"/>
          <w:color w:val="auto"/>
          <w:szCs w:val="21"/>
          <w:highlight w:val="none"/>
        </w:rPr>
      </w:pPr>
    </w:p>
    <w:p w14:paraId="1F3BD46C">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 xml:space="preserve"> </w:t>
      </w:r>
    </w:p>
    <w:p w14:paraId="510C81D2">
      <w:pPr>
        <w:wordWrap w:val="0"/>
        <w:spacing w:before="120" w:beforeLines="50" w:after="50" w:line="320" w:lineRule="exact"/>
        <w:ind w:right="482" w:firstLine="210" w:firstLineChars="100"/>
        <w:contextualSpacing/>
        <w:jc w:val="center"/>
        <w:rPr>
          <w:rFonts w:hint="eastAsia" w:ascii="宋体" w:hAnsi="宋体" w:cs="宋体"/>
          <w:color w:val="auto"/>
          <w:szCs w:val="21"/>
          <w:highlight w:val="none"/>
        </w:rPr>
      </w:pPr>
    </w:p>
    <w:p w14:paraId="4003450E">
      <w:pPr>
        <w:spacing w:line="3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供应商直接控股、管理关系信息表</w:t>
      </w:r>
    </w:p>
    <w:p w14:paraId="53F0E4B7">
      <w:pPr>
        <w:snapToGrid w:val="0"/>
        <w:spacing w:before="120" w:beforeLines="50" w:after="50" w:line="360" w:lineRule="auto"/>
        <w:jc w:val="center"/>
        <w:rPr>
          <w:rFonts w:hint="eastAsia" w:ascii="宋体" w:hAnsi="宋体" w:cs="宋体"/>
          <w:b/>
          <w:color w:val="auto"/>
          <w:sz w:val="24"/>
          <w:highlight w:val="none"/>
        </w:rPr>
      </w:pPr>
    </w:p>
    <w:p w14:paraId="3F72EEDF">
      <w:pPr>
        <w:spacing w:line="360" w:lineRule="auto"/>
        <w:contextualSpacing/>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供应商直接控股股东信息表</w:t>
      </w:r>
    </w:p>
    <w:p w14:paraId="2323FE06">
      <w:pPr>
        <w:spacing w:line="360" w:lineRule="auto"/>
        <w:contextualSpacing/>
        <w:jc w:val="center"/>
        <w:rPr>
          <w:rFonts w:hint="eastAsia" w:ascii="宋体" w:hAnsi="宋体" w:cs="宋体"/>
          <w:b/>
          <w:color w:val="auto"/>
          <w:sz w:val="24"/>
          <w:highlight w:val="none"/>
        </w:rPr>
      </w:pPr>
    </w:p>
    <w:tbl>
      <w:tblPr>
        <w:tblStyle w:val="32"/>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A32DCB9">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8873D9">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CE1ECA">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C7A444">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07B6ED">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937FC6">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6FF0FF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EFC7E7">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DAF7FA">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41258D">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FDA3C3">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0DEF9F">
            <w:pPr>
              <w:widowControl/>
              <w:spacing w:line="360" w:lineRule="auto"/>
              <w:contextualSpacing/>
              <w:jc w:val="center"/>
              <w:rPr>
                <w:rFonts w:hint="eastAsia" w:ascii="宋体" w:hAnsi="宋体" w:cs="宋体"/>
                <w:color w:val="auto"/>
                <w:kern w:val="0"/>
                <w:sz w:val="24"/>
                <w:highlight w:val="none"/>
              </w:rPr>
            </w:pPr>
          </w:p>
        </w:tc>
      </w:tr>
      <w:tr w14:paraId="191E3BC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7E73AB">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7F2FD1">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65129E">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4D49F8">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E2CE79">
            <w:pPr>
              <w:widowControl/>
              <w:spacing w:line="360" w:lineRule="auto"/>
              <w:contextualSpacing/>
              <w:jc w:val="center"/>
              <w:rPr>
                <w:rFonts w:hint="eastAsia" w:ascii="宋体" w:hAnsi="宋体" w:cs="宋体"/>
                <w:color w:val="auto"/>
                <w:kern w:val="0"/>
                <w:sz w:val="24"/>
                <w:highlight w:val="none"/>
              </w:rPr>
            </w:pPr>
          </w:p>
        </w:tc>
      </w:tr>
      <w:tr w14:paraId="6675333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B23CB9">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734B2F">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A1292E">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2ECD63">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8FDFE1">
            <w:pPr>
              <w:widowControl/>
              <w:spacing w:line="360" w:lineRule="auto"/>
              <w:contextualSpacing/>
              <w:jc w:val="center"/>
              <w:rPr>
                <w:rFonts w:hint="eastAsia" w:ascii="宋体" w:hAnsi="宋体" w:cs="宋体"/>
                <w:color w:val="auto"/>
                <w:kern w:val="0"/>
                <w:sz w:val="24"/>
                <w:highlight w:val="none"/>
              </w:rPr>
            </w:pPr>
          </w:p>
        </w:tc>
      </w:tr>
      <w:tr w14:paraId="599F3C5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C30C24">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858D1B">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0EE8CE">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21FACA">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2762DE">
            <w:pPr>
              <w:widowControl/>
              <w:spacing w:line="360" w:lineRule="auto"/>
              <w:contextualSpacing/>
              <w:jc w:val="center"/>
              <w:rPr>
                <w:rFonts w:hint="eastAsia" w:ascii="宋体" w:hAnsi="宋体" w:cs="宋体"/>
                <w:color w:val="auto"/>
                <w:kern w:val="0"/>
                <w:sz w:val="24"/>
                <w:highlight w:val="none"/>
              </w:rPr>
            </w:pPr>
          </w:p>
        </w:tc>
      </w:tr>
    </w:tbl>
    <w:p w14:paraId="07EE9605">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099C7620">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49CF9D0">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6052420B">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3.供应商不存在直接控股股东的，则在“直接控股股东名称”填“无”。</w:t>
      </w:r>
    </w:p>
    <w:p w14:paraId="1DA4F8E7">
      <w:pPr>
        <w:spacing w:line="360" w:lineRule="auto"/>
        <w:ind w:firstLine="420" w:firstLineChars="200"/>
        <w:contextualSpacing/>
        <w:jc w:val="left"/>
        <w:rPr>
          <w:rFonts w:hint="eastAsia" w:ascii="宋体" w:hAnsi="宋体" w:cs="宋体"/>
          <w:color w:val="auto"/>
          <w:szCs w:val="21"/>
          <w:highlight w:val="none"/>
        </w:rPr>
      </w:pPr>
    </w:p>
    <w:p w14:paraId="7589FFE8">
      <w:pPr>
        <w:spacing w:line="360" w:lineRule="auto"/>
        <w:ind w:right="480" w:firstLine="3000" w:firstLineChars="1250"/>
        <w:contextualSpacing/>
        <w:rPr>
          <w:rFonts w:hint="eastAsia" w:ascii="宋体" w:hAnsi="宋体" w:cs="宋体"/>
          <w:color w:val="auto"/>
          <w:sz w:val="24"/>
          <w:highlight w:val="none"/>
        </w:rPr>
      </w:pPr>
    </w:p>
    <w:p w14:paraId="623ACA93">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 xml:space="preserve">供应商（电子签章）： </w:t>
      </w:r>
      <w:r>
        <w:rPr>
          <w:rFonts w:hint="eastAsia" w:ascii="宋体" w:hAnsi="宋体" w:cs="宋体"/>
          <w:color w:val="auto"/>
          <w:sz w:val="24"/>
          <w:highlight w:val="none"/>
          <w:u w:val="single"/>
        </w:rPr>
        <w:t xml:space="preserve">                              </w:t>
      </w:r>
    </w:p>
    <w:p w14:paraId="21043101">
      <w:pPr>
        <w:spacing w:line="360" w:lineRule="auto"/>
        <w:ind w:firstLine="480" w:firstLineChars="200"/>
        <w:contextualSpacing/>
        <w:jc w:val="right"/>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154572BF">
      <w:pPr>
        <w:snapToGrid w:val="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66B15A72">
      <w:pPr>
        <w:spacing w:line="3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供应商直接管理关系信息表</w:t>
      </w:r>
    </w:p>
    <w:p w14:paraId="712BBB8B">
      <w:pPr>
        <w:snapToGrid w:val="0"/>
        <w:spacing w:line="360" w:lineRule="auto"/>
        <w:jc w:val="center"/>
        <w:rPr>
          <w:rFonts w:hint="eastAsia" w:ascii="宋体" w:hAnsi="宋体" w:cs="宋体"/>
          <w:b/>
          <w:color w:val="auto"/>
          <w:sz w:val="24"/>
          <w:highlight w:val="none"/>
        </w:rPr>
      </w:pPr>
    </w:p>
    <w:tbl>
      <w:tblPr>
        <w:tblStyle w:val="32"/>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0ACECCD">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F7717C">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94779E">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1ADE05">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63026C">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10DD18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654D37">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43945E">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417EE9">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FA9F80">
            <w:pPr>
              <w:widowControl/>
              <w:spacing w:line="360" w:lineRule="auto"/>
              <w:contextualSpacing/>
              <w:jc w:val="center"/>
              <w:rPr>
                <w:rFonts w:hint="eastAsia" w:ascii="宋体" w:hAnsi="宋体" w:cs="宋体"/>
                <w:color w:val="auto"/>
                <w:kern w:val="0"/>
                <w:sz w:val="24"/>
                <w:highlight w:val="none"/>
              </w:rPr>
            </w:pPr>
          </w:p>
        </w:tc>
      </w:tr>
      <w:tr w14:paraId="6769A3F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879325">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F079E0">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15BFC8">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44451E">
            <w:pPr>
              <w:widowControl/>
              <w:spacing w:line="360" w:lineRule="auto"/>
              <w:contextualSpacing/>
              <w:jc w:val="center"/>
              <w:rPr>
                <w:rFonts w:hint="eastAsia" w:ascii="宋体" w:hAnsi="宋体" w:cs="宋体"/>
                <w:color w:val="auto"/>
                <w:kern w:val="0"/>
                <w:sz w:val="24"/>
                <w:highlight w:val="none"/>
              </w:rPr>
            </w:pPr>
          </w:p>
        </w:tc>
      </w:tr>
      <w:tr w14:paraId="64BC29F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8AFD3A">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410063">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970BBD">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BC19A2">
            <w:pPr>
              <w:widowControl/>
              <w:spacing w:line="360" w:lineRule="auto"/>
              <w:contextualSpacing/>
              <w:jc w:val="center"/>
              <w:rPr>
                <w:rFonts w:hint="eastAsia" w:ascii="宋体" w:hAnsi="宋体" w:cs="宋体"/>
                <w:color w:val="auto"/>
                <w:kern w:val="0"/>
                <w:sz w:val="24"/>
                <w:highlight w:val="none"/>
              </w:rPr>
            </w:pPr>
          </w:p>
        </w:tc>
      </w:tr>
      <w:tr w14:paraId="299A8FA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CA76A9">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E6B6B">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C41AD0">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76AA51">
            <w:pPr>
              <w:widowControl/>
              <w:spacing w:line="360" w:lineRule="auto"/>
              <w:contextualSpacing/>
              <w:jc w:val="center"/>
              <w:rPr>
                <w:rFonts w:hint="eastAsia" w:ascii="宋体" w:hAnsi="宋体" w:cs="宋体"/>
                <w:color w:val="auto"/>
                <w:kern w:val="0"/>
                <w:sz w:val="24"/>
                <w:highlight w:val="none"/>
              </w:rPr>
            </w:pPr>
          </w:p>
        </w:tc>
      </w:tr>
    </w:tbl>
    <w:p w14:paraId="43444C39">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0F29CA52">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367854ED">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4381D4AD">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3.供应商不存在直接管理关系的，则在“直接管理关系单位名称”填“无”。</w:t>
      </w:r>
    </w:p>
    <w:p w14:paraId="3ED587E8">
      <w:pPr>
        <w:spacing w:line="360" w:lineRule="auto"/>
        <w:contextualSpacing/>
        <w:jc w:val="left"/>
        <w:rPr>
          <w:rFonts w:hint="eastAsia" w:ascii="宋体" w:hAnsi="宋体" w:cs="宋体"/>
          <w:color w:val="auto"/>
          <w:sz w:val="28"/>
          <w:szCs w:val="28"/>
          <w:highlight w:val="none"/>
        </w:rPr>
      </w:pPr>
    </w:p>
    <w:p w14:paraId="1F0336B0">
      <w:pPr>
        <w:spacing w:line="360" w:lineRule="auto"/>
        <w:contextualSpacing/>
        <w:jc w:val="left"/>
        <w:rPr>
          <w:rFonts w:hint="eastAsia" w:ascii="宋体" w:hAnsi="宋体" w:cs="宋体"/>
          <w:color w:val="auto"/>
          <w:sz w:val="28"/>
          <w:szCs w:val="28"/>
          <w:highlight w:val="none"/>
        </w:rPr>
      </w:pPr>
    </w:p>
    <w:p w14:paraId="4865C3B3">
      <w:pPr>
        <w:spacing w:line="360" w:lineRule="auto"/>
        <w:contextualSpacing/>
        <w:jc w:val="left"/>
        <w:rPr>
          <w:rFonts w:hint="eastAsia" w:ascii="宋体" w:hAnsi="宋体" w:cs="宋体"/>
          <w:color w:val="auto"/>
          <w:sz w:val="28"/>
          <w:szCs w:val="28"/>
          <w:highlight w:val="none"/>
        </w:rPr>
      </w:pPr>
    </w:p>
    <w:p w14:paraId="47B3790C">
      <w:pPr>
        <w:spacing w:line="360" w:lineRule="auto"/>
        <w:contextualSpacing/>
        <w:jc w:val="left"/>
        <w:rPr>
          <w:rFonts w:hint="eastAsia" w:ascii="宋体" w:hAnsi="宋体" w:cs="宋体"/>
          <w:color w:val="auto"/>
          <w:sz w:val="28"/>
          <w:szCs w:val="28"/>
          <w:highlight w:val="none"/>
        </w:rPr>
      </w:pPr>
    </w:p>
    <w:p w14:paraId="4C4CB070">
      <w:pPr>
        <w:spacing w:line="360" w:lineRule="auto"/>
        <w:contextualSpacing/>
        <w:jc w:val="left"/>
        <w:rPr>
          <w:rFonts w:hint="eastAsia" w:ascii="宋体" w:hAnsi="宋体" w:cs="宋体"/>
          <w:color w:val="auto"/>
          <w:sz w:val="28"/>
          <w:szCs w:val="28"/>
          <w:highlight w:val="none"/>
        </w:rPr>
      </w:pPr>
    </w:p>
    <w:p w14:paraId="3E3CFED5">
      <w:pPr>
        <w:spacing w:line="360" w:lineRule="auto"/>
        <w:contextualSpacing/>
        <w:jc w:val="left"/>
        <w:rPr>
          <w:rFonts w:hint="eastAsia" w:ascii="宋体" w:hAnsi="宋体" w:cs="宋体"/>
          <w:color w:val="auto"/>
          <w:sz w:val="28"/>
          <w:szCs w:val="28"/>
          <w:highlight w:val="none"/>
        </w:rPr>
      </w:pPr>
    </w:p>
    <w:p w14:paraId="170EFE83">
      <w:pPr>
        <w:spacing w:line="360" w:lineRule="auto"/>
        <w:ind w:right="480" w:firstLine="3360" w:firstLineChars="1400"/>
        <w:contextualSpacing/>
        <w:rPr>
          <w:rFonts w:hint="eastAsia" w:ascii="宋体" w:hAnsi="宋体" w:cs="宋体"/>
          <w:color w:val="auto"/>
          <w:sz w:val="24"/>
          <w:highlight w:val="none"/>
        </w:rPr>
      </w:pPr>
      <w:r>
        <w:rPr>
          <w:rFonts w:hint="eastAsia" w:ascii="宋体" w:hAnsi="宋体" w:cs="宋体"/>
          <w:color w:val="auto"/>
          <w:sz w:val="24"/>
          <w:highlight w:val="none"/>
        </w:rPr>
        <w:t>供应商（电子签章）：</w:t>
      </w:r>
      <w:r>
        <w:rPr>
          <w:rFonts w:hint="eastAsia" w:ascii="宋体" w:hAnsi="宋体" w:cs="宋体"/>
          <w:color w:val="auto"/>
          <w:sz w:val="24"/>
          <w:highlight w:val="none"/>
          <w:u w:val="single"/>
        </w:rPr>
        <w:t xml:space="preserve">                </w:t>
      </w:r>
    </w:p>
    <w:p w14:paraId="74CD099C">
      <w:pPr>
        <w:spacing w:line="360" w:lineRule="auto"/>
        <w:ind w:firstLine="480" w:firstLineChars="200"/>
        <w:contextualSpacing/>
        <w:jc w:val="left"/>
        <w:rPr>
          <w:rFonts w:hint="eastAsia" w:ascii="宋体" w:hAnsi="宋体" w:cs="宋体"/>
          <w:color w:val="auto"/>
          <w:sz w:val="28"/>
          <w:szCs w:val="28"/>
          <w:highlight w:val="none"/>
        </w:rPr>
      </w:pPr>
      <w:r>
        <w:rPr>
          <w:rFonts w:hint="eastAsia" w:ascii="宋体" w:hAnsi="宋体" w:cs="宋体"/>
          <w:color w:val="auto"/>
          <w:sz w:val="24"/>
          <w:highlight w:val="none"/>
        </w:rPr>
        <w:t xml:space="preserve">                                        年    月    日</w:t>
      </w:r>
    </w:p>
    <w:p w14:paraId="1A1717AA">
      <w:pPr>
        <w:spacing w:line="320" w:lineRule="exact"/>
        <w:jc w:val="center"/>
        <w:rPr>
          <w:rFonts w:hint="eastAsia" w:ascii="宋体" w:hAnsi="宋体" w:cs="宋体"/>
          <w:b/>
          <w:color w:val="auto"/>
          <w:sz w:val="32"/>
          <w:szCs w:val="32"/>
          <w:highlight w:val="none"/>
        </w:rPr>
      </w:pPr>
      <w:r>
        <w:rPr>
          <w:rFonts w:hint="eastAsia" w:ascii="宋体" w:hAnsi="宋体" w:cs="宋体"/>
          <w:color w:val="auto"/>
          <w:sz w:val="28"/>
          <w:szCs w:val="28"/>
          <w:highlight w:val="none"/>
        </w:rPr>
        <w:br w:type="page"/>
      </w:r>
      <w:r>
        <w:rPr>
          <w:rFonts w:hint="eastAsia" w:ascii="宋体" w:hAnsi="宋体" w:cs="宋体"/>
          <w:b/>
          <w:color w:val="auto"/>
          <w:sz w:val="32"/>
          <w:szCs w:val="32"/>
          <w:highlight w:val="none"/>
        </w:rPr>
        <w:t>竞标声明</w:t>
      </w:r>
    </w:p>
    <w:p w14:paraId="64351E5E">
      <w:pPr>
        <w:spacing w:line="320" w:lineRule="exact"/>
        <w:jc w:val="center"/>
        <w:rPr>
          <w:rFonts w:hint="eastAsia" w:ascii="宋体" w:hAnsi="宋体" w:cs="宋体"/>
          <w:color w:val="auto"/>
          <w:sz w:val="24"/>
          <w:szCs w:val="20"/>
          <w:highlight w:val="none"/>
        </w:rPr>
      </w:pPr>
    </w:p>
    <w:p w14:paraId="69D08581">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A6C89A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421553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 xml:space="preserve">（项目名称）  </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0B6F967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5FE03A2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4502582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7B843CC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4930857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5279B35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32B9724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61A4A9A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4075193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79A34D3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34BA815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43FC0BE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596532C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06BF5F6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427EDE9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、政府采购严重违法失信行为记录名单，完全符合《中华人民共和国政府采购法》第二十二条规定的供应商资格条件，我方对此声明负全部法律责任。</w:t>
      </w:r>
    </w:p>
    <w:p w14:paraId="58AB321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18D769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01A4B1A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A4A5613">
      <w:pPr>
        <w:pStyle w:val="18"/>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1D19F3CA">
      <w:pPr>
        <w:pStyle w:val="18"/>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34AF7D89">
      <w:pPr>
        <w:pStyle w:val="16"/>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账</w:t>
      </w:r>
      <w:r>
        <w:rPr>
          <w:rFonts w:hint="eastAsia" w:ascii="宋体" w:hAnsi="宋体" w:cs="宋体"/>
          <w:color w:val="auto"/>
          <w:sz w:val="24"/>
          <w:highlight w:val="none"/>
        </w:rPr>
        <w:t>号：</w:t>
      </w:r>
      <w:r>
        <w:rPr>
          <w:rFonts w:hint="eastAsia" w:ascii="宋体" w:hAnsi="宋体" w:cs="宋体"/>
          <w:color w:val="auto"/>
          <w:sz w:val="24"/>
          <w:highlight w:val="none"/>
          <w:u w:val="single"/>
        </w:rPr>
        <w:t xml:space="preserve">                               </w:t>
      </w:r>
    </w:p>
    <w:p w14:paraId="28B246A9">
      <w:pPr>
        <w:pStyle w:val="16"/>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02D106EE">
      <w:pPr>
        <w:pStyle w:val="16"/>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482B6D0E">
      <w:pPr>
        <w:spacing w:line="360" w:lineRule="auto"/>
        <w:contextualSpacing/>
        <w:jc w:val="left"/>
        <w:rPr>
          <w:rFonts w:hint="eastAsia" w:ascii="宋体" w:hAnsi="宋体" w:cs="宋体"/>
          <w:b/>
          <w:color w:val="auto"/>
          <w:sz w:val="24"/>
          <w:highlight w:val="none"/>
        </w:rPr>
      </w:pPr>
      <w:r>
        <w:rPr>
          <w:rFonts w:hint="eastAsia" w:ascii="宋体" w:hAnsi="宋体" w:cs="宋体"/>
          <w:b/>
          <w:color w:val="auto"/>
          <w:sz w:val="24"/>
          <w:highlight w:val="none"/>
        </w:rPr>
        <w:t>注：如为联合体竞标，盖章处须加盖联合体牵头人电子签章并由联合体牵头人法定代表人分别签字或者盖章或者电子签名，否则响应文件按无效处理。</w:t>
      </w:r>
    </w:p>
    <w:p w14:paraId="32F47BC5">
      <w:pPr>
        <w:spacing w:line="360" w:lineRule="auto"/>
        <w:contextualSpacing/>
        <w:jc w:val="left"/>
        <w:rPr>
          <w:rFonts w:hint="eastAsia" w:ascii="宋体" w:hAnsi="宋体" w:cs="宋体"/>
          <w:color w:val="auto"/>
          <w:szCs w:val="21"/>
          <w:highlight w:val="none"/>
        </w:rPr>
      </w:pPr>
    </w:p>
    <w:p w14:paraId="1C985FFD">
      <w:pPr>
        <w:spacing w:line="360" w:lineRule="auto"/>
        <w:ind w:firstLine="3360" w:firstLineChars="1400"/>
        <w:contextualSpacing/>
        <w:rPr>
          <w:rFonts w:hint="eastAsia" w:ascii="宋体" w:hAnsi="宋体" w:cs="宋体"/>
          <w:color w:val="auto"/>
          <w:highlight w:val="none"/>
        </w:rPr>
      </w:pPr>
      <w:r>
        <w:rPr>
          <w:rFonts w:hint="eastAsia" w:ascii="宋体" w:hAnsi="宋体" w:cs="宋体"/>
          <w:color w:val="auto"/>
          <w:sz w:val="24"/>
          <w:highlight w:val="none"/>
        </w:rPr>
        <w:t>法定代表人（签字或者电子签名）：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highlight w:val="none"/>
        </w:rPr>
        <w:t xml:space="preserve">                                    </w:t>
      </w:r>
    </w:p>
    <w:p w14:paraId="0D82B51E">
      <w:pPr>
        <w:spacing w:line="360" w:lineRule="auto"/>
        <w:ind w:firstLine="3360" w:firstLineChars="1400"/>
        <w:contextualSpacing/>
        <w:rPr>
          <w:rFonts w:hint="eastAsia" w:ascii="宋体" w:hAnsi="宋体" w:cs="宋体"/>
          <w:color w:val="auto"/>
          <w:sz w:val="24"/>
          <w:highlight w:val="none"/>
        </w:rPr>
      </w:pPr>
    </w:p>
    <w:p w14:paraId="11B476A0">
      <w:pPr>
        <w:spacing w:line="360" w:lineRule="auto"/>
        <w:ind w:firstLine="3360" w:firstLineChars="1400"/>
        <w:contextualSpacing/>
        <w:rPr>
          <w:rFonts w:hint="eastAsia" w:ascii="宋体" w:hAnsi="宋体" w:cs="宋体"/>
          <w:color w:val="auto"/>
          <w:szCs w:val="21"/>
          <w:highlight w:val="none"/>
          <w:u w:val="single"/>
        </w:rPr>
      </w:pPr>
      <w:r>
        <w:rPr>
          <w:rFonts w:hint="eastAsia" w:ascii="宋体" w:hAnsi="宋体" w:cs="宋体"/>
          <w:color w:val="auto"/>
          <w:sz w:val="24"/>
          <w:highlight w:val="none"/>
        </w:rPr>
        <w:t>供应商（电子签章）：</w:t>
      </w:r>
      <w:r>
        <w:rPr>
          <w:rFonts w:hint="eastAsia" w:ascii="宋体" w:hAnsi="宋体" w:cs="宋体"/>
          <w:color w:val="auto"/>
          <w:sz w:val="24"/>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szCs w:val="21"/>
          <w:highlight w:val="none"/>
        </w:rPr>
        <w:t xml:space="preserve">    </w:t>
      </w:r>
    </w:p>
    <w:p w14:paraId="28E641C3">
      <w:pPr>
        <w:pStyle w:val="16"/>
        <w:tabs>
          <w:tab w:val="left" w:pos="939"/>
        </w:tabs>
        <w:spacing w:line="360" w:lineRule="auto"/>
        <w:ind w:left="0" w:leftChars="0" w:firstLine="420" w:firstLineChars="200"/>
        <w:rPr>
          <w:rFonts w:hint="eastAsia" w:ascii="宋体" w:hAnsi="宋体" w:cs="宋体"/>
          <w:color w:val="auto"/>
          <w:highlight w:val="none"/>
        </w:rPr>
      </w:pPr>
      <w:r>
        <w:rPr>
          <w:rFonts w:hint="eastAsia" w:ascii="宋体" w:hAnsi="宋体" w:cs="宋体"/>
          <w:color w:val="auto"/>
          <w:szCs w:val="21"/>
          <w:highlight w:val="none"/>
        </w:rPr>
        <w:t xml:space="preserve">                                                        </w:t>
      </w:r>
      <w:r>
        <w:rPr>
          <w:rFonts w:hint="eastAsia" w:ascii="宋体" w:hAnsi="宋体" w:cs="宋体"/>
          <w:color w:val="auto"/>
          <w:highlight w:val="none"/>
        </w:rPr>
        <w:t xml:space="preserve"> 年    月    日</w:t>
      </w:r>
    </w:p>
    <w:p w14:paraId="3C7E8F42">
      <w:pPr>
        <w:pStyle w:val="14"/>
        <w:spacing w:line="360" w:lineRule="auto"/>
        <w:ind w:firstLine="420" w:firstLineChars="200"/>
        <w:rPr>
          <w:rFonts w:hint="eastAsia" w:ascii="宋体" w:hAnsi="宋体" w:cs="宋体"/>
          <w:b/>
          <w:color w:val="auto"/>
          <w:sz w:val="32"/>
          <w:szCs w:val="32"/>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 xml:space="preserve">报价文件格式 </w:t>
      </w:r>
    </w:p>
    <w:p w14:paraId="689F21ED">
      <w:pPr>
        <w:snapToGrid w:val="0"/>
        <w:spacing w:before="120" w:beforeLines="50" w:after="50"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1.报价文件封面格式</w:t>
      </w:r>
    </w:p>
    <w:p w14:paraId="2EC4EC53">
      <w:pPr>
        <w:snapToGrid w:val="0"/>
        <w:spacing w:before="120" w:beforeLines="5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76FB0676">
      <w:pPr>
        <w:snapToGrid w:val="0"/>
        <w:spacing w:before="120" w:beforeLines="50" w:after="50"/>
        <w:jc w:val="center"/>
        <w:rPr>
          <w:rFonts w:hint="eastAsia"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23736C61">
      <w:pPr>
        <w:snapToGrid w:val="0"/>
        <w:spacing w:before="120" w:beforeLines="50" w:after="50"/>
        <w:rPr>
          <w:rFonts w:hint="eastAsia" w:ascii="宋体" w:hAnsi="宋体" w:cs="宋体"/>
          <w:color w:val="auto"/>
          <w:sz w:val="24"/>
          <w:szCs w:val="20"/>
          <w:highlight w:val="none"/>
        </w:rPr>
      </w:pPr>
    </w:p>
    <w:p w14:paraId="4B1D761A">
      <w:pPr>
        <w:snapToGrid w:val="0"/>
        <w:spacing w:before="120" w:beforeLines="50" w:after="50"/>
        <w:rPr>
          <w:rFonts w:hint="eastAsia" w:ascii="宋体" w:hAnsi="宋体" w:cs="宋体"/>
          <w:color w:val="auto"/>
          <w:sz w:val="24"/>
          <w:szCs w:val="20"/>
          <w:highlight w:val="none"/>
        </w:rPr>
      </w:pPr>
    </w:p>
    <w:p w14:paraId="7DB3DFEC">
      <w:pPr>
        <w:snapToGrid w:val="0"/>
        <w:spacing w:before="12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报  价  文  件</w:t>
      </w:r>
    </w:p>
    <w:p w14:paraId="508B5D36">
      <w:pPr>
        <w:snapToGrid w:val="0"/>
        <w:spacing w:before="120" w:beforeLines="50" w:after="50"/>
        <w:rPr>
          <w:rFonts w:hint="eastAsia" w:ascii="宋体" w:hAnsi="宋体" w:cs="宋体"/>
          <w:bCs/>
          <w:color w:val="auto"/>
          <w:sz w:val="24"/>
          <w:szCs w:val="20"/>
          <w:highlight w:val="none"/>
        </w:rPr>
      </w:pPr>
    </w:p>
    <w:p w14:paraId="281AA58D">
      <w:pPr>
        <w:snapToGrid w:val="0"/>
        <w:spacing w:before="120" w:beforeLines="50" w:after="50"/>
        <w:rPr>
          <w:rFonts w:hint="eastAsia" w:ascii="宋体" w:hAnsi="宋体" w:cs="宋体"/>
          <w:bCs/>
          <w:color w:val="auto"/>
          <w:sz w:val="24"/>
          <w:szCs w:val="20"/>
          <w:highlight w:val="none"/>
        </w:rPr>
      </w:pPr>
    </w:p>
    <w:p w14:paraId="4E691A7F">
      <w:pPr>
        <w:snapToGrid w:val="0"/>
        <w:spacing w:before="120" w:beforeLines="50" w:after="50"/>
        <w:rPr>
          <w:rFonts w:hint="eastAsia" w:ascii="宋体" w:hAnsi="宋体" w:cs="宋体"/>
          <w:bCs/>
          <w:color w:val="auto"/>
          <w:sz w:val="24"/>
          <w:szCs w:val="20"/>
          <w:highlight w:val="none"/>
        </w:rPr>
      </w:pPr>
    </w:p>
    <w:p w14:paraId="5DBAA11B">
      <w:pPr>
        <w:snapToGrid w:val="0"/>
        <w:spacing w:before="120" w:beforeLines="50" w:after="50"/>
        <w:rPr>
          <w:rFonts w:hint="eastAsia" w:ascii="宋体" w:hAnsi="宋体" w:cs="宋体"/>
          <w:bCs/>
          <w:color w:val="auto"/>
          <w:sz w:val="24"/>
          <w:szCs w:val="20"/>
          <w:highlight w:val="none"/>
        </w:rPr>
      </w:pPr>
    </w:p>
    <w:p w14:paraId="5FD5286F">
      <w:pPr>
        <w:snapToGrid w:val="0"/>
        <w:spacing w:before="120" w:beforeLines="50" w:after="50"/>
        <w:rPr>
          <w:rFonts w:hint="eastAsia" w:ascii="宋体" w:hAnsi="宋体" w:cs="宋体"/>
          <w:bCs/>
          <w:color w:val="auto"/>
          <w:sz w:val="24"/>
          <w:szCs w:val="20"/>
          <w:highlight w:val="none"/>
        </w:rPr>
      </w:pPr>
    </w:p>
    <w:p w14:paraId="32730606">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2A3C30AC">
      <w:pPr>
        <w:snapToGrid w:val="0"/>
        <w:spacing w:before="120" w:beforeLines="50" w:after="50"/>
        <w:ind w:firstLine="720" w:firstLineChars="225"/>
        <w:rPr>
          <w:rFonts w:hint="eastAsia" w:ascii="宋体" w:hAnsi="宋体" w:cs="宋体"/>
          <w:bCs/>
          <w:color w:val="auto"/>
          <w:sz w:val="32"/>
          <w:szCs w:val="32"/>
          <w:highlight w:val="none"/>
        </w:rPr>
      </w:pPr>
    </w:p>
    <w:p w14:paraId="5575A855">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5AEE91C1">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542342AF">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1D0FBCD8">
      <w:pPr>
        <w:snapToGrid w:val="0"/>
        <w:spacing w:before="120" w:beforeLines="50" w:after="50"/>
        <w:ind w:firstLine="720" w:firstLineChars="225"/>
        <w:rPr>
          <w:rFonts w:hint="eastAsia" w:ascii="宋体" w:hAnsi="宋体" w:cs="宋体"/>
          <w:bCs/>
          <w:color w:val="auto"/>
          <w:sz w:val="32"/>
          <w:szCs w:val="32"/>
          <w:highlight w:val="none"/>
        </w:rPr>
      </w:pPr>
    </w:p>
    <w:p w14:paraId="582DA3B6">
      <w:pPr>
        <w:pStyle w:val="7"/>
        <w:snapToGrid w:val="0"/>
        <w:spacing w:before="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09F4A7E">
      <w:pPr>
        <w:pStyle w:val="7"/>
        <w:snapToGrid w:val="0"/>
        <w:spacing w:before="50" w:after="50"/>
        <w:ind w:firstLine="640" w:firstLineChars="200"/>
        <w:rPr>
          <w:rFonts w:hint="eastAsia" w:ascii="宋体" w:hAnsi="宋体" w:cs="宋体"/>
          <w:bCs/>
          <w:color w:val="auto"/>
          <w:sz w:val="32"/>
          <w:szCs w:val="32"/>
          <w:highlight w:val="none"/>
        </w:rPr>
      </w:pPr>
    </w:p>
    <w:p w14:paraId="040425CE">
      <w:pPr>
        <w:pStyle w:val="7"/>
        <w:snapToGrid w:val="0"/>
        <w:spacing w:before="50" w:after="50"/>
        <w:ind w:firstLine="720" w:firstLineChars="225"/>
        <w:rPr>
          <w:rFonts w:hint="eastAsia" w:ascii="宋体" w:hAnsi="宋体" w:cs="宋体"/>
          <w:bCs/>
          <w:color w:val="auto"/>
          <w:sz w:val="32"/>
          <w:szCs w:val="32"/>
          <w:highlight w:val="none"/>
        </w:rPr>
      </w:pPr>
    </w:p>
    <w:p w14:paraId="27251ACE">
      <w:pPr>
        <w:pStyle w:val="7"/>
        <w:snapToGrid w:val="0"/>
        <w:spacing w:before="50" w:after="50"/>
        <w:ind w:firstLine="0"/>
        <w:rPr>
          <w:rFonts w:hint="eastAsia" w:ascii="宋体" w:hAnsi="宋体" w:cs="宋体"/>
          <w:bCs/>
          <w:color w:val="auto"/>
          <w:sz w:val="32"/>
          <w:szCs w:val="32"/>
          <w:highlight w:val="none"/>
        </w:rPr>
      </w:pPr>
    </w:p>
    <w:p w14:paraId="59D6DED7">
      <w:pPr>
        <w:pStyle w:val="7"/>
        <w:snapToGrid w:val="0"/>
        <w:spacing w:before="50" w:after="50"/>
        <w:ind w:firstLine="1280" w:firstLineChars="400"/>
        <w:rPr>
          <w:rFonts w:hint="eastAsia" w:ascii="宋体" w:hAnsi="宋体" w:cs="宋体"/>
          <w:bCs/>
          <w:color w:val="auto"/>
          <w:sz w:val="32"/>
          <w:szCs w:val="32"/>
          <w:highlight w:val="none"/>
        </w:rPr>
      </w:pPr>
    </w:p>
    <w:p w14:paraId="442CC41B">
      <w:pPr>
        <w:snapToGrid w:val="0"/>
        <w:spacing w:before="12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7E3EE697">
      <w:pPr>
        <w:snapToGrid w:val="0"/>
        <w:spacing w:before="120" w:beforeLines="50" w:after="50" w:line="360" w:lineRule="auto"/>
        <w:ind w:left="142"/>
        <w:jc w:val="left"/>
        <w:rPr>
          <w:rFonts w:hint="eastAsia" w:ascii="宋体" w:hAnsi="宋体" w:cs="宋体"/>
          <w:b/>
          <w:bCs/>
          <w:color w:val="auto"/>
          <w:sz w:val="24"/>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2.报价文件目录</w:t>
      </w:r>
    </w:p>
    <w:p w14:paraId="2284C278">
      <w:pPr>
        <w:spacing w:line="520"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w:t>
      </w:r>
    </w:p>
    <w:p w14:paraId="072D3677">
      <w:pPr>
        <w:spacing w:line="520" w:lineRule="exact"/>
        <w:jc w:val="center"/>
        <w:rPr>
          <w:rFonts w:hint="eastAsia" w:ascii="宋体" w:hAnsi="宋体" w:cs="宋体"/>
          <w:bCs/>
          <w:color w:val="auto"/>
          <w:sz w:val="32"/>
          <w:szCs w:val="32"/>
          <w:highlight w:val="none"/>
        </w:rPr>
      </w:pPr>
      <w:r>
        <w:rPr>
          <w:rFonts w:hint="eastAsia" w:ascii="宋体" w:hAnsi="宋体" w:cs="宋体"/>
          <w:color w:val="auto"/>
          <w:sz w:val="32"/>
          <w:szCs w:val="32"/>
          <w:highlight w:val="none"/>
        </w:rPr>
        <w:t>（部分格式后附）。</w:t>
      </w:r>
      <w:r>
        <w:rPr>
          <w:rFonts w:hint="eastAsia" w:ascii="宋体" w:hAnsi="宋体" w:cs="宋体"/>
          <w:b/>
          <w:bCs/>
          <w:color w:val="auto"/>
          <w:sz w:val="32"/>
          <w:szCs w:val="32"/>
          <w:highlight w:val="none"/>
        </w:rPr>
        <w:br w:type="page"/>
      </w:r>
      <w:r>
        <w:rPr>
          <w:rFonts w:hint="eastAsia" w:ascii="宋体" w:hAnsi="宋体" w:cs="宋体"/>
          <w:bCs/>
          <w:color w:val="auto"/>
          <w:sz w:val="44"/>
          <w:szCs w:val="44"/>
          <w:highlight w:val="none"/>
        </w:rPr>
        <w:t>竞  标  报  价  表</w:t>
      </w:r>
    </w:p>
    <w:p w14:paraId="75B7C8E7">
      <w:pPr>
        <w:spacing w:line="440" w:lineRule="exact"/>
        <w:jc w:val="center"/>
        <w:rPr>
          <w:rFonts w:hint="eastAsia" w:ascii="宋体" w:hAnsi="宋体" w:cs="宋体"/>
          <w:bCs/>
          <w:color w:val="auto"/>
          <w:sz w:val="32"/>
          <w:szCs w:val="32"/>
          <w:highlight w:val="none"/>
        </w:rPr>
      </w:pPr>
    </w:p>
    <w:p w14:paraId="7890701C">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9E0E42D">
      <w:pPr>
        <w:spacing w:line="360" w:lineRule="auto"/>
        <w:contextualSpacing/>
        <w:rPr>
          <w:rFonts w:hint="eastAsia" w:ascii="宋体" w:hAnsi="宋体" w:cs="宋体"/>
          <w:color w:val="auto"/>
          <w:highlight w:val="none"/>
          <w:u w:val="single"/>
        </w:rPr>
      </w:pPr>
      <w:r>
        <w:rPr>
          <w:rFonts w:hint="eastAsia" w:ascii="宋体" w:hAnsi="宋体" w:cs="宋体"/>
          <w:color w:val="auto"/>
          <w:sz w:val="24"/>
          <w:highlight w:val="none"/>
        </w:rPr>
        <w:t>分标（如有）：</w:t>
      </w:r>
      <w:r>
        <w:rPr>
          <w:rFonts w:hint="eastAsia" w:ascii="宋体" w:hAnsi="宋体" w:cs="宋体"/>
          <w:color w:val="auto"/>
          <w:sz w:val="24"/>
          <w:highlight w:val="none"/>
          <w:u w:val="single"/>
        </w:rPr>
        <w:t xml:space="preserve">                                             </w:t>
      </w:r>
    </w:p>
    <w:p w14:paraId="59DD72B9">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AFB2DAA">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 xml:space="preserve">                                                单位：元</w:t>
      </w:r>
    </w:p>
    <w:tbl>
      <w:tblPr>
        <w:tblStyle w:val="32"/>
        <w:tblpPr w:leftFromText="180" w:rightFromText="180" w:vertAnchor="text" w:horzAnchor="margin" w:tblpY="101"/>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874"/>
        <w:gridCol w:w="1560"/>
        <w:gridCol w:w="1946"/>
        <w:gridCol w:w="1780"/>
        <w:gridCol w:w="1026"/>
      </w:tblGrid>
      <w:tr w14:paraId="7657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68" w:type="dxa"/>
            <w:noWrap w:val="0"/>
            <w:vAlign w:val="center"/>
          </w:tcPr>
          <w:p w14:paraId="6E479B91">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2874" w:type="dxa"/>
            <w:noWrap w:val="0"/>
            <w:vAlign w:val="center"/>
          </w:tcPr>
          <w:p w14:paraId="2953BAB1">
            <w:pPr>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分标名称</w:t>
            </w:r>
          </w:p>
        </w:tc>
        <w:tc>
          <w:tcPr>
            <w:tcW w:w="1560" w:type="dxa"/>
            <w:noWrap w:val="0"/>
            <w:vAlign w:val="center"/>
          </w:tcPr>
          <w:p w14:paraId="403091EE">
            <w:pPr>
              <w:spacing w:line="40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单位/数量</w:t>
            </w:r>
          </w:p>
        </w:tc>
        <w:tc>
          <w:tcPr>
            <w:tcW w:w="1946" w:type="dxa"/>
            <w:noWrap w:val="0"/>
            <w:vAlign w:val="center"/>
          </w:tcPr>
          <w:p w14:paraId="6B0A1B7B">
            <w:pPr>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单价（元）</w:t>
            </w:r>
          </w:p>
        </w:tc>
        <w:tc>
          <w:tcPr>
            <w:tcW w:w="1780" w:type="dxa"/>
            <w:noWrap w:val="0"/>
            <w:vAlign w:val="center"/>
          </w:tcPr>
          <w:p w14:paraId="1818C162">
            <w:pPr>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总价（元）</w:t>
            </w:r>
          </w:p>
        </w:tc>
        <w:tc>
          <w:tcPr>
            <w:tcW w:w="1026" w:type="dxa"/>
            <w:noWrap w:val="0"/>
            <w:vAlign w:val="center"/>
          </w:tcPr>
          <w:p w14:paraId="0CE23F20">
            <w:pPr>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备注</w:t>
            </w:r>
          </w:p>
        </w:tc>
      </w:tr>
      <w:tr w14:paraId="3DA71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668" w:type="dxa"/>
            <w:noWrap w:val="0"/>
            <w:vAlign w:val="center"/>
          </w:tcPr>
          <w:p w14:paraId="3E5C4E00">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874" w:type="dxa"/>
            <w:noWrap w:val="0"/>
            <w:vAlign w:val="center"/>
          </w:tcPr>
          <w:p w14:paraId="3833EE3D">
            <w:pPr>
              <w:spacing w:line="400" w:lineRule="exact"/>
              <w:jc w:val="center"/>
              <w:rPr>
                <w:rFonts w:ascii="宋体" w:hAnsi="宋体" w:cs="宋体"/>
                <w:color w:val="auto"/>
                <w:kern w:val="0"/>
                <w:sz w:val="24"/>
                <w:highlight w:val="none"/>
              </w:rPr>
            </w:pPr>
          </w:p>
        </w:tc>
        <w:tc>
          <w:tcPr>
            <w:tcW w:w="1560" w:type="dxa"/>
            <w:noWrap w:val="0"/>
            <w:vAlign w:val="center"/>
          </w:tcPr>
          <w:p w14:paraId="2B49CD9F">
            <w:pPr>
              <w:spacing w:line="400" w:lineRule="exact"/>
              <w:jc w:val="center"/>
              <w:rPr>
                <w:rFonts w:ascii="宋体" w:hAnsi="宋体" w:cs="宋体"/>
                <w:color w:val="auto"/>
                <w:kern w:val="0"/>
                <w:sz w:val="24"/>
                <w:highlight w:val="none"/>
              </w:rPr>
            </w:pPr>
          </w:p>
        </w:tc>
        <w:tc>
          <w:tcPr>
            <w:tcW w:w="1946" w:type="dxa"/>
            <w:noWrap w:val="0"/>
            <w:vAlign w:val="center"/>
          </w:tcPr>
          <w:p w14:paraId="196448CB">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 xml:space="preserve">大写：         </w:t>
            </w:r>
          </w:p>
          <w:p w14:paraId="4740037E">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 xml:space="preserve">      （¥    ） </w:t>
            </w:r>
          </w:p>
        </w:tc>
        <w:tc>
          <w:tcPr>
            <w:tcW w:w="1780" w:type="dxa"/>
            <w:noWrap w:val="0"/>
            <w:vAlign w:val="center"/>
          </w:tcPr>
          <w:p w14:paraId="3EC7B9E7">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 xml:space="preserve">大写：         </w:t>
            </w:r>
          </w:p>
          <w:p w14:paraId="1F9F8995">
            <w:pPr>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    ）</w:t>
            </w:r>
          </w:p>
        </w:tc>
        <w:tc>
          <w:tcPr>
            <w:tcW w:w="1026" w:type="dxa"/>
            <w:noWrap w:val="0"/>
            <w:vAlign w:val="center"/>
          </w:tcPr>
          <w:p w14:paraId="3FDBC861">
            <w:pPr>
              <w:spacing w:line="400" w:lineRule="exact"/>
              <w:jc w:val="center"/>
              <w:rPr>
                <w:rFonts w:ascii="宋体" w:hAnsi="宋体" w:cs="宋体"/>
                <w:color w:val="auto"/>
                <w:kern w:val="0"/>
                <w:sz w:val="24"/>
                <w:highlight w:val="none"/>
              </w:rPr>
            </w:pPr>
          </w:p>
        </w:tc>
      </w:tr>
    </w:tbl>
    <w:p w14:paraId="3B0D375E">
      <w:pPr>
        <w:spacing w:line="360" w:lineRule="auto"/>
        <w:contextualSpacing/>
        <w:jc w:val="left"/>
        <w:rPr>
          <w:rFonts w:hint="eastAsia" w:ascii="宋体" w:hAnsi="宋体" w:cs="宋体"/>
          <w:color w:val="auto"/>
          <w:sz w:val="24"/>
          <w:highlight w:val="none"/>
        </w:rPr>
      </w:pPr>
    </w:p>
    <w:p w14:paraId="678A4387">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 xml:space="preserve">注: </w:t>
      </w:r>
    </w:p>
    <w:p w14:paraId="0C922C53">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 供应商的报价表必须加盖供应商电子签章并由法定代表人或者委托代理人签字或者电子签名，</w:t>
      </w:r>
      <w:r>
        <w:rPr>
          <w:rFonts w:hint="eastAsia" w:ascii="宋体" w:hAnsi="宋体" w:cs="宋体"/>
          <w:b/>
          <w:color w:val="auto"/>
          <w:sz w:val="24"/>
          <w:highlight w:val="none"/>
        </w:rPr>
        <w:t>否则其响应文件按无效处理</w:t>
      </w:r>
      <w:r>
        <w:rPr>
          <w:rFonts w:hint="eastAsia" w:ascii="宋体" w:hAnsi="宋体" w:cs="宋体"/>
          <w:color w:val="auto"/>
          <w:sz w:val="24"/>
          <w:highlight w:val="none"/>
        </w:rPr>
        <w:t>。</w:t>
      </w:r>
    </w:p>
    <w:p w14:paraId="0B281BA3">
      <w:pPr>
        <w:spacing w:line="360" w:lineRule="auto"/>
        <w:ind w:firstLine="480" w:firstLineChars="200"/>
        <w:contextualSpacing/>
        <w:jc w:val="left"/>
        <w:rPr>
          <w:rFonts w:hint="eastAsia" w:ascii="宋体" w:hAnsi="宋体" w:cs="宋体"/>
          <w:b/>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 xml:space="preserve"> 报价一经涂改，应在涂改处加盖供应商公章或者加盖电子签章或者由法定代表人或者授权委托人签字（或者电子签名）</w:t>
      </w:r>
      <w:r>
        <w:rPr>
          <w:rFonts w:hint="eastAsia" w:ascii="宋体" w:hAnsi="宋体" w:cs="宋体"/>
          <w:b/>
          <w:color w:val="auto"/>
          <w:sz w:val="24"/>
          <w:highlight w:val="none"/>
        </w:rPr>
        <w:t>，否则其响应文件按无效处理。</w:t>
      </w:r>
    </w:p>
    <w:p w14:paraId="77A69B55">
      <w:pPr>
        <w:spacing w:line="360" w:lineRule="auto"/>
        <w:ind w:firstLine="480" w:firstLineChars="200"/>
        <w:contextualSpacing/>
        <w:jc w:val="left"/>
        <w:rPr>
          <w:rFonts w:hint="eastAsia" w:ascii="宋体" w:hAnsi="宋体" w:cs="宋体"/>
          <w:b/>
          <w:color w:val="auto"/>
          <w:sz w:val="24"/>
          <w:highlight w:val="none"/>
        </w:rPr>
      </w:pPr>
      <w:r>
        <w:rPr>
          <w:rFonts w:hint="eastAsia" w:ascii="宋体" w:hAnsi="宋体" w:cs="宋体"/>
          <w:color w:val="auto"/>
          <w:sz w:val="24"/>
          <w:highlight w:val="none"/>
        </w:rPr>
        <w:t>3.如为联合体竞标，“供应商名称”处必须列明联合体各方名称，标注联合体牵头人名称，</w:t>
      </w:r>
      <w:r>
        <w:rPr>
          <w:rFonts w:hint="eastAsia" w:ascii="宋体" w:hAnsi="宋体" w:cs="宋体"/>
          <w:b/>
          <w:color w:val="auto"/>
          <w:sz w:val="24"/>
          <w:highlight w:val="none"/>
        </w:rPr>
        <w:t>否则其响应文件按无效响应处理。</w:t>
      </w:r>
    </w:p>
    <w:p w14:paraId="057B0179">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4. 如为联合体竞标，</w:t>
      </w:r>
      <w:r>
        <w:rPr>
          <w:rFonts w:hint="eastAsia" w:ascii="宋体" w:hAnsi="宋体" w:cs="宋体"/>
          <w:color w:val="auto"/>
          <w:spacing w:val="-6"/>
          <w:sz w:val="24"/>
          <w:highlight w:val="none"/>
        </w:rPr>
        <w:t xml:space="preserve"> 盖章处须加盖联合体牵头人电子签章</w:t>
      </w:r>
      <w:r>
        <w:rPr>
          <w:rFonts w:hint="eastAsia" w:ascii="宋体" w:hAnsi="宋体" w:cs="宋体"/>
          <w:color w:val="auto"/>
          <w:sz w:val="24"/>
          <w:highlight w:val="none"/>
        </w:rPr>
        <w:t>，</w:t>
      </w:r>
      <w:r>
        <w:rPr>
          <w:rFonts w:hint="eastAsia" w:ascii="宋体" w:hAnsi="宋体" w:cs="宋体"/>
          <w:b/>
          <w:color w:val="auto"/>
          <w:sz w:val="24"/>
          <w:highlight w:val="none"/>
        </w:rPr>
        <w:t>否则其响应文件按无效处理。</w:t>
      </w:r>
    </w:p>
    <w:p w14:paraId="2F69E4E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pacing w:val="-6"/>
          <w:sz w:val="24"/>
          <w:highlight w:val="none"/>
        </w:rPr>
        <w:t>如有多分标，分别列明各分标的报价表，</w:t>
      </w:r>
      <w:r>
        <w:rPr>
          <w:rFonts w:hint="eastAsia" w:ascii="宋体" w:hAnsi="宋体" w:cs="宋体"/>
          <w:b/>
          <w:color w:val="auto"/>
          <w:spacing w:val="-6"/>
          <w:sz w:val="24"/>
          <w:highlight w:val="none"/>
        </w:rPr>
        <w:t>否则其响应文件按无效响应处理。</w:t>
      </w:r>
    </w:p>
    <w:p w14:paraId="3F137E0A">
      <w:pPr>
        <w:spacing w:line="360" w:lineRule="auto"/>
        <w:ind w:right="-817" w:rightChars="-389"/>
        <w:contextualSpacing/>
        <w:rPr>
          <w:rFonts w:hint="eastAsia" w:ascii="宋体" w:hAnsi="宋体" w:cs="宋体"/>
          <w:color w:val="auto"/>
          <w:sz w:val="24"/>
          <w:highlight w:val="none"/>
        </w:rPr>
      </w:pPr>
    </w:p>
    <w:p w14:paraId="6A2507D9">
      <w:pPr>
        <w:spacing w:line="360" w:lineRule="auto"/>
        <w:ind w:right="-817" w:rightChars="-389" w:firstLine="2640" w:firstLineChars="1100"/>
        <w:contextualSpacing/>
        <w:rPr>
          <w:rFonts w:hint="eastAsia" w:ascii="宋体" w:hAnsi="宋体" w:cs="宋体"/>
          <w:color w:val="auto"/>
          <w:sz w:val="24"/>
          <w:highlight w:val="none"/>
        </w:rPr>
      </w:pPr>
      <w:r>
        <w:rPr>
          <w:rFonts w:hint="eastAsia" w:ascii="宋体" w:hAnsi="宋体" w:cs="宋体"/>
          <w:color w:val="auto"/>
          <w:sz w:val="24"/>
          <w:highlight w:val="none"/>
        </w:rPr>
        <w:t xml:space="preserve">法定代表人或者委托代理人（签字或者电子签名）：                    </w:t>
      </w:r>
    </w:p>
    <w:p w14:paraId="4E441D0A">
      <w:pPr>
        <w:spacing w:line="360" w:lineRule="auto"/>
        <w:ind w:right="-817" w:rightChars="-389" w:firstLine="2640" w:firstLineChars="1100"/>
        <w:contextualSpacing/>
        <w:rPr>
          <w:rFonts w:hint="eastAsia" w:ascii="宋体" w:hAnsi="宋体" w:cs="宋体"/>
          <w:color w:val="auto"/>
          <w:sz w:val="24"/>
          <w:highlight w:val="none"/>
        </w:rPr>
      </w:pPr>
      <w:r>
        <w:rPr>
          <w:rFonts w:hint="eastAsia" w:ascii="宋体" w:hAnsi="宋体" w:cs="宋体"/>
          <w:color w:val="auto"/>
          <w:sz w:val="24"/>
          <w:highlight w:val="none"/>
        </w:rPr>
        <w:t xml:space="preserve">供应商（电子签章）：      </w:t>
      </w:r>
    </w:p>
    <w:p w14:paraId="356785FB">
      <w:pPr>
        <w:spacing w:line="360" w:lineRule="auto"/>
        <w:ind w:right="-817" w:rightChars="-389" w:firstLine="4080" w:firstLineChars="1700"/>
        <w:contextualSpacing/>
        <w:rPr>
          <w:rFonts w:hint="eastAsia" w:ascii="宋体" w:hAnsi="宋体" w:cs="宋体"/>
          <w:b/>
          <w:color w:val="auto"/>
          <w:sz w:val="24"/>
          <w:highlight w:val="none"/>
        </w:rPr>
      </w:pPr>
      <w:r>
        <w:rPr>
          <w:rFonts w:hint="eastAsia" w:ascii="宋体" w:hAnsi="宋体" w:cs="宋体"/>
          <w:color w:val="auto"/>
          <w:sz w:val="24"/>
          <w:highlight w:val="none"/>
        </w:rPr>
        <w:t>日期：   年   月   日</w:t>
      </w:r>
    </w:p>
    <w:p w14:paraId="13E7E571">
      <w:pPr>
        <w:spacing w:line="360" w:lineRule="auto"/>
        <w:contextualSpacing/>
        <w:rPr>
          <w:rFonts w:hint="eastAsia" w:ascii="宋体" w:hAnsi="宋体" w:cs="宋体"/>
          <w:b/>
          <w:bCs/>
          <w:color w:val="auto"/>
          <w:sz w:val="32"/>
          <w:szCs w:val="32"/>
          <w:highlight w:val="none"/>
        </w:rPr>
      </w:pPr>
    </w:p>
    <w:p w14:paraId="5795AEF1">
      <w:pPr>
        <w:spacing w:line="360" w:lineRule="auto"/>
        <w:contextualSpacing/>
        <w:rPr>
          <w:rFonts w:hint="eastAsia" w:ascii="宋体" w:hAnsi="宋体" w:cs="宋体"/>
          <w:b/>
          <w:bCs/>
          <w:color w:val="auto"/>
          <w:sz w:val="32"/>
          <w:szCs w:val="32"/>
          <w:highlight w:val="none"/>
        </w:rPr>
      </w:pPr>
    </w:p>
    <w:p w14:paraId="14CC5EA7">
      <w:pPr>
        <w:overflowPunct w:val="0"/>
        <w:jc w:val="center"/>
        <w:rPr>
          <w:rFonts w:ascii="宋体" w:hAnsi="宋体" w:cs="宋体"/>
          <w:b/>
          <w:bCs/>
          <w:color w:val="auto"/>
          <w:sz w:val="32"/>
          <w:szCs w:val="32"/>
          <w:highlight w:val="none"/>
        </w:rPr>
      </w:pPr>
      <w:r>
        <w:rPr>
          <w:rFonts w:hint="eastAsia" w:ascii="宋体" w:hAnsi="宋体" w:cs="宋体"/>
          <w:b/>
          <w:color w:val="auto"/>
          <w:sz w:val="30"/>
          <w:szCs w:val="30"/>
          <w:highlight w:val="none"/>
        </w:rPr>
        <w:t>供应商应为中小企业或监狱企业或残疾人福利性单位的证明材料</w:t>
      </w:r>
    </w:p>
    <w:p w14:paraId="7F48112F">
      <w:pPr>
        <w:pStyle w:val="18"/>
        <w:spacing w:line="600" w:lineRule="exact"/>
        <w:jc w:val="center"/>
        <w:rPr>
          <w:rFonts w:hAnsi="宋体" w:cs="宋体"/>
          <w:color w:val="auto"/>
          <w:kern w:val="2"/>
          <w:sz w:val="44"/>
          <w:szCs w:val="44"/>
          <w:highlight w:val="none"/>
        </w:rPr>
      </w:pPr>
    </w:p>
    <w:p w14:paraId="0498CC91">
      <w:pPr>
        <w:spacing w:line="300" w:lineRule="auto"/>
        <w:ind w:firstLine="2560" w:firstLineChars="800"/>
        <w:rPr>
          <w:rFonts w:ascii="宋体" w:hAnsi="宋体" w:cs="宋体"/>
          <w:color w:val="auto"/>
          <w:sz w:val="32"/>
          <w:szCs w:val="32"/>
          <w:highlight w:val="none"/>
        </w:rPr>
      </w:pPr>
      <w:r>
        <w:rPr>
          <w:rFonts w:hint="eastAsia" w:ascii="宋体" w:hAnsi="宋体" w:cs="宋体"/>
          <w:color w:val="auto"/>
          <w:sz w:val="32"/>
          <w:szCs w:val="32"/>
          <w:highlight w:val="none"/>
        </w:rPr>
        <w:t>中小企业声明函（服务）</w:t>
      </w:r>
    </w:p>
    <w:p w14:paraId="283382E0">
      <w:pPr>
        <w:pStyle w:val="14"/>
        <w:spacing w:line="360" w:lineRule="auto"/>
        <w:ind w:left="-206" w:right="142" w:firstLine="420"/>
        <w:contextualSpacing/>
        <w:rPr>
          <w:rFonts w:ascii="宋体" w:hAnsi="宋体" w:cs="宋体"/>
          <w:color w:val="auto"/>
          <w:sz w:val="24"/>
          <w:highlight w:val="none"/>
        </w:rPr>
      </w:pPr>
    </w:p>
    <w:p w14:paraId="5688AB1F">
      <w:pPr>
        <w:pStyle w:val="14"/>
        <w:spacing w:line="360" w:lineRule="auto"/>
        <w:ind w:left="-426" w:right="142" w:firstLine="640"/>
        <w:contextualSpacing/>
        <w:rPr>
          <w:rFonts w:ascii="宋体" w:hAnsi="宋体" w:cs="宋体"/>
          <w:color w:val="auto"/>
          <w:sz w:val="24"/>
          <w:highlight w:val="none"/>
        </w:rPr>
      </w:pPr>
      <w:r>
        <w:rPr>
          <w:rFonts w:hint="eastAsia" w:ascii="宋体" w:hAnsi="宋体" w:cs="宋体"/>
          <w:color w:val="auto"/>
          <w:sz w:val="24"/>
          <w:highlight w:val="none"/>
        </w:rPr>
        <w:t>本公司郑重声明，根据《政府采购促进中小企业发展管理办法》（财库﹝2020﹞46号）的规定，本公司参加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采购活动，提供的服务全部由符合政策要求的中小企业制造。相关企业（含联合体中的中小企业、签订分包意向协议的中小企业）的具体情况如下：</w:t>
      </w:r>
    </w:p>
    <w:p w14:paraId="65178842">
      <w:pPr>
        <w:tabs>
          <w:tab w:val="left" w:pos="1384"/>
          <w:tab w:val="left" w:pos="4562"/>
          <w:tab w:val="left" w:pos="6803"/>
        </w:tabs>
        <w:spacing w:line="360" w:lineRule="auto"/>
        <w:ind w:left="-426" w:right="-58" w:firstLine="655"/>
        <w:contextualSpacing/>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行业；制造商为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7900D674">
      <w:pPr>
        <w:tabs>
          <w:tab w:val="left" w:pos="1065"/>
          <w:tab w:val="left" w:pos="6477"/>
        </w:tabs>
        <w:spacing w:line="360" w:lineRule="auto"/>
        <w:ind w:left="-426" w:right="-58" w:firstLine="655"/>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行业；制造商为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037DBC3B">
      <w:pPr>
        <w:pStyle w:val="14"/>
        <w:spacing w:line="360" w:lineRule="auto"/>
        <w:ind w:left="142" w:right="142"/>
        <w:contextualSpacing/>
        <w:rPr>
          <w:rFonts w:ascii="宋体" w:hAnsi="宋体" w:cs="宋体"/>
          <w:color w:val="auto"/>
          <w:sz w:val="24"/>
          <w:highlight w:val="none"/>
        </w:rPr>
      </w:pPr>
      <w:r>
        <w:rPr>
          <w:rFonts w:hint="eastAsia" w:ascii="宋体" w:hAnsi="宋体" w:cs="宋体"/>
          <w:color w:val="auto"/>
          <w:sz w:val="24"/>
          <w:highlight w:val="none"/>
        </w:rPr>
        <w:t xml:space="preserve">…… </w:t>
      </w:r>
    </w:p>
    <w:p w14:paraId="755DEDAF">
      <w:pPr>
        <w:pStyle w:val="14"/>
        <w:spacing w:line="360" w:lineRule="auto"/>
        <w:ind w:left="-405" w:leftChars="-193" w:right="142" w:firstLine="453" w:firstLineChars="189"/>
        <w:contextualSpacing/>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61E16DFC">
      <w:pPr>
        <w:pStyle w:val="14"/>
        <w:spacing w:line="360" w:lineRule="auto"/>
        <w:ind w:left="-426" w:right="142" w:firstLine="567"/>
        <w:contextualSpacing/>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7B41A548">
      <w:pPr>
        <w:pStyle w:val="14"/>
        <w:spacing w:line="360" w:lineRule="auto"/>
        <w:ind w:left="3960" w:right="1808"/>
        <w:contextualSpacing/>
        <w:rPr>
          <w:rFonts w:ascii="宋体" w:hAnsi="宋体" w:cs="宋体"/>
          <w:color w:val="auto"/>
          <w:sz w:val="24"/>
          <w:highlight w:val="none"/>
        </w:rPr>
      </w:pPr>
    </w:p>
    <w:p w14:paraId="650E5759">
      <w:pPr>
        <w:rPr>
          <w:color w:val="auto"/>
          <w:highlight w:val="none"/>
        </w:rPr>
      </w:pPr>
    </w:p>
    <w:p w14:paraId="7DE24C89">
      <w:pPr>
        <w:spacing w:line="360" w:lineRule="auto"/>
        <w:ind w:left="4335" w:leftChars="1950" w:hanging="240" w:hangingChars="100"/>
        <w:rPr>
          <w:rFonts w:ascii="宋体" w:hAnsi="宋体" w:cs="宋体"/>
          <w:color w:val="auto"/>
          <w:sz w:val="24"/>
          <w:highlight w:val="none"/>
        </w:rPr>
      </w:pPr>
      <w:r>
        <w:rPr>
          <w:rFonts w:hint="eastAsia" w:ascii="宋体" w:hAnsi="宋体" w:cs="宋体"/>
          <w:color w:val="auto"/>
          <w:sz w:val="24"/>
          <w:highlight w:val="none"/>
        </w:rPr>
        <w:t>供应商名称（电子签章）：</w:t>
      </w:r>
    </w:p>
    <w:p w14:paraId="5C636DAE">
      <w:pPr>
        <w:spacing w:line="360" w:lineRule="auto"/>
        <w:ind w:firstLine="4320" w:firstLineChars="1800"/>
        <w:rPr>
          <w:rFonts w:ascii="宋体" w:hAnsi="宋体" w:cs="宋体"/>
          <w:color w:val="auto"/>
          <w:sz w:val="24"/>
          <w:highlight w:val="none"/>
          <w:lang w:val="zh-CN"/>
        </w:rPr>
      </w:pPr>
      <w:r>
        <w:rPr>
          <w:rFonts w:hint="eastAsia" w:ascii="宋体" w:hAnsi="宋体" w:cs="宋体"/>
          <w:color w:val="auto"/>
          <w:sz w:val="24"/>
          <w:highlight w:val="none"/>
          <w:lang w:val="zh-CN"/>
        </w:rPr>
        <w:t>日期：  年  月   日</w:t>
      </w:r>
    </w:p>
    <w:p w14:paraId="188A2500">
      <w:pPr>
        <w:pStyle w:val="14"/>
        <w:spacing w:line="360" w:lineRule="auto"/>
        <w:ind w:left="3960" w:right="1808"/>
        <w:contextualSpacing/>
        <w:rPr>
          <w:rFonts w:ascii="宋体" w:hAnsi="宋体" w:cs="宋体"/>
          <w:color w:val="auto"/>
          <w:highlight w:val="none"/>
        </w:rPr>
      </w:pPr>
    </w:p>
    <w:p w14:paraId="62BFB27D">
      <w:pPr>
        <w:rPr>
          <w:color w:val="auto"/>
          <w:highlight w:val="none"/>
        </w:rPr>
      </w:pPr>
    </w:p>
    <w:p w14:paraId="5889DD03">
      <w:pPr>
        <w:pStyle w:val="14"/>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0A9639D">
      <w:pPr>
        <w:spacing w:line="360" w:lineRule="auto"/>
        <w:rPr>
          <w:rFonts w:ascii="宋体" w:hAnsi="宋体" w:cs="宋体"/>
          <w:color w:val="auto"/>
          <w:sz w:val="24"/>
          <w:highlight w:val="none"/>
        </w:rPr>
      </w:pPr>
    </w:p>
    <w:p w14:paraId="32D1D1E3">
      <w:pPr>
        <w:spacing w:line="52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br w:type="page"/>
      </w:r>
      <w:r>
        <w:rPr>
          <w:rFonts w:hint="eastAsia" w:ascii="宋体" w:hAnsi="宋体" w:cs="宋体"/>
          <w:color w:val="auto"/>
          <w:sz w:val="32"/>
          <w:szCs w:val="32"/>
          <w:highlight w:val="none"/>
        </w:rPr>
        <w:t>残疾人福利性单位声明函</w:t>
      </w:r>
    </w:p>
    <w:p w14:paraId="5D8C14F6">
      <w:pPr>
        <w:spacing w:line="520" w:lineRule="exact"/>
        <w:rPr>
          <w:rFonts w:ascii="宋体" w:hAnsi="宋体" w:cs="宋体"/>
          <w:color w:val="auto"/>
          <w:sz w:val="32"/>
          <w:szCs w:val="32"/>
          <w:highlight w:val="none"/>
        </w:rPr>
      </w:pPr>
    </w:p>
    <w:p w14:paraId="0CB5F54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14:paraId="227E881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2B92129C">
      <w:pPr>
        <w:spacing w:line="360" w:lineRule="auto"/>
        <w:rPr>
          <w:rFonts w:ascii="宋体" w:hAnsi="宋体" w:cs="宋体"/>
          <w:color w:val="auto"/>
          <w:sz w:val="24"/>
          <w:highlight w:val="none"/>
        </w:rPr>
      </w:pPr>
    </w:p>
    <w:p w14:paraId="64E9FCB6">
      <w:pPr>
        <w:spacing w:line="360" w:lineRule="auto"/>
        <w:rPr>
          <w:rFonts w:ascii="宋体" w:hAnsi="宋体" w:cs="宋体"/>
          <w:color w:val="auto"/>
          <w:sz w:val="24"/>
          <w:highlight w:val="none"/>
        </w:rPr>
      </w:pPr>
    </w:p>
    <w:p w14:paraId="7518FB16">
      <w:pPr>
        <w:spacing w:line="360" w:lineRule="auto"/>
        <w:rPr>
          <w:rFonts w:ascii="宋体" w:hAnsi="宋体" w:cs="宋体"/>
          <w:color w:val="auto"/>
          <w:sz w:val="24"/>
          <w:highlight w:val="none"/>
        </w:rPr>
      </w:pPr>
    </w:p>
    <w:p w14:paraId="26C97C6D">
      <w:pPr>
        <w:spacing w:line="360" w:lineRule="auto"/>
        <w:ind w:firstLine="2400" w:firstLineChars="1000"/>
        <w:rPr>
          <w:rFonts w:ascii="宋体" w:hAnsi="宋体" w:cs="宋体"/>
          <w:color w:val="auto"/>
          <w:sz w:val="24"/>
          <w:highlight w:val="none"/>
        </w:rPr>
      </w:pPr>
      <w:r>
        <w:rPr>
          <w:rFonts w:hint="eastAsia" w:ascii="宋体" w:hAnsi="宋体" w:cs="宋体"/>
          <w:color w:val="auto"/>
          <w:sz w:val="24"/>
          <w:highlight w:val="none"/>
        </w:rPr>
        <w:t>供应商名称（电子签章）：</w:t>
      </w:r>
    </w:p>
    <w:p w14:paraId="69CD8658">
      <w:pPr>
        <w:spacing w:line="360" w:lineRule="auto"/>
        <w:ind w:firstLine="4320" w:firstLineChars="1800"/>
        <w:rPr>
          <w:rFonts w:ascii="宋体" w:hAnsi="宋体" w:cs="宋体"/>
          <w:color w:val="auto"/>
          <w:sz w:val="24"/>
          <w:highlight w:val="none"/>
        </w:rPr>
      </w:pPr>
      <w:r>
        <w:rPr>
          <w:rFonts w:hint="eastAsia" w:ascii="宋体" w:hAnsi="宋体" w:cs="宋体"/>
          <w:color w:val="auto"/>
          <w:sz w:val="24"/>
          <w:highlight w:val="none"/>
        </w:rPr>
        <w:t>日  期：     年   月   日</w:t>
      </w:r>
    </w:p>
    <w:p w14:paraId="05AFBE52">
      <w:pPr>
        <w:spacing w:line="360" w:lineRule="auto"/>
        <w:rPr>
          <w:rFonts w:ascii="宋体" w:hAnsi="宋体" w:cs="宋体"/>
          <w:color w:val="auto"/>
          <w:sz w:val="24"/>
          <w:highlight w:val="none"/>
        </w:rPr>
      </w:pPr>
    </w:p>
    <w:p w14:paraId="160301C9">
      <w:pPr>
        <w:spacing w:line="360" w:lineRule="auto"/>
        <w:rPr>
          <w:rFonts w:ascii="宋体" w:hAnsi="宋体" w:cs="宋体"/>
          <w:color w:val="auto"/>
          <w:sz w:val="24"/>
          <w:highlight w:val="none"/>
        </w:rPr>
      </w:pPr>
    </w:p>
    <w:p w14:paraId="5507FE7E">
      <w:pPr>
        <w:spacing w:line="360" w:lineRule="auto"/>
        <w:rPr>
          <w:rFonts w:ascii="宋体" w:hAnsi="宋体" w:cs="宋体"/>
          <w:color w:val="auto"/>
          <w:sz w:val="24"/>
          <w:highlight w:val="none"/>
        </w:rPr>
      </w:pPr>
    </w:p>
    <w:p w14:paraId="475A79C3">
      <w:pPr>
        <w:spacing w:line="360" w:lineRule="auto"/>
        <w:contextualSpacing/>
        <w:rPr>
          <w:rFonts w:hint="eastAsia" w:ascii="宋体" w:hAnsi="宋体" w:cs="宋体"/>
          <w:b/>
          <w:bCs/>
          <w:color w:val="auto"/>
          <w:sz w:val="32"/>
          <w:szCs w:val="32"/>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竞标人提供由省级以上监狱管理局、戒毒管理局（含新疆生产建设兵团）出具的属于监狱企业证明文件的，视同为小型和微型企业。</w:t>
      </w:r>
    </w:p>
    <w:p w14:paraId="2D5CFDA2">
      <w:pPr>
        <w:spacing w:line="360" w:lineRule="auto"/>
        <w:contextualSpacing/>
        <w:rPr>
          <w:rFonts w:hint="eastAsia" w:ascii="宋体" w:hAnsi="宋体" w:cs="宋体"/>
          <w:b/>
          <w:bCs/>
          <w:color w:val="auto"/>
          <w:sz w:val="32"/>
          <w:szCs w:val="32"/>
          <w:highlight w:val="none"/>
        </w:rPr>
      </w:pPr>
    </w:p>
    <w:p w14:paraId="2E1291D4">
      <w:pPr>
        <w:spacing w:line="360" w:lineRule="auto"/>
        <w:contextualSpacing/>
        <w:rPr>
          <w:rFonts w:hint="eastAsia" w:ascii="宋体" w:hAnsi="宋体" w:cs="宋体"/>
          <w:b/>
          <w:bCs/>
          <w:color w:val="auto"/>
          <w:sz w:val="32"/>
          <w:szCs w:val="32"/>
          <w:highlight w:val="none"/>
        </w:rPr>
      </w:pPr>
    </w:p>
    <w:p w14:paraId="3A3B292F">
      <w:pPr>
        <w:spacing w:line="360" w:lineRule="auto"/>
        <w:contextualSpacing/>
        <w:rPr>
          <w:rFonts w:hint="eastAsia" w:ascii="宋体" w:hAnsi="宋体" w:cs="宋体"/>
          <w:b/>
          <w:bCs/>
          <w:color w:val="auto"/>
          <w:sz w:val="32"/>
          <w:szCs w:val="32"/>
          <w:highlight w:val="none"/>
        </w:rPr>
      </w:pPr>
    </w:p>
    <w:p w14:paraId="0A6C22B5">
      <w:pPr>
        <w:spacing w:line="360" w:lineRule="auto"/>
        <w:contextualSpacing/>
        <w:rPr>
          <w:rFonts w:hint="eastAsia" w:ascii="宋体" w:hAnsi="宋体" w:cs="宋体"/>
          <w:b/>
          <w:bCs/>
          <w:color w:val="auto"/>
          <w:sz w:val="32"/>
          <w:szCs w:val="32"/>
          <w:highlight w:val="none"/>
        </w:rPr>
      </w:pPr>
    </w:p>
    <w:p w14:paraId="4D2051F6">
      <w:pPr>
        <w:spacing w:line="360" w:lineRule="auto"/>
        <w:contextualSpacing/>
        <w:rPr>
          <w:rFonts w:hint="eastAsia" w:ascii="宋体" w:hAnsi="宋体" w:cs="宋体"/>
          <w:b/>
          <w:bCs/>
          <w:color w:val="auto"/>
          <w:sz w:val="32"/>
          <w:szCs w:val="32"/>
          <w:highlight w:val="none"/>
        </w:rPr>
      </w:pPr>
    </w:p>
    <w:p w14:paraId="4A6526A6">
      <w:pPr>
        <w:spacing w:line="360" w:lineRule="auto"/>
        <w:contextualSpacing/>
        <w:rPr>
          <w:rFonts w:hint="eastAsia" w:ascii="宋体" w:hAnsi="宋体" w:cs="宋体"/>
          <w:b/>
          <w:bCs/>
          <w:color w:val="auto"/>
          <w:sz w:val="32"/>
          <w:szCs w:val="32"/>
          <w:highlight w:val="none"/>
        </w:rPr>
      </w:pPr>
    </w:p>
    <w:p w14:paraId="4E72827F">
      <w:pPr>
        <w:spacing w:line="360" w:lineRule="auto"/>
        <w:contextualSpacing/>
        <w:rPr>
          <w:rFonts w:hint="eastAsia" w:ascii="宋体" w:hAnsi="宋体" w:cs="宋体"/>
          <w:b/>
          <w:bCs/>
          <w:color w:val="auto"/>
          <w:sz w:val="32"/>
          <w:szCs w:val="32"/>
          <w:highlight w:val="none"/>
        </w:rPr>
      </w:pPr>
    </w:p>
    <w:p w14:paraId="66FBF266">
      <w:pPr>
        <w:spacing w:line="360" w:lineRule="auto"/>
        <w:contextualSpacing/>
        <w:rPr>
          <w:rFonts w:hint="eastAsia" w:ascii="宋体" w:hAnsi="宋体" w:cs="宋体"/>
          <w:b/>
          <w:color w:val="auto"/>
          <w:sz w:val="32"/>
          <w:szCs w:val="32"/>
          <w:highlight w:val="none"/>
        </w:rPr>
      </w:pPr>
      <w:r>
        <w:rPr>
          <w:rFonts w:hint="eastAsia" w:ascii="宋体" w:hAnsi="宋体" w:cs="宋体"/>
          <w:b/>
          <w:bCs/>
          <w:color w:val="auto"/>
          <w:sz w:val="32"/>
          <w:szCs w:val="32"/>
          <w:highlight w:val="none"/>
        </w:rPr>
        <w:t>三、</w:t>
      </w:r>
      <w:r>
        <w:rPr>
          <w:rFonts w:hint="eastAsia" w:ascii="宋体" w:hAnsi="宋体" w:cs="宋体"/>
          <w:b/>
          <w:color w:val="auto"/>
          <w:sz w:val="32"/>
          <w:szCs w:val="32"/>
          <w:highlight w:val="none"/>
        </w:rPr>
        <w:t xml:space="preserve">商务技术文件格式 </w:t>
      </w:r>
    </w:p>
    <w:p w14:paraId="7B6F0F5E">
      <w:pPr>
        <w:snapToGrid w:val="0"/>
        <w:spacing w:before="120" w:beforeLines="50" w:after="50"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1.商务技术文件封面格式</w:t>
      </w:r>
    </w:p>
    <w:p w14:paraId="07D58C18">
      <w:pPr>
        <w:snapToGrid w:val="0"/>
        <w:spacing w:before="120" w:beforeLines="5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6C74D960">
      <w:pPr>
        <w:snapToGrid w:val="0"/>
        <w:spacing w:before="120" w:beforeLines="50" w:after="50"/>
        <w:jc w:val="center"/>
        <w:rPr>
          <w:rFonts w:hint="eastAsia"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4049C3C9">
      <w:pPr>
        <w:snapToGrid w:val="0"/>
        <w:spacing w:before="120" w:beforeLines="50" w:after="50"/>
        <w:rPr>
          <w:rFonts w:hint="eastAsia" w:ascii="宋体" w:hAnsi="宋体" w:cs="宋体"/>
          <w:color w:val="auto"/>
          <w:sz w:val="24"/>
          <w:szCs w:val="20"/>
          <w:highlight w:val="none"/>
        </w:rPr>
      </w:pPr>
    </w:p>
    <w:p w14:paraId="69A3330B">
      <w:pPr>
        <w:snapToGrid w:val="0"/>
        <w:spacing w:before="120" w:beforeLines="50" w:after="50"/>
        <w:rPr>
          <w:rFonts w:hint="eastAsia" w:ascii="宋体" w:hAnsi="宋体" w:cs="宋体"/>
          <w:color w:val="auto"/>
          <w:sz w:val="24"/>
          <w:szCs w:val="20"/>
          <w:highlight w:val="none"/>
        </w:rPr>
      </w:pPr>
    </w:p>
    <w:p w14:paraId="7D848238">
      <w:pPr>
        <w:snapToGrid w:val="0"/>
        <w:spacing w:before="12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商  务  技  术  文  件</w:t>
      </w:r>
    </w:p>
    <w:p w14:paraId="1C67FDA2">
      <w:pPr>
        <w:snapToGrid w:val="0"/>
        <w:spacing w:before="120" w:beforeLines="50" w:after="50"/>
        <w:rPr>
          <w:rFonts w:hint="eastAsia" w:ascii="宋体" w:hAnsi="宋体" w:cs="宋体"/>
          <w:bCs/>
          <w:color w:val="auto"/>
          <w:sz w:val="24"/>
          <w:szCs w:val="20"/>
          <w:highlight w:val="none"/>
        </w:rPr>
      </w:pPr>
    </w:p>
    <w:p w14:paraId="779AE414">
      <w:pPr>
        <w:snapToGrid w:val="0"/>
        <w:spacing w:before="120" w:beforeLines="50" w:after="50"/>
        <w:rPr>
          <w:rFonts w:hint="eastAsia" w:ascii="宋体" w:hAnsi="宋体" w:cs="宋体"/>
          <w:bCs/>
          <w:color w:val="auto"/>
          <w:sz w:val="24"/>
          <w:szCs w:val="20"/>
          <w:highlight w:val="none"/>
        </w:rPr>
      </w:pPr>
    </w:p>
    <w:p w14:paraId="1F9D6343">
      <w:pPr>
        <w:snapToGrid w:val="0"/>
        <w:spacing w:before="120" w:beforeLines="50" w:after="50"/>
        <w:rPr>
          <w:rFonts w:hint="eastAsia" w:ascii="宋体" w:hAnsi="宋体" w:cs="宋体"/>
          <w:bCs/>
          <w:color w:val="auto"/>
          <w:sz w:val="24"/>
          <w:szCs w:val="20"/>
          <w:highlight w:val="none"/>
        </w:rPr>
      </w:pPr>
    </w:p>
    <w:p w14:paraId="56D1D298">
      <w:pPr>
        <w:snapToGrid w:val="0"/>
        <w:spacing w:before="120" w:beforeLines="50" w:after="50"/>
        <w:rPr>
          <w:rFonts w:hint="eastAsia" w:ascii="宋体" w:hAnsi="宋体" w:cs="宋体"/>
          <w:bCs/>
          <w:color w:val="auto"/>
          <w:sz w:val="24"/>
          <w:szCs w:val="20"/>
          <w:highlight w:val="none"/>
        </w:rPr>
      </w:pPr>
    </w:p>
    <w:p w14:paraId="5E8DCF03">
      <w:pPr>
        <w:snapToGrid w:val="0"/>
        <w:spacing w:before="120" w:beforeLines="50" w:after="50"/>
        <w:rPr>
          <w:rFonts w:hint="eastAsia" w:ascii="宋体" w:hAnsi="宋体" w:cs="宋体"/>
          <w:bCs/>
          <w:color w:val="auto"/>
          <w:sz w:val="24"/>
          <w:szCs w:val="20"/>
          <w:highlight w:val="none"/>
        </w:rPr>
      </w:pPr>
    </w:p>
    <w:p w14:paraId="3EC0B8CA">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4161831A">
      <w:pPr>
        <w:snapToGrid w:val="0"/>
        <w:spacing w:before="120" w:beforeLines="50" w:after="50"/>
        <w:ind w:firstLine="720" w:firstLineChars="225"/>
        <w:rPr>
          <w:rFonts w:hint="eastAsia" w:ascii="宋体" w:hAnsi="宋体" w:cs="宋体"/>
          <w:bCs/>
          <w:color w:val="auto"/>
          <w:sz w:val="32"/>
          <w:szCs w:val="32"/>
          <w:highlight w:val="none"/>
        </w:rPr>
      </w:pPr>
    </w:p>
    <w:p w14:paraId="39956C14">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65129849">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6C6C0E43">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67419DB7">
      <w:pPr>
        <w:snapToGrid w:val="0"/>
        <w:spacing w:before="120" w:beforeLines="50" w:after="50"/>
        <w:ind w:firstLine="720" w:firstLineChars="225"/>
        <w:rPr>
          <w:rFonts w:hint="eastAsia" w:ascii="宋体" w:hAnsi="宋体" w:cs="宋体"/>
          <w:bCs/>
          <w:color w:val="auto"/>
          <w:sz w:val="32"/>
          <w:szCs w:val="32"/>
          <w:highlight w:val="none"/>
        </w:rPr>
      </w:pPr>
    </w:p>
    <w:p w14:paraId="6ACB1516">
      <w:pPr>
        <w:pStyle w:val="7"/>
        <w:snapToGrid w:val="0"/>
        <w:spacing w:before="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1D03995">
      <w:pPr>
        <w:pStyle w:val="7"/>
        <w:snapToGrid w:val="0"/>
        <w:spacing w:before="50" w:after="50"/>
        <w:ind w:firstLine="640" w:firstLineChars="200"/>
        <w:rPr>
          <w:rFonts w:hint="eastAsia" w:ascii="宋体" w:hAnsi="宋体" w:cs="宋体"/>
          <w:bCs/>
          <w:color w:val="auto"/>
          <w:sz w:val="32"/>
          <w:szCs w:val="32"/>
          <w:highlight w:val="none"/>
        </w:rPr>
      </w:pPr>
    </w:p>
    <w:p w14:paraId="4A4CAAE0">
      <w:pPr>
        <w:pStyle w:val="7"/>
        <w:snapToGrid w:val="0"/>
        <w:spacing w:before="50" w:after="50"/>
        <w:ind w:firstLine="720" w:firstLineChars="225"/>
        <w:rPr>
          <w:rFonts w:hint="eastAsia" w:ascii="宋体" w:hAnsi="宋体" w:cs="宋体"/>
          <w:bCs/>
          <w:color w:val="auto"/>
          <w:sz w:val="32"/>
          <w:szCs w:val="32"/>
          <w:highlight w:val="none"/>
        </w:rPr>
      </w:pPr>
    </w:p>
    <w:p w14:paraId="00281154">
      <w:pPr>
        <w:pStyle w:val="7"/>
        <w:snapToGrid w:val="0"/>
        <w:spacing w:before="50" w:after="50"/>
        <w:ind w:firstLine="0"/>
        <w:rPr>
          <w:rFonts w:hint="eastAsia" w:ascii="宋体" w:hAnsi="宋体" w:cs="宋体"/>
          <w:bCs/>
          <w:color w:val="auto"/>
          <w:sz w:val="32"/>
          <w:szCs w:val="32"/>
          <w:highlight w:val="none"/>
        </w:rPr>
      </w:pPr>
    </w:p>
    <w:p w14:paraId="1FF5EBDF">
      <w:pPr>
        <w:pStyle w:val="7"/>
        <w:snapToGrid w:val="0"/>
        <w:spacing w:before="50" w:after="50"/>
        <w:ind w:firstLine="1280" w:firstLineChars="400"/>
        <w:rPr>
          <w:rFonts w:hint="eastAsia" w:ascii="宋体" w:hAnsi="宋体" w:cs="宋体"/>
          <w:bCs/>
          <w:color w:val="auto"/>
          <w:sz w:val="32"/>
          <w:szCs w:val="32"/>
          <w:highlight w:val="none"/>
        </w:rPr>
      </w:pPr>
    </w:p>
    <w:p w14:paraId="5E55995A">
      <w:pPr>
        <w:snapToGrid w:val="0"/>
        <w:spacing w:before="12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6C07DF4F">
      <w:pPr>
        <w:snapToGrid w:val="0"/>
        <w:spacing w:before="120" w:beforeLines="50" w:after="50" w:line="360" w:lineRule="auto"/>
        <w:ind w:right="480" w:firstLine="240" w:firstLineChars="100"/>
        <w:jc w:val="left"/>
        <w:rPr>
          <w:rFonts w:hint="eastAsia"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2.商务技术文件目录</w:t>
      </w:r>
    </w:p>
    <w:p w14:paraId="3A99A9C8">
      <w:pPr>
        <w:snapToGrid w:val="0"/>
        <w:spacing w:before="120" w:beforeLines="50" w:after="50"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37C38751">
      <w:pPr>
        <w:spacing w:line="400" w:lineRule="exact"/>
        <w:rPr>
          <w:rFonts w:hint="eastAsia" w:ascii="宋体" w:hAnsi="宋体" w:cs="宋体"/>
          <w:color w:val="auto"/>
          <w:sz w:val="32"/>
          <w:szCs w:val="32"/>
          <w:highlight w:val="none"/>
        </w:rPr>
      </w:pPr>
    </w:p>
    <w:p w14:paraId="73ED4933">
      <w:pPr>
        <w:spacing w:line="520" w:lineRule="exact"/>
        <w:jc w:val="center"/>
        <w:rPr>
          <w:rFonts w:hint="eastAsia" w:ascii="宋体" w:hAnsi="宋体" w:cs="宋体"/>
          <w:color w:val="auto"/>
          <w:sz w:val="32"/>
          <w:szCs w:val="32"/>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无串通竞标行为的承诺函</w:t>
      </w:r>
    </w:p>
    <w:p w14:paraId="44574D89">
      <w:pPr>
        <w:spacing w:line="360" w:lineRule="auto"/>
        <w:ind w:firstLine="640" w:firstLineChars="200"/>
        <w:contextualSpacing/>
        <w:rPr>
          <w:rFonts w:hint="eastAsia" w:ascii="宋体" w:hAnsi="宋体" w:cs="宋体"/>
          <w:color w:val="auto"/>
          <w:sz w:val="32"/>
          <w:szCs w:val="32"/>
          <w:highlight w:val="none"/>
        </w:rPr>
      </w:pPr>
    </w:p>
    <w:p w14:paraId="6AEDEF1C">
      <w:pPr>
        <w:spacing w:line="360" w:lineRule="auto"/>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1F7EF38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 </w:t>
      </w:r>
    </w:p>
    <w:p w14:paraId="6AB0013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06BB557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1A716EF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同供应商的响应文件异常一致或者竞标报价呈规律性差异；</w:t>
      </w:r>
    </w:p>
    <w:p w14:paraId="60EE38F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5.不同供应商的响应文件相互混装；</w:t>
      </w:r>
    </w:p>
    <w:p w14:paraId="42959A7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770AC531">
      <w:pPr>
        <w:spacing w:line="360" w:lineRule="auto"/>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3CD6319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299CCE4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002B551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2BBAF5B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00ED8D6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4767EA9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09D357C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1C3612BD">
      <w:pPr>
        <w:spacing w:line="360" w:lineRule="auto"/>
        <w:ind w:firstLine="480" w:firstLineChars="200"/>
        <w:contextualSpacing/>
        <w:rPr>
          <w:rFonts w:hint="eastAsia" w:ascii="宋体" w:hAnsi="宋体" w:cs="宋体"/>
          <w:color w:val="auto"/>
          <w:sz w:val="24"/>
          <w:highlight w:val="none"/>
        </w:rPr>
      </w:pPr>
    </w:p>
    <w:p w14:paraId="4F4A00EA">
      <w:pPr>
        <w:spacing w:line="360" w:lineRule="auto"/>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4873F1B8">
      <w:pPr>
        <w:spacing w:line="360" w:lineRule="auto"/>
        <w:contextualSpacing/>
        <w:rPr>
          <w:rFonts w:hint="eastAsia" w:ascii="宋体" w:hAnsi="宋体" w:cs="宋体"/>
          <w:color w:val="auto"/>
          <w:sz w:val="24"/>
          <w:highlight w:val="none"/>
        </w:rPr>
      </w:pPr>
    </w:p>
    <w:p w14:paraId="0F03DEDB">
      <w:pPr>
        <w:spacing w:line="360" w:lineRule="auto"/>
        <w:ind w:firstLine="3600" w:firstLineChars="1500"/>
        <w:contextualSpacing/>
        <w:rPr>
          <w:rFonts w:hint="eastAsia" w:ascii="宋体" w:hAnsi="宋体" w:cs="宋体"/>
          <w:color w:val="auto"/>
          <w:sz w:val="24"/>
          <w:highlight w:val="none"/>
        </w:rPr>
      </w:pPr>
      <w:r>
        <w:rPr>
          <w:rFonts w:hint="eastAsia" w:ascii="宋体" w:hAnsi="宋体" w:cs="宋体"/>
          <w:color w:val="auto"/>
          <w:sz w:val="24"/>
          <w:highlight w:val="none"/>
        </w:rPr>
        <w:t>供应商（电子签章）：</w:t>
      </w:r>
    </w:p>
    <w:p w14:paraId="42DB0AF1">
      <w:pPr>
        <w:spacing w:line="360" w:lineRule="auto"/>
        <w:ind w:firstLine="480" w:firstLineChars="200"/>
        <w:contextualSpacing/>
        <w:jc w:val="center"/>
        <w:rPr>
          <w:rFonts w:hint="eastAsia" w:ascii="宋体" w:hAnsi="宋体" w:cs="宋体"/>
          <w:color w:val="auto"/>
          <w:sz w:val="32"/>
          <w:szCs w:val="32"/>
          <w:highlight w:val="none"/>
        </w:rPr>
      </w:pPr>
      <w:r>
        <w:rPr>
          <w:rFonts w:hint="eastAsia" w:ascii="宋体" w:hAnsi="宋体" w:cs="宋体"/>
          <w:color w:val="auto"/>
          <w:sz w:val="24"/>
          <w:highlight w:val="none"/>
        </w:rPr>
        <w:t xml:space="preserve">                               年   月   日</w:t>
      </w:r>
    </w:p>
    <w:p w14:paraId="372306E5">
      <w:pPr>
        <w:spacing w:line="520" w:lineRule="exact"/>
        <w:jc w:val="center"/>
        <w:rPr>
          <w:rFonts w:hint="eastAsia" w:ascii="宋体" w:hAnsi="宋体" w:cs="宋体"/>
          <w:color w:val="auto"/>
          <w:sz w:val="32"/>
          <w:szCs w:val="32"/>
          <w:highlight w:val="none"/>
        </w:rPr>
      </w:pPr>
      <w:r>
        <w:rPr>
          <w:rFonts w:hint="eastAsia" w:ascii="宋体" w:hAnsi="宋体" w:cs="宋体"/>
          <w:bCs/>
          <w:color w:val="auto"/>
          <w:sz w:val="44"/>
          <w:szCs w:val="44"/>
          <w:highlight w:val="none"/>
        </w:rPr>
        <w:br w:type="page"/>
      </w:r>
      <w:r>
        <w:rPr>
          <w:rFonts w:hint="eastAsia" w:ascii="宋体" w:hAnsi="宋体" w:cs="宋体"/>
          <w:bCs/>
          <w:color w:val="auto"/>
          <w:sz w:val="44"/>
          <w:szCs w:val="44"/>
          <w:highlight w:val="none"/>
        </w:rPr>
        <w:t>法定代表人证明书</w:t>
      </w:r>
    </w:p>
    <w:p w14:paraId="4911F0D1">
      <w:pPr>
        <w:spacing w:line="360" w:lineRule="auto"/>
        <w:ind w:left="540"/>
        <w:contextualSpacing/>
        <w:rPr>
          <w:rFonts w:hint="eastAsia" w:ascii="宋体" w:hAnsi="宋体" w:cs="宋体"/>
          <w:color w:val="auto"/>
          <w:sz w:val="32"/>
          <w:szCs w:val="32"/>
          <w:highlight w:val="none"/>
        </w:rPr>
      </w:pPr>
    </w:p>
    <w:p w14:paraId="035DCF8B">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6F33E3E5">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10F5537E">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285E2869">
      <w:pPr>
        <w:spacing w:line="360" w:lineRule="auto"/>
        <w:ind w:left="540"/>
        <w:contextualSpacing/>
        <w:rPr>
          <w:rFonts w:hint="eastAsia"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5F4E80F8">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41AEDEE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23E220DE">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特此证明。</w:t>
      </w:r>
    </w:p>
    <w:p w14:paraId="4F23CBFA">
      <w:pPr>
        <w:spacing w:line="360" w:lineRule="auto"/>
        <w:ind w:left="540"/>
        <w:contextualSpacing/>
        <w:rPr>
          <w:rFonts w:hint="eastAsia" w:ascii="宋体" w:hAnsi="宋体" w:cs="宋体"/>
          <w:color w:val="auto"/>
          <w:sz w:val="24"/>
          <w:highlight w:val="none"/>
        </w:rPr>
      </w:pPr>
    </w:p>
    <w:p w14:paraId="1196CFDA">
      <w:pPr>
        <w:spacing w:line="360" w:lineRule="auto"/>
        <w:ind w:left="540"/>
        <w:contextualSpacing/>
        <w:rPr>
          <w:rFonts w:hint="eastAsia" w:ascii="宋体" w:hAnsi="宋体" w:cs="宋体"/>
          <w:color w:val="auto"/>
          <w:sz w:val="24"/>
          <w:highlight w:val="none"/>
        </w:rPr>
      </w:pPr>
    </w:p>
    <w:p w14:paraId="1492DA9C">
      <w:pPr>
        <w:spacing w:line="360" w:lineRule="auto"/>
        <w:ind w:left="540"/>
        <w:contextualSpacing/>
        <w:rPr>
          <w:rFonts w:hint="eastAsia" w:ascii="宋体" w:hAnsi="宋体" w:cs="宋体"/>
          <w:color w:val="auto"/>
          <w:sz w:val="24"/>
          <w:highlight w:val="none"/>
        </w:rPr>
      </w:pPr>
    </w:p>
    <w:p w14:paraId="210C80C2">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3D088B01">
      <w:pPr>
        <w:spacing w:line="360" w:lineRule="auto"/>
        <w:ind w:left="540"/>
        <w:contextualSpacing/>
        <w:rPr>
          <w:rFonts w:hint="eastAsia" w:ascii="宋体" w:hAnsi="宋体" w:cs="宋体"/>
          <w:color w:val="auto"/>
          <w:sz w:val="24"/>
          <w:highlight w:val="none"/>
        </w:rPr>
      </w:pPr>
    </w:p>
    <w:p w14:paraId="76576A50">
      <w:pPr>
        <w:spacing w:line="360" w:lineRule="auto"/>
        <w:ind w:left="540"/>
        <w:contextualSpacing/>
        <w:jc w:val="center"/>
        <w:rPr>
          <w:rFonts w:hint="eastAsia" w:ascii="宋体" w:hAnsi="宋体" w:cs="宋体"/>
          <w:color w:val="auto"/>
          <w:sz w:val="24"/>
          <w:highlight w:val="none"/>
        </w:rPr>
      </w:pPr>
      <w:r>
        <w:rPr>
          <w:rFonts w:hint="eastAsia" w:ascii="宋体" w:hAnsi="宋体" w:cs="宋体"/>
          <w:color w:val="auto"/>
          <w:sz w:val="24"/>
          <w:highlight w:val="none"/>
        </w:rPr>
        <w:t>供应商（电子签章）：</w:t>
      </w:r>
      <w:r>
        <w:rPr>
          <w:rFonts w:hint="eastAsia" w:ascii="宋体" w:hAnsi="宋体" w:cs="宋体"/>
          <w:color w:val="auto"/>
          <w:sz w:val="24"/>
          <w:highlight w:val="none"/>
          <w:u w:val="single"/>
        </w:rPr>
        <w:t xml:space="preserve">               </w:t>
      </w:r>
    </w:p>
    <w:p w14:paraId="1572378E">
      <w:pPr>
        <w:spacing w:line="360" w:lineRule="auto"/>
        <w:ind w:firstLine="4080" w:firstLineChars="1700"/>
        <w:contextualSpacing/>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64AFC64">
      <w:pPr>
        <w:spacing w:line="360" w:lineRule="auto"/>
        <w:contextualSpacing/>
        <w:jc w:val="center"/>
        <w:rPr>
          <w:rFonts w:hint="eastAsia" w:ascii="宋体" w:hAnsi="宋体" w:cs="宋体"/>
          <w:b/>
          <w:color w:val="auto"/>
          <w:sz w:val="24"/>
          <w:highlight w:val="none"/>
        </w:rPr>
      </w:pPr>
    </w:p>
    <w:p w14:paraId="2B876C5E">
      <w:pPr>
        <w:spacing w:line="360" w:lineRule="auto"/>
        <w:contextualSpacing/>
        <w:jc w:val="left"/>
        <w:rPr>
          <w:rFonts w:hint="eastAsia" w:ascii="宋体" w:hAnsi="宋体" w:cs="宋体"/>
          <w:color w:val="auto"/>
          <w:sz w:val="24"/>
          <w:highlight w:val="none"/>
        </w:rPr>
      </w:pPr>
    </w:p>
    <w:p w14:paraId="497DF9BA">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注：自然人竞标的无需提供，联合体竞标的只需牵头人出具。</w:t>
      </w:r>
    </w:p>
    <w:p w14:paraId="6EB9BAF0">
      <w:pPr>
        <w:adjustRightInd w:val="0"/>
        <w:snapToGrid w:val="0"/>
        <w:spacing w:line="300" w:lineRule="auto"/>
        <w:jc w:val="left"/>
        <w:rPr>
          <w:rFonts w:hint="eastAsia" w:ascii="宋体" w:hAnsi="宋体" w:cs="宋体"/>
          <w:b/>
          <w:color w:val="auto"/>
          <w:szCs w:val="21"/>
          <w:highlight w:val="none"/>
        </w:rPr>
      </w:pPr>
    </w:p>
    <w:p w14:paraId="63F5EFC9">
      <w:pPr>
        <w:spacing w:line="50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 xml:space="preserve"> </w:t>
      </w:r>
    </w:p>
    <w:p w14:paraId="5DD5D71F">
      <w:pPr>
        <w:spacing w:line="520" w:lineRule="exact"/>
        <w:jc w:val="center"/>
        <w:rPr>
          <w:rFonts w:hint="eastAsia" w:ascii="宋体" w:hAnsi="宋体" w:cs="宋体"/>
          <w:color w:val="auto"/>
          <w:sz w:val="44"/>
          <w:szCs w:val="44"/>
          <w:highlight w:val="none"/>
        </w:rPr>
      </w:pPr>
      <w:bookmarkStart w:id="133" w:name="_Hlk65853643"/>
      <w:r>
        <w:rPr>
          <w:rFonts w:hint="eastAsia" w:ascii="宋体" w:hAnsi="宋体" w:cs="宋体"/>
          <w:color w:val="auto"/>
          <w:sz w:val="44"/>
          <w:szCs w:val="44"/>
          <w:highlight w:val="none"/>
        </w:rPr>
        <w:t>授权委托书</w:t>
      </w:r>
    </w:p>
    <w:p w14:paraId="06F4D530">
      <w:pPr>
        <w:spacing w:line="520"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（非联合体竞标格式）</w:t>
      </w:r>
    </w:p>
    <w:p w14:paraId="18CC4A94">
      <w:pPr>
        <w:spacing w:line="520" w:lineRule="exact"/>
        <w:jc w:val="center"/>
        <w:rPr>
          <w:rFonts w:hint="eastAsia" w:ascii="宋体" w:hAnsi="宋体" w:cs="宋体"/>
          <w:color w:val="auto"/>
          <w:sz w:val="44"/>
          <w:szCs w:val="44"/>
          <w:highlight w:val="none"/>
        </w:rPr>
      </w:pPr>
      <w:r>
        <w:rPr>
          <w:rFonts w:hint="eastAsia" w:ascii="宋体" w:hAnsi="宋体" w:cs="宋体"/>
          <w:color w:val="auto"/>
          <w:sz w:val="32"/>
          <w:szCs w:val="32"/>
          <w:highlight w:val="none"/>
        </w:rPr>
        <w:t>（如有委托时）</w:t>
      </w:r>
    </w:p>
    <w:p w14:paraId="0A5AE589">
      <w:pPr>
        <w:spacing w:line="520" w:lineRule="exact"/>
        <w:rPr>
          <w:rFonts w:hint="eastAsia" w:ascii="宋体" w:hAnsi="宋体" w:cs="宋体"/>
          <w:color w:val="auto"/>
          <w:sz w:val="32"/>
          <w:szCs w:val="32"/>
          <w:highlight w:val="none"/>
        </w:rPr>
      </w:pPr>
    </w:p>
    <w:p w14:paraId="6CE250E1">
      <w:pPr>
        <w:spacing w:line="360" w:lineRule="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88D870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（项目名称）    （ 分标）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20895D42">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我方对委托代理人的签字或者电子签名事项负全部责任。</w:t>
      </w:r>
    </w:p>
    <w:p w14:paraId="6A4DE1B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4D75512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委托代理人无转委托权，特此委托。</w:t>
      </w:r>
    </w:p>
    <w:p w14:paraId="08571F2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附：委托代理人有效身份证正反面复印件</w:t>
      </w:r>
    </w:p>
    <w:p w14:paraId="184AAEFF">
      <w:pPr>
        <w:spacing w:line="360" w:lineRule="auto"/>
        <w:rPr>
          <w:rFonts w:hint="eastAsia" w:ascii="宋体" w:hAnsi="宋体" w:cs="宋体"/>
          <w:color w:val="auto"/>
          <w:sz w:val="24"/>
          <w:highlight w:val="none"/>
        </w:rPr>
      </w:pPr>
    </w:p>
    <w:p w14:paraId="103E0D5F">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 xml:space="preserve">委托代理人（签字或者电子签名）：     法定代表人（签字或者电子签名）：                    </w:t>
      </w:r>
    </w:p>
    <w:p w14:paraId="08B66F49">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0C7151BD">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5FE3B759">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供应商（电子签章）：                      </w:t>
      </w:r>
    </w:p>
    <w:p w14:paraId="5B886831">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191E7FDC">
      <w:pPr>
        <w:spacing w:line="360" w:lineRule="auto"/>
        <w:rPr>
          <w:rFonts w:hint="eastAsia" w:ascii="宋体" w:hAnsi="宋体" w:cs="宋体"/>
          <w:color w:val="auto"/>
          <w:sz w:val="24"/>
          <w:highlight w:val="none"/>
        </w:rPr>
      </w:pPr>
    </w:p>
    <w:p w14:paraId="115D62C6">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注：1. 法定代表人必须在授权委托书上签字或者盖章或者电子签名，委托代理人必须在授权委托书上签字或者电子签名，</w:t>
      </w:r>
      <w:r>
        <w:rPr>
          <w:rFonts w:hint="eastAsia" w:ascii="宋体" w:hAnsi="宋体" w:cs="宋体"/>
          <w:b/>
          <w:color w:val="auto"/>
          <w:sz w:val="24"/>
          <w:highlight w:val="none"/>
        </w:rPr>
        <w:t>否则其响应文件按无效响应处理。</w:t>
      </w:r>
    </w:p>
    <w:p w14:paraId="014C221E">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w:t>
      </w:r>
      <w:bookmarkStart w:id="134" w:name="_Hlk65853109"/>
      <w:bookmarkStart w:id="135" w:name="_Hlk65853542"/>
      <w:r>
        <w:rPr>
          <w:rFonts w:hint="eastAsia" w:ascii="宋体" w:hAnsi="宋体" w:cs="宋体"/>
          <w:color w:val="auto"/>
          <w:sz w:val="24"/>
          <w:highlight w:val="none"/>
        </w:rPr>
        <w:t>法人、其他组织竞标时“我方”是指“我单位”，自然人竞标时“我方”是指“本人”。</w:t>
      </w:r>
      <w:bookmarkEnd w:id="134"/>
    </w:p>
    <w:bookmarkEnd w:id="135"/>
    <w:p w14:paraId="4C2720DE">
      <w:pPr>
        <w:spacing w:line="360" w:lineRule="auto"/>
        <w:ind w:firstLine="420" w:firstLineChars="200"/>
        <w:jc w:val="left"/>
        <w:rPr>
          <w:rFonts w:hint="eastAsia" w:ascii="宋体" w:hAnsi="宋体" w:cs="宋体"/>
          <w:color w:val="auto"/>
          <w:szCs w:val="21"/>
          <w:highlight w:val="none"/>
        </w:rPr>
      </w:pPr>
    </w:p>
    <w:p w14:paraId="00B9416C">
      <w:pPr>
        <w:spacing w:line="500" w:lineRule="exact"/>
        <w:jc w:val="center"/>
        <w:rPr>
          <w:rFonts w:hint="eastAsia" w:ascii="宋体" w:hAnsi="宋体" w:cs="宋体"/>
          <w:color w:val="auto"/>
          <w:sz w:val="44"/>
          <w:szCs w:val="44"/>
          <w:highlight w:val="none"/>
        </w:rPr>
      </w:pPr>
      <w:r>
        <w:rPr>
          <w:rFonts w:hint="eastAsia" w:ascii="宋体" w:hAnsi="宋体" w:cs="宋体"/>
          <w:color w:val="auto"/>
          <w:szCs w:val="21"/>
          <w:highlight w:val="none"/>
        </w:rPr>
        <w:br w:type="page"/>
      </w:r>
      <w:r>
        <w:rPr>
          <w:rFonts w:hint="eastAsia" w:ascii="宋体" w:hAnsi="宋体" w:cs="宋体"/>
          <w:color w:val="auto"/>
          <w:sz w:val="44"/>
          <w:szCs w:val="44"/>
          <w:highlight w:val="none"/>
        </w:rPr>
        <w:t>授权委托书</w:t>
      </w:r>
    </w:p>
    <w:p w14:paraId="26F880F1">
      <w:pPr>
        <w:spacing w:line="500"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（联合体竞标格式）</w:t>
      </w:r>
    </w:p>
    <w:p w14:paraId="4FF4FEAB">
      <w:pPr>
        <w:spacing w:line="500" w:lineRule="exact"/>
        <w:jc w:val="center"/>
        <w:rPr>
          <w:rFonts w:hint="eastAsia" w:ascii="宋体" w:hAnsi="宋体" w:cs="宋体"/>
          <w:color w:val="auto"/>
          <w:sz w:val="44"/>
          <w:szCs w:val="44"/>
          <w:highlight w:val="none"/>
        </w:rPr>
      </w:pPr>
      <w:r>
        <w:rPr>
          <w:rFonts w:hint="eastAsia" w:ascii="宋体" w:hAnsi="宋体" w:cs="宋体"/>
          <w:color w:val="auto"/>
          <w:sz w:val="32"/>
          <w:szCs w:val="32"/>
          <w:highlight w:val="none"/>
        </w:rPr>
        <w:t>（如有委托时）</w:t>
      </w:r>
    </w:p>
    <w:p w14:paraId="7ED603E4">
      <w:pPr>
        <w:spacing w:line="500" w:lineRule="exact"/>
        <w:jc w:val="center"/>
        <w:rPr>
          <w:rFonts w:hint="eastAsia" w:ascii="宋体" w:hAnsi="宋体" w:cs="宋体"/>
          <w:color w:val="auto"/>
          <w:sz w:val="44"/>
          <w:szCs w:val="44"/>
          <w:highlight w:val="none"/>
        </w:rPr>
      </w:pPr>
    </w:p>
    <w:p w14:paraId="3F051679">
      <w:pPr>
        <w:spacing w:line="500" w:lineRule="exact"/>
        <w:jc w:val="center"/>
        <w:rPr>
          <w:rFonts w:hint="eastAsia" w:ascii="宋体" w:hAnsi="宋体" w:cs="宋体"/>
          <w:color w:val="auto"/>
          <w:sz w:val="32"/>
          <w:szCs w:val="32"/>
          <w:highlight w:val="none"/>
        </w:rPr>
      </w:pPr>
    </w:p>
    <w:p w14:paraId="10D45AC3">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（联合体其他成员名称）签订的《联合体竞标协议书》的内容，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45A9AC7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我方对委托代理人的签字或者电子签名事项负全部责任。</w:t>
      </w:r>
    </w:p>
    <w:p w14:paraId="0A92134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3A35617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委托代理人无转委托权，特此委托。</w:t>
      </w:r>
    </w:p>
    <w:p w14:paraId="4B28D43B">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 xml:space="preserve">    附：委托代理人有效身份证正反面复印件</w:t>
      </w:r>
    </w:p>
    <w:p w14:paraId="70CB375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牵头人法定代表人（签字或者盖章或者电子签名）：</w:t>
      </w:r>
    </w:p>
    <w:p w14:paraId="09C49812">
      <w:pPr>
        <w:spacing w:line="360" w:lineRule="auto"/>
        <w:ind w:firstLine="3120" w:firstLineChars="1300"/>
        <w:contextualSpacing/>
        <w:rPr>
          <w:rFonts w:hint="eastAsia" w:ascii="宋体" w:hAnsi="宋体" w:cs="宋体"/>
          <w:color w:val="auto"/>
          <w:sz w:val="24"/>
          <w:highlight w:val="none"/>
        </w:rPr>
      </w:pPr>
      <w:r>
        <w:rPr>
          <w:rFonts w:hint="eastAsia" w:ascii="宋体" w:hAnsi="宋体" w:cs="宋体"/>
          <w:color w:val="auto"/>
          <w:sz w:val="24"/>
          <w:highlight w:val="none"/>
        </w:rPr>
        <w:t>牵头人（电子签章）：</w:t>
      </w:r>
    </w:p>
    <w:p w14:paraId="2327C925">
      <w:pPr>
        <w:spacing w:line="360" w:lineRule="auto"/>
        <w:ind w:firstLine="3840" w:firstLineChars="1600"/>
        <w:contextualSpacing/>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693524C3">
      <w:pPr>
        <w:spacing w:line="360" w:lineRule="auto"/>
        <w:contextualSpacing/>
        <w:rPr>
          <w:rFonts w:hint="eastAsia" w:ascii="宋体" w:hAnsi="宋体" w:cs="宋体"/>
          <w:color w:val="auto"/>
          <w:sz w:val="24"/>
          <w:highlight w:val="none"/>
        </w:rPr>
      </w:pPr>
    </w:p>
    <w:p w14:paraId="4610A52E">
      <w:pPr>
        <w:spacing w:line="360" w:lineRule="auto"/>
        <w:ind w:firstLine="3120" w:firstLineChars="1300"/>
        <w:contextualSpacing/>
        <w:rPr>
          <w:rFonts w:hint="eastAsia" w:ascii="宋体" w:hAnsi="宋体" w:cs="宋体"/>
          <w:color w:val="auto"/>
          <w:sz w:val="24"/>
          <w:highlight w:val="none"/>
        </w:rPr>
      </w:pPr>
      <w:r>
        <w:rPr>
          <w:rFonts w:hint="eastAsia" w:ascii="宋体" w:hAnsi="宋体" w:cs="宋体"/>
          <w:color w:val="auto"/>
          <w:sz w:val="24"/>
          <w:highlight w:val="none"/>
        </w:rPr>
        <w:t>被授权人（签字或者电子签名）：</w:t>
      </w:r>
    </w:p>
    <w:p w14:paraId="3BCEFBA9">
      <w:pPr>
        <w:spacing w:line="360" w:lineRule="auto"/>
        <w:ind w:firstLine="3840" w:firstLineChars="1600"/>
        <w:contextualSpacing/>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08BDBAEA">
      <w:pPr>
        <w:spacing w:line="360" w:lineRule="auto"/>
        <w:contextualSpacing/>
        <w:rPr>
          <w:rFonts w:hint="eastAsia" w:ascii="宋体" w:hAnsi="宋体" w:cs="宋体"/>
          <w:color w:val="auto"/>
          <w:sz w:val="24"/>
          <w:highlight w:val="none"/>
        </w:rPr>
      </w:pPr>
    </w:p>
    <w:p w14:paraId="04697179">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注：1. 法定代表人必须在授权委托书上签字或者盖章或者电子签名，委托代理人必须在授权委托书上签字或者电子签名，</w:t>
      </w:r>
      <w:r>
        <w:rPr>
          <w:rFonts w:hint="eastAsia" w:ascii="宋体" w:hAnsi="宋体" w:cs="宋体"/>
          <w:b/>
          <w:color w:val="auto"/>
          <w:sz w:val="24"/>
          <w:highlight w:val="none"/>
        </w:rPr>
        <w:t>否则其响应文件按无效响应处理。</w:t>
      </w:r>
    </w:p>
    <w:p w14:paraId="66C279DB">
      <w:pPr>
        <w:spacing w:line="360" w:lineRule="auto"/>
        <w:ind w:firstLine="480" w:firstLineChars="200"/>
        <w:jc w:val="left"/>
        <w:rPr>
          <w:rFonts w:hint="eastAsia" w:ascii="宋体" w:hAnsi="宋体" w:cs="宋体"/>
          <w:color w:val="auto"/>
          <w:spacing w:val="-11"/>
          <w:sz w:val="24"/>
          <w:highlight w:val="none"/>
        </w:rPr>
      </w:pPr>
      <w:r>
        <w:rPr>
          <w:rFonts w:hint="eastAsia" w:ascii="宋体" w:hAnsi="宋体" w:cs="宋体"/>
          <w:color w:val="auto"/>
          <w:sz w:val="24"/>
          <w:highlight w:val="none"/>
        </w:rPr>
        <w:t>2.法人、其他组织竞标时“我方”是指“我单位”，自然人竞标时“我方”是指“本人”。</w:t>
      </w:r>
    </w:p>
    <w:bookmarkEnd w:id="133"/>
    <w:p w14:paraId="4867A398">
      <w:pPr>
        <w:spacing w:line="500" w:lineRule="exact"/>
        <w:jc w:val="center"/>
        <w:rPr>
          <w:rFonts w:hint="eastAsia" w:ascii="宋体" w:hAnsi="宋体" w:cs="宋体"/>
          <w:bCs/>
          <w:color w:val="auto"/>
          <w:sz w:val="44"/>
          <w:szCs w:val="44"/>
          <w:highlight w:val="none"/>
        </w:rPr>
      </w:pPr>
      <w:r>
        <w:rPr>
          <w:rFonts w:hint="eastAsia" w:ascii="宋体" w:hAnsi="宋体" w:cs="宋体"/>
          <w:color w:val="auto"/>
          <w:sz w:val="32"/>
          <w:szCs w:val="32"/>
          <w:highlight w:val="none"/>
        </w:rPr>
        <w:br w:type="page"/>
      </w:r>
      <w:r>
        <w:rPr>
          <w:rFonts w:hint="eastAsia" w:ascii="宋体" w:hAnsi="宋体" w:cs="宋体"/>
          <w:bCs/>
          <w:color w:val="auto"/>
          <w:sz w:val="44"/>
          <w:szCs w:val="44"/>
          <w:highlight w:val="none"/>
        </w:rPr>
        <w:t>商务要求偏离表格式</w:t>
      </w:r>
    </w:p>
    <w:p w14:paraId="7726F30F">
      <w:pPr>
        <w:spacing w:line="500" w:lineRule="exact"/>
        <w:jc w:val="center"/>
        <w:rPr>
          <w:rFonts w:hint="eastAsia" w:ascii="宋体" w:hAnsi="宋体" w:cs="宋体"/>
          <w:b/>
          <w:i/>
          <w:color w:val="auto"/>
          <w:sz w:val="32"/>
          <w:szCs w:val="32"/>
          <w:highlight w:val="none"/>
        </w:rPr>
      </w:pPr>
      <w:r>
        <w:rPr>
          <w:rFonts w:hint="eastAsia" w:ascii="宋体" w:hAnsi="宋体" w:cs="宋体"/>
          <w:bCs/>
          <w:i/>
          <w:color w:val="auto"/>
          <w:sz w:val="32"/>
          <w:szCs w:val="32"/>
          <w:highlight w:val="none"/>
        </w:rPr>
        <w:t>（注：按采购需求具体条款修改）</w:t>
      </w:r>
    </w:p>
    <w:p w14:paraId="4A7D67CF">
      <w:pPr>
        <w:spacing w:line="360" w:lineRule="auto"/>
        <w:contextualSpacing/>
        <w:jc w:val="left"/>
        <w:rPr>
          <w:rFonts w:hint="eastAsia" w:ascii="宋体" w:hAnsi="宋体" w:cs="宋体"/>
          <w:color w:val="auto"/>
          <w:sz w:val="24"/>
          <w:highlight w:val="none"/>
        </w:rPr>
      </w:pPr>
    </w:p>
    <w:p w14:paraId="6ECEA527">
      <w:pPr>
        <w:spacing w:line="360" w:lineRule="auto"/>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14:paraId="17AB7465">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118F8714">
      <w:pPr>
        <w:pStyle w:val="18"/>
        <w:spacing w:line="360" w:lineRule="auto"/>
        <w:contextualSpacing/>
        <w:rPr>
          <w:rFonts w:hint="eastAsia" w:hAnsi="宋体" w:cs="宋体"/>
          <w:color w:val="auto"/>
          <w:sz w:val="24"/>
          <w:szCs w:val="24"/>
          <w:highlight w:val="none"/>
        </w:rPr>
      </w:pPr>
      <w:r>
        <w:rPr>
          <w:rFonts w:hint="eastAsia" w:hAnsi="宋体" w:cs="宋体"/>
          <w:color w:val="auto"/>
          <w:sz w:val="24"/>
          <w:highlight w:val="none"/>
        </w:rPr>
        <w:t>分标号：</w:t>
      </w:r>
      <w:r>
        <w:rPr>
          <w:rFonts w:hint="eastAsia" w:hAnsi="宋体" w:cs="宋体"/>
          <w:color w:val="auto"/>
          <w:sz w:val="24"/>
          <w:highlight w:val="none"/>
          <w:u w:val="single"/>
        </w:rPr>
        <w:t xml:space="preserve">                       </w:t>
      </w:r>
    </w:p>
    <w:p w14:paraId="6253EB22">
      <w:pPr>
        <w:spacing w:line="360" w:lineRule="auto"/>
        <w:contextualSpacing/>
        <w:jc w:val="left"/>
        <w:rPr>
          <w:rFonts w:hint="eastAsia" w:ascii="宋体" w:hAnsi="宋体" w:cs="宋体"/>
          <w:color w:val="auto"/>
          <w:sz w:val="24"/>
          <w:highlight w:val="none"/>
          <w:u w:val="single"/>
        </w:rPr>
      </w:pPr>
    </w:p>
    <w:tbl>
      <w:tblPr>
        <w:tblStyle w:val="32"/>
        <w:tblpPr w:leftFromText="180" w:rightFromText="180" w:vertAnchor="text" w:horzAnchor="margin"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66DBB0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743AF03A">
            <w:pPr>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4E12556">
            <w:pPr>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71B9EB28">
            <w:pPr>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634B1334">
            <w:pPr>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偏离说明</w:t>
            </w:r>
          </w:p>
        </w:tc>
      </w:tr>
      <w:tr w14:paraId="5D6FA9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412B563D">
            <w:pPr>
              <w:jc w:val="center"/>
              <w:rPr>
                <w:rFonts w:hint="eastAsia" w:ascii="宋体" w:hAnsi="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CBAC205">
            <w:pPr>
              <w:spacing w:line="360" w:lineRule="auto"/>
              <w:contextualSpacing/>
              <w:jc w:val="center"/>
              <w:rPr>
                <w:rFonts w:hint="eastAsia"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688A5244">
            <w:pPr>
              <w:spacing w:line="360" w:lineRule="auto"/>
              <w:contextualSpacing/>
              <w:jc w:val="center"/>
              <w:rPr>
                <w:rFonts w:hint="eastAsia"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1CA74ADB">
            <w:pPr>
              <w:spacing w:line="360" w:lineRule="auto"/>
              <w:contextualSpacing/>
              <w:jc w:val="center"/>
              <w:rPr>
                <w:rFonts w:hint="eastAsia" w:ascii="宋体" w:hAnsi="宋体" w:cs="宋体"/>
                <w:color w:val="auto"/>
                <w:sz w:val="24"/>
                <w:highlight w:val="none"/>
              </w:rPr>
            </w:pPr>
          </w:p>
        </w:tc>
      </w:tr>
      <w:tr w14:paraId="11AEE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12C1A37B">
            <w:pPr>
              <w:jc w:val="center"/>
              <w:rPr>
                <w:rFonts w:hint="eastAsia" w:ascii="宋体" w:hAnsi="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5B0774F">
            <w:pPr>
              <w:spacing w:line="360" w:lineRule="auto"/>
              <w:contextualSpacing/>
              <w:jc w:val="center"/>
              <w:rPr>
                <w:rFonts w:hint="eastAsia"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2BD63A02">
            <w:pPr>
              <w:spacing w:line="360" w:lineRule="auto"/>
              <w:ind w:left="43"/>
              <w:contextualSpacing/>
              <w:jc w:val="center"/>
              <w:rPr>
                <w:rFonts w:hint="eastAsia"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710E0DFD">
            <w:pPr>
              <w:spacing w:line="360" w:lineRule="auto"/>
              <w:ind w:left="43"/>
              <w:contextualSpacing/>
              <w:jc w:val="center"/>
              <w:rPr>
                <w:rFonts w:hint="eastAsia" w:ascii="宋体" w:hAnsi="宋体" w:cs="宋体"/>
                <w:color w:val="auto"/>
                <w:sz w:val="24"/>
                <w:highlight w:val="none"/>
              </w:rPr>
            </w:pPr>
          </w:p>
        </w:tc>
      </w:tr>
      <w:tr w14:paraId="07C7FA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299059EE">
            <w:pPr>
              <w:spacing w:line="360" w:lineRule="auto"/>
              <w:contextualSpacing/>
              <w:jc w:val="center"/>
              <w:rPr>
                <w:rFonts w:hint="eastAsia" w:ascii="宋体" w:hAnsi="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3B59A43">
            <w:pPr>
              <w:spacing w:line="360" w:lineRule="auto"/>
              <w:contextualSpacing/>
              <w:jc w:val="center"/>
              <w:rPr>
                <w:rFonts w:hint="eastAsia"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1D714711">
            <w:pPr>
              <w:spacing w:line="360" w:lineRule="auto"/>
              <w:contextualSpacing/>
              <w:jc w:val="center"/>
              <w:rPr>
                <w:rFonts w:hint="eastAsia"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5855C69B">
            <w:pPr>
              <w:spacing w:line="360" w:lineRule="auto"/>
              <w:contextualSpacing/>
              <w:jc w:val="center"/>
              <w:rPr>
                <w:rFonts w:hint="eastAsia" w:ascii="宋体" w:hAnsi="宋体" w:cs="宋体"/>
                <w:color w:val="auto"/>
                <w:sz w:val="24"/>
                <w:highlight w:val="none"/>
              </w:rPr>
            </w:pPr>
          </w:p>
        </w:tc>
      </w:tr>
    </w:tbl>
    <w:p w14:paraId="18B38184">
      <w:pPr>
        <w:pStyle w:val="13"/>
        <w:spacing w:after="0" w:line="360" w:lineRule="auto"/>
        <w:contextualSpacing/>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057ABA2C">
      <w:pPr>
        <w:pStyle w:val="13"/>
        <w:spacing w:after="0" w:line="360" w:lineRule="auto"/>
        <w:contextualSpacing/>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 说明：应对照磋商文件“第三章 采购需求”中的“商务要求”逐条作出明确响应，并作出偏离说明。</w:t>
      </w:r>
    </w:p>
    <w:p w14:paraId="3F8DAA8C">
      <w:pPr>
        <w:spacing w:line="360" w:lineRule="auto"/>
        <w:contextualSpacing/>
        <w:jc w:val="left"/>
        <w:rPr>
          <w:rFonts w:hint="eastAsia" w:ascii="宋体" w:hAnsi="宋体" w:cs="宋体"/>
          <w:color w:val="auto"/>
          <w:kern w:val="0"/>
          <w:sz w:val="24"/>
          <w:highlight w:val="none"/>
        </w:rPr>
      </w:pPr>
      <w:r>
        <w:rPr>
          <w:rFonts w:hint="eastAsia" w:ascii="宋体" w:hAnsi="宋体" w:cs="宋体"/>
          <w:color w:val="auto"/>
          <w:kern w:val="0"/>
          <w:sz w:val="24"/>
          <w:highlight w:val="none"/>
        </w:rPr>
        <w:t>2.采购需求中带“▲”的条款，也要分别在本表“磋商文件商务要求”、“供应商的响应”中标记。</w:t>
      </w:r>
    </w:p>
    <w:p w14:paraId="597EDC00">
      <w:pPr>
        <w:spacing w:line="360" w:lineRule="auto"/>
        <w:contextualSpacing/>
        <w:jc w:val="left"/>
        <w:rPr>
          <w:rFonts w:hint="eastAsia" w:ascii="宋体" w:hAnsi="宋体" w:cs="宋体"/>
          <w:color w:val="auto"/>
          <w:sz w:val="24"/>
          <w:highlight w:val="none"/>
          <w:u w:val="single"/>
        </w:rPr>
      </w:pPr>
      <w:r>
        <w:rPr>
          <w:rFonts w:hint="eastAsia" w:ascii="宋体" w:hAnsi="宋体" w:cs="宋体"/>
          <w:color w:val="auto"/>
          <w:kern w:val="0"/>
          <w:sz w:val="24"/>
          <w:highlight w:val="none"/>
        </w:rPr>
        <w:t>3.供应商应根据自身的承诺，对照磋商文件要求在“偏离说明”中注明“正偏离”、“负偏离”或者“无偏离”。既不属于“正偏离”也不属于“负偏离”即为“无偏离”。</w:t>
      </w:r>
    </w:p>
    <w:p w14:paraId="73FBF11C">
      <w:pPr>
        <w:spacing w:line="360" w:lineRule="auto"/>
        <w:ind w:right="-817" w:rightChars="-389"/>
        <w:contextualSpacing/>
        <w:rPr>
          <w:rFonts w:hint="eastAsia" w:ascii="宋体" w:hAnsi="宋体" w:cs="宋体"/>
          <w:color w:val="auto"/>
          <w:sz w:val="24"/>
          <w:highlight w:val="none"/>
        </w:rPr>
      </w:pPr>
    </w:p>
    <w:p w14:paraId="1A42E68C">
      <w:pPr>
        <w:spacing w:line="360" w:lineRule="auto"/>
        <w:ind w:right="-817" w:rightChars="-389" w:firstLine="2640" w:firstLineChars="1100"/>
        <w:contextualSpacing/>
        <w:rPr>
          <w:rFonts w:hint="eastAsia" w:ascii="宋体" w:hAnsi="宋体" w:cs="宋体"/>
          <w:color w:val="auto"/>
          <w:sz w:val="24"/>
          <w:highlight w:val="none"/>
        </w:rPr>
      </w:pPr>
      <w:r>
        <w:rPr>
          <w:rFonts w:hint="eastAsia" w:ascii="宋体" w:hAnsi="宋体" w:cs="宋体"/>
          <w:color w:val="auto"/>
          <w:sz w:val="24"/>
          <w:highlight w:val="none"/>
        </w:rPr>
        <w:t xml:space="preserve">供应商（电子签章）：      </w:t>
      </w:r>
    </w:p>
    <w:p w14:paraId="5CC4551A">
      <w:pPr>
        <w:spacing w:line="360" w:lineRule="auto"/>
        <w:ind w:right="-817" w:rightChars="-389" w:firstLine="4080" w:firstLineChars="1700"/>
        <w:contextualSpacing/>
        <w:rPr>
          <w:rFonts w:hint="eastAsia" w:ascii="宋体" w:hAnsi="宋体" w:cs="宋体"/>
          <w:b/>
          <w:color w:val="auto"/>
          <w:sz w:val="32"/>
          <w:szCs w:val="32"/>
          <w:highlight w:val="none"/>
        </w:rPr>
      </w:pPr>
      <w:r>
        <w:rPr>
          <w:rFonts w:hint="eastAsia" w:ascii="宋体" w:hAnsi="宋体" w:cs="宋体"/>
          <w:color w:val="auto"/>
          <w:sz w:val="24"/>
          <w:highlight w:val="none"/>
        </w:rPr>
        <w:t>日期：   年   月   日</w:t>
      </w:r>
    </w:p>
    <w:p w14:paraId="7288453C">
      <w:pPr>
        <w:adjustRightInd w:val="0"/>
        <w:snapToGrid w:val="0"/>
        <w:spacing w:line="520" w:lineRule="exact"/>
        <w:ind w:firstLine="7040" w:firstLineChars="1600"/>
        <w:jc w:val="center"/>
        <w:rPr>
          <w:rFonts w:hint="eastAsia" w:ascii="宋体" w:hAnsi="宋体" w:cs="宋体"/>
          <w:bCs/>
          <w:color w:val="auto"/>
          <w:sz w:val="44"/>
          <w:szCs w:val="44"/>
          <w:highlight w:val="none"/>
        </w:rPr>
      </w:pPr>
    </w:p>
    <w:p w14:paraId="1E495DD1">
      <w:pPr>
        <w:adjustRightInd w:val="0"/>
        <w:snapToGrid w:val="0"/>
        <w:spacing w:line="520" w:lineRule="exact"/>
        <w:ind w:firstLine="7040" w:firstLineChars="1600"/>
        <w:jc w:val="center"/>
        <w:rPr>
          <w:rFonts w:hint="eastAsia" w:ascii="宋体" w:hAnsi="宋体" w:cs="宋体"/>
          <w:bCs/>
          <w:color w:val="auto"/>
          <w:sz w:val="44"/>
          <w:szCs w:val="44"/>
          <w:highlight w:val="none"/>
        </w:rPr>
      </w:pPr>
    </w:p>
    <w:p w14:paraId="1678208F">
      <w:pPr>
        <w:adjustRightInd w:val="0"/>
        <w:snapToGrid w:val="0"/>
        <w:spacing w:line="520" w:lineRule="exact"/>
        <w:ind w:firstLine="7040" w:firstLineChars="1600"/>
        <w:jc w:val="center"/>
        <w:rPr>
          <w:rFonts w:hint="eastAsia" w:ascii="宋体" w:hAnsi="宋体" w:cs="宋体"/>
          <w:bCs/>
          <w:color w:val="auto"/>
          <w:sz w:val="44"/>
          <w:szCs w:val="44"/>
          <w:highlight w:val="none"/>
        </w:rPr>
      </w:pPr>
    </w:p>
    <w:p w14:paraId="0CA4A9F8">
      <w:pPr>
        <w:adjustRightInd w:val="0"/>
        <w:snapToGrid w:val="0"/>
        <w:spacing w:line="520" w:lineRule="exact"/>
        <w:ind w:firstLine="7040" w:firstLineChars="1600"/>
        <w:jc w:val="center"/>
        <w:rPr>
          <w:rFonts w:hint="eastAsia" w:ascii="宋体" w:hAnsi="宋体" w:cs="宋体"/>
          <w:bCs/>
          <w:color w:val="auto"/>
          <w:sz w:val="44"/>
          <w:szCs w:val="44"/>
          <w:highlight w:val="none"/>
        </w:rPr>
      </w:pPr>
    </w:p>
    <w:p w14:paraId="4D992844">
      <w:pPr>
        <w:adjustRightInd w:val="0"/>
        <w:snapToGrid w:val="0"/>
        <w:spacing w:line="300" w:lineRule="auto"/>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br w:type="page"/>
      </w:r>
      <w:r>
        <w:rPr>
          <w:rFonts w:hint="eastAsia" w:ascii="宋体" w:hAnsi="宋体" w:cs="宋体"/>
          <w:bCs/>
          <w:color w:val="auto"/>
          <w:sz w:val="44"/>
          <w:szCs w:val="44"/>
          <w:highlight w:val="none"/>
        </w:rPr>
        <w:t>技术要求偏离表</w:t>
      </w:r>
    </w:p>
    <w:p w14:paraId="056C4746">
      <w:pPr>
        <w:spacing w:line="360" w:lineRule="auto"/>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14:paraId="5CB31B0B">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063C6719">
      <w:pPr>
        <w:spacing w:line="360" w:lineRule="auto"/>
        <w:contextualSpacing/>
        <w:rPr>
          <w:rFonts w:hint="eastAsia"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 w:val="24"/>
          <w:highlight w:val="none"/>
          <w:u w:val="single"/>
        </w:rPr>
        <w:t xml:space="preserve">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915"/>
        <w:gridCol w:w="3038"/>
        <w:gridCol w:w="2734"/>
        <w:gridCol w:w="1492"/>
      </w:tblGrid>
      <w:tr w14:paraId="1F4C23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252385CC">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bookmarkStart w:id="136" w:name="_Toc254970729"/>
            <w:bookmarkStart w:id="137" w:name="_Toc173066401"/>
            <w:bookmarkStart w:id="138" w:name="_Toc295404981"/>
            <w:bookmarkStart w:id="139" w:name="_Toc383699906"/>
            <w:bookmarkStart w:id="140" w:name="_Toc301781611"/>
            <w:bookmarkStart w:id="141" w:name="_Toc373333689"/>
            <w:bookmarkStart w:id="142" w:name="_Toc254970588"/>
            <w:bookmarkStart w:id="143" w:name="_Toc173211900"/>
            <w:bookmarkStart w:id="144" w:name="_Toc297193185"/>
            <w:r>
              <w:rPr>
                <w:rFonts w:hint="eastAsia" w:ascii="宋体" w:hAnsi="宋体" w:eastAsia="宋体" w:cs="宋体"/>
                <w:color w:val="auto"/>
                <w:kern w:val="2"/>
                <w:sz w:val="24"/>
                <w:szCs w:val="24"/>
                <w:highlight w:val="none"/>
              </w:rPr>
              <w:t>序号</w:t>
            </w:r>
            <w:bookmarkEnd w:id="136"/>
            <w:bookmarkEnd w:id="137"/>
            <w:bookmarkEnd w:id="138"/>
            <w:bookmarkEnd w:id="139"/>
            <w:bookmarkEnd w:id="140"/>
            <w:bookmarkEnd w:id="141"/>
            <w:bookmarkEnd w:id="142"/>
            <w:bookmarkEnd w:id="143"/>
            <w:bookmarkEnd w:id="144"/>
          </w:p>
        </w:tc>
        <w:tc>
          <w:tcPr>
            <w:tcW w:w="915" w:type="dxa"/>
            <w:tcBorders>
              <w:right w:val="single" w:color="auto" w:sz="4" w:space="0"/>
            </w:tcBorders>
            <w:noWrap w:val="0"/>
            <w:vAlign w:val="center"/>
          </w:tcPr>
          <w:p w14:paraId="5E5991B8">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名称</w:t>
            </w:r>
          </w:p>
        </w:tc>
        <w:tc>
          <w:tcPr>
            <w:tcW w:w="3038" w:type="dxa"/>
            <w:tcBorders>
              <w:left w:val="single" w:color="auto" w:sz="4" w:space="0"/>
            </w:tcBorders>
            <w:noWrap w:val="0"/>
            <w:vAlign w:val="center"/>
          </w:tcPr>
          <w:p w14:paraId="36750784">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磋商文件技术要求</w:t>
            </w:r>
          </w:p>
        </w:tc>
        <w:tc>
          <w:tcPr>
            <w:tcW w:w="2734" w:type="dxa"/>
            <w:noWrap w:val="0"/>
            <w:vAlign w:val="center"/>
          </w:tcPr>
          <w:p w14:paraId="2C9B038B">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bookmarkStart w:id="145" w:name="_Toc173066403"/>
            <w:bookmarkStart w:id="146" w:name="_Toc254970731"/>
            <w:bookmarkStart w:id="147" w:name="_Toc254970590"/>
            <w:bookmarkStart w:id="148" w:name="_Toc173211902"/>
            <w:bookmarkStart w:id="149" w:name="_Toc383699908"/>
            <w:bookmarkStart w:id="150" w:name="_Toc301781613"/>
            <w:bookmarkStart w:id="151" w:name="_Toc295404983"/>
            <w:bookmarkStart w:id="152" w:name="_Toc297193187"/>
            <w:bookmarkStart w:id="153" w:name="_Toc373333691"/>
            <w:r>
              <w:rPr>
                <w:rFonts w:hint="eastAsia" w:ascii="宋体" w:hAnsi="宋体" w:eastAsia="宋体" w:cs="宋体"/>
                <w:color w:val="auto"/>
                <w:kern w:val="2"/>
                <w:sz w:val="24"/>
                <w:szCs w:val="24"/>
                <w:highlight w:val="none"/>
              </w:rPr>
              <w:t>竞标响应</w:t>
            </w:r>
            <w:bookmarkEnd w:id="145"/>
            <w:bookmarkEnd w:id="146"/>
            <w:bookmarkEnd w:id="147"/>
            <w:bookmarkEnd w:id="148"/>
            <w:bookmarkEnd w:id="149"/>
            <w:bookmarkEnd w:id="150"/>
            <w:bookmarkEnd w:id="151"/>
            <w:bookmarkEnd w:id="152"/>
            <w:bookmarkEnd w:id="153"/>
          </w:p>
        </w:tc>
        <w:tc>
          <w:tcPr>
            <w:tcW w:w="1492" w:type="dxa"/>
            <w:noWrap w:val="0"/>
            <w:vAlign w:val="center"/>
          </w:tcPr>
          <w:p w14:paraId="567EE32D">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bookmarkStart w:id="154" w:name="_Toc383699909"/>
            <w:bookmarkStart w:id="155" w:name="_Toc173066404"/>
            <w:bookmarkStart w:id="156" w:name="_Toc295404984"/>
            <w:bookmarkStart w:id="157" w:name="_Toc254970591"/>
            <w:bookmarkStart w:id="158" w:name="_Toc173211903"/>
            <w:bookmarkStart w:id="159" w:name="_Toc373333692"/>
            <w:bookmarkStart w:id="160" w:name="_Toc297193188"/>
            <w:bookmarkStart w:id="161" w:name="_Toc301781614"/>
            <w:bookmarkStart w:id="162" w:name="_Toc254970732"/>
            <w:r>
              <w:rPr>
                <w:rFonts w:hint="eastAsia" w:ascii="宋体" w:hAnsi="宋体" w:eastAsia="宋体" w:cs="宋体"/>
                <w:color w:val="auto"/>
                <w:kern w:val="2"/>
                <w:sz w:val="24"/>
                <w:szCs w:val="24"/>
                <w:highlight w:val="none"/>
              </w:rPr>
              <w:t>偏离</w:t>
            </w:r>
            <w:bookmarkEnd w:id="154"/>
            <w:bookmarkEnd w:id="155"/>
            <w:bookmarkEnd w:id="156"/>
            <w:bookmarkEnd w:id="157"/>
            <w:bookmarkEnd w:id="158"/>
            <w:bookmarkEnd w:id="159"/>
            <w:bookmarkEnd w:id="160"/>
            <w:bookmarkEnd w:id="161"/>
            <w:bookmarkEnd w:id="162"/>
            <w:bookmarkStart w:id="163" w:name="_Toc383699910"/>
            <w:bookmarkStart w:id="164" w:name="_Toc295404985"/>
            <w:bookmarkStart w:id="165" w:name="_Toc173211904"/>
            <w:bookmarkStart w:id="166" w:name="_Toc254970733"/>
            <w:bookmarkStart w:id="167" w:name="_Toc297193189"/>
            <w:bookmarkStart w:id="168" w:name="_Toc254970592"/>
            <w:bookmarkStart w:id="169" w:name="_Toc173066405"/>
            <w:bookmarkStart w:id="170" w:name="_Toc373333693"/>
            <w:bookmarkStart w:id="171" w:name="_Toc301781615"/>
            <w:r>
              <w:rPr>
                <w:rFonts w:hint="eastAsia" w:ascii="宋体" w:hAnsi="宋体" w:eastAsia="宋体" w:cs="宋体"/>
                <w:color w:val="auto"/>
                <w:kern w:val="2"/>
                <w:sz w:val="24"/>
                <w:szCs w:val="24"/>
                <w:highlight w:val="none"/>
              </w:rPr>
              <w:t>说明</w:t>
            </w:r>
            <w:bookmarkEnd w:id="163"/>
            <w:bookmarkEnd w:id="164"/>
            <w:bookmarkEnd w:id="165"/>
            <w:bookmarkEnd w:id="166"/>
            <w:bookmarkEnd w:id="167"/>
            <w:bookmarkEnd w:id="168"/>
            <w:bookmarkEnd w:id="169"/>
            <w:bookmarkEnd w:id="170"/>
            <w:bookmarkEnd w:id="171"/>
          </w:p>
        </w:tc>
      </w:tr>
      <w:tr w14:paraId="2EECBC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6FE4C93D">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bookmarkStart w:id="172" w:name="_Toc173211905"/>
            <w:bookmarkStart w:id="173" w:name="_Toc383699911"/>
            <w:bookmarkStart w:id="174" w:name="_Toc373333694"/>
            <w:bookmarkStart w:id="175" w:name="_Toc254970734"/>
            <w:bookmarkStart w:id="176" w:name="_Toc297193190"/>
            <w:bookmarkStart w:id="177" w:name="_Toc301781616"/>
            <w:bookmarkStart w:id="178" w:name="_Toc254970593"/>
            <w:bookmarkStart w:id="179" w:name="_Toc295404986"/>
            <w:bookmarkStart w:id="180" w:name="_Toc173066406"/>
            <w:r>
              <w:rPr>
                <w:rFonts w:hint="eastAsia" w:ascii="宋体" w:hAnsi="宋体" w:eastAsia="宋体" w:cs="宋体"/>
                <w:color w:val="auto"/>
                <w:kern w:val="2"/>
                <w:sz w:val="24"/>
                <w:szCs w:val="24"/>
                <w:highlight w:val="none"/>
              </w:rPr>
              <w:t>1</w:t>
            </w:r>
            <w:bookmarkEnd w:id="172"/>
            <w:bookmarkEnd w:id="173"/>
            <w:bookmarkEnd w:id="174"/>
            <w:bookmarkEnd w:id="175"/>
            <w:bookmarkEnd w:id="176"/>
            <w:bookmarkEnd w:id="177"/>
            <w:bookmarkEnd w:id="178"/>
            <w:bookmarkEnd w:id="179"/>
            <w:bookmarkEnd w:id="180"/>
          </w:p>
        </w:tc>
        <w:tc>
          <w:tcPr>
            <w:tcW w:w="915" w:type="dxa"/>
            <w:tcBorders>
              <w:right w:val="single" w:color="auto" w:sz="4" w:space="0"/>
            </w:tcBorders>
            <w:noWrap w:val="0"/>
            <w:vAlign w:val="center"/>
          </w:tcPr>
          <w:p w14:paraId="271B4624">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3038" w:type="dxa"/>
            <w:tcBorders>
              <w:left w:val="single" w:color="auto" w:sz="4" w:space="0"/>
            </w:tcBorders>
            <w:noWrap w:val="0"/>
            <w:vAlign w:val="center"/>
          </w:tcPr>
          <w:p w14:paraId="2BBB0312">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734" w:type="dxa"/>
            <w:noWrap w:val="0"/>
            <w:vAlign w:val="center"/>
          </w:tcPr>
          <w:p w14:paraId="4A2B91C1">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1492" w:type="dxa"/>
            <w:noWrap w:val="0"/>
            <w:vAlign w:val="center"/>
          </w:tcPr>
          <w:p w14:paraId="60561E89">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r>
      <w:tr w14:paraId="260B65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1B0248AD">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bookmarkStart w:id="181" w:name="_Toc301781617"/>
            <w:bookmarkStart w:id="182" w:name="_Toc297193191"/>
            <w:bookmarkStart w:id="183" w:name="_Toc173066407"/>
            <w:bookmarkStart w:id="184" w:name="_Toc173211906"/>
            <w:bookmarkStart w:id="185" w:name="_Toc254970735"/>
            <w:bookmarkStart w:id="186" w:name="_Toc254970594"/>
            <w:bookmarkStart w:id="187" w:name="_Toc373333695"/>
            <w:bookmarkStart w:id="188" w:name="_Toc383699912"/>
            <w:bookmarkStart w:id="189" w:name="_Toc295404987"/>
            <w:r>
              <w:rPr>
                <w:rFonts w:hint="eastAsia" w:ascii="宋体" w:hAnsi="宋体" w:eastAsia="宋体" w:cs="宋体"/>
                <w:color w:val="auto"/>
                <w:kern w:val="2"/>
                <w:sz w:val="24"/>
                <w:szCs w:val="24"/>
                <w:highlight w:val="none"/>
              </w:rPr>
              <w:t>2</w:t>
            </w:r>
            <w:bookmarkEnd w:id="181"/>
            <w:bookmarkEnd w:id="182"/>
            <w:bookmarkEnd w:id="183"/>
            <w:bookmarkEnd w:id="184"/>
            <w:bookmarkEnd w:id="185"/>
            <w:bookmarkEnd w:id="186"/>
            <w:bookmarkEnd w:id="187"/>
            <w:bookmarkEnd w:id="188"/>
            <w:bookmarkEnd w:id="189"/>
          </w:p>
        </w:tc>
        <w:tc>
          <w:tcPr>
            <w:tcW w:w="915" w:type="dxa"/>
            <w:tcBorders>
              <w:right w:val="single" w:color="auto" w:sz="4" w:space="0"/>
            </w:tcBorders>
            <w:noWrap w:val="0"/>
            <w:vAlign w:val="center"/>
          </w:tcPr>
          <w:p w14:paraId="14987533">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3038" w:type="dxa"/>
            <w:tcBorders>
              <w:left w:val="single" w:color="auto" w:sz="4" w:space="0"/>
            </w:tcBorders>
            <w:noWrap w:val="0"/>
            <w:vAlign w:val="center"/>
          </w:tcPr>
          <w:p w14:paraId="040A65A4">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734" w:type="dxa"/>
            <w:noWrap w:val="0"/>
            <w:vAlign w:val="center"/>
          </w:tcPr>
          <w:p w14:paraId="5FF7D694">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1492" w:type="dxa"/>
            <w:noWrap w:val="0"/>
            <w:vAlign w:val="center"/>
          </w:tcPr>
          <w:p w14:paraId="75262D16">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r>
      <w:tr w14:paraId="6875AC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752D6D8B">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bookmarkStart w:id="190" w:name="_Toc173066408"/>
            <w:bookmarkStart w:id="191" w:name="_Toc254970595"/>
            <w:bookmarkStart w:id="192" w:name="_Toc301781618"/>
            <w:bookmarkStart w:id="193" w:name="_Toc297193192"/>
            <w:bookmarkStart w:id="194" w:name="_Toc383699913"/>
            <w:bookmarkStart w:id="195" w:name="_Toc295404988"/>
            <w:bookmarkStart w:id="196" w:name="_Toc373333696"/>
            <w:bookmarkStart w:id="197" w:name="_Toc173211907"/>
            <w:bookmarkStart w:id="198" w:name="_Toc254970736"/>
            <w:r>
              <w:rPr>
                <w:rFonts w:hint="eastAsia" w:ascii="宋体" w:hAnsi="宋体" w:eastAsia="宋体" w:cs="宋体"/>
                <w:color w:val="auto"/>
                <w:kern w:val="2"/>
                <w:sz w:val="24"/>
                <w:szCs w:val="24"/>
                <w:highlight w:val="none"/>
              </w:rPr>
              <w:t>3</w:t>
            </w:r>
            <w:bookmarkEnd w:id="190"/>
            <w:bookmarkEnd w:id="191"/>
            <w:bookmarkEnd w:id="192"/>
            <w:bookmarkEnd w:id="193"/>
            <w:bookmarkEnd w:id="194"/>
            <w:bookmarkEnd w:id="195"/>
            <w:bookmarkEnd w:id="196"/>
            <w:bookmarkEnd w:id="197"/>
            <w:bookmarkEnd w:id="198"/>
          </w:p>
        </w:tc>
        <w:tc>
          <w:tcPr>
            <w:tcW w:w="915" w:type="dxa"/>
            <w:tcBorders>
              <w:right w:val="single" w:color="auto" w:sz="4" w:space="0"/>
            </w:tcBorders>
            <w:noWrap w:val="0"/>
            <w:vAlign w:val="center"/>
          </w:tcPr>
          <w:p w14:paraId="0FCD00E0">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3038" w:type="dxa"/>
            <w:tcBorders>
              <w:left w:val="single" w:color="auto" w:sz="4" w:space="0"/>
            </w:tcBorders>
            <w:noWrap w:val="0"/>
            <w:vAlign w:val="center"/>
          </w:tcPr>
          <w:p w14:paraId="154F4F85">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734" w:type="dxa"/>
            <w:noWrap w:val="0"/>
            <w:vAlign w:val="center"/>
          </w:tcPr>
          <w:p w14:paraId="424C33F6">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1492" w:type="dxa"/>
            <w:noWrap w:val="0"/>
            <w:vAlign w:val="center"/>
          </w:tcPr>
          <w:p w14:paraId="24F962FA">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r>
      <w:tr w14:paraId="4ED967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0F3D238D">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w:t>
            </w:r>
          </w:p>
        </w:tc>
        <w:tc>
          <w:tcPr>
            <w:tcW w:w="915" w:type="dxa"/>
            <w:tcBorders>
              <w:right w:val="single" w:color="auto" w:sz="4" w:space="0"/>
            </w:tcBorders>
            <w:noWrap w:val="0"/>
            <w:vAlign w:val="center"/>
          </w:tcPr>
          <w:p w14:paraId="31FA37F9">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3038" w:type="dxa"/>
            <w:tcBorders>
              <w:left w:val="single" w:color="auto" w:sz="4" w:space="0"/>
            </w:tcBorders>
            <w:noWrap w:val="0"/>
            <w:vAlign w:val="center"/>
          </w:tcPr>
          <w:p w14:paraId="1C4B3DA5">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734" w:type="dxa"/>
            <w:noWrap w:val="0"/>
            <w:vAlign w:val="center"/>
          </w:tcPr>
          <w:p w14:paraId="159C0969">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1492" w:type="dxa"/>
            <w:noWrap w:val="0"/>
            <w:vAlign w:val="center"/>
          </w:tcPr>
          <w:p w14:paraId="14602519">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r>
      <w:tr w14:paraId="086A7C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218EEE5D">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w:t>
            </w:r>
          </w:p>
        </w:tc>
        <w:tc>
          <w:tcPr>
            <w:tcW w:w="915" w:type="dxa"/>
            <w:tcBorders>
              <w:right w:val="single" w:color="auto" w:sz="4" w:space="0"/>
            </w:tcBorders>
            <w:noWrap w:val="0"/>
            <w:vAlign w:val="center"/>
          </w:tcPr>
          <w:p w14:paraId="1B3F28A3">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3038" w:type="dxa"/>
            <w:tcBorders>
              <w:left w:val="single" w:color="auto" w:sz="4" w:space="0"/>
            </w:tcBorders>
            <w:noWrap w:val="0"/>
            <w:vAlign w:val="center"/>
          </w:tcPr>
          <w:p w14:paraId="1B01CE7D">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734" w:type="dxa"/>
            <w:noWrap w:val="0"/>
            <w:vAlign w:val="center"/>
          </w:tcPr>
          <w:p w14:paraId="7AB0C9E2">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1492" w:type="dxa"/>
            <w:noWrap w:val="0"/>
            <w:vAlign w:val="center"/>
          </w:tcPr>
          <w:p w14:paraId="3AE61D25">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r>
      <w:tr w14:paraId="4691D8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noWrap w:val="0"/>
            <w:vAlign w:val="center"/>
          </w:tcPr>
          <w:p w14:paraId="31A1F2CC">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bookmarkStart w:id="199" w:name="_Toc297193195"/>
            <w:bookmarkStart w:id="200" w:name="_Toc301781621"/>
            <w:bookmarkStart w:id="201" w:name="_Toc173066415"/>
            <w:bookmarkStart w:id="202" w:name="_Toc383699916"/>
            <w:bookmarkStart w:id="203" w:name="_Toc173211914"/>
            <w:bookmarkStart w:id="204" w:name="_Toc254970602"/>
            <w:bookmarkStart w:id="205" w:name="_Toc373333699"/>
            <w:bookmarkStart w:id="206" w:name="_Toc295404991"/>
            <w:bookmarkStart w:id="207" w:name="_Toc254970743"/>
            <w:r>
              <w:rPr>
                <w:rFonts w:hint="eastAsia" w:ascii="宋体" w:hAnsi="宋体" w:eastAsia="宋体" w:cs="宋体"/>
                <w:color w:val="auto"/>
                <w:kern w:val="2"/>
                <w:sz w:val="24"/>
                <w:szCs w:val="24"/>
                <w:highlight w:val="none"/>
              </w:rPr>
              <w:t>…</w:t>
            </w:r>
            <w:bookmarkEnd w:id="199"/>
            <w:bookmarkEnd w:id="200"/>
            <w:bookmarkEnd w:id="201"/>
            <w:bookmarkEnd w:id="202"/>
            <w:bookmarkEnd w:id="203"/>
            <w:bookmarkEnd w:id="204"/>
            <w:bookmarkEnd w:id="205"/>
            <w:bookmarkEnd w:id="206"/>
            <w:bookmarkEnd w:id="207"/>
          </w:p>
        </w:tc>
        <w:tc>
          <w:tcPr>
            <w:tcW w:w="915" w:type="dxa"/>
            <w:tcBorders>
              <w:right w:val="single" w:color="auto" w:sz="4" w:space="0"/>
            </w:tcBorders>
            <w:noWrap w:val="0"/>
            <w:vAlign w:val="center"/>
          </w:tcPr>
          <w:p w14:paraId="054C04AE">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p>
        </w:tc>
        <w:tc>
          <w:tcPr>
            <w:tcW w:w="3038" w:type="dxa"/>
            <w:tcBorders>
              <w:left w:val="single" w:color="auto" w:sz="4" w:space="0"/>
            </w:tcBorders>
            <w:noWrap w:val="0"/>
            <w:vAlign w:val="center"/>
          </w:tcPr>
          <w:p w14:paraId="397A6776">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734" w:type="dxa"/>
            <w:noWrap w:val="0"/>
            <w:vAlign w:val="center"/>
          </w:tcPr>
          <w:p w14:paraId="28869BF5">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1492" w:type="dxa"/>
            <w:tcBorders>
              <w:right w:val="single" w:color="auto" w:sz="4" w:space="0"/>
            </w:tcBorders>
            <w:noWrap w:val="0"/>
            <w:vAlign w:val="center"/>
          </w:tcPr>
          <w:p w14:paraId="52A3773C">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r>
    </w:tbl>
    <w:p w14:paraId="242F91EC">
      <w:pPr>
        <w:adjustRightInd w:val="0"/>
        <w:spacing w:line="360" w:lineRule="auto"/>
        <w:contextualSpacing/>
        <w:rPr>
          <w:rFonts w:hint="eastAsia" w:ascii="宋体" w:hAnsi="宋体" w:cs="宋体"/>
          <w:color w:val="auto"/>
          <w:sz w:val="24"/>
          <w:highlight w:val="none"/>
        </w:rPr>
      </w:pPr>
    </w:p>
    <w:p w14:paraId="2E296D20">
      <w:pPr>
        <w:pStyle w:val="15"/>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355FF2E">
      <w:pPr>
        <w:pStyle w:val="15"/>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说明：应对照磋商文件“第三章 采购需求”中的</w:t>
      </w:r>
      <w:r>
        <w:rPr>
          <w:rFonts w:hint="eastAsia" w:ascii="宋体" w:hAnsi="宋体" w:eastAsia="宋体" w:cs="宋体"/>
          <w:b/>
          <w:bCs/>
          <w:color w:val="auto"/>
          <w:sz w:val="24"/>
          <w:szCs w:val="24"/>
          <w:highlight w:val="none"/>
        </w:rPr>
        <w:t>“技术要求</w:t>
      </w:r>
      <w:r>
        <w:rPr>
          <w:rFonts w:hint="eastAsia" w:ascii="宋体" w:hAnsi="宋体" w:eastAsia="宋体" w:cs="宋体"/>
          <w:color w:val="auto"/>
          <w:sz w:val="24"/>
          <w:szCs w:val="24"/>
          <w:highlight w:val="none"/>
        </w:rPr>
        <w:t>”要求逐条作出明确响应，并作出偏离说明。</w:t>
      </w:r>
    </w:p>
    <w:p w14:paraId="6E51BF04">
      <w:pPr>
        <w:pStyle w:val="15"/>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2.采购需求中带“▲”的条款，也要分别在本表“磋商文件技术要求”、“竞标响应”中标记。</w:t>
      </w:r>
    </w:p>
    <w:p w14:paraId="42B734E3">
      <w:pPr>
        <w:pStyle w:val="15"/>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3.供应商应根据自身的承诺，对照磋商文件要求，在“偏离说明”中注明“正偏离”、“负偏离”或者“无偏离”。既不属于“正偏离”也不属于“负偏离”即为“无偏离”。</w:t>
      </w:r>
    </w:p>
    <w:p w14:paraId="325DF33E">
      <w:pPr>
        <w:pStyle w:val="15"/>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4.供应商认为其竞标响应有正偏离的，请在技术偏离表中列明，且在响应文件中提供竞标证明作为佐证，以上佐证材料均需加盖公章。</w:t>
      </w:r>
    </w:p>
    <w:p w14:paraId="0366DA34">
      <w:pPr>
        <w:pStyle w:val="15"/>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如技术偏离表中的竞标响应与佐证材料不一致的，以佐证材料为准。</w:t>
      </w:r>
    </w:p>
    <w:p w14:paraId="0704BD43">
      <w:pPr>
        <w:pStyle w:val="89"/>
        <w:rPr>
          <w:rFonts w:hint="eastAsia" w:ascii="宋体" w:hAnsi="宋体" w:cs="宋体"/>
          <w:color w:val="auto"/>
          <w:highlight w:val="none"/>
        </w:rPr>
      </w:pPr>
    </w:p>
    <w:p w14:paraId="7F051DA3">
      <w:pPr>
        <w:spacing w:line="360" w:lineRule="auto"/>
        <w:ind w:right="-817" w:rightChars="-389" w:firstLine="2640" w:firstLineChars="1100"/>
        <w:contextualSpacing/>
        <w:rPr>
          <w:rFonts w:hint="eastAsia" w:ascii="宋体" w:hAnsi="宋体" w:cs="宋体"/>
          <w:color w:val="auto"/>
          <w:sz w:val="24"/>
          <w:highlight w:val="none"/>
        </w:rPr>
      </w:pPr>
      <w:r>
        <w:rPr>
          <w:rFonts w:hint="eastAsia" w:ascii="宋体" w:hAnsi="宋体" w:cs="宋体"/>
          <w:color w:val="auto"/>
          <w:sz w:val="24"/>
          <w:highlight w:val="none"/>
        </w:rPr>
        <w:t xml:space="preserve">供应商（电子签章）：      </w:t>
      </w:r>
    </w:p>
    <w:p w14:paraId="480B5E03">
      <w:pPr>
        <w:spacing w:line="360" w:lineRule="auto"/>
        <w:ind w:right="-817" w:rightChars="-389" w:firstLine="4080" w:firstLineChars="1700"/>
        <w:contextualSpacing/>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07C9C17B">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项目实施人员一览表格式</w:t>
      </w:r>
    </w:p>
    <w:p w14:paraId="66DA5257">
      <w:pPr>
        <w:snapToGrid w:val="0"/>
        <w:spacing w:before="120" w:beforeLines="50" w:after="50"/>
        <w:ind w:left="142"/>
        <w:jc w:val="left"/>
        <w:rPr>
          <w:rFonts w:hint="eastAsia" w:ascii="宋体" w:hAnsi="宋体" w:cs="宋体"/>
          <w:b/>
          <w:color w:val="auto"/>
          <w:sz w:val="24"/>
          <w:highlight w:val="none"/>
        </w:rPr>
      </w:pPr>
    </w:p>
    <w:p w14:paraId="782BFC22">
      <w:pPr>
        <w:spacing w:line="360" w:lineRule="auto"/>
        <w:ind w:left="142"/>
        <w:contextualSpacing/>
        <w:jc w:val="center"/>
        <w:rPr>
          <w:rFonts w:hint="eastAsia" w:ascii="宋体" w:hAnsi="宋体" w:cs="宋体"/>
          <w:b/>
          <w:color w:val="auto"/>
          <w:sz w:val="32"/>
          <w:szCs w:val="32"/>
          <w:highlight w:val="none"/>
        </w:rPr>
      </w:pPr>
    </w:p>
    <w:p w14:paraId="6715F240">
      <w:pPr>
        <w:spacing w:line="360" w:lineRule="auto"/>
        <w:ind w:left="142"/>
        <w:contextualSpacing/>
        <w:jc w:val="center"/>
        <w:rPr>
          <w:rFonts w:hint="eastAsia" w:ascii="宋体" w:hAnsi="宋体" w:cs="宋体"/>
          <w:b/>
          <w:color w:val="auto"/>
          <w:sz w:val="32"/>
          <w:szCs w:val="32"/>
          <w:highlight w:val="none"/>
        </w:rPr>
      </w:pPr>
    </w:p>
    <w:p w14:paraId="5294F848">
      <w:pPr>
        <w:spacing w:line="360" w:lineRule="auto"/>
        <w:ind w:left="142"/>
        <w:contextualSpacing/>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36277E43">
      <w:pPr>
        <w:pStyle w:val="18"/>
        <w:spacing w:line="360" w:lineRule="auto"/>
        <w:contextualSpacing/>
        <w:rPr>
          <w:rFonts w:hint="eastAsia" w:hAnsi="宋体" w:cs="宋体"/>
          <w:color w:val="auto"/>
          <w:sz w:val="24"/>
          <w:szCs w:val="24"/>
          <w:highlight w:val="none"/>
        </w:rPr>
      </w:pPr>
      <w:r>
        <w:rPr>
          <w:rFonts w:hint="eastAsia" w:hAnsi="宋体" w:cs="宋体"/>
          <w:color w:val="auto"/>
          <w:sz w:val="24"/>
          <w:szCs w:val="24"/>
          <w:highlight w:val="none"/>
        </w:rPr>
        <w:t>所竞分标：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998"/>
        <w:gridCol w:w="1622"/>
        <w:gridCol w:w="1590"/>
        <w:gridCol w:w="1917"/>
        <w:gridCol w:w="925"/>
      </w:tblGrid>
      <w:tr w14:paraId="1A75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noWrap w:val="0"/>
            <w:vAlign w:val="center"/>
          </w:tcPr>
          <w:p w14:paraId="5B30B149">
            <w:pPr>
              <w:spacing w:line="360" w:lineRule="auto"/>
              <w:contextualSpacing/>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姓名</w:t>
            </w:r>
          </w:p>
        </w:tc>
        <w:tc>
          <w:tcPr>
            <w:tcW w:w="1998" w:type="dxa"/>
            <w:noWrap w:val="0"/>
            <w:vAlign w:val="center"/>
          </w:tcPr>
          <w:p w14:paraId="59BB8C04">
            <w:pPr>
              <w:spacing w:line="360" w:lineRule="auto"/>
              <w:contextualSpacing/>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在本项目中主要担任的职务</w:t>
            </w:r>
          </w:p>
        </w:tc>
        <w:tc>
          <w:tcPr>
            <w:tcW w:w="1622" w:type="dxa"/>
            <w:noWrap w:val="0"/>
            <w:vAlign w:val="center"/>
          </w:tcPr>
          <w:p w14:paraId="6DAF23E4">
            <w:pPr>
              <w:spacing w:line="360" w:lineRule="auto"/>
              <w:contextualSpacing/>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专业/职称级别</w:t>
            </w:r>
          </w:p>
        </w:tc>
        <w:tc>
          <w:tcPr>
            <w:tcW w:w="1590" w:type="dxa"/>
            <w:noWrap w:val="0"/>
            <w:vAlign w:val="center"/>
          </w:tcPr>
          <w:p w14:paraId="4BE67296">
            <w:pPr>
              <w:spacing w:line="360" w:lineRule="auto"/>
              <w:contextualSpacing/>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执业资格证或岗位证</w:t>
            </w:r>
          </w:p>
        </w:tc>
        <w:tc>
          <w:tcPr>
            <w:tcW w:w="1917" w:type="dxa"/>
            <w:noWrap w:val="0"/>
            <w:vAlign w:val="center"/>
          </w:tcPr>
          <w:p w14:paraId="4C681642">
            <w:pPr>
              <w:spacing w:line="360" w:lineRule="auto"/>
              <w:contextualSpacing/>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工作年限</w:t>
            </w:r>
          </w:p>
        </w:tc>
        <w:tc>
          <w:tcPr>
            <w:tcW w:w="925" w:type="dxa"/>
            <w:noWrap w:val="0"/>
            <w:vAlign w:val="center"/>
          </w:tcPr>
          <w:p w14:paraId="49AB45A7">
            <w:pPr>
              <w:spacing w:line="360" w:lineRule="auto"/>
              <w:contextualSpacing/>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备注</w:t>
            </w:r>
          </w:p>
        </w:tc>
      </w:tr>
      <w:tr w14:paraId="633F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noWrap w:val="0"/>
            <w:vAlign w:val="center"/>
          </w:tcPr>
          <w:p w14:paraId="279A2E80">
            <w:pPr>
              <w:spacing w:line="360" w:lineRule="auto"/>
              <w:contextualSpacing/>
              <w:jc w:val="center"/>
              <w:rPr>
                <w:rFonts w:hint="eastAsia" w:ascii="宋体" w:hAnsi="宋体" w:cs="宋体"/>
                <w:color w:val="auto"/>
                <w:sz w:val="24"/>
                <w:szCs w:val="20"/>
                <w:highlight w:val="none"/>
              </w:rPr>
            </w:pPr>
          </w:p>
        </w:tc>
        <w:tc>
          <w:tcPr>
            <w:tcW w:w="1998" w:type="dxa"/>
            <w:noWrap w:val="0"/>
            <w:vAlign w:val="center"/>
          </w:tcPr>
          <w:p w14:paraId="26753F53">
            <w:pPr>
              <w:spacing w:line="360" w:lineRule="auto"/>
              <w:contextualSpacing/>
              <w:jc w:val="center"/>
              <w:rPr>
                <w:rFonts w:hint="eastAsia" w:ascii="宋体" w:hAnsi="宋体" w:cs="宋体"/>
                <w:color w:val="auto"/>
                <w:sz w:val="24"/>
                <w:szCs w:val="20"/>
                <w:highlight w:val="none"/>
              </w:rPr>
            </w:pPr>
          </w:p>
        </w:tc>
        <w:tc>
          <w:tcPr>
            <w:tcW w:w="1622" w:type="dxa"/>
            <w:noWrap w:val="0"/>
            <w:vAlign w:val="center"/>
          </w:tcPr>
          <w:p w14:paraId="77F9EBC7">
            <w:pPr>
              <w:spacing w:line="360" w:lineRule="auto"/>
              <w:contextualSpacing/>
              <w:jc w:val="center"/>
              <w:rPr>
                <w:rFonts w:hint="eastAsia" w:ascii="宋体" w:hAnsi="宋体" w:cs="宋体"/>
                <w:color w:val="auto"/>
                <w:sz w:val="24"/>
                <w:szCs w:val="20"/>
                <w:highlight w:val="none"/>
              </w:rPr>
            </w:pPr>
          </w:p>
        </w:tc>
        <w:tc>
          <w:tcPr>
            <w:tcW w:w="1590" w:type="dxa"/>
            <w:noWrap w:val="0"/>
            <w:vAlign w:val="center"/>
          </w:tcPr>
          <w:p w14:paraId="5073BF5F">
            <w:pPr>
              <w:spacing w:line="360" w:lineRule="auto"/>
              <w:contextualSpacing/>
              <w:jc w:val="center"/>
              <w:rPr>
                <w:rFonts w:hint="eastAsia" w:ascii="宋体" w:hAnsi="宋体" w:cs="宋体"/>
                <w:color w:val="auto"/>
                <w:sz w:val="24"/>
                <w:szCs w:val="20"/>
                <w:highlight w:val="none"/>
              </w:rPr>
            </w:pPr>
          </w:p>
        </w:tc>
        <w:tc>
          <w:tcPr>
            <w:tcW w:w="1917" w:type="dxa"/>
            <w:noWrap w:val="0"/>
            <w:vAlign w:val="center"/>
          </w:tcPr>
          <w:p w14:paraId="600ECB78">
            <w:pPr>
              <w:spacing w:line="360" w:lineRule="auto"/>
              <w:contextualSpacing/>
              <w:jc w:val="center"/>
              <w:rPr>
                <w:rFonts w:hint="eastAsia" w:ascii="宋体" w:hAnsi="宋体" w:cs="宋体"/>
                <w:color w:val="auto"/>
                <w:sz w:val="24"/>
                <w:szCs w:val="20"/>
                <w:highlight w:val="none"/>
              </w:rPr>
            </w:pPr>
          </w:p>
        </w:tc>
        <w:tc>
          <w:tcPr>
            <w:tcW w:w="925" w:type="dxa"/>
            <w:noWrap w:val="0"/>
            <w:vAlign w:val="center"/>
          </w:tcPr>
          <w:p w14:paraId="4C9F9C40">
            <w:pPr>
              <w:spacing w:line="360" w:lineRule="auto"/>
              <w:contextualSpacing/>
              <w:jc w:val="center"/>
              <w:rPr>
                <w:rFonts w:hint="eastAsia" w:ascii="宋体" w:hAnsi="宋体" w:cs="宋体"/>
                <w:color w:val="auto"/>
                <w:sz w:val="24"/>
                <w:szCs w:val="20"/>
                <w:highlight w:val="none"/>
              </w:rPr>
            </w:pPr>
          </w:p>
        </w:tc>
      </w:tr>
      <w:tr w14:paraId="13C55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noWrap w:val="0"/>
            <w:vAlign w:val="center"/>
          </w:tcPr>
          <w:p w14:paraId="467FBE3D">
            <w:pPr>
              <w:spacing w:line="360" w:lineRule="auto"/>
              <w:contextualSpacing/>
              <w:jc w:val="center"/>
              <w:rPr>
                <w:rFonts w:hint="eastAsia" w:ascii="宋体" w:hAnsi="宋体" w:cs="宋体"/>
                <w:color w:val="auto"/>
                <w:sz w:val="24"/>
                <w:szCs w:val="20"/>
                <w:highlight w:val="none"/>
              </w:rPr>
            </w:pPr>
          </w:p>
        </w:tc>
        <w:tc>
          <w:tcPr>
            <w:tcW w:w="1998" w:type="dxa"/>
            <w:noWrap w:val="0"/>
            <w:vAlign w:val="center"/>
          </w:tcPr>
          <w:p w14:paraId="00D39294">
            <w:pPr>
              <w:spacing w:line="360" w:lineRule="auto"/>
              <w:contextualSpacing/>
              <w:jc w:val="center"/>
              <w:rPr>
                <w:rFonts w:hint="eastAsia" w:ascii="宋体" w:hAnsi="宋体" w:cs="宋体"/>
                <w:color w:val="auto"/>
                <w:sz w:val="24"/>
                <w:szCs w:val="20"/>
                <w:highlight w:val="none"/>
              </w:rPr>
            </w:pPr>
          </w:p>
        </w:tc>
        <w:tc>
          <w:tcPr>
            <w:tcW w:w="1622" w:type="dxa"/>
            <w:noWrap w:val="0"/>
            <w:vAlign w:val="center"/>
          </w:tcPr>
          <w:p w14:paraId="08A0EA9E">
            <w:pPr>
              <w:spacing w:line="360" w:lineRule="auto"/>
              <w:contextualSpacing/>
              <w:jc w:val="center"/>
              <w:rPr>
                <w:rFonts w:hint="eastAsia" w:ascii="宋体" w:hAnsi="宋体" w:cs="宋体"/>
                <w:color w:val="auto"/>
                <w:sz w:val="24"/>
                <w:szCs w:val="20"/>
                <w:highlight w:val="none"/>
              </w:rPr>
            </w:pPr>
          </w:p>
        </w:tc>
        <w:tc>
          <w:tcPr>
            <w:tcW w:w="1590" w:type="dxa"/>
            <w:noWrap w:val="0"/>
            <w:vAlign w:val="center"/>
          </w:tcPr>
          <w:p w14:paraId="54B5276E">
            <w:pPr>
              <w:spacing w:line="360" w:lineRule="auto"/>
              <w:contextualSpacing/>
              <w:jc w:val="center"/>
              <w:rPr>
                <w:rFonts w:hint="eastAsia" w:ascii="宋体" w:hAnsi="宋体" w:cs="宋体"/>
                <w:color w:val="auto"/>
                <w:sz w:val="24"/>
                <w:szCs w:val="20"/>
                <w:highlight w:val="none"/>
              </w:rPr>
            </w:pPr>
          </w:p>
        </w:tc>
        <w:tc>
          <w:tcPr>
            <w:tcW w:w="1917" w:type="dxa"/>
            <w:noWrap w:val="0"/>
            <w:vAlign w:val="center"/>
          </w:tcPr>
          <w:p w14:paraId="54D784C8">
            <w:pPr>
              <w:spacing w:line="360" w:lineRule="auto"/>
              <w:contextualSpacing/>
              <w:jc w:val="center"/>
              <w:rPr>
                <w:rFonts w:hint="eastAsia" w:ascii="宋体" w:hAnsi="宋体" w:cs="宋体"/>
                <w:color w:val="auto"/>
                <w:sz w:val="24"/>
                <w:szCs w:val="20"/>
                <w:highlight w:val="none"/>
              </w:rPr>
            </w:pPr>
          </w:p>
        </w:tc>
        <w:tc>
          <w:tcPr>
            <w:tcW w:w="925" w:type="dxa"/>
            <w:noWrap w:val="0"/>
            <w:vAlign w:val="center"/>
          </w:tcPr>
          <w:p w14:paraId="68FCB582">
            <w:pPr>
              <w:spacing w:line="360" w:lineRule="auto"/>
              <w:contextualSpacing/>
              <w:jc w:val="center"/>
              <w:rPr>
                <w:rFonts w:hint="eastAsia" w:ascii="宋体" w:hAnsi="宋体" w:cs="宋体"/>
                <w:color w:val="auto"/>
                <w:sz w:val="24"/>
                <w:szCs w:val="20"/>
                <w:highlight w:val="none"/>
              </w:rPr>
            </w:pPr>
          </w:p>
        </w:tc>
      </w:tr>
      <w:tr w14:paraId="324B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noWrap w:val="0"/>
            <w:vAlign w:val="center"/>
          </w:tcPr>
          <w:p w14:paraId="7E9F7157">
            <w:pPr>
              <w:spacing w:line="360" w:lineRule="auto"/>
              <w:contextualSpacing/>
              <w:jc w:val="center"/>
              <w:rPr>
                <w:rFonts w:hint="eastAsia" w:ascii="宋体" w:hAnsi="宋体" w:cs="宋体"/>
                <w:color w:val="auto"/>
                <w:sz w:val="24"/>
                <w:szCs w:val="20"/>
                <w:highlight w:val="none"/>
              </w:rPr>
            </w:pPr>
          </w:p>
        </w:tc>
        <w:tc>
          <w:tcPr>
            <w:tcW w:w="1998" w:type="dxa"/>
            <w:noWrap w:val="0"/>
            <w:vAlign w:val="center"/>
          </w:tcPr>
          <w:p w14:paraId="78086972">
            <w:pPr>
              <w:spacing w:line="360" w:lineRule="auto"/>
              <w:contextualSpacing/>
              <w:jc w:val="center"/>
              <w:rPr>
                <w:rFonts w:hint="eastAsia" w:ascii="宋体" w:hAnsi="宋体" w:cs="宋体"/>
                <w:color w:val="auto"/>
                <w:sz w:val="24"/>
                <w:szCs w:val="20"/>
                <w:highlight w:val="none"/>
              </w:rPr>
            </w:pPr>
          </w:p>
        </w:tc>
        <w:tc>
          <w:tcPr>
            <w:tcW w:w="1622" w:type="dxa"/>
            <w:noWrap w:val="0"/>
            <w:vAlign w:val="center"/>
          </w:tcPr>
          <w:p w14:paraId="2F2D7257">
            <w:pPr>
              <w:spacing w:line="360" w:lineRule="auto"/>
              <w:contextualSpacing/>
              <w:jc w:val="center"/>
              <w:rPr>
                <w:rFonts w:hint="eastAsia" w:ascii="宋体" w:hAnsi="宋体" w:cs="宋体"/>
                <w:color w:val="auto"/>
                <w:sz w:val="24"/>
                <w:szCs w:val="20"/>
                <w:highlight w:val="none"/>
              </w:rPr>
            </w:pPr>
          </w:p>
        </w:tc>
        <w:tc>
          <w:tcPr>
            <w:tcW w:w="1590" w:type="dxa"/>
            <w:noWrap w:val="0"/>
            <w:vAlign w:val="center"/>
          </w:tcPr>
          <w:p w14:paraId="45366F98">
            <w:pPr>
              <w:spacing w:line="360" w:lineRule="auto"/>
              <w:contextualSpacing/>
              <w:jc w:val="center"/>
              <w:rPr>
                <w:rFonts w:hint="eastAsia" w:ascii="宋体" w:hAnsi="宋体" w:cs="宋体"/>
                <w:color w:val="auto"/>
                <w:sz w:val="24"/>
                <w:szCs w:val="20"/>
                <w:highlight w:val="none"/>
              </w:rPr>
            </w:pPr>
          </w:p>
        </w:tc>
        <w:tc>
          <w:tcPr>
            <w:tcW w:w="1917" w:type="dxa"/>
            <w:noWrap w:val="0"/>
            <w:vAlign w:val="center"/>
          </w:tcPr>
          <w:p w14:paraId="61E0ACDE">
            <w:pPr>
              <w:spacing w:line="360" w:lineRule="auto"/>
              <w:contextualSpacing/>
              <w:jc w:val="center"/>
              <w:rPr>
                <w:rFonts w:hint="eastAsia" w:ascii="宋体" w:hAnsi="宋体" w:cs="宋体"/>
                <w:color w:val="auto"/>
                <w:sz w:val="24"/>
                <w:szCs w:val="20"/>
                <w:highlight w:val="none"/>
              </w:rPr>
            </w:pPr>
          </w:p>
        </w:tc>
        <w:tc>
          <w:tcPr>
            <w:tcW w:w="925" w:type="dxa"/>
            <w:noWrap w:val="0"/>
            <w:vAlign w:val="center"/>
          </w:tcPr>
          <w:p w14:paraId="08020DE3">
            <w:pPr>
              <w:spacing w:line="360" w:lineRule="auto"/>
              <w:contextualSpacing/>
              <w:jc w:val="center"/>
              <w:rPr>
                <w:rFonts w:hint="eastAsia" w:ascii="宋体" w:hAnsi="宋体" w:cs="宋体"/>
                <w:color w:val="auto"/>
                <w:sz w:val="24"/>
                <w:szCs w:val="20"/>
                <w:highlight w:val="none"/>
              </w:rPr>
            </w:pPr>
          </w:p>
        </w:tc>
      </w:tr>
      <w:tr w14:paraId="7A1D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noWrap w:val="0"/>
            <w:vAlign w:val="center"/>
          </w:tcPr>
          <w:p w14:paraId="44568F68">
            <w:pPr>
              <w:spacing w:line="360" w:lineRule="auto"/>
              <w:contextualSpacing/>
              <w:jc w:val="center"/>
              <w:rPr>
                <w:rFonts w:hint="default" w:ascii="宋体" w:hAnsi="宋体" w:eastAsia="宋体" w:cs="宋体"/>
                <w:color w:val="auto"/>
                <w:sz w:val="24"/>
                <w:szCs w:val="20"/>
                <w:highlight w:val="none"/>
                <w:lang w:val="en-US" w:eastAsia="zh-CN"/>
              </w:rPr>
            </w:pPr>
            <w:r>
              <w:rPr>
                <w:rFonts w:hint="eastAsia" w:ascii="宋体" w:hAnsi="宋体" w:cs="宋体"/>
                <w:color w:val="auto"/>
                <w:sz w:val="24"/>
                <w:szCs w:val="20"/>
                <w:highlight w:val="none"/>
                <w:lang w:val="en-US" w:eastAsia="zh-CN"/>
              </w:rPr>
              <w:t>...</w:t>
            </w:r>
          </w:p>
        </w:tc>
        <w:tc>
          <w:tcPr>
            <w:tcW w:w="1998" w:type="dxa"/>
            <w:noWrap w:val="0"/>
            <w:vAlign w:val="center"/>
          </w:tcPr>
          <w:p w14:paraId="44D28C94">
            <w:pPr>
              <w:spacing w:line="360" w:lineRule="auto"/>
              <w:contextualSpacing/>
              <w:jc w:val="center"/>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w:t>
            </w:r>
          </w:p>
        </w:tc>
        <w:tc>
          <w:tcPr>
            <w:tcW w:w="1622" w:type="dxa"/>
            <w:noWrap w:val="0"/>
            <w:vAlign w:val="center"/>
          </w:tcPr>
          <w:p w14:paraId="2A733986">
            <w:pPr>
              <w:spacing w:line="360" w:lineRule="auto"/>
              <w:contextualSpacing/>
              <w:jc w:val="center"/>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w:t>
            </w:r>
          </w:p>
        </w:tc>
        <w:tc>
          <w:tcPr>
            <w:tcW w:w="1590" w:type="dxa"/>
            <w:noWrap w:val="0"/>
            <w:vAlign w:val="center"/>
          </w:tcPr>
          <w:p w14:paraId="5A41FC30">
            <w:pPr>
              <w:spacing w:line="360" w:lineRule="auto"/>
              <w:contextualSpacing/>
              <w:jc w:val="center"/>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w:t>
            </w:r>
          </w:p>
        </w:tc>
        <w:tc>
          <w:tcPr>
            <w:tcW w:w="1917" w:type="dxa"/>
            <w:noWrap w:val="0"/>
            <w:vAlign w:val="center"/>
          </w:tcPr>
          <w:p w14:paraId="342900EF">
            <w:pPr>
              <w:spacing w:line="360" w:lineRule="auto"/>
              <w:contextualSpacing/>
              <w:jc w:val="center"/>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w:t>
            </w:r>
          </w:p>
        </w:tc>
        <w:tc>
          <w:tcPr>
            <w:tcW w:w="925" w:type="dxa"/>
            <w:noWrap w:val="0"/>
            <w:vAlign w:val="center"/>
          </w:tcPr>
          <w:p w14:paraId="34E38DC1">
            <w:pPr>
              <w:spacing w:line="360" w:lineRule="auto"/>
              <w:contextualSpacing/>
              <w:jc w:val="center"/>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w:t>
            </w:r>
          </w:p>
        </w:tc>
      </w:tr>
    </w:tbl>
    <w:p w14:paraId="6C27A5E8">
      <w:pPr>
        <w:spacing w:line="360" w:lineRule="auto"/>
        <w:contextualSpacing/>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注：</w:t>
      </w:r>
    </w:p>
    <w:p w14:paraId="09FE5ACA">
      <w:pPr>
        <w:spacing w:line="360" w:lineRule="auto"/>
        <w:contextualSpacing/>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1.在填写时，如本表格不适合供应商的实际情况，可根据本表格式自行制表填写。</w:t>
      </w:r>
    </w:p>
    <w:p w14:paraId="67DC3DAC">
      <w:pPr>
        <w:spacing w:line="360" w:lineRule="auto"/>
        <w:contextualSpacing/>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并按采购需求及评审标准要求提供实施人员相关资格证件和其他证明文件；</w:t>
      </w:r>
    </w:p>
    <w:p w14:paraId="2796FD41">
      <w:pPr>
        <w:pStyle w:val="14"/>
        <w:spacing w:line="360" w:lineRule="auto"/>
        <w:rPr>
          <w:rFonts w:ascii="宋体" w:hAnsi="宋体" w:cs="宋体"/>
          <w:color w:val="auto"/>
          <w:highlight w:val="none"/>
        </w:rPr>
      </w:pPr>
      <w:bookmarkStart w:id="208" w:name="_Toc16350"/>
      <w:bookmarkStart w:id="209" w:name="_Toc74323461"/>
    </w:p>
    <w:p w14:paraId="4FF3A05F">
      <w:pPr>
        <w:pStyle w:val="2"/>
        <w:jc w:val="center"/>
        <w:rPr>
          <w:rFonts w:hint="eastAsia" w:ascii="宋体" w:hAnsi="宋体" w:cs="宋体"/>
          <w:color w:val="auto"/>
          <w:szCs w:val="20"/>
          <w:highlight w:val="none"/>
        </w:rPr>
      </w:pPr>
      <w:r>
        <w:rPr>
          <w:rFonts w:hint="eastAsia" w:ascii="宋体" w:hAnsi="宋体" w:cs="宋体"/>
          <w:color w:val="auto"/>
          <w:highlight w:val="none"/>
        </w:rPr>
        <w:br w:type="page"/>
      </w:r>
      <w:bookmarkStart w:id="210" w:name="_Toc7499"/>
      <w:bookmarkStart w:id="211" w:name="_Toc15864"/>
      <w:bookmarkStart w:id="212" w:name="_Toc13352"/>
      <w:r>
        <w:rPr>
          <w:rFonts w:hint="eastAsia" w:ascii="宋体" w:hAnsi="宋体" w:cs="宋体"/>
          <w:color w:val="auto"/>
          <w:highlight w:val="none"/>
        </w:rPr>
        <w:t>第六章 合同文本</w:t>
      </w:r>
      <w:bookmarkEnd w:id="208"/>
      <w:bookmarkEnd w:id="209"/>
      <w:bookmarkEnd w:id="210"/>
      <w:bookmarkEnd w:id="211"/>
      <w:bookmarkEnd w:id="212"/>
    </w:p>
    <w:p w14:paraId="3F962B43">
      <w:pPr>
        <w:jc w:val="center"/>
        <w:rPr>
          <w:rFonts w:hint="eastAsia" w:ascii="宋体" w:hAnsi="宋体" w:cs="宋体"/>
          <w:b/>
          <w:bCs/>
          <w:color w:val="auto"/>
          <w:sz w:val="52"/>
          <w:szCs w:val="52"/>
          <w:highlight w:val="none"/>
        </w:rPr>
      </w:pPr>
    </w:p>
    <w:p w14:paraId="09F139B4">
      <w:pPr>
        <w:keepNext/>
        <w:keepLines/>
        <w:spacing w:line="579" w:lineRule="auto"/>
        <w:outlineLvl w:val="9"/>
        <w:rPr>
          <w:rFonts w:ascii="宋体" w:hAnsi="宋体" w:cs="宋体"/>
          <w:color w:val="auto"/>
          <w:highlight w:val="none"/>
        </w:rPr>
      </w:pPr>
      <w:bookmarkStart w:id="213" w:name="_Toc7922"/>
      <w:r>
        <w:rPr>
          <w:rFonts w:hint="eastAsia" w:ascii="宋体" w:hAnsi="宋体" w:cs="宋体"/>
          <w:color w:val="auto"/>
          <w:highlight w:val="none"/>
        </w:rPr>
        <w:t>广西壮族自治区政府采购合同</w:t>
      </w:r>
      <w:bookmarkEnd w:id="213"/>
    </w:p>
    <w:p w14:paraId="6348296E">
      <w:pPr>
        <w:rPr>
          <w:rFonts w:ascii="宋体" w:hAnsi="宋体" w:cs="宋体"/>
          <w:color w:val="auto"/>
          <w:szCs w:val="21"/>
          <w:highlight w:val="none"/>
        </w:rPr>
      </w:pPr>
    </w:p>
    <w:p w14:paraId="6EB85324">
      <w:pPr>
        <w:rPr>
          <w:rFonts w:ascii="宋体" w:hAnsi="宋体" w:cs="宋体"/>
          <w:color w:val="auto"/>
          <w:szCs w:val="21"/>
          <w:highlight w:val="none"/>
        </w:rPr>
      </w:pPr>
    </w:p>
    <w:p w14:paraId="76FC3726">
      <w:pPr>
        <w:rPr>
          <w:rFonts w:ascii="宋体" w:hAnsi="宋体" w:cs="宋体"/>
          <w:color w:val="auto"/>
          <w:szCs w:val="21"/>
          <w:highlight w:val="none"/>
        </w:rPr>
      </w:pPr>
    </w:p>
    <w:p w14:paraId="0D3ABB66">
      <w:pPr>
        <w:rPr>
          <w:rFonts w:ascii="宋体" w:hAnsi="宋体" w:cs="宋体"/>
          <w:color w:val="auto"/>
          <w:szCs w:val="21"/>
          <w:highlight w:val="none"/>
        </w:rPr>
      </w:pPr>
    </w:p>
    <w:p w14:paraId="4EFB76F6">
      <w:pPr>
        <w:rPr>
          <w:rFonts w:ascii="宋体" w:hAnsi="宋体" w:cs="宋体"/>
          <w:color w:val="auto"/>
          <w:szCs w:val="21"/>
          <w:highlight w:val="none"/>
        </w:rPr>
      </w:pPr>
    </w:p>
    <w:p w14:paraId="047F8797">
      <w:pPr>
        <w:ind w:left="2947" w:leftChars="646" w:hanging="1590" w:hangingChars="495"/>
        <w:rPr>
          <w:rFonts w:hint="eastAsia" w:ascii="宋体" w:hAnsi="宋体" w:eastAsia="宋体" w:cs="宋体"/>
          <w:b/>
          <w:color w:val="auto"/>
          <w:sz w:val="28"/>
          <w:szCs w:val="28"/>
          <w:highlight w:val="none"/>
          <w:u w:val="single"/>
          <w:lang w:eastAsia="zh-CN"/>
        </w:rPr>
      </w:pPr>
      <w:r>
        <w:rPr>
          <w:rFonts w:hint="eastAsia" w:ascii="宋体" w:hAnsi="宋体" w:cs="宋体"/>
          <w:b/>
          <w:color w:val="auto"/>
          <w:sz w:val="32"/>
          <w:szCs w:val="32"/>
          <w:highlight w:val="none"/>
        </w:rPr>
        <w:t>合同名称：</w:t>
      </w:r>
      <w:r>
        <w:rPr>
          <w:rFonts w:hint="eastAsia" w:ascii="宋体" w:hAnsi="宋体" w:cs="宋体"/>
          <w:b/>
          <w:color w:val="auto"/>
          <w:sz w:val="32"/>
          <w:szCs w:val="32"/>
          <w:highlight w:val="none"/>
          <w:u w:val="single"/>
          <w:lang w:eastAsia="zh-CN"/>
        </w:rPr>
        <w:t>厅本级信息系统安全等级保护测评服务及自然资源信息化建设项目咨询服务项目</w:t>
      </w:r>
    </w:p>
    <w:p w14:paraId="5C49E501">
      <w:pPr>
        <w:ind w:firstLine="1365" w:firstLineChars="425"/>
        <w:rPr>
          <w:rFonts w:ascii="宋体" w:hAnsi="宋体" w:cs="宋体"/>
          <w:b/>
          <w:color w:val="auto"/>
          <w:sz w:val="32"/>
          <w:szCs w:val="32"/>
          <w:highlight w:val="none"/>
          <w:u w:val="single"/>
        </w:rPr>
      </w:pPr>
      <w:r>
        <w:rPr>
          <w:rFonts w:hint="eastAsia" w:ascii="宋体" w:hAnsi="宋体" w:cs="宋体"/>
          <w:b/>
          <w:color w:val="auto"/>
          <w:sz w:val="32"/>
          <w:szCs w:val="32"/>
          <w:highlight w:val="none"/>
        </w:rPr>
        <w:t>合同编号：</w:t>
      </w:r>
    </w:p>
    <w:p w14:paraId="4454DB8F">
      <w:pPr>
        <w:ind w:firstLine="892" w:firstLineChars="425"/>
        <w:jc w:val="center"/>
        <w:rPr>
          <w:rFonts w:ascii="宋体" w:hAnsi="宋体" w:cs="宋体"/>
          <w:color w:val="auto"/>
          <w:szCs w:val="21"/>
          <w:highlight w:val="none"/>
        </w:rPr>
      </w:pPr>
    </w:p>
    <w:p w14:paraId="6883CDD9">
      <w:pPr>
        <w:ind w:firstLine="892" w:firstLineChars="425"/>
        <w:jc w:val="center"/>
        <w:rPr>
          <w:rFonts w:ascii="宋体" w:hAnsi="宋体" w:cs="宋体"/>
          <w:color w:val="auto"/>
          <w:szCs w:val="21"/>
          <w:highlight w:val="none"/>
        </w:rPr>
      </w:pPr>
    </w:p>
    <w:p w14:paraId="2A0673F3">
      <w:pPr>
        <w:ind w:firstLine="892" w:firstLineChars="425"/>
        <w:jc w:val="center"/>
        <w:rPr>
          <w:rFonts w:ascii="宋体" w:hAnsi="宋体" w:cs="宋体"/>
          <w:color w:val="auto"/>
          <w:szCs w:val="21"/>
          <w:highlight w:val="none"/>
        </w:rPr>
      </w:pPr>
    </w:p>
    <w:p w14:paraId="56875677">
      <w:pPr>
        <w:spacing w:line="340" w:lineRule="exact"/>
        <w:ind w:firstLine="1365" w:firstLineChars="425"/>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采购单位（甲方）</w:t>
      </w:r>
      <w:r>
        <w:rPr>
          <w:rFonts w:hint="eastAsia" w:ascii="宋体" w:hAnsi="宋体" w:cs="宋体"/>
          <w:color w:val="auto"/>
          <w:sz w:val="28"/>
          <w:szCs w:val="28"/>
          <w:highlight w:val="none"/>
          <w:u w:val="single"/>
          <w:lang w:eastAsia="zh-CN"/>
        </w:rPr>
        <w:t>广西壮族自治区自然资源厅</w:t>
      </w:r>
    </w:p>
    <w:p w14:paraId="5BE210A8">
      <w:pPr>
        <w:spacing w:line="340" w:lineRule="exact"/>
        <w:ind w:firstLine="1365" w:firstLineChars="425"/>
        <w:rPr>
          <w:rFonts w:ascii="宋体" w:hAnsi="宋体" w:cs="宋体"/>
          <w:b/>
          <w:color w:val="auto"/>
          <w:sz w:val="32"/>
          <w:szCs w:val="32"/>
          <w:highlight w:val="none"/>
        </w:rPr>
      </w:pPr>
    </w:p>
    <w:p w14:paraId="6283AB23">
      <w:pPr>
        <w:spacing w:line="340" w:lineRule="exact"/>
        <w:ind w:left="3911" w:leftChars="646" w:hanging="2554" w:hangingChars="795"/>
        <w:rPr>
          <w:rFonts w:ascii="宋体" w:hAnsi="宋体" w:cs="宋体"/>
          <w:b/>
          <w:color w:val="auto"/>
          <w:sz w:val="32"/>
          <w:szCs w:val="32"/>
          <w:highlight w:val="none"/>
        </w:rPr>
      </w:pPr>
      <w:r>
        <w:rPr>
          <w:rFonts w:hint="eastAsia" w:ascii="宋体" w:hAnsi="宋体" w:cs="宋体"/>
          <w:b/>
          <w:color w:val="auto"/>
          <w:sz w:val="32"/>
          <w:szCs w:val="32"/>
          <w:highlight w:val="none"/>
        </w:rPr>
        <w:t>供 应 商（乙方）</w:t>
      </w:r>
    </w:p>
    <w:p w14:paraId="588F9426">
      <w:pPr>
        <w:ind w:firstLine="892" w:firstLineChars="425"/>
        <w:jc w:val="center"/>
        <w:rPr>
          <w:rFonts w:ascii="宋体" w:hAnsi="宋体" w:cs="宋体"/>
          <w:color w:val="auto"/>
          <w:szCs w:val="21"/>
          <w:highlight w:val="none"/>
        </w:rPr>
      </w:pPr>
    </w:p>
    <w:p w14:paraId="40811E8A">
      <w:pPr>
        <w:ind w:firstLine="892" w:firstLineChars="425"/>
        <w:jc w:val="center"/>
        <w:rPr>
          <w:rFonts w:ascii="宋体" w:hAnsi="宋体" w:cs="宋体"/>
          <w:color w:val="auto"/>
          <w:szCs w:val="21"/>
          <w:highlight w:val="none"/>
        </w:rPr>
      </w:pPr>
    </w:p>
    <w:p w14:paraId="4E414AEC">
      <w:pPr>
        <w:ind w:firstLine="892" w:firstLineChars="425"/>
        <w:jc w:val="center"/>
        <w:rPr>
          <w:rFonts w:ascii="宋体" w:hAnsi="宋体" w:cs="宋体"/>
          <w:color w:val="auto"/>
          <w:szCs w:val="21"/>
          <w:highlight w:val="none"/>
        </w:rPr>
      </w:pPr>
    </w:p>
    <w:p w14:paraId="5691660B">
      <w:pPr>
        <w:ind w:firstLine="892" w:firstLineChars="425"/>
        <w:jc w:val="center"/>
        <w:rPr>
          <w:rFonts w:ascii="宋体" w:hAnsi="宋体" w:cs="宋体"/>
          <w:color w:val="auto"/>
          <w:szCs w:val="21"/>
          <w:highlight w:val="none"/>
        </w:rPr>
      </w:pPr>
    </w:p>
    <w:p w14:paraId="613F64E9">
      <w:pPr>
        <w:ind w:firstLine="1365" w:firstLineChars="425"/>
        <w:rPr>
          <w:rFonts w:ascii="宋体" w:hAnsi="宋体" w:cs="宋体"/>
          <w:b/>
          <w:color w:val="auto"/>
          <w:sz w:val="32"/>
          <w:szCs w:val="32"/>
          <w:highlight w:val="none"/>
          <w:u w:val="single"/>
        </w:rPr>
      </w:pPr>
      <w:r>
        <w:rPr>
          <w:rFonts w:hint="eastAsia" w:ascii="宋体" w:hAnsi="宋体" w:cs="宋体"/>
          <w:b/>
          <w:color w:val="auto"/>
          <w:sz w:val="32"/>
          <w:szCs w:val="32"/>
          <w:highlight w:val="none"/>
        </w:rPr>
        <w:t>签订合同地点：</w:t>
      </w:r>
      <w:r>
        <w:rPr>
          <w:rFonts w:hint="eastAsia" w:ascii="宋体" w:hAnsi="宋体" w:cs="宋体"/>
          <w:b/>
          <w:color w:val="auto"/>
          <w:sz w:val="32"/>
          <w:szCs w:val="32"/>
          <w:highlight w:val="none"/>
          <w:u w:val="single"/>
        </w:rPr>
        <w:t xml:space="preserve">                    </w:t>
      </w:r>
    </w:p>
    <w:p w14:paraId="196439F9">
      <w:pPr>
        <w:ind w:firstLine="1365" w:firstLineChars="425"/>
        <w:rPr>
          <w:rFonts w:ascii="宋体" w:hAnsi="宋体" w:cs="宋体"/>
          <w:b/>
          <w:color w:val="auto"/>
          <w:sz w:val="32"/>
          <w:szCs w:val="32"/>
          <w:highlight w:val="none"/>
        </w:rPr>
      </w:pPr>
      <w:r>
        <w:rPr>
          <w:rFonts w:hint="eastAsia" w:ascii="宋体" w:hAnsi="宋体" w:cs="宋体"/>
          <w:b/>
          <w:color w:val="auto"/>
          <w:sz w:val="32"/>
          <w:szCs w:val="32"/>
          <w:highlight w:val="none"/>
        </w:rPr>
        <w:t>签订合同时间：</w:t>
      </w:r>
      <w:r>
        <w:rPr>
          <w:rFonts w:hint="eastAsia" w:ascii="宋体" w:hAnsi="宋体" w:cs="宋体"/>
          <w:b/>
          <w:color w:val="auto"/>
          <w:sz w:val="32"/>
          <w:szCs w:val="32"/>
          <w:highlight w:val="none"/>
          <w:u w:val="single"/>
        </w:rPr>
        <w:t xml:space="preserve">                    </w:t>
      </w:r>
    </w:p>
    <w:p w14:paraId="7476F3DB">
      <w:pPr>
        <w:jc w:val="center"/>
        <w:rPr>
          <w:rFonts w:ascii="宋体" w:hAnsi="宋体" w:cs="宋体"/>
          <w:color w:val="auto"/>
          <w:szCs w:val="21"/>
          <w:highlight w:val="none"/>
        </w:rPr>
      </w:pPr>
    </w:p>
    <w:p w14:paraId="6EE74A5A">
      <w:pPr>
        <w:jc w:val="center"/>
        <w:rPr>
          <w:rFonts w:ascii="宋体" w:hAnsi="宋体" w:cs="宋体"/>
          <w:color w:val="auto"/>
          <w:szCs w:val="21"/>
          <w:highlight w:val="none"/>
        </w:rPr>
      </w:pPr>
    </w:p>
    <w:p w14:paraId="2C674C5C">
      <w:pPr>
        <w:pStyle w:val="14"/>
        <w:rPr>
          <w:rFonts w:ascii="宋体" w:hAnsi="宋体" w:cs="宋体"/>
          <w:color w:val="auto"/>
          <w:highlight w:val="none"/>
        </w:rPr>
      </w:pPr>
    </w:p>
    <w:p w14:paraId="50991436">
      <w:pPr>
        <w:pStyle w:val="94"/>
        <w:ind w:firstLine="0" w:firstLineChars="0"/>
        <w:rPr>
          <w:rFonts w:cs="宋体"/>
          <w:color w:val="auto"/>
          <w:highlight w:val="none"/>
          <w:u w:val="single"/>
        </w:rPr>
      </w:pPr>
    </w:p>
    <w:p w14:paraId="399029B6">
      <w:pPr>
        <w:pStyle w:val="94"/>
        <w:ind w:firstLine="0" w:firstLineChars="0"/>
        <w:rPr>
          <w:rFonts w:cs="宋体"/>
          <w:color w:val="auto"/>
          <w:highlight w:val="none"/>
          <w:u w:val="single"/>
        </w:rPr>
      </w:pPr>
    </w:p>
    <w:p w14:paraId="51783E16">
      <w:pPr>
        <w:pStyle w:val="94"/>
        <w:ind w:firstLine="0" w:firstLineChars="0"/>
        <w:rPr>
          <w:rFonts w:cs="宋体"/>
          <w:color w:val="auto"/>
          <w:highlight w:val="none"/>
          <w:u w:val="single"/>
        </w:rPr>
      </w:pPr>
    </w:p>
    <w:p w14:paraId="52AC331A">
      <w:pPr>
        <w:pStyle w:val="94"/>
        <w:ind w:firstLine="0" w:firstLineChars="0"/>
        <w:rPr>
          <w:rFonts w:cs="宋体"/>
          <w:color w:val="auto"/>
          <w:highlight w:val="none"/>
          <w:u w:val="single"/>
        </w:rPr>
      </w:pPr>
    </w:p>
    <w:p w14:paraId="300C5808">
      <w:pPr>
        <w:snapToGrid w:val="0"/>
        <w:spacing w:line="400" w:lineRule="exact"/>
        <w:jc w:val="center"/>
        <w:rPr>
          <w:rFonts w:hint="eastAsia" w:ascii="宋体" w:hAnsi="宋体" w:cs="宋体"/>
          <w:b/>
          <w:bCs/>
          <w:color w:val="auto"/>
          <w:sz w:val="32"/>
          <w:szCs w:val="32"/>
          <w:highlight w:val="none"/>
        </w:rPr>
      </w:pPr>
    </w:p>
    <w:p w14:paraId="5687CE49">
      <w:pPr>
        <w:rPr>
          <w:rFonts w:hint="eastAsia"/>
          <w:color w:val="auto"/>
          <w:highlight w:val="none"/>
        </w:rPr>
      </w:pPr>
    </w:p>
    <w:p w14:paraId="65384041">
      <w:pPr>
        <w:snapToGrid w:val="0"/>
        <w:spacing w:line="48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《广西壮族自治区政府采购合同》</w:t>
      </w:r>
    </w:p>
    <w:p w14:paraId="21FB1E3C">
      <w:pPr>
        <w:spacing w:line="520" w:lineRule="exact"/>
        <w:jc w:val="center"/>
        <w:rPr>
          <w:color w:val="auto"/>
          <w:sz w:val="24"/>
          <w:highlight w:val="none"/>
        </w:rPr>
      </w:pPr>
      <w:r>
        <w:rPr>
          <w:rFonts w:hint="eastAsia"/>
          <w:color w:val="auto"/>
          <w:sz w:val="24"/>
          <w:highlight w:val="none"/>
        </w:rPr>
        <w:t>（</w:t>
      </w:r>
      <w:r>
        <w:rPr>
          <w:rFonts w:hint="eastAsia"/>
          <w:color w:val="auto"/>
          <w:sz w:val="24"/>
          <w:highlight w:val="none"/>
          <w:lang w:val="en-US" w:eastAsia="zh-CN"/>
        </w:rPr>
        <w:t>1</w:t>
      </w:r>
      <w:r>
        <w:rPr>
          <w:rFonts w:hint="eastAsia"/>
          <w:color w:val="auto"/>
          <w:sz w:val="24"/>
          <w:highlight w:val="none"/>
        </w:rPr>
        <w:t>分标合同文本）</w:t>
      </w:r>
    </w:p>
    <w:p w14:paraId="68A9DDA4">
      <w:pPr>
        <w:pStyle w:val="104"/>
        <w:rPr>
          <w:color w:val="auto"/>
          <w:highlight w:val="none"/>
        </w:rPr>
      </w:pPr>
    </w:p>
    <w:p w14:paraId="5808B230">
      <w:pPr>
        <w:snapToGrid w:val="0"/>
        <w:spacing w:line="382" w:lineRule="exact"/>
        <w:rPr>
          <w:rFonts w:ascii="宋体" w:hAnsi="宋体"/>
          <w:color w:val="auto"/>
          <w:szCs w:val="21"/>
          <w:highlight w:val="none"/>
          <w:u w:val="single"/>
        </w:rPr>
      </w:pPr>
      <w:r>
        <w:rPr>
          <w:rFonts w:hint="eastAsia" w:ascii="宋体" w:hAnsi="宋体"/>
          <w:color w:val="auto"/>
          <w:szCs w:val="21"/>
          <w:highlight w:val="none"/>
        </w:rPr>
        <w:t>采购人（甲方）：</w:t>
      </w:r>
      <w:r>
        <w:rPr>
          <w:rFonts w:hint="eastAsia" w:ascii="宋体" w:hAnsi="宋体"/>
          <w:color w:val="auto"/>
          <w:szCs w:val="21"/>
          <w:highlight w:val="none"/>
          <w:u w:val="single"/>
        </w:rPr>
        <w:t xml:space="preserve">广西壮族自治区自然资源厅 </w:t>
      </w:r>
      <w:r>
        <w:rPr>
          <w:rFonts w:hint="eastAsia" w:ascii="宋体" w:hAnsi="宋体"/>
          <w:color w:val="auto"/>
          <w:szCs w:val="21"/>
          <w:highlight w:val="none"/>
        </w:rPr>
        <w:t xml:space="preserve">     采购计划号：</w:t>
      </w:r>
      <w:r>
        <w:rPr>
          <w:rFonts w:hint="eastAsia" w:ascii="宋体" w:hAnsi="宋体"/>
          <w:color w:val="auto"/>
          <w:szCs w:val="21"/>
          <w:highlight w:val="none"/>
          <w:u w:val="single"/>
        </w:rPr>
        <w:t xml:space="preserve">                          </w:t>
      </w:r>
    </w:p>
    <w:p w14:paraId="780E019C">
      <w:pPr>
        <w:snapToGrid w:val="0"/>
        <w:spacing w:line="382" w:lineRule="exact"/>
        <w:rPr>
          <w:rFonts w:hint="eastAsia" w:ascii="宋体" w:hAnsi="宋体"/>
          <w:color w:val="auto"/>
          <w:szCs w:val="21"/>
          <w:highlight w:val="none"/>
        </w:rPr>
      </w:pPr>
      <w:r>
        <w:rPr>
          <w:rFonts w:hint="eastAsia" w:ascii="宋体" w:hAnsi="宋体"/>
          <w:color w:val="auto"/>
          <w:szCs w:val="21"/>
          <w:highlight w:val="none"/>
        </w:rPr>
        <w:t>供应商（乙方）：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877BE8F">
      <w:pPr>
        <w:snapToGrid w:val="0"/>
        <w:spacing w:line="382" w:lineRule="exact"/>
        <w:rPr>
          <w:rFonts w:hint="eastAsia" w:ascii="宋体" w:hAnsi="宋体"/>
          <w:color w:val="auto"/>
          <w:szCs w:val="21"/>
          <w:highlight w:val="none"/>
          <w:u w:val="single"/>
        </w:rPr>
      </w:pPr>
      <w:r>
        <w:rPr>
          <w:rFonts w:hint="eastAsia" w:ascii="宋体" w:hAnsi="宋体"/>
          <w:color w:val="auto"/>
          <w:szCs w:val="21"/>
          <w:highlight w:val="none"/>
        </w:rPr>
        <w:t>采购项目名称和</w:t>
      </w:r>
      <w:r>
        <w:rPr>
          <w:rFonts w:hint="eastAsia" w:ascii="宋体" w:hAnsi="宋体"/>
          <w:color w:val="auto"/>
          <w:spacing w:val="-20"/>
          <w:szCs w:val="21"/>
          <w:highlight w:val="none"/>
        </w:rPr>
        <w:t xml:space="preserve">编号： </w:t>
      </w:r>
      <w:r>
        <w:rPr>
          <w:rFonts w:hint="eastAsia" w:ascii="宋体" w:hAnsi="宋体"/>
          <w:color w:val="auto"/>
          <w:spacing w:val="-20"/>
          <w:szCs w:val="21"/>
          <w:highlight w:val="none"/>
          <w:u w:val="single"/>
        </w:rPr>
        <w:t xml:space="preserve">                                   </w:t>
      </w:r>
      <w:r>
        <w:rPr>
          <w:rFonts w:hint="eastAsia" w:ascii="宋体" w:hAnsi="宋体"/>
          <w:color w:val="auto"/>
          <w:szCs w:val="21"/>
          <w:highlight w:val="none"/>
          <w:u w:val="single"/>
        </w:rPr>
        <w:t xml:space="preserve"> </w:t>
      </w:r>
    </w:p>
    <w:p w14:paraId="1B0FC261">
      <w:pPr>
        <w:snapToGrid w:val="0"/>
        <w:spacing w:line="382" w:lineRule="exact"/>
        <w:rPr>
          <w:rFonts w:hint="eastAsia" w:ascii="宋体" w:hAnsi="宋体"/>
          <w:color w:val="auto"/>
          <w:szCs w:val="21"/>
          <w:highlight w:val="none"/>
          <w:u w:val="single"/>
        </w:rPr>
      </w:pPr>
      <w:r>
        <w:rPr>
          <w:rFonts w:hint="eastAsia" w:ascii="宋体" w:hAnsi="宋体"/>
          <w:color w:val="auto"/>
          <w:szCs w:val="21"/>
          <w:highlight w:val="none"/>
        </w:rPr>
        <w:t>签订地点：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14:paraId="1A054E57">
      <w:pPr>
        <w:spacing w:line="360" w:lineRule="auto"/>
        <w:rPr>
          <w:rFonts w:ascii="宋体" w:hAnsi="宋体" w:cs="宋体"/>
          <w:color w:val="auto"/>
          <w:szCs w:val="21"/>
          <w:highlight w:val="none"/>
          <w:u w:val="single"/>
        </w:rPr>
      </w:pPr>
      <w:r>
        <w:rPr>
          <w:rFonts w:hint="eastAsia"/>
          <w:color w:val="auto"/>
          <w:highlight w:val="none"/>
        </w:rPr>
        <w:t>标项：</w:t>
      </w:r>
      <w:r>
        <w:rPr>
          <w:rFonts w:hint="eastAsia"/>
          <w:color w:val="auto"/>
          <w:highlight w:val="none"/>
          <w:u w:val="single"/>
        </w:rPr>
        <w:t xml:space="preserve">                              </w:t>
      </w:r>
      <w:r>
        <w:rPr>
          <w:rFonts w:hint="eastAsia"/>
          <w:color w:val="auto"/>
          <w:highlight w:val="none"/>
        </w:rPr>
        <w:t xml:space="preserve">               </w:t>
      </w:r>
    </w:p>
    <w:p w14:paraId="1CE5E14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（是/否）</w:t>
      </w:r>
      <w:r>
        <w:rPr>
          <w:rFonts w:hint="eastAsia" w:ascii="宋体" w:hAnsi="宋体" w:cs="宋体"/>
          <w:color w:val="auto"/>
          <w:szCs w:val="21"/>
          <w:highlight w:val="none"/>
        </w:rPr>
        <w:t>。</w:t>
      </w:r>
    </w:p>
    <w:p w14:paraId="6007A6BC">
      <w:pPr>
        <w:snapToGrid w:val="0"/>
        <w:spacing w:line="382" w:lineRule="exact"/>
        <w:ind w:firstLine="420" w:firstLineChars="200"/>
        <w:rPr>
          <w:rFonts w:hint="eastAsia" w:ascii="宋体" w:hAnsi="宋体"/>
          <w:color w:val="auto"/>
          <w:szCs w:val="21"/>
          <w:highlight w:val="none"/>
        </w:rPr>
      </w:pPr>
    </w:p>
    <w:p w14:paraId="3F673D1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根据《中华人民共和国政府采购法》《中华人民共和国民法典》等法律、法规规定，按照磋商文件规定条款和乙方响应文件及其承诺，甲乙双方签订本合同。</w:t>
      </w:r>
    </w:p>
    <w:p w14:paraId="29E6FD3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第一条　合同标的</w:t>
      </w:r>
    </w:p>
    <w:p w14:paraId="140A519E">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1、项目一览表</w:t>
      </w:r>
    </w:p>
    <w:tbl>
      <w:tblPr>
        <w:tblStyle w:val="32"/>
        <w:tblW w:w="960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6"/>
        <w:gridCol w:w="5103"/>
        <w:gridCol w:w="567"/>
        <w:gridCol w:w="577"/>
        <w:gridCol w:w="1300"/>
        <w:gridCol w:w="1207"/>
      </w:tblGrid>
      <w:tr w14:paraId="52CC7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14:paraId="1D5A5E1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65D10F0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名称</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73CA797D">
            <w:pPr>
              <w:spacing w:line="360" w:lineRule="auto"/>
              <w:jc w:val="center"/>
              <w:rPr>
                <w:rFonts w:ascii="宋体" w:hAnsi="宋体" w:cs="宋体"/>
                <w:color w:val="auto"/>
                <w:sz w:val="24"/>
                <w:highlight w:val="none"/>
              </w:rPr>
            </w:pPr>
            <w:r>
              <w:rPr>
                <w:rFonts w:hint="eastAsia" w:ascii="宋体" w:hAnsi="宋体" w:eastAsia="宋体" w:cs="宋体"/>
                <w:b/>
                <w:bCs/>
                <w:color w:val="auto"/>
                <w:sz w:val="24"/>
                <w:szCs w:val="24"/>
                <w:highlight w:val="none"/>
              </w:rPr>
              <w:t>技术要求</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6DC3D85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  量</w:t>
            </w:r>
          </w:p>
        </w:tc>
        <w:tc>
          <w:tcPr>
            <w:tcW w:w="577" w:type="dxa"/>
            <w:tcBorders>
              <w:top w:val="single" w:color="auto" w:sz="4" w:space="0"/>
              <w:left w:val="single" w:color="auto" w:sz="4" w:space="0"/>
              <w:bottom w:val="single" w:color="auto" w:sz="4" w:space="0"/>
              <w:right w:val="single" w:color="auto" w:sz="4" w:space="0"/>
            </w:tcBorders>
            <w:noWrap w:val="0"/>
            <w:vAlign w:val="center"/>
          </w:tcPr>
          <w:p w14:paraId="50B28F9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2847E51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单  价</w:t>
            </w:r>
          </w:p>
          <w:p w14:paraId="740E8BF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（元）</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0CAD304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总  价</w:t>
            </w:r>
          </w:p>
          <w:p w14:paraId="5872194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（元）</w:t>
            </w:r>
          </w:p>
        </w:tc>
      </w:tr>
      <w:tr w14:paraId="05EC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14:paraId="3AC6DB4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33E819D2">
            <w:pPr>
              <w:spacing w:line="360" w:lineRule="auto"/>
              <w:jc w:val="center"/>
              <w:rPr>
                <w:rFonts w:ascii="宋体" w:hAnsi="宋体" w:cs="宋体"/>
                <w:color w:val="auto"/>
                <w:sz w:val="24"/>
                <w:highlight w:val="none"/>
              </w:rPr>
            </w:pPr>
            <w:r>
              <w:rPr>
                <w:rFonts w:hint="eastAsia" w:ascii="宋体" w:hAnsi="宋体" w:cs="宋体"/>
                <w:bCs/>
                <w:color w:val="auto"/>
                <w:szCs w:val="21"/>
                <w:highlight w:val="none"/>
              </w:rPr>
              <w:t>厅本级信息系统安全等级保护测评服务</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7E9A7264">
            <w:pPr>
              <w:spacing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一、等级保护测评</w:t>
            </w:r>
          </w:p>
          <w:p w14:paraId="2E5D7B31">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▲1、总的要求：依据《网络安全等级保护基本要求》（GB/T 22239-2019）对自然资源厅业务系统开展网络安全等级保护测评工作，并出具网络安全等级保护测评报告。具体如下：</w:t>
            </w:r>
          </w:p>
          <w:p w14:paraId="642899FB">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（1）自然资源业务网：基础网络。</w:t>
            </w:r>
          </w:p>
          <w:p w14:paraId="6C280CC0">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（2）自然资源厅电子政务综合管理系统。</w:t>
            </w:r>
          </w:p>
          <w:p w14:paraId="023A86E9">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（3）广西现代测绘基准管理与综合服务平台。</w:t>
            </w:r>
          </w:p>
          <w:p w14:paraId="1FDD0175">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（4）广西不动产登记信息管理平台。</w:t>
            </w:r>
          </w:p>
          <w:p w14:paraId="336A9661">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（5）广西壮族自治区地理信息公共服务平台。</w:t>
            </w:r>
          </w:p>
          <w:p w14:paraId="39997F29">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2、测评要求：</w:t>
            </w:r>
          </w:p>
          <w:p w14:paraId="7C197A17">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分为初测和复测两个阶段。初测阶段测评机构在完成现场测评后，需针对初测结果为用户提供必要的整改项材料（如各项等保要求的表单模板、制度模板等），对不符合项现场与用户逐一核对并提出可行性的整改建议。</w:t>
            </w:r>
          </w:p>
          <w:p w14:paraId="5EBA0B34">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（2）在采购人有效实施整改后，开展复测工作，并最终出具符合公安机关要求的（年度）信息系统安全保护等级测评报告。</w:t>
            </w:r>
          </w:p>
          <w:p w14:paraId="11868F19">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3、标准依据</w:t>
            </w:r>
          </w:p>
          <w:p w14:paraId="36BB0C74">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《计算机信息系统安全保护等级划分准则》（GB 17859-1999)</w:t>
            </w:r>
          </w:p>
          <w:p w14:paraId="48EFB24B">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《网络安全等级保护基本要求》（GB/T 22239-2019）</w:t>
            </w:r>
          </w:p>
          <w:p w14:paraId="6D1CE425">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《网络安全等级保护测评要求》（GB/T 28448-2019）</w:t>
            </w:r>
          </w:p>
          <w:p w14:paraId="5FAA7F7D">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《网络安全等级保护测评过程指南》（GB/T 28449-2018)</w:t>
            </w:r>
          </w:p>
          <w:p w14:paraId="22210663">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《网络安全等级保护设计技术要求》（GB/T 25070-2019）</w:t>
            </w:r>
          </w:p>
          <w:p w14:paraId="4BFB1469">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《网络安全等级保护测试评估技术指南》（GB/T 36627-2018）</w:t>
            </w:r>
          </w:p>
          <w:p w14:paraId="24DCD4D9">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▲4、测评内容</w:t>
            </w:r>
          </w:p>
          <w:p w14:paraId="7D5F6DFC">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（1）安全通用要求</w:t>
            </w:r>
          </w:p>
          <w:p w14:paraId="66A388A0">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安全通用要求测评内容应包括安全技术和安全管理两大类，其中技术类应包括对安全物理环境、安全通信网络、安全区域边界、安全计算环境、安全管理中心五个方面的测评，安全管理类测评应包括对安全管理制度、安全管理机构、安全管理人员、安全建设管理、安全运维管理五个方面的测评。</w:t>
            </w:r>
          </w:p>
          <w:p w14:paraId="48D52FA2">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安全扩展要求</w:t>
            </w:r>
          </w:p>
          <w:p w14:paraId="3FEFB919">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应用了不同新技术的安全保护对象处于不同的应用场景中，面临不同的安全威胁，因此会有不同的安全需求，该保护对象涉及的安全扩展要求包括：</w:t>
            </w:r>
          </w:p>
          <w:p w14:paraId="61B6EA28">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1）云计算</w:t>
            </w:r>
          </w:p>
          <w:p w14:paraId="49766946">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云计算安全测评内容包括对安全物理环境、安全通信网络、安全区域边界、安全计算环境、安全管理中心、安全建设管理、安全运维管理等的测评。</w:t>
            </w:r>
          </w:p>
          <w:p w14:paraId="3C7BEB22">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2）移动互联</w:t>
            </w:r>
          </w:p>
          <w:p w14:paraId="185B376C">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移动互联安全测评内容包括对安全物理环境、安全区域边界、安全计算环境、安全建设管理、安全运维管理等的测评。</w:t>
            </w:r>
          </w:p>
          <w:p w14:paraId="1CD3C181">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3）物联网</w:t>
            </w:r>
          </w:p>
          <w:p w14:paraId="553BCC66">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物联网安全测评内容包括对安全物理环境、安全区域边界、安全计算环境、安全运维管理等的测评。</w:t>
            </w:r>
          </w:p>
          <w:p w14:paraId="6B0CCD8F">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4）工业控制系统</w:t>
            </w:r>
          </w:p>
          <w:p w14:paraId="2A159BD0">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工业控制系统安全测评包括对安全物理环境、安全通信网络、安全区域边界、安全计算环境、安全建设管理方面的测评。</w:t>
            </w:r>
          </w:p>
          <w:p w14:paraId="0B2F961A">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5）大数据</w:t>
            </w:r>
          </w:p>
          <w:p w14:paraId="25715798">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大数据安全测评包括对安全物理环境、安全通信网络、安全计算环境、安全运维管理等的测评。</w:t>
            </w:r>
          </w:p>
          <w:p w14:paraId="6B1F8471">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5、测评方法</w:t>
            </w:r>
          </w:p>
          <w:p w14:paraId="4DDE6177">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在测评实施过程中，应采用访谈、检查和测试、渗透测试等测评方法进行，并与国家相关规范及标准的要求相符。</w:t>
            </w:r>
            <w:r>
              <w:rPr>
                <w:rFonts w:hint="eastAsia" w:ascii="宋体" w:hAnsi="宋体" w:cs="宋体"/>
                <w:color w:val="auto"/>
                <w:sz w:val="24"/>
                <w:highlight w:val="none"/>
              </w:rPr>
              <w:br w:type="textWrapping"/>
            </w:r>
            <w:r>
              <w:rPr>
                <w:rFonts w:hint="eastAsia" w:ascii="宋体" w:hAnsi="宋体" w:cs="宋体"/>
                <w:color w:val="auto"/>
                <w:sz w:val="24"/>
                <w:highlight w:val="none"/>
              </w:rPr>
              <w:t xml:space="preserve">    访谈是指测评人员通过引导信息系统相关人员进行有目的（有针对性的）的交流以帮助测评人员理解、分析或取得证据的过程；</w:t>
            </w:r>
            <w:r>
              <w:rPr>
                <w:rFonts w:hint="eastAsia" w:ascii="宋体" w:hAnsi="宋体" w:cs="宋体"/>
                <w:color w:val="auto"/>
                <w:sz w:val="24"/>
                <w:highlight w:val="none"/>
              </w:rPr>
              <w:br w:type="textWrapping"/>
            </w:r>
            <w:r>
              <w:rPr>
                <w:rFonts w:hint="eastAsia" w:ascii="宋体" w:hAnsi="宋体" w:cs="宋体"/>
                <w:color w:val="auto"/>
                <w:sz w:val="24"/>
                <w:highlight w:val="none"/>
              </w:rPr>
              <w:t xml:space="preserve">    检查是指测评人员通过对测评对象（如管理制度、操作记录、安全配置等）进行观察、查验、分析以帮助测评人员理解、分析或取得证据的过程；</w:t>
            </w:r>
          </w:p>
          <w:p w14:paraId="66878064">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测试是测评人员使用预定的方法/工具使测评对象产生特定的行为，通过查看和分析结果以帮助测评人员获取证据的过程；</w:t>
            </w:r>
          </w:p>
          <w:p w14:paraId="01D3BC7B">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渗透测试是模拟黑客的攻击方法，对受保护对象的应用系统、主机、网络进行攻击，从而验证测评对象的弱点、技术缺陷或漏洞的一种评估方法。</w:t>
            </w:r>
          </w:p>
          <w:p w14:paraId="0FD15E55">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6、服务成果</w:t>
            </w:r>
          </w:p>
          <w:p w14:paraId="43EEC910">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测评完成后，对5个信息系统逐一出具符合等保2.0相关技术标准要求、国家网络安全等级保护管理部门规范要求且公安机关认可的的网络安全等级保护测评报告。</w:t>
            </w:r>
          </w:p>
          <w:p w14:paraId="59CB552E">
            <w:pPr>
              <w:spacing w:line="360" w:lineRule="exact"/>
              <w:rPr>
                <w:rFonts w:hint="eastAsia" w:ascii="宋体" w:hAnsi="宋体" w:cs="宋体"/>
                <w:color w:val="auto"/>
                <w:sz w:val="24"/>
                <w:highlight w:val="none"/>
              </w:rPr>
            </w:pPr>
            <w:r>
              <w:rPr>
                <w:rFonts w:hint="eastAsia" w:ascii="宋体" w:hAnsi="宋体" w:cs="宋体"/>
                <w:b/>
                <w:bCs/>
                <w:color w:val="auto"/>
                <w:sz w:val="24"/>
                <w:highlight w:val="none"/>
              </w:rPr>
              <w:t>二、商用密码应用安全性评估</w:t>
            </w:r>
          </w:p>
          <w:p w14:paraId="2E6327D5">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1、总的要求：依据《信息安全技术信息系统密码应用基本要求》( GB / T 39786—2021)、《信息系统密码应用测评要求》、《信息系统密码应用测评过程指南》、《信息系统密码应用高风险判定指引》、《商用密码应用安全性评估量化评估规则》等标准、规范，对自治区自然资源厅5个应用系统开展商用密码应用安全性评估,全面评估其是否符合商用密码应用安全性评估的要求。应用系统具体如下：</w:t>
            </w:r>
          </w:p>
          <w:p w14:paraId="0D2DDE73">
            <w:pPr>
              <w:spacing w:line="360" w:lineRule="exact"/>
              <w:rPr>
                <w:rFonts w:hint="eastAsia" w:ascii="宋体" w:hAnsi="宋体" w:cs="宋体"/>
                <w:color w:val="auto"/>
                <w:sz w:val="24"/>
                <w:highlight w:val="none"/>
              </w:rPr>
            </w:pPr>
            <w:r>
              <w:rPr>
                <w:rFonts w:hint="eastAsia" w:ascii="宋体" w:hAnsi="宋体" w:cs="宋体"/>
                <w:color w:val="auto"/>
                <w:sz w:val="24"/>
                <w:highlight w:val="none"/>
              </w:rPr>
              <w:t>（1）自然资源业务网。</w:t>
            </w:r>
          </w:p>
          <w:p w14:paraId="26689AC6">
            <w:pPr>
              <w:spacing w:line="360" w:lineRule="exact"/>
              <w:rPr>
                <w:rFonts w:hint="eastAsia" w:ascii="宋体" w:hAnsi="宋体" w:cs="宋体"/>
                <w:color w:val="auto"/>
                <w:sz w:val="24"/>
                <w:highlight w:val="none"/>
              </w:rPr>
            </w:pPr>
            <w:r>
              <w:rPr>
                <w:rFonts w:hint="eastAsia" w:ascii="宋体" w:hAnsi="宋体" w:cs="宋体"/>
                <w:color w:val="auto"/>
                <w:sz w:val="24"/>
                <w:highlight w:val="none"/>
              </w:rPr>
              <w:t>（2）自然资源厅电子政务综合管理系统。</w:t>
            </w:r>
          </w:p>
          <w:p w14:paraId="7865A810">
            <w:pPr>
              <w:spacing w:line="360" w:lineRule="exact"/>
              <w:rPr>
                <w:rFonts w:hint="eastAsia" w:ascii="宋体" w:hAnsi="宋体" w:cs="宋体"/>
                <w:color w:val="auto"/>
                <w:sz w:val="24"/>
                <w:highlight w:val="none"/>
              </w:rPr>
            </w:pPr>
            <w:r>
              <w:rPr>
                <w:rFonts w:hint="eastAsia" w:ascii="宋体" w:hAnsi="宋体" w:cs="宋体"/>
                <w:color w:val="auto"/>
                <w:sz w:val="24"/>
                <w:highlight w:val="none"/>
              </w:rPr>
              <w:t>（3）广西现代测绘基准管理与综合服务平台。</w:t>
            </w:r>
          </w:p>
          <w:p w14:paraId="40BCB730">
            <w:pPr>
              <w:spacing w:line="360" w:lineRule="exact"/>
              <w:rPr>
                <w:rFonts w:hint="eastAsia" w:ascii="宋体" w:hAnsi="宋体" w:cs="宋体"/>
                <w:color w:val="auto"/>
                <w:sz w:val="24"/>
                <w:highlight w:val="none"/>
              </w:rPr>
            </w:pPr>
            <w:r>
              <w:rPr>
                <w:rFonts w:hint="eastAsia" w:ascii="宋体" w:hAnsi="宋体" w:cs="宋体"/>
                <w:color w:val="auto"/>
                <w:sz w:val="24"/>
                <w:highlight w:val="none"/>
              </w:rPr>
              <w:t>（4）广西不动产登记信息管理平台。</w:t>
            </w:r>
          </w:p>
          <w:p w14:paraId="77E9A648">
            <w:pPr>
              <w:spacing w:line="360" w:lineRule="exact"/>
              <w:rPr>
                <w:rFonts w:hint="eastAsia" w:ascii="宋体" w:hAnsi="宋体" w:cs="宋体"/>
                <w:color w:val="auto"/>
                <w:sz w:val="24"/>
                <w:highlight w:val="none"/>
              </w:rPr>
            </w:pPr>
            <w:r>
              <w:rPr>
                <w:rFonts w:hint="eastAsia" w:ascii="宋体" w:hAnsi="宋体" w:cs="宋体"/>
                <w:color w:val="auto"/>
                <w:sz w:val="24"/>
                <w:highlight w:val="none"/>
              </w:rPr>
              <w:t>（5）广西壮族自治区地理信息公共服务平台。</w:t>
            </w:r>
          </w:p>
          <w:p w14:paraId="6E27253A">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本次密评旨在对受测系统的商用密码应用的合规性、正确性和有效性进行评估。根据实际评估结果，对受测系统进行安全风险分析并给出改进建议，出具商用密码应用安全性评估报告。</w:t>
            </w:r>
          </w:p>
          <w:p w14:paraId="1E2ABA27">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2、评估内容</w:t>
            </w:r>
          </w:p>
          <w:p w14:paraId="69A548B5">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商用密码应用安全性评估要求依据国家有关最新标准和规范对包括(但不限于)物理和环境安全、网络和通信安全、设备和计算安全、应用和数据安全、管理制度、人员管理、建设运行、应急处置等方面进行评估。</w:t>
            </w:r>
          </w:p>
          <w:p w14:paraId="1977CFEF">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（1）物理和环境安全包括身份鉴别、电子门禁记录数据完整性、视频记录数据完整性、密码服务、密码产品等评估项。</w:t>
            </w:r>
          </w:p>
          <w:p w14:paraId="03B92B98">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（2）网络和通信安全包括身份鉴别、通信数据完整性、通信过程中重要数据的机密性、网络边界访问控制信息的完整性、安全接入认证、密码服务、密码产品等评估项。</w:t>
            </w:r>
          </w:p>
          <w:p w14:paraId="1C66EB38">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（3）设备和计算安全包括身份鉴别、远程管理通道安全、系统资源访问控制信息完整性、重要信息资源安全标记完整性、日志记录完整性、重要可执行程序来源真实性、密码服务、密码产品等评估项。</w:t>
            </w:r>
          </w:p>
          <w:p w14:paraId="61B6CBBB">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应用和数据安全包括身份鉴别、访问控制信息完整性、重要信息资源安全标记完整性、重要数据传输机密性、重要数据存储机密性、重要数据传输完整性、重要数据存储完整性、不可否认性、密码服务、密码产品等评估项。</w:t>
            </w:r>
          </w:p>
          <w:p w14:paraId="0E763479">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（5）管理制度包括具备密码应用安全管理制度、密钥管理规制、建立操作规程、定期修订安全管理制度、明确管理制度发布流程、制度执行过程记录留存等评估项。</w:t>
            </w:r>
          </w:p>
          <w:p w14:paraId="3CF31571">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（6）人员管理包括了解并遵守密码相关法律法规和密码管理制度、建立密码应用岗位责任制度、建立上岗人员培训制度、定期进行安全岗位人员考核、建立关键岗位人员保密制度和调离制度等评估项。</w:t>
            </w:r>
          </w:p>
          <w:p w14:paraId="6E4CDE45">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（7）建设运行包括制定密码应用方案、制定密钥安全管理策略、制定实施方案、投入运行前进行密码应用安全性评估、定期开展密码应用安全性评估及攻防对抗演习等评估项。</w:t>
            </w:r>
          </w:p>
          <w:p w14:paraId="6CF1D9BF">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（8）应急处置包括应急策略、事件处置、向有关主管部门上报处置情况等评估项。</w:t>
            </w:r>
          </w:p>
          <w:p w14:paraId="05F83FDD">
            <w:pPr>
              <w:widowControl/>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3、服务成果</w:t>
            </w:r>
          </w:p>
          <w:p w14:paraId="08102AA0">
            <w:pPr>
              <w:pStyle w:val="22"/>
              <w:spacing w:after="156"/>
              <w:rPr>
                <w:rFonts w:ascii="宋体" w:hAnsi="宋体" w:cs="宋体"/>
                <w:color w:val="auto"/>
                <w:sz w:val="24"/>
                <w:highlight w:val="none"/>
              </w:rPr>
            </w:pPr>
            <w:r>
              <w:rPr>
                <w:rFonts w:hint="eastAsia" w:ascii="宋体" w:hAnsi="宋体" w:cs="宋体"/>
                <w:color w:val="auto"/>
                <w:sz w:val="24"/>
                <w:highlight w:val="none"/>
              </w:rPr>
              <w:t>完成被评估系统的商用密码应用安全性评估工作并出具商用密码应用安全性评估报告。报告按照国家密码管理局要求包含的内容编制或参考模板编制。报告中应协助被评估单位认清风险，查找漏洞，找出差距，提出有针对性的加强完善密码安全管理和防护建议。</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299BBA1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577" w:type="dxa"/>
            <w:tcBorders>
              <w:top w:val="single" w:color="auto" w:sz="4" w:space="0"/>
              <w:left w:val="single" w:color="auto" w:sz="4" w:space="0"/>
              <w:bottom w:val="single" w:color="auto" w:sz="4" w:space="0"/>
              <w:right w:val="single" w:color="auto" w:sz="4" w:space="0"/>
            </w:tcBorders>
            <w:noWrap w:val="0"/>
            <w:vAlign w:val="center"/>
          </w:tcPr>
          <w:p w14:paraId="0F2DCA13">
            <w:pPr>
              <w:spacing w:line="360" w:lineRule="auto"/>
              <w:jc w:val="center"/>
              <w:rPr>
                <w:rFonts w:ascii="宋体" w:hAnsi="宋体" w:cs="宋体"/>
                <w:color w:val="auto"/>
                <w:sz w:val="24"/>
                <w:highlight w:val="none"/>
              </w:rPr>
            </w:pPr>
            <w:r>
              <w:rPr>
                <w:rFonts w:ascii="宋体" w:hAnsi="宋体" w:cs="宋体"/>
                <w:color w:val="auto"/>
                <w:sz w:val="24"/>
                <w:highlight w:val="none"/>
              </w:rPr>
              <w:t>项</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588DE983">
            <w:pPr>
              <w:spacing w:line="360" w:lineRule="auto"/>
              <w:jc w:val="center"/>
              <w:rPr>
                <w:rFonts w:ascii="宋体" w:hAnsi="宋体" w:cs="宋体"/>
                <w:color w:val="auto"/>
                <w:sz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46DD3F6A">
            <w:pPr>
              <w:spacing w:line="360" w:lineRule="auto"/>
              <w:jc w:val="center"/>
              <w:rPr>
                <w:rFonts w:ascii="宋体" w:hAnsi="宋体" w:cs="宋体"/>
                <w:color w:val="auto"/>
                <w:sz w:val="24"/>
                <w:highlight w:val="none"/>
              </w:rPr>
            </w:pPr>
          </w:p>
        </w:tc>
      </w:tr>
      <w:tr w14:paraId="58C4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606" w:type="dxa"/>
            <w:gridSpan w:val="7"/>
            <w:tcBorders>
              <w:top w:val="single" w:color="auto" w:sz="4" w:space="0"/>
              <w:left w:val="single" w:color="auto" w:sz="4" w:space="0"/>
              <w:bottom w:val="single" w:color="auto" w:sz="4" w:space="0"/>
              <w:right w:val="single" w:color="auto" w:sz="4" w:space="0"/>
            </w:tcBorders>
            <w:noWrap w:val="0"/>
            <w:vAlign w:val="center"/>
          </w:tcPr>
          <w:p w14:paraId="1D39C37F">
            <w:pPr>
              <w:spacing w:line="360" w:lineRule="auto"/>
              <w:rPr>
                <w:rFonts w:ascii="宋体" w:hAnsi="宋体" w:cs="宋体"/>
                <w:color w:val="auto"/>
                <w:sz w:val="24"/>
                <w:highlight w:val="none"/>
              </w:rPr>
            </w:pPr>
            <w:r>
              <w:rPr>
                <w:rFonts w:hint="eastAsia" w:ascii="宋体" w:hAnsi="宋体" w:cs="宋体"/>
                <w:color w:val="auto"/>
                <w:sz w:val="24"/>
                <w:highlight w:val="none"/>
              </w:rPr>
              <w:t>人民币合计金额（大写）：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c>
      </w:tr>
    </w:tbl>
    <w:p w14:paraId="5232DF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2、合同合计金额包括但不限于满足本次竞标全部采购需求所应提供的服务；包含竞标服务的成本、检验、技术服务、税费等所有费用。如磋商文件对其另有规定的，从其规定。</w:t>
      </w:r>
    </w:p>
    <w:p w14:paraId="1D9E6371">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第二条　质量保证</w:t>
      </w:r>
    </w:p>
    <w:p w14:paraId="724B86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没有强制性标准的，必须符合行业标准。</w:t>
      </w:r>
    </w:p>
    <w:p w14:paraId="0C2CB338">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第三条　权利保证</w:t>
      </w:r>
    </w:p>
    <w:p w14:paraId="36B705A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1、乙方应保证所提供服务在使用时不会侵犯任何第三方的专利权、商标权、工业设计权等知识产权及其他合法权利，且所有权、处分权等没有受到任何限制。</w:t>
      </w:r>
    </w:p>
    <w:p w14:paraId="79FAA9F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41DE590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3、乙方需配合甲方开展绩效评价相关工作。</w:t>
      </w:r>
    </w:p>
    <w:p w14:paraId="1206723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4、未经甲方允许，项目不能委托第三方。</w:t>
      </w:r>
    </w:p>
    <w:p w14:paraId="47BB770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5、服务过程中形成的所有知识产权成果归甲方所有。</w:t>
      </w:r>
    </w:p>
    <w:p w14:paraId="7BD979A8">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第四条　交付和验收</w:t>
      </w:r>
    </w:p>
    <w:p w14:paraId="79BC50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1、服务期限：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，服务地点：</w:t>
      </w:r>
      <w:r>
        <w:rPr>
          <w:rFonts w:hint="eastAsia" w:ascii="宋体" w:hAnsi="宋体" w:cs="宋体"/>
          <w:color w:val="auto"/>
          <w:szCs w:val="21"/>
          <w:highlight w:val="none"/>
          <w:u w:val="single"/>
        </w:rPr>
        <w:t xml:space="preserve"> 甲方指定地点 </w:t>
      </w:r>
      <w:r>
        <w:rPr>
          <w:rFonts w:hint="eastAsia" w:ascii="宋体" w:hAnsi="宋体" w:cs="宋体"/>
          <w:color w:val="auto"/>
          <w:szCs w:val="21"/>
          <w:highlight w:val="none"/>
        </w:rPr>
        <w:t>。</w:t>
      </w:r>
    </w:p>
    <w:p w14:paraId="6C659DB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2、乙方应按响应文件的承诺向甲方提供相应的服务，并提供所服务内容的相关技术资料。</w:t>
      </w:r>
    </w:p>
    <w:p w14:paraId="70FA9F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3、乙方提供不符合响应文件和本合同规定的服务成果，甲方有权拒绝接受，且不支付任何费用。</w:t>
      </w:r>
    </w:p>
    <w:p w14:paraId="57E0E1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乙方完成服务后应及时书面通知甲方进行验收，甲方应在收到通知后七个工作日内进行验收，逾期不开始验收的，乙方可视同验收合格。验收合格后由甲乙双方签署验收单并加盖甲方公章，甲乙双方各执一份。</w:t>
      </w:r>
    </w:p>
    <w:p w14:paraId="75A85F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5、甲乙双方应按照本合同、响应文件、采购文件验收。</w:t>
      </w:r>
    </w:p>
    <w:p w14:paraId="445F3F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6、甲方在初步验收或者最终验收过程中如发现乙方提供的服务成果不满足响应文件及本合同规定的，可暂缓向乙方付款，直到乙方及时完善并提交相应的服务成果且经甲方验收合格后，方可办理付款。</w:t>
      </w:r>
    </w:p>
    <w:p w14:paraId="77E628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7、甲方验收时以书面形式提出异议的，乙方应自收到甲方书面异议后五个工作日内及时予以解决，否则甲方有权不出具服务验收合格单。</w:t>
      </w:r>
    </w:p>
    <w:p w14:paraId="3912C5C9">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第五条  售后服务及培训</w:t>
      </w:r>
    </w:p>
    <w:p w14:paraId="3333F65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1、乙方应按照国家有关法律法规和本合同所附的《售后服务承诺》要求为甲方提供相应的售后服务。</w:t>
      </w:r>
    </w:p>
    <w:p w14:paraId="59F855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2、甲方应提供必要测试条件（如场地、电源、水源等）。</w:t>
      </w:r>
    </w:p>
    <w:p w14:paraId="313C38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3、乙方负责甲方有关人员的培训。培训时间、地点：</w:t>
      </w:r>
      <w:r>
        <w:rPr>
          <w:rFonts w:hint="eastAsia" w:ascii="宋体" w:hAnsi="宋体" w:cs="宋体"/>
          <w:color w:val="auto"/>
          <w:szCs w:val="21"/>
          <w:highlight w:val="none"/>
          <w:u w:val="single"/>
        </w:rPr>
        <w:t xml:space="preserve"> 广西区采购人指定地点 。</w:t>
      </w:r>
    </w:p>
    <w:p w14:paraId="59A1948C">
      <w:pPr>
        <w:snapToGrid w:val="0"/>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第六条　付款方式</w:t>
      </w:r>
    </w:p>
    <w:p w14:paraId="6EC16511">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甲乙双方同意本合同金额的支付按以下第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项约定执行：</w:t>
      </w:r>
    </w:p>
    <w:p w14:paraId="29C585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1、一次性支付</w:t>
      </w:r>
    </w:p>
    <w:p w14:paraId="193D47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2、分期支付。</w:t>
      </w:r>
    </w:p>
    <w:p w14:paraId="273837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签订后10个工作日内，甲方向乙方支付合同总额30%的款项；乙方完成等级保护测评工作并经甲方确认后，甲方在15个工作日内向乙方支付合同总价的60%款项；乙方完成商用密码应用安全性评估工作并经甲方确认后，甲方在15个工作日内向乙方支付合同总价的10%款项。乙方在每次收到合同款后7个工作日内开具等额有效合法发票给甲方。</w:t>
      </w:r>
    </w:p>
    <w:p w14:paraId="75299E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3、乙方在每次收到合同款后7个工作日内开具等额有效合法发票给甲方。乙方不提供发票的，甲方有权不予支付后续费用。</w:t>
      </w:r>
    </w:p>
    <w:p w14:paraId="241D561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第七条  税费</w:t>
      </w:r>
    </w:p>
    <w:p w14:paraId="5A9AB7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14:paraId="7E7EB97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第八条　违约责任</w:t>
      </w:r>
    </w:p>
    <w:p w14:paraId="0127DAC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1、除不可抗力原因外，乙方没有按照合同规定的时间提供服务的，甲方可要求乙方支付违约金。每推迟一天按合同金额的3‰支付违约金，该违约金累计不超过合同金额的10%。                                  </w:t>
      </w:r>
    </w:p>
    <w:p w14:paraId="76CE197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2、乙方提供的服务如侵犯了第三方合法权益而引发的任何纠纷或者诉讼，均由乙方负责交涉并承担全部责任。</w:t>
      </w:r>
    </w:p>
    <w:p w14:paraId="3A0E513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3、甲方延期付款的，每逾期一天向乙方偿付逾期款额万分之一滞纳金，但滞纳金累计不得超过延期款额5%。</w:t>
      </w:r>
    </w:p>
    <w:p w14:paraId="17494D2F">
      <w:pPr>
        <w:widowControl/>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乙方不得将项目全部或部分进行转包、分包，如有违反，乙方应向甲方一次性支付合同总价20%的违约金，且甲方有权解除合同。甲方因此解除合同的，乙方还应当自收到甲方要求合同解除的函之日起5日内退还甲方已经支付的全部款项，赔偿因此给甲方造成的全部经济损失。</w:t>
      </w:r>
    </w:p>
    <w:p w14:paraId="69767EE7">
      <w:pPr>
        <w:widowControl/>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5、乙方支付的违约金不足以弥补甲方损失的，应承担赔偿责任，甲方有权继续向乙方追偿。</w:t>
      </w:r>
    </w:p>
    <w:p w14:paraId="6ABABD58">
      <w:pPr>
        <w:widowControl/>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本合同所称的甲方经济损失或者甲方损失，包括甲方遭受的全部直接经济损失及为此支出的合理费用（包括不限于为此支出的调查费、诉讼费、保全费、保全保险费、律师费、差旅费等）。乙方应支付给甲方的违约金或赔偿金，甲方有权从任何应支付未支付给乙方的款项中直接抵扣。</w:t>
      </w:r>
    </w:p>
    <w:p w14:paraId="70477831">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第九条  不可抗力事件处理</w:t>
      </w:r>
    </w:p>
    <w:p w14:paraId="1A97757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4E5955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14:paraId="587727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3、不可抗力事件延续一百二十天以上，双方应通过友好协商，确定是否继续履行合同。</w:t>
      </w:r>
    </w:p>
    <w:p w14:paraId="2EA0F378">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第十条  合同争议解决</w:t>
      </w:r>
    </w:p>
    <w:p w14:paraId="40BBBF2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1、因服务质量问题发生争议的，应邀请国家认可的质量检测机构进行鉴定。服务符合标准的，鉴定费由甲方承担；服务不符合标准的，鉴定费由乙方承担。</w:t>
      </w:r>
    </w:p>
    <w:p w14:paraId="06AF12B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2、因履行本合同引起的或者与本合同有关的争议，甲乙双方应首先通过友好协商解决，如果协商不能解决，可向甲方所在地有管辖权的人民法院提起诉讼。</w:t>
      </w:r>
    </w:p>
    <w:p w14:paraId="6F6291E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3、诉讼期间，本合同继续履行。</w:t>
      </w:r>
    </w:p>
    <w:p w14:paraId="71D37ED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第十一条  合同生效及其它</w:t>
      </w:r>
    </w:p>
    <w:p w14:paraId="7A6E6A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1、合同经双方法定代表人或者授权代表签字并加盖单位公章后生效（委托代理人签字的需后附授权委托书，格式自拟）。</w:t>
      </w:r>
    </w:p>
    <w:p w14:paraId="311789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2、合同执行中涉及采购资金和采购内容修改或者补充的，须签书面补充协议</w:t>
      </w:r>
      <w:r>
        <w:rPr>
          <w:rFonts w:hint="eastAsia" w:ascii="宋体" w:hAnsi="宋体" w:cs="宋体"/>
          <w:color w:val="auto"/>
          <w:szCs w:val="21"/>
          <w:highlight w:val="none"/>
          <w:lang w:val="en-US" w:eastAsia="zh-CN"/>
        </w:rPr>
        <w:t>并</w:t>
      </w:r>
      <w:r>
        <w:rPr>
          <w:rFonts w:hint="eastAsia" w:ascii="宋体" w:hAnsi="宋体" w:cs="宋体"/>
          <w:color w:val="auto"/>
          <w:szCs w:val="21"/>
          <w:highlight w:val="none"/>
        </w:rPr>
        <w:t>报财政部门备案，方可作为主合同不可分割的一部分。</w:t>
      </w:r>
    </w:p>
    <w:p w14:paraId="37976B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3、本合同未尽事宜，遵照《中华人民共和国民法典》有关条文执行。</w:t>
      </w:r>
    </w:p>
    <w:p w14:paraId="51B57405">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第十二条　合同的变更、终止与转让</w:t>
      </w:r>
    </w:p>
    <w:p w14:paraId="78EE46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1、除《中华人民共和国政府采购法》第五十条规定的情形外，本合同一经签订，甲乙双方不得擅自变更、中止或者终止。</w:t>
      </w:r>
    </w:p>
    <w:p w14:paraId="319ADE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2、乙方不得擅自转让其应履行的合同义务。</w:t>
      </w:r>
    </w:p>
    <w:p w14:paraId="075D8B22">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第十三条　签订本合同依据</w:t>
      </w:r>
    </w:p>
    <w:p w14:paraId="30F3C4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1、成交通知书；</w:t>
      </w:r>
    </w:p>
    <w:p w14:paraId="3181CB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2、竞标报价表；</w:t>
      </w:r>
    </w:p>
    <w:p w14:paraId="24E053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3、商务要求偏离表和技术要求偏离表；</w:t>
      </w:r>
    </w:p>
    <w:p w14:paraId="3D29A6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4、服务方案；</w:t>
      </w:r>
    </w:p>
    <w:p w14:paraId="6FF524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5、响应文件中的其他相关文件。</w:t>
      </w:r>
    </w:p>
    <w:p w14:paraId="6D365E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6、上述合同文件互相补充和解释。如果合同文件之间存在矛盾或者不一致之处，以上述文件的排列顺序在先者为准。</w:t>
      </w:r>
    </w:p>
    <w:p w14:paraId="1DA5AD05">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第十四条　</w:t>
      </w:r>
      <w:r>
        <w:rPr>
          <w:rFonts w:hint="eastAsia" w:ascii="宋体" w:hAnsi="宋体" w:cs="宋体"/>
          <w:color w:val="auto"/>
          <w:szCs w:val="21"/>
          <w:highlight w:val="none"/>
        </w:rPr>
        <w:t>本合同一式六份，具有同等法律效力，财政部门（政府采购监管部门）、采购代理机构各一份，甲乙双方各二份（可根据需要另增加）。</w:t>
      </w:r>
    </w:p>
    <w:p w14:paraId="02F1FC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本合同自签订之日起2个工作日内，甲方应当将采购合同在广西壮族自治区财政厅指定的媒体上公告。</w:t>
      </w:r>
    </w:p>
    <w:p w14:paraId="7BF7E0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（以下无正文）</w:t>
      </w:r>
    </w:p>
    <w:tbl>
      <w:tblPr>
        <w:tblStyle w:val="32"/>
        <w:tblpPr w:leftFromText="180" w:rightFromText="180" w:vertAnchor="text" w:horzAnchor="margin" w:tblpXSpec="center"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7256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51A8B4B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甲方：（章）</w:t>
            </w:r>
          </w:p>
          <w:p w14:paraId="7260AB03">
            <w:pPr>
              <w:snapToGrid w:val="0"/>
              <w:spacing w:line="360" w:lineRule="auto"/>
              <w:rPr>
                <w:rFonts w:ascii="宋体" w:hAnsi="宋体" w:cs="宋体"/>
                <w:color w:val="auto"/>
                <w:sz w:val="24"/>
                <w:highlight w:val="none"/>
              </w:rPr>
            </w:pPr>
          </w:p>
          <w:p w14:paraId="4388021D">
            <w:pPr>
              <w:snapToGrid w:val="0"/>
              <w:spacing w:line="360" w:lineRule="auto"/>
              <w:rPr>
                <w:rFonts w:ascii="宋体" w:hAnsi="宋体" w:cs="宋体"/>
                <w:color w:val="auto"/>
                <w:sz w:val="24"/>
                <w:highlight w:val="none"/>
              </w:rPr>
            </w:pPr>
          </w:p>
          <w:p w14:paraId="5173A986">
            <w:pPr>
              <w:snapToGrid w:val="0"/>
              <w:spacing w:line="360" w:lineRule="auto"/>
              <w:ind w:firstLine="1080" w:firstLineChars="450"/>
              <w:jc w:val="right"/>
              <w:rPr>
                <w:rFonts w:ascii="宋体" w:hAnsi="宋体" w:cs="宋体"/>
                <w:color w:val="auto"/>
                <w:sz w:val="24"/>
                <w:highlight w:val="none"/>
              </w:rPr>
            </w:pPr>
          </w:p>
          <w:p w14:paraId="584C45F3">
            <w:pPr>
              <w:snapToGrid w:val="0"/>
              <w:spacing w:line="360" w:lineRule="auto"/>
              <w:ind w:firstLine="1080" w:firstLineChars="450"/>
              <w:jc w:val="right"/>
              <w:rPr>
                <w:rFonts w:ascii="宋体" w:hAnsi="宋体" w:cs="宋体"/>
                <w:color w:val="auto"/>
                <w:sz w:val="24"/>
                <w:highlight w:val="none"/>
              </w:rPr>
            </w:pPr>
            <w:r>
              <w:rPr>
                <w:rFonts w:hint="eastAsia" w:ascii="宋体" w:hAnsi="宋体" w:cs="宋体"/>
                <w:color w:val="auto"/>
                <w:sz w:val="24"/>
                <w:highlight w:val="none"/>
              </w:rPr>
              <w:t>年   月   日</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328F3BC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乙方：（章）       </w:t>
            </w:r>
          </w:p>
          <w:p w14:paraId="7B647597">
            <w:pPr>
              <w:snapToGrid w:val="0"/>
              <w:spacing w:line="360" w:lineRule="auto"/>
              <w:rPr>
                <w:rFonts w:ascii="宋体" w:hAnsi="宋体" w:cs="宋体"/>
                <w:color w:val="auto"/>
                <w:sz w:val="24"/>
                <w:highlight w:val="none"/>
              </w:rPr>
            </w:pPr>
          </w:p>
          <w:p w14:paraId="008FB80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2E94CD4E">
            <w:pPr>
              <w:snapToGrid w:val="0"/>
              <w:spacing w:line="360" w:lineRule="auto"/>
              <w:jc w:val="right"/>
              <w:rPr>
                <w:rFonts w:ascii="宋体" w:hAnsi="宋体" w:cs="宋体"/>
                <w:color w:val="auto"/>
                <w:sz w:val="24"/>
                <w:highlight w:val="none"/>
              </w:rPr>
            </w:pPr>
          </w:p>
          <w:p w14:paraId="61FF1C65">
            <w:pPr>
              <w:snapToGrid w:val="0"/>
              <w:spacing w:line="360" w:lineRule="auto"/>
              <w:jc w:val="right"/>
              <w:rPr>
                <w:rFonts w:ascii="宋体" w:hAnsi="宋体" w:cs="宋体"/>
                <w:color w:val="auto"/>
                <w:sz w:val="24"/>
                <w:highlight w:val="none"/>
              </w:rPr>
            </w:pPr>
            <w:r>
              <w:rPr>
                <w:rFonts w:hint="eastAsia" w:ascii="宋体" w:hAnsi="宋体" w:cs="宋体"/>
                <w:color w:val="auto"/>
                <w:sz w:val="24"/>
                <w:highlight w:val="none"/>
              </w:rPr>
              <w:t xml:space="preserve"> 年   月   日</w:t>
            </w:r>
          </w:p>
        </w:tc>
      </w:tr>
      <w:tr w14:paraId="2B99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627FA2B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单位地址：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1D3A6DD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单位地址： </w:t>
            </w:r>
          </w:p>
        </w:tc>
      </w:tr>
      <w:tr w14:paraId="79190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20D20AA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01E08B2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w:t>
            </w:r>
          </w:p>
        </w:tc>
      </w:tr>
      <w:tr w14:paraId="15AB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1CD5E21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委托代理人：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2B5A525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委托代理人：</w:t>
            </w:r>
          </w:p>
        </w:tc>
      </w:tr>
      <w:tr w14:paraId="4B0E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5337840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电话：</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24091BC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电话：</w:t>
            </w:r>
          </w:p>
        </w:tc>
      </w:tr>
      <w:tr w14:paraId="374E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500CF50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6AA3FBC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开户银行： </w:t>
            </w:r>
          </w:p>
        </w:tc>
      </w:tr>
      <w:tr w14:paraId="1DA8D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5DF970A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账号：</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1308E08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账号：</w:t>
            </w:r>
          </w:p>
        </w:tc>
      </w:tr>
      <w:tr w14:paraId="32EF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1598FB5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邮政编码：</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216A363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邮政编码：</w:t>
            </w:r>
          </w:p>
        </w:tc>
      </w:tr>
    </w:tbl>
    <w:p w14:paraId="5E0E9C87">
      <w:pPr>
        <w:snapToGrid w:val="0"/>
        <w:spacing w:line="400" w:lineRule="exact"/>
        <w:ind w:left="120" w:hanging="120" w:hangingChars="200"/>
        <w:rPr>
          <w:rFonts w:ascii="微软雅黑" w:hAnsi="微软雅黑" w:eastAsia="微软雅黑" w:cs="微软雅黑"/>
          <w:color w:val="auto"/>
          <w:sz w:val="6"/>
          <w:szCs w:val="6"/>
          <w:highlight w:val="none"/>
        </w:rPr>
      </w:pPr>
    </w:p>
    <w:p w14:paraId="0A3A26AB">
      <w:pPr>
        <w:rPr>
          <w:color w:val="auto"/>
          <w:highlight w:val="none"/>
        </w:rPr>
      </w:pPr>
    </w:p>
    <w:p w14:paraId="04DADE56">
      <w:pPr>
        <w:pStyle w:val="22"/>
        <w:rPr>
          <w:color w:val="auto"/>
          <w:highlight w:val="none"/>
        </w:rPr>
      </w:pPr>
    </w:p>
    <w:p w14:paraId="2CDF8F8F">
      <w:pPr>
        <w:rPr>
          <w:color w:val="auto"/>
          <w:highlight w:val="none"/>
        </w:rPr>
      </w:pPr>
      <w:r>
        <w:rPr>
          <w:color w:val="auto"/>
          <w:highlight w:val="none"/>
        </w:rPr>
        <w:br w:type="page"/>
      </w:r>
    </w:p>
    <w:p w14:paraId="3FDC232A">
      <w:pPr>
        <w:snapToGrid w:val="0"/>
        <w:spacing w:line="48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《广西壮族自治区政府采购合同》</w:t>
      </w:r>
    </w:p>
    <w:p w14:paraId="111AA6A5">
      <w:pPr>
        <w:spacing w:line="520" w:lineRule="exact"/>
        <w:jc w:val="center"/>
        <w:rPr>
          <w:color w:val="auto"/>
          <w:sz w:val="24"/>
          <w:highlight w:val="none"/>
        </w:rPr>
      </w:pP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分标合同文本）</w:t>
      </w:r>
    </w:p>
    <w:p w14:paraId="669DA189">
      <w:pPr>
        <w:spacing w:line="520" w:lineRule="exact"/>
        <w:rPr>
          <w:rFonts w:hint="eastAsia" w:ascii="宋体" w:hAnsi="宋体" w:cs="宋体"/>
          <w:b/>
          <w:color w:val="auto"/>
          <w:sz w:val="32"/>
          <w:szCs w:val="32"/>
          <w:highlight w:val="none"/>
        </w:rPr>
      </w:pPr>
    </w:p>
    <w:p w14:paraId="06CFA450">
      <w:pPr>
        <w:spacing w:line="360" w:lineRule="auto"/>
        <w:rPr>
          <w:rFonts w:hint="eastAsia" w:ascii="宋体" w:hAnsi="宋体" w:cs="宋体"/>
          <w:b/>
          <w:color w:val="auto"/>
          <w:sz w:val="24"/>
          <w:highlight w:val="none"/>
        </w:rPr>
      </w:pPr>
    </w:p>
    <w:p w14:paraId="4CBE8734">
      <w:pPr>
        <w:spacing w:line="360" w:lineRule="auto"/>
        <w:ind w:right="800"/>
        <w:rPr>
          <w:rFonts w:hint="eastAsia" w:ascii="宋体" w:hAnsi="宋体" w:cs="宋体"/>
          <w:bCs/>
          <w:color w:val="auto"/>
          <w:sz w:val="24"/>
          <w:highlight w:val="none"/>
          <w:u w:val="single"/>
        </w:rPr>
      </w:pPr>
      <w:r>
        <w:rPr>
          <w:rFonts w:hint="eastAsia" w:ascii="宋体" w:hAnsi="宋体" w:cs="宋体"/>
          <w:color w:val="auto"/>
          <w:sz w:val="24"/>
          <w:highlight w:val="none"/>
        </w:rPr>
        <w:t>采购计划号：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bCs/>
          <w:color w:val="auto"/>
          <w:sz w:val="24"/>
          <w:highlight w:val="none"/>
        </w:rPr>
        <w:t>合同编号：</w:t>
      </w:r>
      <w:r>
        <w:rPr>
          <w:rFonts w:hint="eastAsia" w:ascii="宋体" w:hAnsi="宋体" w:cs="宋体"/>
          <w:color w:val="auto"/>
          <w:sz w:val="24"/>
          <w:highlight w:val="none"/>
          <w:u w:val="single"/>
        </w:rPr>
        <w:t xml:space="preserve">                       </w:t>
      </w:r>
    </w:p>
    <w:p w14:paraId="104BAA96">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采购人（甲方）：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供应商（乙方）：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05CF9EB">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p>
    <w:p w14:paraId="254B003E">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签订地点：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签订时间：</w:t>
      </w:r>
      <w:r>
        <w:rPr>
          <w:rFonts w:hint="eastAsia" w:ascii="宋体" w:hAnsi="宋体" w:cs="宋体"/>
          <w:color w:val="auto"/>
          <w:sz w:val="24"/>
          <w:highlight w:val="none"/>
          <w:u w:val="single"/>
        </w:rPr>
        <w:t xml:space="preserve">                        </w:t>
      </w:r>
    </w:p>
    <w:p w14:paraId="0CB4BE66">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本合同为中小企业预留合同：</w:t>
      </w:r>
      <w:r>
        <w:rPr>
          <w:rFonts w:hint="eastAsia" w:ascii="宋体" w:hAnsi="宋体" w:cs="宋体"/>
          <w:color w:val="auto"/>
          <w:sz w:val="24"/>
          <w:highlight w:val="none"/>
          <w:u w:val="single"/>
        </w:rPr>
        <w:t>（是/否）</w:t>
      </w:r>
      <w:r>
        <w:rPr>
          <w:rFonts w:hint="eastAsia" w:ascii="宋体" w:hAnsi="宋体" w:cs="宋体"/>
          <w:color w:val="auto"/>
          <w:sz w:val="24"/>
          <w:highlight w:val="none"/>
        </w:rPr>
        <w:t>。</w:t>
      </w:r>
    </w:p>
    <w:p w14:paraId="0B62B58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根据《中华人民共和国政府采购法》、《中华人民共和国民法典》等法律、法规规定，按照磋商文件规定条款和乙方响应文件及其承诺，甲乙双方签订本合同。</w:t>
      </w:r>
    </w:p>
    <w:p w14:paraId="7E318587">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第一条　合同标的</w:t>
      </w:r>
    </w:p>
    <w:p w14:paraId="044BF1C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1、项目一览表</w:t>
      </w:r>
    </w:p>
    <w:tbl>
      <w:tblPr>
        <w:tblStyle w:val="32"/>
        <w:tblW w:w="9360"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723"/>
        <w:gridCol w:w="4664"/>
        <w:gridCol w:w="518"/>
        <w:gridCol w:w="444"/>
        <w:gridCol w:w="1300"/>
        <w:gridCol w:w="1207"/>
      </w:tblGrid>
      <w:tr w14:paraId="3818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04" w:type="dxa"/>
            <w:tcBorders>
              <w:top w:val="single" w:color="auto" w:sz="4" w:space="0"/>
              <w:left w:val="single" w:color="auto" w:sz="4" w:space="0"/>
              <w:bottom w:val="single" w:color="auto" w:sz="4" w:space="0"/>
              <w:right w:val="single" w:color="auto" w:sz="4" w:space="0"/>
            </w:tcBorders>
            <w:noWrap w:val="0"/>
            <w:vAlign w:val="center"/>
          </w:tcPr>
          <w:p w14:paraId="24E8C9BF">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4EB4E984">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名称</w:t>
            </w:r>
          </w:p>
        </w:tc>
        <w:tc>
          <w:tcPr>
            <w:tcW w:w="4664" w:type="dxa"/>
            <w:tcBorders>
              <w:top w:val="single" w:color="auto" w:sz="4" w:space="0"/>
              <w:left w:val="single" w:color="auto" w:sz="4" w:space="0"/>
              <w:bottom w:val="single" w:color="auto" w:sz="4" w:space="0"/>
              <w:right w:val="single" w:color="auto" w:sz="4" w:space="0"/>
            </w:tcBorders>
            <w:noWrap w:val="0"/>
            <w:vAlign w:val="center"/>
          </w:tcPr>
          <w:p w14:paraId="5AE3511E">
            <w:pPr>
              <w:spacing w:line="360" w:lineRule="auto"/>
              <w:jc w:val="center"/>
              <w:rPr>
                <w:rFonts w:hint="eastAsia" w:ascii="宋体" w:hAnsi="宋体" w:cs="宋体"/>
                <w:color w:val="auto"/>
                <w:sz w:val="21"/>
                <w:szCs w:val="21"/>
                <w:highlight w:val="none"/>
              </w:rPr>
            </w:pPr>
            <w:r>
              <w:rPr>
                <w:rFonts w:hint="eastAsia" w:ascii="宋体" w:hAnsi="宋体" w:cs="宋体"/>
                <w:color w:val="auto"/>
                <w:szCs w:val="21"/>
                <w:highlight w:val="none"/>
              </w:rPr>
              <w:t>技术要求</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3A367A11">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数  量</w:t>
            </w:r>
          </w:p>
        </w:tc>
        <w:tc>
          <w:tcPr>
            <w:tcW w:w="444" w:type="dxa"/>
            <w:tcBorders>
              <w:top w:val="single" w:color="auto" w:sz="4" w:space="0"/>
              <w:left w:val="single" w:color="auto" w:sz="4" w:space="0"/>
              <w:bottom w:val="single" w:color="auto" w:sz="4" w:space="0"/>
              <w:right w:val="single" w:color="auto" w:sz="4" w:space="0"/>
            </w:tcBorders>
            <w:noWrap w:val="0"/>
            <w:vAlign w:val="center"/>
          </w:tcPr>
          <w:p w14:paraId="053B5A45">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1036B379">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单  价</w:t>
            </w:r>
          </w:p>
          <w:p w14:paraId="1913BAEC">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（元）</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59AF9E2B">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总  价</w:t>
            </w:r>
          </w:p>
          <w:p w14:paraId="11FB7DAC">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（元）</w:t>
            </w:r>
          </w:p>
        </w:tc>
      </w:tr>
      <w:tr w14:paraId="5615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04" w:type="dxa"/>
            <w:tcBorders>
              <w:top w:val="single" w:color="auto" w:sz="4" w:space="0"/>
              <w:left w:val="single" w:color="auto" w:sz="4" w:space="0"/>
              <w:bottom w:val="single" w:color="auto" w:sz="4" w:space="0"/>
              <w:right w:val="single" w:color="auto" w:sz="4" w:space="0"/>
            </w:tcBorders>
            <w:noWrap w:val="0"/>
            <w:vAlign w:val="center"/>
          </w:tcPr>
          <w:p w14:paraId="4E5F8318">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18527A1F">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自然资源信息化建设项目咨询设计服务</w:t>
            </w:r>
          </w:p>
        </w:tc>
        <w:tc>
          <w:tcPr>
            <w:tcW w:w="4664" w:type="dxa"/>
            <w:tcBorders>
              <w:top w:val="single" w:color="auto" w:sz="4" w:space="0"/>
              <w:left w:val="single" w:color="auto" w:sz="4" w:space="0"/>
              <w:bottom w:val="single" w:color="auto" w:sz="4" w:space="0"/>
              <w:right w:val="single" w:color="auto" w:sz="4" w:space="0"/>
            </w:tcBorders>
            <w:noWrap w:val="0"/>
            <w:vAlign w:val="center"/>
          </w:tcPr>
          <w:p w14:paraId="408D722B">
            <w:pPr>
              <w:spacing w:line="360" w:lineRule="auto"/>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一、项目概况</w:t>
            </w:r>
          </w:p>
          <w:p w14:paraId="60EED36D">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开展自然资源信息化建设项目咨询设计服务，整体总投资约</w:t>
            </w:r>
            <w:r>
              <w:rPr>
                <w:rFonts w:hint="eastAsia" w:ascii="宋体" w:hAnsi="宋体" w:cs="宋体"/>
                <w:color w:val="auto"/>
                <w:sz w:val="21"/>
                <w:szCs w:val="21"/>
                <w:highlight w:val="none"/>
                <w:lang w:val="en-US" w:eastAsia="zh-CN"/>
              </w:rPr>
              <w:t>3950</w:t>
            </w:r>
            <w:r>
              <w:rPr>
                <w:rFonts w:hint="eastAsia" w:ascii="宋体" w:hAnsi="宋体" w:cs="宋体"/>
                <w:color w:val="auto"/>
                <w:sz w:val="21"/>
                <w:szCs w:val="21"/>
                <w:highlight w:val="none"/>
              </w:rPr>
              <w:t>万元。</w:t>
            </w:r>
          </w:p>
          <w:p w14:paraId="41BAE8FB">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服务内容</w:t>
            </w:r>
            <w:r>
              <w:rPr>
                <w:rFonts w:hint="eastAsia" w:ascii="宋体" w:hAnsi="宋体" w:cs="宋体"/>
                <w:color w:val="auto"/>
                <w:sz w:val="21"/>
                <w:szCs w:val="21"/>
                <w:highlight w:val="none"/>
              </w:rPr>
              <w:t>包括但不限于编制年度信息化项目建设方案、编制项目事前绩效评估报告、编制密码应用方案等服务。</w:t>
            </w:r>
          </w:p>
          <w:p w14:paraId="27302003">
            <w:pPr>
              <w:spacing w:line="360" w:lineRule="auto"/>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二、项目咨询设计服务内容及要求</w:t>
            </w:r>
          </w:p>
          <w:p w14:paraId="4112780A">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成交供应商在开展咨询设计工作过程中，应充分评估采购人整体的信息化建设现状，为项目建设提出具体的技术比选方案。咨询成果以满足采购人的建设需求以及通过审批部门审批为交付标准，如项目不能通过审批部门审批，成交供应商承诺按审批部门的要求修改直至最终通过。</w:t>
            </w:r>
          </w:p>
          <w:p w14:paraId="5604B58D">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根据采购人要求完成本次设计的调研和需求分析工作，充分收集当前信息化建设现状等项目前期工作资料。通过分析国内类似项目信息化发展的情况，深入分析和总结出项目背景，包括项目总体目标、建设任务、建设意义、必要性、经济效益和社会效益等。</w:t>
            </w:r>
          </w:p>
          <w:p w14:paraId="45C09773">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3.研究和明确项目的建设思路，包括建设依据、建设思路、建设原则、建设目标、建设规模、建设内容等。并按项目立项各阶段的要求，提供项目建设方案、项目事前绩效评估报告、密码应用方案等。</w:t>
            </w:r>
          </w:p>
          <w:p w14:paraId="2E9EA878">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参考《广西壮族自治区人民政府办公厅关于印发&lt;广西政务信息化项目建设管理办法&gt;的通知》（桂政办发〔2024〕59号）文件规定的文档格式和编制要求编制设计文件，并根据采购人的要求，不断完善相关内容。</w:t>
            </w:r>
          </w:p>
          <w:p w14:paraId="6D36FC7D">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5.按照自治区住房城乡建设厅关于颁发2018年《广西壮族自治区工程建设其他费用定额》的通知（桂建标〔2018〕37号）和自治区财政厅</w:t>
            </w:r>
            <w:r>
              <w:rPr>
                <w:rFonts w:hint="eastAsia" w:ascii="宋体" w:hAnsi="宋体" w:cs="宋体"/>
                <w:color w:val="auto"/>
                <w:sz w:val="21"/>
                <w:szCs w:val="21"/>
                <w:highlight w:val="none"/>
                <w:lang w:val="en-US" w:eastAsia="zh-CN"/>
              </w:rPr>
              <w:t>关于印发《</w:t>
            </w:r>
            <w:r>
              <w:rPr>
                <w:rFonts w:hint="eastAsia" w:ascii="宋体" w:hAnsi="宋体" w:cs="宋体"/>
                <w:color w:val="auto"/>
                <w:sz w:val="21"/>
                <w:szCs w:val="21"/>
                <w:highlight w:val="none"/>
              </w:rPr>
              <w:t>广西壮族自治区本级政务信息化建设和运维项目预算支出标准》的通知（桂财</w:t>
            </w:r>
            <w:r>
              <w:rPr>
                <w:rFonts w:hint="eastAsia" w:ascii="宋体" w:hAnsi="宋体" w:cs="宋体"/>
                <w:color w:val="auto"/>
                <w:sz w:val="21"/>
                <w:szCs w:val="21"/>
                <w:highlight w:val="none"/>
                <w:lang w:val="en-US" w:eastAsia="zh-CN"/>
              </w:rPr>
              <w:t>建</w:t>
            </w:r>
            <w:r>
              <w:rPr>
                <w:rFonts w:hint="eastAsia" w:ascii="宋体" w:hAnsi="宋体" w:cs="宋体"/>
                <w:color w:val="auto"/>
                <w:sz w:val="21"/>
                <w:szCs w:val="21"/>
                <w:highlight w:val="none"/>
              </w:rPr>
              <w:t>〔202</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102</w:t>
            </w:r>
            <w:r>
              <w:rPr>
                <w:rFonts w:hint="eastAsia" w:ascii="宋体" w:hAnsi="宋体" w:cs="宋体"/>
                <w:color w:val="auto"/>
                <w:sz w:val="21"/>
                <w:szCs w:val="21"/>
                <w:highlight w:val="none"/>
              </w:rPr>
              <w:t>号）等文件规定的匡算、估算、概算、预算格式、定额、标准等编制要求编制的投资</w:t>
            </w:r>
            <w:r>
              <w:rPr>
                <w:rFonts w:hint="eastAsia" w:ascii="宋体" w:hAnsi="宋体" w:cs="宋体"/>
                <w:color w:val="auto"/>
                <w:sz w:val="21"/>
                <w:szCs w:val="21"/>
                <w:highlight w:val="none"/>
                <w:lang w:val="en-US" w:eastAsia="zh-CN"/>
              </w:rPr>
              <w:t>估算</w:t>
            </w:r>
            <w:r>
              <w:rPr>
                <w:rFonts w:hint="eastAsia" w:ascii="宋体" w:hAnsi="宋体" w:cs="宋体"/>
                <w:color w:val="auto"/>
                <w:sz w:val="21"/>
                <w:szCs w:val="21"/>
                <w:highlight w:val="none"/>
              </w:rPr>
              <w:t>方案，并根据采购人的要求，不断完善相关内容。</w:t>
            </w:r>
          </w:p>
          <w:p w14:paraId="67A4BDD7">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6.按照国家、自治区和自然资源部关于网络安全和信息化的相关标准和归档规定的文档格式和内容要求编制设计文档，并根据采购人的要求，不断完善相关内容。</w:t>
            </w:r>
          </w:p>
          <w:p w14:paraId="17BA747C">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7.根据批复的项目</w:t>
            </w:r>
            <w:r>
              <w:rPr>
                <w:rFonts w:hint="eastAsia" w:ascii="宋体" w:hAnsi="宋体" w:cs="宋体"/>
                <w:color w:val="auto"/>
                <w:sz w:val="21"/>
                <w:szCs w:val="21"/>
                <w:highlight w:val="none"/>
                <w:lang w:val="en-US" w:eastAsia="zh-CN"/>
              </w:rPr>
              <w:t>建设方案</w:t>
            </w:r>
            <w:r>
              <w:rPr>
                <w:rFonts w:hint="eastAsia" w:ascii="宋体" w:hAnsi="宋体" w:cs="宋体"/>
                <w:color w:val="auto"/>
                <w:sz w:val="21"/>
                <w:szCs w:val="21"/>
                <w:highlight w:val="none"/>
              </w:rPr>
              <w:t>，协助采购人完成项目投资评审、系统建设项目采购需求表的编制。配合采购人进行项目采购前的准备工作。</w:t>
            </w:r>
          </w:p>
          <w:p w14:paraId="2AEBEAE2">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8.配合采购人组织项目的前期实施和技术交底；配合采购人在项目建设期间或实施期间的工作，如系统技术指导等。</w:t>
            </w:r>
          </w:p>
          <w:p w14:paraId="48877C38">
            <w:pPr>
              <w:spacing w:line="360" w:lineRule="auto"/>
              <w:ind w:firstLine="422" w:firstLineChars="200"/>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三、项目咨询设计编制服务及技术要求（包括但不限于）</w:t>
            </w:r>
          </w:p>
          <w:p w14:paraId="4E546BE7">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（一）总则</w:t>
            </w:r>
          </w:p>
          <w:p w14:paraId="62583F9F">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1.按照国内外领先的方法论进行，包括顶层设计方法理论、信息资源规划理论（IRP）、UML 建模设计等方法论，在对采购人信息化现状全面调研和梳理、评估的基础上，制定业务架构、应用架构、技术架构、信息安全体系、运维体系等建设总体设计方案，为系统建设的实施提供科学化、规范化、可持续的方案指导，最终目的是做好项目设计，保证统一高效、资源整合、互联互通、信息共享目标的实现。</w:t>
            </w:r>
          </w:p>
          <w:p w14:paraId="3E23E451">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项目设计和咨询分析应符合国家和地方、行业的相关标准规范、政务信息化建设的要求，结合项目建设实际需求，从架构规划、功能需求、系统性能、系统配置等方面对项目进行规划设计，设计的方案要科学，易于扩展，符合网络安全和信息技术、行业管理的发展方向。</w:t>
            </w:r>
          </w:p>
          <w:p w14:paraId="542B72F0">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3.根据国家相关设计标准规范要求进行系统设计，描述系统的构成、分级与组成，设计系统的配置，对系统性能指标和测试要求等进行说明。</w:t>
            </w:r>
          </w:p>
          <w:p w14:paraId="7A2F8D78">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根据项目的建设内容，明确提出软硬件设备配置原则和系统软硬件配置设备清单，包括：设备及软件性能指标及参数、数量；提出国产化和自主品牌软硬件配置清单比例；分别列出各应用系统开发工作量测算表。</w:t>
            </w:r>
          </w:p>
          <w:p w14:paraId="47D7B188">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本设计要求提供的是最低限度的技术要求，并未对一切技术细节做出规定，也未充分引述有关标准和规范的条文，成交供应商应遵循可靠、先进、经济、实用、保密、环保、节能及可持续发展的原则，围绕项目采购人信息化建设统一规划，方案必须具有前瞻性和科学性，保证提供符合本设计的优质服务；</w:t>
            </w:r>
          </w:p>
          <w:p w14:paraId="2D89A45B">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6.成交供应商运用的标准、规范和控制过程的程序应满足现行最新版本的国家标准和行业标准；如果遇到规范之间的相互冲突，除非采购人明确指定，否则按照更严格的标准执行；</w:t>
            </w:r>
          </w:p>
          <w:p w14:paraId="64934C77">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7.采购人保留在签订合同前对本设计要求具有补充和修改的权利，成交供应商应认可及配合，如提出修改，具体事项由成交供应商与采购人另行商定；</w:t>
            </w:r>
          </w:p>
          <w:p w14:paraId="43302137">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8.合同签署后，采购人有权利按照合同、有关附件规定的条件和项目审批主管部门的要求，在建设的范围内，随时调整工作内容和工作范围；</w:t>
            </w:r>
          </w:p>
          <w:p w14:paraId="249A6952">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9.除本采购文件外，采购人还将为成交供应商提供本项目的前期相关技术资料。采购人向成交供应商提供的与本采购活动有关的所有资料，成交供应商有义务为采购人保守秘密，并签订保密承诺。同时，必须严格做好与本项目有关资料的保密工作，保密资料包括（但不限于）建设数据、设计需求、功能规划、采购设备配置清单等，均不得泄露给第三方。</w:t>
            </w:r>
          </w:p>
          <w:p w14:paraId="3EEAEFB3">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10.成交供应商应对所编制内容提供后续的技术监督和指导。</w:t>
            </w:r>
          </w:p>
          <w:p w14:paraId="423D0DC3">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（二）项目咨询设计及编制要求（包括但不限于）</w:t>
            </w:r>
          </w:p>
          <w:p w14:paraId="47690AAB">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1.本项目建设成果应可作为后期具体子项目建设实施和采购的重要依据和指导文件，设计方案要求内容全面、合理可行。</w:t>
            </w:r>
          </w:p>
          <w:p w14:paraId="01730F4F">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2.在开展设计过程中，应充分了解采购人信息化现状，基于科学的方法论对项目涉及的应用建设需求进行收集、梳理及规整，理清业务、流程、边界和范围，详细掌握当前国家和自治区的要求，做好本项目设计。</w:t>
            </w:r>
          </w:p>
          <w:p w14:paraId="402D488B">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3.基于科学的方法论理清业务、流程、边界和范围，详细掌握业务、数据、技术和系统现状，做好业务架构设计，要求业务颗粒度适中。既保证业务方案的深度，又要防止过细带来的实施成本问题。</w:t>
            </w:r>
          </w:p>
          <w:p w14:paraId="766AC7ED">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4.根据项目建设实际需求规划基础设施建设及安全。</w:t>
            </w:r>
          </w:p>
          <w:p w14:paraId="616A21A2">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5．按照网络安全等级保护的相关要求，设计由外到内、由局部到全面、多层次的、纵深的、有效地部署和配置全面安全解决方案，以达到最佳的安全互补状态，保证系统受到可靠、安全的保护。</w:t>
            </w:r>
          </w:p>
          <w:p w14:paraId="4E18C818">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6.从数据、技术和业务出发，制定系统建设标准规范，制定相关数据、技术和业务标准，为资源共享提供标准规范体系支撑。</w:t>
            </w:r>
          </w:p>
          <w:p w14:paraId="06DA9B9B">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7．要支持和协助用户确定业务发展的近期、中期和长期需求，在现有信息化的基础上，提出切实可行的建设的具体目标和任务，并制定实施策略。</w:t>
            </w:r>
          </w:p>
          <w:p w14:paraId="03767349">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8.有关技术方案应符合国家、自治区和自然资源行业的设计要求。</w:t>
            </w:r>
          </w:p>
          <w:p w14:paraId="5986C223">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9.有关设计应符合国家及自治区有关要求。同时，设计中引用、套用国家相关专业的设计规范、标准及新的相关专业的技术标准和要求时，应准确引用和套用。</w:t>
            </w:r>
          </w:p>
          <w:p w14:paraId="1802F287">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10.设计采用新技术、新设备、新材料应说明其技术性能指标和相关要求。同时，应符合系统开放性、可维护性、支持快速迭代和演化、支持大负载响应的设计要求。</w:t>
            </w:r>
          </w:p>
          <w:p w14:paraId="0B5C54EF">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11.设计中所配置的设备和材料，必须是技术先进，性能可靠，安全适用，经济合理，扩容容易等特点的优质产品。</w:t>
            </w:r>
          </w:p>
          <w:p w14:paraId="3A558173">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12.项目设计及编制要达到《广西壮族自治区人民政府办公厅关于印发&lt;广西政务信息化项目建设管理办法&gt;的通知》（桂政办发〔2024〕59号）</w:t>
            </w:r>
            <w:r>
              <w:rPr>
                <w:rFonts w:hint="eastAsia" w:ascii="宋体" w:hAnsi="宋体" w:cs="宋体"/>
                <w:color w:val="auto"/>
                <w:sz w:val="21"/>
                <w:szCs w:val="21"/>
                <w:highlight w:val="none"/>
                <w:lang w:val="en-US" w:eastAsia="zh-CN"/>
              </w:rPr>
              <w:t>和《广西壮族自治区大数据发展局关于印发&lt;广西政务信息化项目建设管理办法&gt;配套文件的函》（桂数发〔2024〕34号）</w:t>
            </w:r>
            <w:r>
              <w:rPr>
                <w:rFonts w:hint="eastAsia" w:ascii="宋体" w:hAnsi="宋体" w:cs="宋体"/>
                <w:color w:val="auto"/>
                <w:sz w:val="21"/>
                <w:szCs w:val="21"/>
                <w:highlight w:val="none"/>
              </w:rPr>
              <w:t>规定的文档格式和编制要求。同时，设计文件以满足采购人的建设需求以及通过审批主管部门的审批标准，如项目不能通过审批主管部门审批，设计单位承诺按审批主管部门的要求修改直至最终通过。</w:t>
            </w:r>
          </w:p>
          <w:p w14:paraId="053C3E15">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（三）项目概算编制要求（包括但不限于）</w:t>
            </w:r>
          </w:p>
          <w:p w14:paraId="3943E859">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1.项目投资概算编制包括项目的总概算和各项明细费用概算，概算要科学、合理。</w:t>
            </w:r>
          </w:p>
          <w:p w14:paraId="440F17ED">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概算编制依据：列举所依据的重要法律法规、文件、引用的国家标准和行业标准等名称及具体引用条款内容，并将其中必要的部分全文附后，作为报告的附件。包括概算编制的原则和依据；设备、软件的价格获取方式和确认途径；各种取费依据和标准等，并评价其合理性。</w:t>
            </w:r>
          </w:p>
          <w:p w14:paraId="7F6BF10E">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明确项目所需总投资及其构成，包括工程建设费用、工程建设其他费用和预备费。对投资概算总表中设备购置费内各分项及商业软件部分要提供“项目软硬件配置清单”，包括名称、参考型号、主要参数、数量、单价及其折扣率、部署地点等详细信息；对定制开发应用软件应根据实际需求按照软件工程的规范及要求初步测算各阶段所需工作量、不同类型的技术人员及其对应的人工费用。</w:t>
            </w:r>
          </w:p>
          <w:p w14:paraId="0BF72553">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4.结合项目具体情况，提出项目的资金筹措方案，并分项说明资金来源及使用计划。</w:t>
            </w:r>
          </w:p>
          <w:p w14:paraId="754647E3">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5.结合系统运维方案，对系统建成后的年度运行经费进行估算，说明运行维护的经费来源和使用计划，提供运行维护的人员工资、相关待遇，系统运行所需备件、配件及电力耗损等费用预算。</w:t>
            </w:r>
          </w:p>
          <w:p w14:paraId="01EFF85A">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6.所有概算表要提供可编辑的电子版本，按照有关文件规定的各项设备、软件开发的成本定额，完成项目概算取费。</w:t>
            </w:r>
          </w:p>
          <w:p w14:paraId="0699FA50">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（四）图纸设计要求（包括但不限于）</w:t>
            </w:r>
          </w:p>
          <w:p w14:paraId="48CE9E60">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1．项目设计的内容为下一步工程实施提供依据。</w:t>
            </w:r>
          </w:p>
          <w:p w14:paraId="60306ACE">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本设计要求提供的是最低限度的技术要求，并未对一切技术细节做出规定，也未充分引述有关标准和规范的条文，供应商应遵循可靠、先进、经济、实用、保密、环保、节能及可持续发展的原则，提供优质服务；</w:t>
            </w:r>
          </w:p>
          <w:p w14:paraId="36C21298">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3．设计中引用、套用国家相关专业的设计规范、标准及新的相关专业的技术标准和要求时，应准确引用和套用。</w:t>
            </w:r>
          </w:p>
          <w:p w14:paraId="26D07767">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4．设计采用新技术、新设备、新材料应说明其技术性能指标和相关要求。</w:t>
            </w:r>
          </w:p>
          <w:p w14:paraId="03D3DED7">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5．图纸应清晰可见，线条粗细分明，文字端正，所标尺寸正确无误，确实能指导施工操作。</w:t>
            </w:r>
          </w:p>
          <w:p w14:paraId="5F0AAC56">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（五）项目文件格式要求（包括但不限于）</w:t>
            </w:r>
          </w:p>
          <w:p w14:paraId="2E62E810">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1．整体设计文本应格式一致、名称统一，避免出现不同设计人员的不同设计风格。</w:t>
            </w:r>
          </w:p>
          <w:p w14:paraId="12400EBC">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2．设计文件应按照国家标准和部颁（行业）设计规范要求的相关原则套用。设计文件的文字、名词、计量单位等，都应采用现行的国家标准和部颁（行业）标准。</w:t>
            </w:r>
          </w:p>
          <w:p w14:paraId="7D142CC0">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设计文件的编印应符合规范化、标准化的要求，包括：设计说明书页张篇幅及各号图纸大小篇幅应符合国家标准规定尺寸；设计文件册的封面必须能表示出设计项目的全名、分册编号及工程名称。设计文件的分册由设计单位与采购人协商后决定。</w:t>
            </w:r>
          </w:p>
          <w:p w14:paraId="3562E775">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4．图纸要求采用Microsoft Visio 2010以上版本或AutoCAD 2010以上版本进行绘制；文档采用Microsoft Office  2010或WPS Office 2013及以上版本软件编制；计算要求采用国内外通行的商业软件，并最终形成具有公式关联计算关系的Microsoft Excel 2010或WPS表格2013及以上版本的电子表格。</w:t>
            </w:r>
          </w:p>
          <w:p w14:paraId="637AEF05">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5．设计文件的编制和装订应符合采购人项目申报、归档保存要求。</w:t>
            </w:r>
          </w:p>
          <w:p w14:paraId="23C2021A">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（六）项目设计深度要求</w:t>
            </w:r>
          </w:p>
          <w:p w14:paraId="5AD28E62">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设计文件的编制必须遵循所确定的内容、要求、基础资料及调研成果进行编制，充分结合采购人实际情况，总体设计应采用国际先进成熟的技术架构，符合信息化发展趋势及相关技术和安全标准规范，设计深度应达到并高于行业内相关标准，能够满足采购人和项目审批主管部门的相关审查要求。</w:t>
            </w:r>
          </w:p>
          <w:p w14:paraId="5A35CEBB">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四、项目后续服务要求</w:t>
            </w:r>
          </w:p>
          <w:p w14:paraId="421E1C39">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设计成果交付后，成交供应商需跟进项目设计中所有项目建设的全过程，为采购人提供设计方案交底、技术咨询等技术服务，并参与相关工作，确保采购人的思路及总体设计意图得到实施和落实。具体要求包括但不限于以下内容：</w:t>
            </w:r>
          </w:p>
          <w:p w14:paraId="5A5D9E70">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设计方案交底：（1）在项目建设实施过程中，对采购人及项目承建单位进行技术交底，包括但不限于设计的设计思路、技术选型、产品功能特点、质量要求以及其他技术细节等；（2）解答采购人及项目承建单位提出的对设计不清楚或不明确的疑问。</w:t>
            </w:r>
          </w:p>
          <w:p w14:paraId="2B6E0383">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2.技术咨询：根据项目建设情况和实际情况，成交供应商参与项目实施过程重要里程牌的评审和验证，及时提交评审意见给采购人，不定期在项目实施过程中参加现场检查，确认是否满足设计规范与设计要求。</w:t>
            </w:r>
          </w:p>
          <w:p w14:paraId="7D01DC71">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五、项目服务成果及交付要求</w:t>
            </w:r>
          </w:p>
          <w:p w14:paraId="4E27F331">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（一）服务成果要求：</w:t>
            </w:r>
          </w:p>
          <w:p w14:paraId="647E27A1">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包括但不限于《项目建设方案》、《项目事前绩效评估报告》、《密码应用方案》</w:t>
            </w:r>
            <w:r>
              <w:rPr>
                <w:rFonts w:hint="eastAsia" w:ascii="宋体" w:hAnsi="宋体" w:cs="宋体"/>
                <w:color w:val="auto"/>
                <w:sz w:val="21"/>
                <w:szCs w:val="21"/>
                <w:highlight w:val="none"/>
                <w:lang w:val="en-US" w:eastAsia="zh-CN"/>
              </w:rPr>
              <w:t>等</w:t>
            </w:r>
            <w:r>
              <w:rPr>
                <w:rFonts w:hint="eastAsia" w:ascii="宋体" w:hAnsi="宋体" w:cs="宋体"/>
                <w:color w:val="auto"/>
                <w:sz w:val="21"/>
                <w:szCs w:val="21"/>
                <w:highlight w:val="none"/>
              </w:rPr>
              <w:t>，以及自治区大数据</w:t>
            </w:r>
            <w:r>
              <w:rPr>
                <w:rFonts w:hint="eastAsia" w:ascii="宋体" w:hAnsi="宋体" w:cs="宋体"/>
                <w:color w:val="auto"/>
                <w:sz w:val="21"/>
                <w:szCs w:val="21"/>
                <w:highlight w:val="none"/>
                <w:lang w:val="en-US" w:eastAsia="zh-CN"/>
              </w:rPr>
              <w:t>局</w:t>
            </w:r>
            <w:r>
              <w:rPr>
                <w:rFonts w:hint="eastAsia" w:ascii="宋体" w:hAnsi="宋体" w:cs="宋体"/>
                <w:color w:val="auto"/>
                <w:sz w:val="21"/>
                <w:szCs w:val="21"/>
                <w:highlight w:val="none"/>
              </w:rPr>
              <w:t>和自治区发展改革委、自治区财政厅等涉及政务信息化项目管理的部门所要求的其他立项相应材料。</w:t>
            </w:r>
          </w:p>
          <w:p w14:paraId="2ED642E1">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（二）提交要求：</w:t>
            </w:r>
          </w:p>
          <w:p w14:paraId="427F1152">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（1）成交供应商应在项目完成时，将本项目所有相关的技术文件，以及设计服务期间所需要制订的文档汇集成册交付采购人。</w:t>
            </w:r>
          </w:p>
          <w:p w14:paraId="1D0033D3">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（2）所有的文件要求用中文书写或有完整的中文注释。</w:t>
            </w:r>
          </w:p>
          <w:p w14:paraId="32D6B34C">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（3）本项目要求所有文档向采购人提供纸质文档至少3 套，电子文档1 套。成交供应商应设置专人在项目建设期间对文档进行检查和管理，项目最终验收后全部移交给采购人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其中电子文档以只读光盘存储，且必须符合“电子文档格式”的技术要求，同时必须符合《国家电子政务工程建设项目档案管理暂行办法》的归档要求。</w:t>
            </w:r>
          </w:p>
          <w:p w14:paraId="5DE3C917">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（4）成交供应商应在成交后与采购人签订保密协议，承诺不将任何涉及本项目的信息向外界泄露，该保密义务在合同终止后继续有效。</w:t>
            </w:r>
          </w:p>
          <w:p w14:paraId="743F90CF">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）项目</w:t>
            </w:r>
            <w:r>
              <w:rPr>
                <w:rFonts w:hint="eastAsia" w:ascii="宋体" w:hAnsi="宋体" w:cs="宋体"/>
                <w:color w:val="auto"/>
                <w:sz w:val="21"/>
                <w:szCs w:val="21"/>
                <w:highlight w:val="none"/>
                <w:lang w:val="en-US" w:eastAsia="zh-CN"/>
              </w:rPr>
              <w:t>建设方案</w:t>
            </w:r>
            <w:r>
              <w:rPr>
                <w:rFonts w:hint="eastAsia" w:ascii="宋体" w:hAnsi="宋体" w:cs="宋体"/>
                <w:color w:val="auto"/>
                <w:sz w:val="21"/>
                <w:szCs w:val="21"/>
                <w:highlight w:val="none"/>
              </w:rPr>
              <w:t>等前期文档的编制必须遵循所确定的内容、要求及基础资料进行编制，基础设计深度应达到并高于行业内相关标准，能够满足采购人和项目审批主管部门的相关审查要求，并确保所编制的前期文档通过审批。</w:t>
            </w:r>
          </w:p>
          <w:p w14:paraId="37D118E5">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六、其它</w:t>
            </w:r>
          </w:p>
          <w:p w14:paraId="183D9FD5">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 成交供应商在编制研究过程中应对有关重要的研究结论、技术需求等及时并分阶段向采购人汇报。</w:t>
            </w:r>
          </w:p>
          <w:p w14:paraId="169893D9">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 成交供应商在项目设计及编制过程中，必须严格按照涉密信息系统集成项目管理制度对涉及本项目工作的人员、工具、及信息载体进行管控，不得泄密。</w:t>
            </w:r>
          </w:p>
          <w:p w14:paraId="0401A677">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3.项目组应由项目</w:t>
            </w:r>
            <w:r>
              <w:rPr>
                <w:rFonts w:hint="eastAsia" w:ascii="宋体" w:hAnsi="宋体" w:cs="宋体"/>
                <w:color w:val="auto"/>
                <w:sz w:val="21"/>
                <w:szCs w:val="21"/>
                <w:highlight w:val="none"/>
                <w:lang w:val="en-US" w:eastAsia="zh-CN"/>
              </w:rPr>
              <w:t>负责人</w:t>
            </w:r>
            <w:r>
              <w:rPr>
                <w:rFonts w:hint="eastAsia" w:ascii="宋体" w:hAnsi="宋体" w:cs="宋体"/>
                <w:color w:val="auto"/>
                <w:sz w:val="21"/>
                <w:szCs w:val="21"/>
                <w:highlight w:val="none"/>
              </w:rPr>
              <w:t>、计划工程师、项目工程师以及专业负责人和专业设计人员组成。供应商拟投入本项目中的</w:t>
            </w:r>
            <w:r>
              <w:rPr>
                <w:rFonts w:hint="eastAsia" w:ascii="宋体" w:hAnsi="宋体" w:cs="宋体"/>
                <w:color w:val="auto"/>
                <w:sz w:val="21"/>
                <w:szCs w:val="21"/>
                <w:highlight w:val="none"/>
                <w:lang w:val="en-US" w:eastAsia="zh-CN"/>
              </w:rPr>
              <w:t>负责人</w:t>
            </w:r>
            <w:r>
              <w:rPr>
                <w:rFonts w:hint="eastAsia" w:ascii="宋体" w:hAnsi="宋体" w:cs="宋体"/>
                <w:color w:val="auto"/>
                <w:sz w:val="21"/>
                <w:szCs w:val="21"/>
                <w:highlight w:val="none"/>
              </w:rPr>
              <w:t>必须具备通信类、工程类或计算机类高级工程师资格，除项目负责人外的其他技术人员，至少包含1名国家注册咨询工程师和1名高级工程师（所列人员必须提供相关资格证明文件，并且提供递交响应文件截止时间前半年内，连续三个月供应商为其缴纳社保的证明文件）。</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412F2D94">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444" w:type="dxa"/>
            <w:tcBorders>
              <w:top w:val="single" w:color="auto" w:sz="4" w:space="0"/>
              <w:left w:val="single" w:color="auto" w:sz="4" w:space="0"/>
              <w:bottom w:val="single" w:color="auto" w:sz="4" w:space="0"/>
              <w:right w:val="single" w:color="auto" w:sz="4" w:space="0"/>
            </w:tcBorders>
            <w:noWrap w:val="0"/>
            <w:vAlign w:val="center"/>
          </w:tcPr>
          <w:p w14:paraId="3F1551BC">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4575F6CA">
            <w:pPr>
              <w:spacing w:line="360" w:lineRule="auto"/>
              <w:jc w:val="center"/>
              <w:rPr>
                <w:rFonts w:hint="eastAsia" w:ascii="宋体" w:hAnsi="宋体" w:cs="宋体"/>
                <w:color w:val="auto"/>
                <w:sz w:val="21"/>
                <w:szCs w:val="21"/>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62ED9469">
            <w:pPr>
              <w:spacing w:line="360" w:lineRule="auto"/>
              <w:jc w:val="center"/>
              <w:rPr>
                <w:rFonts w:hint="eastAsia" w:ascii="宋体" w:hAnsi="宋体" w:cs="宋体"/>
                <w:color w:val="auto"/>
                <w:sz w:val="21"/>
                <w:szCs w:val="21"/>
                <w:highlight w:val="none"/>
              </w:rPr>
            </w:pPr>
          </w:p>
        </w:tc>
      </w:tr>
      <w:tr w14:paraId="13C7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66FBC900">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人民币</w:t>
            </w:r>
            <w:r>
              <w:rPr>
                <w:rFonts w:hint="eastAsia" w:ascii="宋体" w:hAnsi="宋体" w:cs="宋体"/>
                <w:color w:val="auto"/>
                <w:sz w:val="21"/>
                <w:szCs w:val="21"/>
                <w:highlight w:val="none"/>
                <w:lang w:val="en-US" w:eastAsia="zh-CN"/>
              </w:rPr>
              <w:t>合同总</w:t>
            </w:r>
            <w:r>
              <w:rPr>
                <w:rFonts w:hint="eastAsia" w:ascii="宋体" w:hAnsi="宋体" w:cs="宋体"/>
                <w:color w:val="auto"/>
                <w:sz w:val="21"/>
                <w:szCs w:val="21"/>
                <w:highlight w:val="none"/>
              </w:rPr>
              <w:t>金额（大写）：</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tc>
      </w:tr>
    </w:tbl>
    <w:p w14:paraId="37D9CF3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2、合同</w:t>
      </w:r>
      <w:r>
        <w:rPr>
          <w:rFonts w:hint="eastAsia" w:ascii="宋体" w:hAnsi="宋体" w:cs="宋体"/>
          <w:color w:val="auto"/>
          <w:sz w:val="24"/>
          <w:highlight w:val="none"/>
          <w:lang w:val="en-US" w:eastAsia="zh-CN"/>
        </w:rPr>
        <w:t>总</w:t>
      </w:r>
      <w:r>
        <w:rPr>
          <w:rFonts w:hint="eastAsia" w:ascii="宋体" w:hAnsi="宋体" w:cs="宋体"/>
          <w:color w:val="auto"/>
          <w:sz w:val="24"/>
          <w:highlight w:val="none"/>
        </w:rPr>
        <w:t>金额包括但不限于满足本次竞标全部采购需求所应提供的服务，包含竞标服务的成本、检验、技术服务、税费等所有费用。如提供服务过程中产生额外费用，由</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自行负责。如磋商文件对其另有规定的，从其规定。</w:t>
      </w:r>
    </w:p>
    <w:p w14:paraId="5E1A5F55">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第二条　质量保证</w:t>
      </w:r>
    </w:p>
    <w:p w14:paraId="158B07F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所提供的服务及服务内容必须与响应文件承诺相一致，有国家强制性标准的，还必须符合国家强制性标准的规定，没有国家强制性标准但有其他强制性标准的，必须符合其他强制性标准的规定。没有强制性标准的，必须符合行业标准。</w:t>
      </w:r>
    </w:p>
    <w:p w14:paraId="7CE23406">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第三条　权利保证</w:t>
      </w:r>
    </w:p>
    <w:p w14:paraId="77C15B72">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1、乙方应保证所提供服务在使用时不会侵犯任何第三方的专利权、商标权、工业设计权等知识产权及其他合法权利，且所有权、处分权等没有受到任何限制。</w:t>
      </w:r>
    </w:p>
    <w:p w14:paraId="62282B77">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168F8090">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3、乙方需配合甲方开展绩效评价相关工作。</w:t>
      </w:r>
    </w:p>
    <w:p w14:paraId="7FBC858F">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4、未经甲方允许，项目不能委托第三方。</w:t>
      </w:r>
    </w:p>
    <w:p w14:paraId="0D78EF33">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5、服务过程中形成的所有知识产权成果归甲方所有。</w:t>
      </w:r>
    </w:p>
    <w:p w14:paraId="61E67389">
      <w:pPr>
        <w:snapToGrid w:val="0"/>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第四条　交付和验收</w:t>
      </w:r>
    </w:p>
    <w:p w14:paraId="3F13E22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1、服务期限： </w:t>
      </w:r>
      <w:r>
        <w:rPr>
          <w:rFonts w:hint="eastAsia" w:ascii="宋体" w:hAnsi="宋体" w:cs="宋体"/>
          <w:color w:val="auto"/>
          <w:sz w:val="24"/>
          <w:highlight w:val="none"/>
          <w:u w:val="single"/>
        </w:rPr>
        <w:t xml:space="preserve"> 自合同签订之日起一年内提交所有服务成果</w:t>
      </w:r>
      <w:r>
        <w:rPr>
          <w:rFonts w:hint="eastAsia" w:ascii="宋体" w:hAnsi="宋体" w:cs="宋体"/>
          <w:color w:val="auto"/>
          <w:sz w:val="24"/>
          <w:highlight w:val="none"/>
        </w:rPr>
        <w:t>，服务地点：</w:t>
      </w:r>
      <w:r>
        <w:rPr>
          <w:rFonts w:hint="eastAsia" w:ascii="宋体" w:hAnsi="宋体" w:cs="宋体"/>
          <w:color w:val="auto"/>
          <w:sz w:val="24"/>
          <w:highlight w:val="none"/>
          <w:u w:val="single"/>
        </w:rPr>
        <w:t xml:space="preserve"> 广西南宁市采购人指定地点 </w:t>
      </w:r>
      <w:r>
        <w:rPr>
          <w:rFonts w:hint="eastAsia" w:ascii="宋体" w:hAnsi="宋体" w:cs="宋体"/>
          <w:color w:val="auto"/>
          <w:sz w:val="24"/>
          <w:highlight w:val="none"/>
        </w:rPr>
        <w:t>。</w:t>
      </w:r>
    </w:p>
    <w:p w14:paraId="27A2285B">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2、乙方应按响应文件的承诺向甲方提供相应的服务，并提供所服务内容的相关技术资料。</w:t>
      </w:r>
    </w:p>
    <w:p w14:paraId="2C4D2F1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3、乙方提供不符合响应文件和本合同规定的服务成果，甲方有权拒绝接受。</w:t>
      </w:r>
    </w:p>
    <w:p w14:paraId="201971A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40CD835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5、甲乙双方应按照《广西壮族自治区政府采购项目履约验收管理办法》、双方合同、响应文件验收。</w:t>
      </w:r>
    </w:p>
    <w:p w14:paraId="2EA2D60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6、甲方在初步验收或者最终验收过程中如发现乙方提供的服务成果不满足响应文件及本合同规定的，可暂缓向乙方付款，直到乙方及时完善并提交相应的服务成果且经甲方验收合格后，方可办理付款。</w:t>
      </w:r>
    </w:p>
    <w:p w14:paraId="69CEFC7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7、甲方验收时以书面形式提出异议的，乙方应自收到甲方书面异议后五个工作日内及时予以解决，否则甲方有权不出具服务验收合格单。</w:t>
      </w:r>
    </w:p>
    <w:p w14:paraId="50503637">
      <w:p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第五条  售后服务及培训</w:t>
      </w:r>
    </w:p>
    <w:p w14:paraId="501FBC2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1、乙方应按照国家有关法律法规和本合同所附的《售后服务承诺》要求为甲方提供相应的售后服务。</w:t>
      </w:r>
    </w:p>
    <w:p w14:paraId="1788020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2、甲方应提供必要测试条件（如场地、电源、水源等）。</w:t>
      </w:r>
    </w:p>
    <w:p w14:paraId="0420799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3、乙方负责甲方有关人员的培训。培训时间、地点：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采购人指定地点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53A5003">
      <w:pPr>
        <w:snapToGrid w:val="0"/>
        <w:spacing w:line="360" w:lineRule="auto"/>
        <w:ind w:firstLine="482" w:firstLineChars="200"/>
        <w:rPr>
          <w:rFonts w:hint="eastAsia" w:ascii="宋体" w:hAnsi="宋体" w:cs="宋体"/>
          <w:color w:val="auto"/>
          <w:sz w:val="24"/>
          <w:highlight w:val="none"/>
          <w:u w:val="single"/>
        </w:rPr>
      </w:pPr>
      <w:r>
        <w:rPr>
          <w:rFonts w:hint="eastAsia" w:ascii="宋体" w:hAnsi="宋体" w:cs="宋体"/>
          <w:b/>
          <w:color w:val="auto"/>
          <w:sz w:val="24"/>
          <w:highlight w:val="none"/>
        </w:rPr>
        <w:t>第六条　付款方式</w:t>
      </w:r>
    </w:p>
    <w:p w14:paraId="353A2D7F">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甲乙双方同意本合同金额的支付按以下第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项约定执行：</w:t>
      </w:r>
    </w:p>
    <w:p w14:paraId="4C6FF91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1、一次性支付</w:t>
      </w:r>
    </w:p>
    <w:p w14:paraId="1C966088">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2、分期支付</w:t>
      </w:r>
      <w:r>
        <w:rPr>
          <w:rFonts w:hint="eastAsia" w:ascii="宋体" w:hAnsi="宋体" w:cs="宋体"/>
          <w:color w:val="auto"/>
          <w:sz w:val="24"/>
          <w:highlight w:val="none"/>
          <w:lang w:eastAsia="zh-CN"/>
        </w:rPr>
        <w:t>：</w:t>
      </w:r>
    </w:p>
    <w:p w14:paraId="1413EABA">
      <w:pPr>
        <w:pStyle w:val="14"/>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hAnsi="宋体"/>
          <w:color w:val="auto"/>
          <w:sz w:val="24"/>
          <w:highlight w:val="none"/>
        </w:rPr>
        <w:t>在合同签订后10个工作日内，</w:t>
      </w:r>
      <w:r>
        <w:rPr>
          <w:rFonts w:hint="eastAsia" w:hAnsi="宋体"/>
          <w:color w:val="auto"/>
          <w:sz w:val="24"/>
          <w:highlight w:val="none"/>
          <w:lang w:eastAsia="zh-CN"/>
        </w:rPr>
        <w:t>甲方</w:t>
      </w:r>
      <w:r>
        <w:rPr>
          <w:rFonts w:hint="eastAsia" w:hAnsi="宋体"/>
          <w:color w:val="auto"/>
          <w:sz w:val="24"/>
          <w:highlight w:val="none"/>
        </w:rPr>
        <w:t>支付给</w:t>
      </w:r>
      <w:r>
        <w:rPr>
          <w:rFonts w:hint="eastAsia" w:hAnsi="宋体"/>
          <w:color w:val="auto"/>
          <w:sz w:val="24"/>
          <w:highlight w:val="none"/>
          <w:lang w:eastAsia="zh-CN"/>
        </w:rPr>
        <w:t>乙方</w:t>
      </w:r>
      <w:r>
        <w:rPr>
          <w:rFonts w:hint="eastAsia" w:hAnsi="宋体"/>
          <w:color w:val="auto"/>
          <w:sz w:val="24"/>
          <w:highlight w:val="none"/>
        </w:rPr>
        <w:t>合同金额的30%；</w:t>
      </w:r>
      <w:r>
        <w:rPr>
          <w:rFonts w:hint="eastAsia" w:hAnsi="宋体"/>
          <w:color w:val="auto"/>
          <w:sz w:val="24"/>
          <w:highlight w:val="none"/>
          <w:lang w:eastAsia="zh-CN"/>
        </w:rPr>
        <w:t>乙方</w:t>
      </w:r>
      <w:r>
        <w:rPr>
          <w:rFonts w:hint="eastAsia" w:hAnsi="宋体"/>
          <w:color w:val="auto"/>
          <w:sz w:val="24"/>
          <w:highlight w:val="none"/>
        </w:rPr>
        <w:t>完成密码应用方案经</w:t>
      </w:r>
      <w:r>
        <w:rPr>
          <w:rFonts w:hint="eastAsia" w:hAnsi="宋体"/>
          <w:color w:val="auto"/>
          <w:sz w:val="24"/>
          <w:highlight w:val="none"/>
          <w:lang w:eastAsia="zh-CN"/>
        </w:rPr>
        <w:t>甲方</w:t>
      </w:r>
      <w:r>
        <w:rPr>
          <w:rFonts w:hint="eastAsia" w:hAnsi="宋体"/>
          <w:color w:val="auto"/>
          <w:sz w:val="24"/>
          <w:highlight w:val="none"/>
        </w:rPr>
        <w:t>确认后，</w:t>
      </w:r>
      <w:r>
        <w:rPr>
          <w:rFonts w:hint="eastAsia" w:hAnsi="宋体"/>
          <w:color w:val="auto"/>
          <w:sz w:val="24"/>
          <w:highlight w:val="none"/>
          <w:lang w:eastAsia="zh-CN"/>
        </w:rPr>
        <w:t>甲方</w:t>
      </w:r>
      <w:r>
        <w:rPr>
          <w:rFonts w:hint="eastAsia" w:hAnsi="宋体"/>
          <w:color w:val="auto"/>
          <w:sz w:val="24"/>
          <w:highlight w:val="none"/>
        </w:rPr>
        <w:t>支付</w:t>
      </w:r>
      <w:r>
        <w:rPr>
          <w:rFonts w:hint="eastAsia" w:hAnsi="宋体"/>
          <w:color w:val="auto"/>
          <w:sz w:val="24"/>
          <w:highlight w:val="none"/>
          <w:lang w:val="en-US" w:eastAsia="zh-CN"/>
        </w:rPr>
        <w:t>给乙方</w:t>
      </w:r>
      <w:r>
        <w:rPr>
          <w:rFonts w:hint="eastAsia" w:hAnsi="宋体"/>
          <w:color w:val="auto"/>
          <w:sz w:val="24"/>
          <w:highlight w:val="none"/>
        </w:rPr>
        <w:t>合同金额的20%；</w:t>
      </w:r>
      <w:r>
        <w:rPr>
          <w:rFonts w:hint="eastAsia" w:hAnsi="宋体"/>
          <w:color w:val="auto"/>
          <w:sz w:val="24"/>
          <w:highlight w:val="none"/>
          <w:lang w:eastAsia="zh-CN"/>
        </w:rPr>
        <w:t>乙方</w:t>
      </w:r>
      <w:r>
        <w:rPr>
          <w:rFonts w:hint="eastAsia" w:hAnsi="宋体"/>
          <w:color w:val="auto"/>
          <w:sz w:val="24"/>
          <w:highlight w:val="none"/>
        </w:rPr>
        <w:t>完成项目事前绩效评估报告经</w:t>
      </w:r>
      <w:r>
        <w:rPr>
          <w:rFonts w:hint="eastAsia" w:hAnsi="宋体"/>
          <w:color w:val="auto"/>
          <w:sz w:val="24"/>
          <w:highlight w:val="none"/>
          <w:lang w:eastAsia="zh-CN"/>
        </w:rPr>
        <w:t>甲方</w:t>
      </w:r>
      <w:r>
        <w:rPr>
          <w:rFonts w:hint="eastAsia" w:hAnsi="宋体"/>
          <w:color w:val="auto"/>
          <w:sz w:val="24"/>
          <w:highlight w:val="none"/>
        </w:rPr>
        <w:t>确认后，</w:t>
      </w:r>
      <w:r>
        <w:rPr>
          <w:rFonts w:hint="eastAsia" w:hAnsi="宋体"/>
          <w:color w:val="auto"/>
          <w:sz w:val="24"/>
          <w:highlight w:val="none"/>
          <w:lang w:eastAsia="zh-CN"/>
        </w:rPr>
        <w:t>甲方</w:t>
      </w:r>
      <w:r>
        <w:rPr>
          <w:rFonts w:hint="eastAsia" w:hAnsi="宋体"/>
          <w:color w:val="auto"/>
          <w:sz w:val="24"/>
          <w:highlight w:val="none"/>
        </w:rPr>
        <w:t>支付</w:t>
      </w:r>
      <w:r>
        <w:rPr>
          <w:rFonts w:hint="eastAsia" w:hAnsi="宋体"/>
          <w:color w:val="auto"/>
          <w:sz w:val="24"/>
          <w:highlight w:val="none"/>
          <w:lang w:val="en-US" w:eastAsia="zh-CN"/>
        </w:rPr>
        <w:t>给乙方</w:t>
      </w:r>
      <w:r>
        <w:rPr>
          <w:rFonts w:hint="eastAsia" w:hAnsi="宋体"/>
          <w:color w:val="auto"/>
          <w:sz w:val="24"/>
          <w:highlight w:val="none"/>
        </w:rPr>
        <w:t>合同金额的20%；</w:t>
      </w:r>
      <w:r>
        <w:rPr>
          <w:rFonts w:hint="eastAsia" w:hAnsi="宋体"/>
          <w:color w:val="auto"/>
          <w:sz w:val="24"/>
          <w:highlight w:val="none"/>
          <w:lang w:eastAsia="zh-CN"/>
        </w:rPr>
        <w:t>乙方</w:t>
      </w:r>
      <w:r>
        <w:rPr>
          <w:rFonts w:hint="eastAsia" w:hAnsi="宋体"/>
          <w:color w:val="auto"/>
          <w:sz w:val="24"/>
          <w:highlight w:val="none"/>
        </w:rPr>
        <w:t>提交项目建设方案经</w:t>
      </w:r>
      <w:r>
        <w:rPr>
          <w:rFonts w:hint="eastAsia" w:hAnsi="宋体"/>
          <w:color w:val="auto"/>
          <w:sz w:val="24"/>
          <w:highlight w:val="none"/>
          <w:lang w:eastAsia="zh-CN"/>
        </w:rPr>
        <w:t>甲方</w:t>
      </w:r>
      <w:r>
        <w:rPr>
          <w:rFonts w:hint="eastAsia" w:hAnsi="宋体"/>
          <w:color w:val="auto"/>
          <w:sz w:val="24"/>
          <w:highlight w:val="none"/>
        </w:rPr>
        <w:t>确认后，</w:t>
      </w:r>
      <w:r>
        <w:rPr>
          <w:rFonts w:hint="eastAsia" w:hAnsi="宋体"/>
          <w:color w:val="auto"/>
          <w:sz w:val="24"/>
          <w:highlight w:val="none"/>
          <w:lang w:eastAsia="zh-CN"/>
        </w:rPr>
        <w:t>甲方</w:t>
      </w:r>
      <w:r>
        <w:rPr>
          <w:rFonts w:hint="eastAsia" w:hAnsi="宋体"/>
          <w:color w:val="auto"/>
          <w:sz w:val="24"/>
          <w:highlight w:val="none"/>
        </w:rPr>
        <w:t>支付</w:t>
      </w:r>
      <w:r>
        <w:rPr>
          <w:rFonts w:hint="eastAsia" w:hAnsi="宋体"/>
          <w:color w:val="auto"/>
          <w:sz w:val="24"/>
          <w:highlight w:val="none"/>
          <w:lang w:val="en-US" w:eastAsia="zh-CN"/>
        </w:rPr>
        <w:t>给乙方</w:t>
      </w:r>
      <w:r>
        <w:rPr>
          <w:rFonts w:hint="eastAsia" w:hAnsi="宋体"/>
          <w:color w:val="auto"/>
          <w:sz w:val="24"/>
          <w:highlight w:val="none"/>
        </w:rPr>
        <w:t>合同金额的30%。</w:t>
      </w:r>
      <w:r>
        <w:rPr>
          <w:rFonts w:hint="eastAsia" w:hAnsi="宋体"/>
          <w:color w:val="auto"/>
          <w:sz w:val="24"/>
          <w:highlight w:val="none"/>
          <w:lang w:eastAsia="zh-CN"/>
        </w:rPr>
        <w:t>乙方</w:t>
      </w:r>
      <w:r>
        <w:rPr>
          <w:rFonts w:hint="eastAsia" w:hAnsi="宋体"/>
          <w:color w:val="auto"/>
          <w:sz w:val="24"/>
          <w:highlight w:val="none"/>
        </w:rPr>
        <w:t>在每次收到合同款后7个工作日内开具等额有效合法发票给</w:t>
      </w:r>
      <w:r>
        <w:rPr>
          <w:rFonts w:hint="eastAsia" w:hAnsi="宋体"/>
          <w:color w:val="auto"/>
          <w:sz w:val="24"/>
          <w:highlight w:val="none"/>
          <w:lang w:eastAsia="zh-CN"/>
        </w:rPr>
        <w:t>甲方</w:t>
      </w:r>
      <w:r>
        <w:rPr>
          <w:rFonts w:hint="eastAsia" w:hAnsi="宋体"/>
          <w:color w:val="auto"/>
          <w:sz w:val="24"/>
          <w:highlight w:val="none"/>
        </w:rPr>
        <w:t>。。</w:t>
      </w:r>
    </w:p>
    <w:p w14:paraId="231964C6">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第七条  税费</w:t>
      </w:r>
    </w:p>
    <w:p w14:paraId="4350015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本合同执行中相关的一切税费均由乙方负担，合同另有约定的除外。</w:t>
      </w:r>
    </w:p>
    <w:p w14:paraId="746CE062">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第八条　违约责任</w:t>
      </w:r>
    </w:p>
    <w:p w14:paraId="123DF6A6">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1、除不可抗力原因外，乙方没有按照合同规定的时间提供服务的，甲方可要求乙方支付违约金。每推迟一天按合同</w:t>
      </w:r>
      <w:r>
        <w:rPr>
          <w:rFonts w:hint="eastAsia" w:ascii="宋体" w:hAnsi="宋体" w:cs="宋体"/>
          <w:color w:val="auto"/>
          <w:sz w:val="24"/>
          <w:highlight w:val="none"/>
          <w:lang w:val="en-US" w:eastAsia="zh-CN"/>
        </w:rPr>
        <w:t>总</w:t>
      </w:r>
      <w:r>
        <w:rPr>
          <w:rFonts w:hint="eastAsia" w:ascii="宋体" w:hAnsi="宋体" w:cs="宋体"/>
          <w:color w:val="auto"/>
          <w:sz w:val="24"/>
          <w:highlight w:val="none"/>
        </w:rPr>
        <w:t>金额的3‰支付违约金，该违约金累计不超过合同</w:t>
      </w:r>
      <w:r>
        <w:rPr>
          <w:rFonts w:hint="eastAsia" w:ascii="宋体" w:hAnsi="宋体" w:cs="宋体"/>
          <w:color w:val="auto"/>
          <w:sz w:val="24"/>
          <w:highlight w:val="none"/>
          <w:lang w:val="en-US" w:eastAsia="zh-CN"/>
        </w:rPr>
        <w:t>总</w:t>
      </w:r>
      <w:r>
        <w:rPr>
          <w:rFonts w:hint="eastAsia" w:ascii="宋体" w:hAnsi="宋体" w:cs="宋体"/>
          <w:color w:val="auto"/>
          <w:sz w:val="24"/>
          <w:highlight w:val="none"/>
        </w:rPr>
        <w:t xml:space="preserve">金额的10%。                                  </w:t>
      </w:r>
    </w:p>
    <w:p w14:paraId="2C05D74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2、乙方提供的服务如侵犯了第三方合法权益而引发的任何纠纷或者诉讼，均由乙方负责交涉并承担全部责任。</w:t>
      </w:r>
    </w:p>
    <w:p w14:paraId="6924946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3、甲方延期付款的，每天向乙方偿付延期款额3‰滞纳金，但滞纳金累计不得超过延期款额5%。</w:t>
      </w:r>
    </w:p>
    <w:p w14:paraId="564B5536">
      <w:pPr>
        <w:widowControl/>
        <w:snapToGrid w:val="0"/>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4、乙方不得将项目全部或部分进行转包、分包，如有违反，乙方应向甲方一次性支付合同总</w:t>
      </w:r>
      <w:r>
        <w:rPr>
          <w:rFonts w:hint="eastAsia" w:ascii="宋体" w:hAnsi="宋体" w:cs="仿宋_GB2312"/>
          <w:color w:val="auto"/>
          <w:sz w:val="24"/>
          <w:highlight w:val="none"/>
          <w:lang w:val="en-US" w:eastAsia="zh-CN"/>
        </w:rPr>
        <w:t>金额</w:t>
      </w:r>
      <w:r>
        <w:rPr>
          <w:rFonts w:hint="eastAsia" w:ascii="宋体" w:hAnsi="宋体" w:cs="仿宋_GB2312"/>
          <w:color w:val="auto"/>
          <w:sz w:val="24"/>
          <w:highlight w:val="none"/>
        </w:rPr>
        <w:t>20%的违约金，且甲方有权解除合同。甲方因此解除合同的，乙方还应当自收到甲方要求合同解除的函之日起5日内退还甲方已经支付的全部款项，赔偿因此给甲方造成的全部经济损失。</w:t>
      </w:r>
    </w:p>
    <w:p w14:paraId="6CAB9B36">
      <w:pPr>
        <w:widowControl/>
        <w:snapToGrid w:val="0"/>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5、乙方支付的违约金不足以弥补甲方损失的，应承担赔偿责任，甲方有权继续向乙方追偿。</w:t>
      </w:r>
    </w:p>
    <w:p w14:paraId="1583754E">
      <w:pPr>
        <w:widowControl/>
        <w:snapToGrid w:val="0"/>
        <w:spacing w:line="360" w:lineRule="auto"/>
        <w:ind w:firstLine="480" w:firstLineChars="200"/>
        <w:jc w:val="left"/>
        <w:rPr>
          <w:rFonts w:hint="eastAsia"/>
          <w:color w:val="auto"/>
          <w:sz w:val="24"/>
          <w:szCs w:val="24"/>
          <w:highlight w:val="none"/>
        </w:rPr>
      </w:pPr>
      <w:r>
        <w:rPr>
          <w:rFonts w:hint="eastAsia" w:ascii="宋体" w:hAnsi="宋体" w:cs="仿宋_GB2312"/>
          <w:color w:val="auto"/>
          <w:sz w:val="24"/>
          <w:highlight w:val="none"/>
        </w:rPr>
        <w:t>6、本合同所称的甲方经济损失或者甲方损失，包括甲方遭受的全部直接经济损失及为此支出的合理费用（包括不限于为此支出的调查费、诉讼费、保全费、律师费、差旅费等）。乙方应支付给甲方的违约金或赔偿金，甲方有权从任何应支付未支付给乙方的款项中直接抵扣。</w:t>
      </w:r>
    </w:p>
    <w:p w14:paraId="1C17FF3C">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第九条  不可抗力事件处理</w:t>
      </w:r>
    </w:p>
    <w:p w14:paraId="578DCDA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1、在合同有效期内，任何一方因不可抗力事件导致不能履行合同，则合同履行期可延长，其延长期与不可抗力影响期相同。</w:t>
      </w:r>
    </w:p>
    <w:p w14:paraId="6004CB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2、不可抗力事件发生后，应立即通知对方，并寄送有关权威机构出具的证明。</w:t>
      </w:r>
    </w:p>
    <w:p w14:paraId="3E4375F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3、不可抗力事件延续一百二十天以上，双方应通过友好协商，确定是否继续履行合同。</w:t>
      </w:r>
    </w:p>
    <w:p w14:paraId="483ADC29">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第十条  合同争议解决</w:t>
      </w:r>
    </w:p>
    <w:p w14:paraId="4873DA87">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1、因服务质量问题发生争议的，应邀请国家认可的质量检测机构进行鉴定。服务符合标准的，鉴定费由甲方承担；服务不符合标准的，鉴定费由乙方承担。</w:t>
      </w:r>
    </w:p>
    <w:p w14:paraId="6799C44C">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2、因履行本合同引起的或者与本合同有关的争议，甲乙双方应首先通过友好协商解决，如果协商不能解决，可向甲方所在地有管辖权的人民法院提起诉讼。</w:t>
      </w:r>
    </w:p>
    <w:p w14:paraId="003C544C">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3、诉讼期间，本合同继续履行。</w:t>
      </w:r>
    </w:p>
    <w:p w14:paraId="1AC567FF">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第十一条  合同生效及其它</w:t>
      </w:r>
    </w:p>
    <w:p w14:paraId="169ABA3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1、合同经双方法定代表人或者授权代表签字并加盖单位公章后生效。</w:t>
      </w:r>
    </w:p>
    <w:p w14:paraId="0596524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2、合同执行中涉及采购资金和采购内容修改或者补充的，须经财政部门审批，并签书面补充协议报财政部门备案，方可作为主合同不可分割的一部分。</w:t>
      </w:r>
    </w:p>
    <w:p w14:paraId="408381F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3、本合同未尽事宜，遵照《中华人民共和国民法典》有关条文执行。</w:t>
      </w:r>
    </w:p>
    <w:p w14:paraId="467E668A">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第十二条　合同的变更、终止与转让</w:t>
      </w:r>
    </w:p>
    <w:p w14:paraId="2BFACE4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1、除《中华人民共和国政府采购法》第五十条规定的情形外，本合同一经签订，甲乙双方不得擅自变更、中止或者终止。</w:t>
      </w:r>
    </w:p>
    <w:p w14:paraId="1DB7645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2、乙方不得擅自转让其应履行的合同义务。</w:t>
      </w:r>
    </w:p>
    <w:p w14:paraId="3949F0AC">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第十三条　签订本合同依据</w:t>
      </w:r>
    </w:p>
    <w:p w14:paraId="101CB50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1、成交通知书；</w:t>
      </w:r>
    </w:p>
    <w:p w14:paraId="20C03A1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2、竞标报价表；</w:t>
      </w:r>
    </w:p>
    <w:p w14:paraId="368C15A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3、商务要求偏离表和技术要求偏离表；</w:t>
      </w:r>
    </w:p>
    <w:p w14:paraId="4B37230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4、服务方案；</w:t>
      </w:r>
    </w:p>
    <w:p w14:paraId="6A082B5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5、响应文件中的其他相关文件。</w:t>
      </w:r>
    </w:p>
    <w:p w14:paraId="4FB168F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6、上述合同文件互相补充和解释。如果合同文件之间存在矛盾或者不一致之处，以上述文件的排列顺序在先者为准。</w:t>
      </w:r>
    </w:p>
    <w:p w14:paraId="30D6292A">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第十四条　</w:t>
      </w:r>
      <w:r>
        <w:rPr>
          <w:rFonts w:hint="eastAsia" w:ascii="宋体" w:hAnsi="宋体" w:cs="宋体"/>
          <w:color w:val="auto"/>
          <w:sz w:val="24"/>
          <w:highlight w:val="none"/>
        </w:rPr>
        <w:t>本合同一式六份，具有同等法律效力，财政部门（政府采购监管部门）、采购代理机构各一份，甲乙双方各二份（可根据需要另增加）。</w:t>
      </w:r>
    </w:p>
    <w:p w14:paraId="256F014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自签订之日起七个工作日内，甲方应当将合同副本报同级财政部门备案。</w:t>
      </w:r>
    </w:p>
    <w:p w14:paraId="35871F7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本合同自签订之日起2个工作日内，甲方应当将采购合同在广西壮族自治区财政厅指定的媒体上公告。</w:t>
      </w:r>
    </w:p>
    <w:p w14:paraId="35C9A63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（以下无正文）</w:t>
      </w:r>
    </w:p>
    <w:tbl>
      <w:tblPr>
        <w:tblStyle w:val="32"/>
        <w:tblpPr w:leftFromText="180" w:rightFromText="180" w:vertAnchor="text" w:horzAnchor="margin" w:tblpXSpec="center"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36E8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C94E3A6">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甲方：（章）</w:t>
            </w:r>
          </w:p>
          <w:p w14:paraId="15207CD0">
            <w:pPr>
              <w:snapToGrid w:val="0"/>
              <w:spacing w:line="360" w:lineRule="auto"/>
              <w:rPr>
                <w:rFonts w:hint="eastAsia" w:ascii="宋体" w:hAnsi="宋体" w:cs="宋体"/>
                <w:color w:val="auto"/>
                <w:sz w:val="24"/>
                <w:highlight w:val="none"/>
              </w:rPr>
            </w:pPr>
          </w:p>
          <w:p w14:paraId="433BCFBD">
            <w:pPr>
              <w:snapToGrid w:val="0"/>
              <w:spacing w:line="360" w:lineRule="auto"/>
              <w:rPr>
                <w:rFonts w:hint="eastAsia" w:ascii="宋体" w:hAnsi="宋体" w:cs="宋体"/>
                <w:color w:val="auto"/>
                <w:sz w:val="24"/>
                <w:highlight w:val="none"/>
              </w:rPr>
            </w:pPr>
          </w:p>
          <w:p w14:paraId="6EC2E28B">
            <w:pPr>
              <w:snapToGrid w:val="0"/>
              <w:spacing w:line="360" w:lineRule="auto"/>
              <w:ind w:firstLine="1080" w:firstLineChars="450"/>
              <w:jc w:val="right"/>
              <w:rPr>
                <w:rFonts w:hint="eastAsia" w:ascii="宋体" w:hAnsi="宋体" w:cs="宋体"/>
                <w:color w:val="auto"/>
                <w:sz w:val="24"/>
                <w:highlight w:val="none"/>
              </w:rPr>
            </w:pPr>
          </w:p>
          <w:p w14:paraId="394AA832">
            <w:pPr>
              <w:snapToGrid w:val="0"/>
              <w:spacing w:line="360" w:lineRule="auto"/>
              <w:ind w:firstLine="1080" w:firstLineChars="450"/>
              <w:jc w:val="right"/>
              <w:rPr>
                <w:rFonts w:hint="eastAsia" w:ascii="宋体" w:hAnsi="宋体" w:cs="宋体"/>
                <w:color w:val="auto"/>
                <w:sz w:val="24"/>
                <w:highlight w:val="none"/>
              </w:rPr>
            </w:pPr>
            <w:r>
              <w:rPr>
                <w:rFonts w:hint="eastAsia" w:ascii="宋体" w:hAnsi="宋体" w:cs="宋体"/>
                <w:color w:val="auto"/>
                <w:sz w:val="24"/>
                <w:highlight w:val="none"/>
              </w:rPr>
              <w:t>年   月   日</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5FF5E43F">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乙方：（章）       </w:t>
            </w:r>
          </w:p>
          <w:p w14:paraId="698CEFB2">
            <w:pPr>
              <w:snapToGrid w:val="0"/>
              <w:spacing w:line="360" w:lineRule="auto"/>
              <w:rPr>
                <w:rFonts w:hint="eastAsia" w:ascii="宋体" w:hAnsi="宋体" w:cs="宋体"/>
                <w:color w:val="auto"/>
                <w:sz w:val="24"/>
                <w:highlight w:val="none"/>
              </w:rPr>
            </w:pPr>
          </w:p>
          <w:p w14:paraId="48F1EE04">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2CAB85C4">
            <w:pPr>
              <w:snapToGrid w:val="0"/>
              <w:spacing w:line="360" w:lineRule="auto"/>
              <w:jc w:val="right"/>
              <w:rPr>
                <w:rFonts w:hint="eastAsia" w:ascii="宋体" w:hAnsi="宋体" w:cs="宋体"/>
                <w:color w:val="auto"/>
                <w:sz w:val="24"/>
                <w:highlight w:val="none"/>
              </w:rPr>
            </w:pPr>
          </w:p>
          <w:p w14:paraId="64718DCD">
            <w:pPr>
              <w:snapToGrid w:val="0"/>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4799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7803D244">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单位地址：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2BD147CD">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单位地址： </w:t>
            </w:r>
          </w:p>
        </w:tc>
      </w:tr>
      <w:tr w14:paraId="3925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2790B0C0">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6A4B876A">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w:t>
            </w:r>
          </w:p>
        </w:tc>
      </w:tr>
      <w:tr w14:paraId="26D0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169F0E27">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委托代理人：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5AE8113B">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委托代理人：</w:t>
            </w:r>
          </w:p>
        </w:tc>
      </w:tr>
      <w:tr w14:paraId="1B3D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51FD2192">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电话：</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244880DE">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电话：</w:t>
            </w:r>
          </w:p>
        </w:tc>
      </w:tr>
      <w:tr w14:paraId="00DA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74B3A918">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3C347C33">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开户银行： </w:t>
            </w:r>
          </w:p>
        </w:tc>
      </w:tr>
      <w:tr w14:paraId="76DF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E6190AB">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账号：</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31FB7792">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账号：</w:t>
            </w:r>
          </w:p>
        </w:tc>
      </w:tr>
      <w:tr w14:paraId="0040E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1149EF82">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邮政编码：</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28247C17">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邮政编码：</w:t>
            </w:r>
          </w:p>
        </w:tc>
      </w:tr>
    </w:tbl>
    <w:p w14:paraId="4C7A7289">
      <w:pPr>
        <w:widowControl/>
        <w:spacing w:line="360" w:lineRule="auto"/>
        <w:jc w:val="left"/>
        <w:rPr>
          <w:rFonts w:hint="eastAsia" w:ascii="宋体" w:hAnsi="宋体" w:cs="宋体"/>
          <w:color w:val="auto"/>
          <w:sz w:val="24"/>
          <w:highlight w:val="none"/>
        </w:rPr>
      </w:pPr>
    </w:p>
    <w:p w14:paraId="6373E5F4">
      <w:pPr>
        <w:pStyle w:val="22"/>
        <w:rPr>
          <w:color w:val="auto"/>
          <w:highlight w:val="none"/>
        </w:rPr>
      </w:pPr>
    </w:p>
    <w:p w14:paraId="2408E875">
      <w:pPr>
        <w:rPr>
          <w:rFonts w:hint="eastAsia"/>
          <w:color w:val="auto"/>
          <w:highlight w:val="none"/>
        </w:rPr>
        <w:sectPr>
          <w:footerReference r:id="rId13" w:type="first"/>
          <w:headerReference r:id="rId11" w:type="default"/>
          <w:footerReference r:id="rId12" w:type="default"/>
          <w:pgSz w:w="11910" w:h="16840"/>
          <w:pgMar w:top="1340" w:right="1500" w:bottom="280" w:left="1680" w:header="720" w:footer="720" w:gutter="0"/>
          <w:cols w:space="720" w:num="1"/>
        </w:sectPr>
      </w:pPr>
    </w:p>
    <w:p w14:paraId="2BAF96B7">
      <w:pPr>
        <w:keepNext/>
        <w:keepLines/>
        <w:spacing w:before="340" w:after="330" w:line="578" w:lineRule="auto"/>
        <w:jc w:val="center"/>
        <w:outlineLvl w:val="0"/>
        <w:rPr>
          <w:rFonts w:ascii="宋体" w:hAnsi="宋体" w:cs="仿宋_GB2312"/>
          <w:b/>
          <w:bCs/>
          <w:color w:val="auto"/>
          <w:kern w:val="44"/>
          <w:sz w:val="44"/>
          <w:szCs w:val="44"/>
          <w:highlight w:val="none"/>
        </w:rPr>
        <w:sectPr>
          <w:pgSz w:w="11910" w:h="16840"/>
          <w:pgMar w:top="1340" w:right="1500" w:bottom="280" w:left="1680" w:header="720" w:footer="720" w:gutter="0"/>
          <w:cols w:space="720" w:num="1"/>
          <w:docGrid w:linePitch="285" w:charSpace="0"/>
        </w:sectPr>
      </w:pPr>
      <w:bookmarkStart w:id="214" w:name="_Toc213251798"/>
      <w:bookmarkStart w:id="215" w:name="_Toc10199"/>
      <w:bookmarkStart w:id="216" w:name="_Toc30606"/>
      <w:bookmarkStart w:id="217" w:name="_Toc16455"/>
      <w:r>
        <w:rPr>
          <w:rFonts w:hint="eastAsia" w:ascii="宋体" w:hAnsi="宋体" w:cs="仿宋_GB2312"/>
          <w:bCs/>
          <w:color w:val="auto"/>
          <w:kern w:val="44"/>
          <w:sz w:val="44"/>
          <w:szCs w:val="44"/>
          <w:highlight w:val="none"/>
        </w:rPr>
        <w:t>第七章 质疑、投诉材料格式</w:t>
      </w:r>
      <w:bookmarkEnd w:id="214"/>
      <w:bookmarkEnd w:id="215"/>
      <w:bookmarkEnd w:id="216"/>
      <w:bookmarkEnd w:id="217"/>
    </w:p>
    <w:p w14:paraId="04564AE2">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质疑函（格式）</w:t>
      </w:r>
    </w:p>
    <w:p w14:paraId="51A0D87E">
      <w:pPr>
        <w:spacing w:line="360" w:lineRule="auto"/>
        <w:ind w:firstLine="482" w:firstLineChars="200"/>
        <w:contextualSpacing/>
        <w:rPr>
          <w:rFonts w:ascii="宋体" w:hAnsi="宋体"/>
          <w:b/>
          <w:bCs/>
          <w:color w:val="auto"/>
          <w:kern w:val="0"/>
          <w:sz w:val="24"/>
          <w:highlight w:val="none"/>
        </w:rPr>
      </w:pPr>
      <w:r>
        <w:rPr>
          <w:rFonts w:hint="eastAsia" w:ascii="宋体" w:hAnsi="宋体"/>
          <w:b/>
          <w:bCs/>
          <w:color w:val="auto"/>
          <w:kern w:val="0"/>
          <w:sz w:val="24"/>
          <w:highlight w:val="none"/>
        </w:rPr>
        <w:t>一、质疑供应商基本信息：</w:t>
      </w:r>
    </w:p>
    <w:p w14:paraId="19855331">
      <w:pPr>
        <w:spacing w:line="360" w:lineRule="auto"/>
        <w:ind w:firstLine="480" w:firstLineChars="200"/>
        <w:contextualSpacing/>
        <w:rPr>
          <w:rFonts w:ascii="宋体" w:hAnsi="宋体"/>
          <w:bCs/>
          <w:color w:val="auto"/>
          <w:kern w:val="0"/>
          <w:sz w:val="24"/>
          <w:highlight w:val="none"/>
        </w:rPr>
      </w:pPr>
      <w:r>
        <w:rPr>
          <w:rFonts w:hint="eastAsia" w:ascii="宋体" w:hAnsi="宋体"/>
          <w:bCs/>
          <w:color w:val="auto"/>
          <w:kern w:val="0"/>
          <w:sz w:val="24"/>
          <w:highlight w:val="none"/>
        </w:rPr>
        <w:t xml:space="preserve">质疑供应商：                                                        </w:t>
      </w:r>
    </w:p>
    <w:p w14:paraId="3DA3C13C">
      <w:pPr>
        <w:spacing w:line="360" w:lineRule="auto"/>
        <w:ind w:firstLine="480" w:firstLineChars="200"/>
        <w:contextualSpacing/>
        <w:rPr>
          <w:rFonts w:ascii="宋体" w:hAnsi="宋体"/>
          <w:bCs/>
          <w:color w:val="auto"/>
          <w:kern w:val="0"/>
          <w:sz w:val="24"/>
          <w:highlight w:val="none"/>
        </w:rPr>
      </w:pPr>
      <w:r>
        <w:rPr>
          <w:rFonts w:ascii="宋体" w:hAnsi="宋体"/>
          <w:bCs/>
          <w:color w:val="auto"/>
          <w:kern w:val="0"/>
          <w:sz w:val="24"/>
          <w:highlight w:val="none"/>
        </w:rPr>
        <w:t>地址</w:t>
      </w:r>
      <w:r>
        <w:rPr>
          <w:rFonts w:hint="eastAsia" w:ascii="宋体" w:hAnsi="宋体"/>
          <w:bCs/>
          <w:color w:val="auto"/>
          <w:kern w:val="0"/>
          <w:sz w:val="24"/>
          <w:highlight w:val="none"/>
        </w:rPr>
        <w:t xml:space="preserve">：                                          </w:t>
      </w:r>
      <w:r>
        <w:rPr>
          <w:rFonts w:ascii="宋体" w:hAnsi="宋体"/>
          <w:bCs/>
          <w:color w:val="auto"/>
          <w:kern w:val="0"/>
          <w:sz w:val="24"/>
          <w:highlight w:val="none"/>
        </w:rPr>
        <w:t>邮编</w:t>
      </w:r>
      <w:r>
        <w:rPr>
          <w:rFonts w:hint="eastAsia" w:ascii="宋体" w:hAnsi="宋体"/>
          <w:bCs/>
          <w:color w:val="auto"/>
          <w:kern w:val="0"/>
          <w:sz w:val="24"/>
          <w:highlight w:val="none"/>
        </w:rPr>
        <w:t xml:space="preserve">：                                   </w:t>
      </w:r>
    </w:p>
    <w:p w14:paraId="0D1F2824">
      <w:pPr>
        <w:spacing w:line="360" w:lineRule="auto"/>
        <w:ind w:firstLine="480" w:firstLineChars="200"/>
        <w:contextualSpacing/>
        <w:rPr>
          <w:rFonts w:ascii="宋体" w:hAnsi="宋体"/>
          <w:bCs/>
          <w:color w:val="auto"/>
          <w:kern w:val="0"/>
          <w:sz w:val="24"/>
          <w:highlight w:val="none"/>
        </w:rPr>
      </w:pPr>
      <w:r>
        <w:rPr>
          <w:rFonts w:ascii="宋体" w:hAnsi="宋体"/>
          <w:bCs/>
          <w:color w:val="auto"/>
          <w:kern w:val="0"/>
          <w:sz w:val="24"/>
          <w:highlight w:val="none"/>
        </w:rPr>
        <w:t>联系人</w:t>
      </w:r>
      <w:r>
        <w:rPr>
          <w:rFonts w:hint="eastAsia" w:ascii="宋体" w:hAnsi="宋体"/>
          <w:bCs/>
          <w:color w:val="auto"/>
          <w:kern w:val="0"/>
          <w:sz w:val="24"/>
          <w:highlight w:val="none"/>
        </w:rPr>
        <w:t xml:space="preserve">：                     </w:t>
      </w:r>
      <w:r>
        <w:rPr>
          <w:rFonts w:ascii="宋体" w:hAnsi="宋体"/>
          <w:bCs/>
          <w:color w:val="auto"/>
          <w:kern w:val="0"/>
          <w:sz w:val="24"/>
          <w:highlight w:val="none"/>
        </w:rPr>
        <w:t>联系电话</w:t>
      </w:r>
      <w:r>
        <w:rPr>
          <w:rFonts w:hint="eastAsia" w:ascii="宋体" w:hAnsi="宋体"/>
          <w:bCs/>
          <w:color w:val="auto"/>
          <w:kern w:val="0"/>
          <w:sz w:val="24"/>
          <w:highlight w:val="none"/>
        </w:rPr>
        <w:t xml:space="preserve">：                 </w:t>
      </w:r>
    </w:p>
    <w:p w14:paraId="2CA3D1DD">
      <w:pPr>
        <w:spacing w:line="360" w:lineRule="auto"/>
        <w:ind w:firstLine="480" w:firstLineChars="200"/>
        <w:contextualSpacing/>
        <w:rPr>
          <w:rFonts w:ascii="宋体" w:hAnsi="宋体"/>
          <w:bCs/>
          <w:color w:val="auto"/>
          <w:kern w:val="0"/>
          <w:sz w:val="24"/>
          <w:highlight w:val="none"/>
        </w:rPr>
      </w:pPr>
      <w:r>
        <w:rPr>
          <w:rFonts w:hint="eastAsia" w:ascii="宋体" w:hAnsi="宋体"/>
          <w:bCs/>
          <w:color w:val="auto"/>
          <w:kern w:val="0"/>
          <w:sz w:val="24"/>
          <w:highlight w:val="none"/>
        </w:rPr>
        <w:t xml:space="preserve">授权代表：                      </w:t>
      </w:r>
    </w:p>
    <w:p w14:paraId="15039513">
      <w:pPr>
        <w:spacing w:line="360" w:lineRule="auto"/>
        <w:ind w:firstLine="480" w:firstLineChars="200"/>
        <w:contextualSpacing/>
        <w:rPr>
          <w:rFonts w:ascii="宋体" w:hAnsi="宋体"/>
          <w:bCs/>
          <w:color w:val="auto"/>
          <w:kern w:val="0"/>
          <w:sz w:val="24"/>
          <w:highlight w:val="none"/>
        </w:rPr>
      </w:pPr>
      <w:r>
        <w:rPr>
          <w:rFonts w:ascii="宋体" w:hAnsi="宋体"/>
          <w:bCs/>
          <w:color w:val="auto"/>
          <w:kern w:val="0"/>
          <w:sz w:val="24"/>
          <w:highlight w:val="none"/>
        </w:rPr>
        <w:t>联系</w:t>
      </w:r>
      <w:r>
        <w:rPr>
          <w:rFonts w:hint="eastAsia" w:ascii="宋体" w:hAnsi="宋体"/>
          <w:bCs/>
          <w:color w:val="auto"/>
          <w:kern w:val="0"/>
          <w:sz w:val="24"/>
          <w:highlight w:val="none"/>
        </w:rPr>
        <w:t xml:space="preserve">电话：                      </w:t>
      </w:r>
    </w:p>
    <w:p w14:paraId="7F40C20A">
      <w:pPr>
        <w:spacing w:line="360" w:lineRule="auto"/>
        <w:ind w:firstLine="480" w:firstLineChars="200"/>
        <w:contextualSpacing/>
        <w:rPr>
          <w:rFonts w:ascii="宋体" w:hAnsi="宋体"/>
          <w:bCs/>
          <w:color w:val="auto"/>
          <w:kern w:val="0"/>
          <w:sz w:val="24"/>
          <w:highlight w:val="none"/>
        </w:rPr>
      </w:pPr>
      <w:r>
        <w:rPr>
          <w:rFonts w:ascii="宋体" w:hAnsi="宋体"/>
          <w:bCs/>
          <w:color w:val="auto"/>
          <w:kern w:val="0"/>
          <w:sz w:val="24"/>
          <w:highlight w:val="none"/>
        </w:rPr>
        <w:t>地址</w:t>
      </w:r>
      <w:r>
        <w:rPr>
          <w:rFonts w:hint="eastAsia" w:ascii="宋体" w:hAnsi="宋体"/>
          <w:bCs/>
          <w:color w:val="auto"/>
          <w:kern w:val="0"/>
          <w:sz w:val="24"/>
          <w:highlight w:val="none"/>
        </w:rPr>
        <w:t xml:space="preserve">：                 </w:t>
      </w:r>
      <w:r>
        <w:rPr>
          <w:rFonts w:ascii="宋体" w:hAnsi="宋体"/>
          <w:bCs/>
          <w:color w:val="auto"/>
          <w:kern w:val="0"/>
          <w:sz w:val="24"/>
          <w:highlight w:val="none"/>
        </w:rPr>
        <w:t>邮编</w:t>
      </w:r>
      <w:r>
        <w:rPr>
          <w:rFonts w:hint="eastAsia" w:ascii="宋体" w:hAnsi="宋体"/>
          <w:bCs/>
          <w:color w:val="auto"/>
          <w:kern w:val="0"/>
          <w:sz w:val="24"/>
          <w:highlight w:val="none"/>
        </w:rPr>
        <w:t xml:space="preserve">：                       </w:t>
      </w:r>
    </w:p>
    <w:p w14:paraId="6E2DEB5B">
      <w:pPr>
        <w:spacing w:line="360" w:lineRule="auto"/>
        <w:ind w:firstLine="482" w:firstLineChars="200"/>
        <w:contextualSpacing/>
        <w:rPr>
          <w:rFonts w:ascii="宋体" w:hAnsi="宋体"/>
          <w:b/>
          <w:bCs/>
          <w:color w:val="auto"/>
          <w:kern w:val="0"/>
          <w:sz w:val="24"/>
          <w:highlight w:val="none"/>
        </w:rPr>
      </w:pPr>
      <w:r>
        <w:rPr>
          <w:rFonts w:hint="eastAsia" w:ascii="宋体" w:hAnsi="宋体"/>
          <w:b/>
          <w:bCs/>
          <w:color w:val="auto"/>
          <w:kern w:val="0"/>
          <w:sz w:val="24"/>
          <w:highlight w:val="none"/>
        </w:rPr>
        <w:t>二、质疑项目基本情况：</w:t>
      </w:r>
    </w:p>
    <w:p w14:paraId="6E7044EE">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bCs/>
          <w:color w:val="auto"/>
          <w:kern w:val="0"/>
          <w:sz w:val="24"/>
          <w:highlight w:val="none"/>
        </w:rPr>
        <w:t>质疑</w:t>
      </w:r>
      <w:r>
        <w:rPr>
          <w:rFonts w:hint="eastAsia" w:ascii="宋体" w:hAnsi="宋体"/>
          <w:color w:val="auto"/>
          <w:kern w:val="0"/>
          <w:sz w:val="24"/>
          <w:highlight w:val="none"/>
        </w:rPr>
        <w:t>项目的名称：</w:t>
      </w:r>
    </w:p>
    <w:p w14:paraId="653EC7E7">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bCs/>
          <w:color w:val="auto"/>
          <w:kern w:val="0"/>
          <w:sz w:val="24"/>
          <w:highlight w:val="none"/>
        </w:rPr>
        <w:t>质疑</w:t>
      </w:r>
      <w:r>
        <w:rPr>
          <w:rFonts w:hint="eastAsia" w:ascii="宋体" w:hAnsi="宋体"/>
          <w:color w:val="auto"/>
          <w:kern w:val="0"/>
          <w:sz w:val="24"/>
          <w:highlight w:val="none"/>
        </w:rPr>
        <w:t>项目的编号：</w:t>
      </w:r>
    </w:p>
    <w:p w14:paraId="17848A46">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采购人名称：</w:t>
      </w:r>
    </w:p>
    <w:p w14:paraId="71945094">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质疑事项：</w:t>
      </w:r>
    </w:p>
    <w:p w14:paraId="1F2A6947">
      <w:pPr>
        <w:spacing w:line="360" w:lineRule="auto"/>
        <w:ind w:left="25" w:leftChars="12" w:firstLine="352" w:firstLineChars="147"/>
        <w:contextualSpacing/>
        <w:rPr>
          <w:rFonts w:ascii="宋体" w:hAnsi="宋体"/>
          <w:color w:val="auto"/>
          <w:kern w:val="0"/>
          <w:sz w:val="24"/>
          <w:highlight w:val="none"/>
        </w:rPr>
      </w:pPr>
      <w:r>
        <w:rPr>
          <w:rFonts w:hint="eastAsia" w:ascii="宋体" w:hAnsi="宋体"/>
          <w:color w:val="auto"/>
          <w:kern w:val="0"/>
          <w:sz w:val="24"/>
          <w:highlight w:val="none"/>
        </w:rPr>
        <w:t>□采购文件   采购文件获取日期：</w:t>
      </w:r>
    </w:p>
    <w:p w14:paraId="447D96DC">
      <w:pPr>
        <w:spacing w:line="360" w:lineRule="auto"/>
        <w:ind w:left="25" w:leftChars="12" w:firstLine="352" w:firstLineChars="147"/>
        <w:contextualSpacing/>
        <w:rPr>
          <w:rFonts w:ascii="宋体" w:hAnsi="宋体"/>
          <w:color w:val="auto"/>
          <w:kern w:val="0"/>
          <w:sz w:val="24"/>
          <w:highlight w:val="none"/>
        </w:rPr>
      </w:pPr>
      <w:r>
        <w:rPr>
          <w:rFonts w:hint="eastAsia" w:ascii="宋体" w:hAnsi="宋体"/>
          <w:color w:val="auto"/>
          <w:kern w:val="0"/>
          <w:sz w:val="24"/>
          <w:highlight w:val="none"/>
        </w:rPr>
        <w:t xml:space="preserve">□采购过程   </w:t>
      </w:r>
    </w:p>
    <w:p w14:paraId="44DED545">
      <w:pPr>
        <w:spacing w:line="360" w:lineRule="auto"/>
        <w:ind w:left="25" w:leftChars="12" w:firstLine="352" w:firstLineChars="147"/>
        <w:contextualSpacing/>
        <w:rPr>
          <w:rFonts w:ascii="宋体" w:hAnsi="宋体"/>
          <w:bCs/>
          <w:color w:val="auto"/>
          <w:kern w:val="0"/>
          <w:sz w:val="24"/>
          <w:highlight w:val="none"/>
        </w:rPr>
      </w:pPr>
      <w:r>
        <w:rPr>
          <w:rFonts w:hint="eastAsia" w:ascii="宋体" w:hAnsi="宋体"/>
          <w:color w:val="auto"/>
          <w:kern w:val="0"/>
          <w:sz w:val="24"/>
          <w:highlight w:val="none"/>
        </w:rPr>
        <w:t xml:space="preserve">□成交结果   </w:t>
      </w:r>
    </w:p>
    <w:p w14:paraId="3661DF9F">
      <w:pPr>
        <w:spacing w:line="360" w:lineRule="auto"/>
        <w:ind w:left="25" w:leftChars="12" w:firstLine="472" w:firstLineChars="196"/>
        <w:contextualSpacing/>
        <w:rPr>
          <w:rFonts w:ascii="宋体" w:hAnsi="宋体"/>
          <w:b/>
          <w:color w:val="auto"/>
          <w:kern w:val="0"/>
          <w:sz w:val="24"/>
          <w:highlight w:val="none"/>
        </w:rPr>
      </w:pPr>
      <w:r>
        <w:rPr>
          <w:rFonts w:hint="eastAsia" w:ascii="宋体" w:hAnsi="宋体"/>
          <w:b/>
          <w:color w:val="auto"/>
          <w:kern w:val="0"/>
          <w:sz w:val="24"/>
          <w:highlight w:val="none"/>
        </w:rPr>
        <w:t>三、质疑事项具体内容</w:t>
      </w:r>
    </w:p>
    <w:p w14:paraId="33C8B4F4">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质疑事项1：</w:t>
      </w:r>
    </w:p>
    <w:p w14:paraId="0C0D5236">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事实依据：</w:t>
      </w:r>
    </w:p>
    <w:p w14:paraId="1D986269">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 xml:space="preserve">法律依据：                                                        </w:t>
      </w:r>
    </w:p>
    <w:p w14:paraId="051FFECB">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质疑事项2</w:t>
      </w:r>
    </w:p>
    <w:p w14:paraId="7196363E">
      <w:pPr>
        <w:spacing w:line="360" w:lineRule="auto"/>
        <w:ind w:left="25" w:leftChars="12" w:firstLine="472" w:firstLineChars="197"/>
        <w:contextualSpacing/>
        <w:rPr>
          <w:rFonts w:ascii="宋体" w:hAnsi="宋体"/>
          <w:color w:val="auto"/>
          <w:kern w:val="0"/>
          <w:sz w:val="24"/>
          <w:highlight w:val="none"/>
        </w:rPr>
      </w:pPr>
      <w:r>
        <w:rPr>
          <w:rFonts w:ascii="宋体" w:hAnsi="宋体"/>
          <w:color w:val="auto"/>
          <w:kern w:val="0"/>
          <w:sz w:val="24"/>
          <w:highlight w:val="none"/>
        </w:rPr>
        <w:t>……</w:t>
      </w:r>
    </w:p>
    <w:p w14:paraId="726A8FAC">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四、与质疑事项相关的质疑请求：</w:t>
      </w:r>
    </w:p>
    <w:p w14:paraId="375E4442">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请求：</w:t>
      </w:r>
    </w:p>
    <w:p w14:paraId="73E00C85">
      <w:pPr>
        <w:spacing w:line="360" w:lineRule="auto"/>
        <w:ind w:left="25" w:leftChars="12" w:firstLine="352" w:firstLineChars="147"/>
        <w:contextualSpacing/>
        <w:rPr>
          <w:rFonts w:ascii="宋体" w:hAnsi="宋体"/>
          <w:color w:val="auto"/>
          <w:kern w:val="0"/>
          <w:sz w:val="24"/>
          <w:highlight w:val="none"/>
        </w:rPr>
      </w:pPr>
    </w:p>
    <w:p w14:paraId="32562806">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签字（签章）：                                       公章：</w:t>
      </w:r>
    </w:p>
    <w:p w14:paraId="0036661C">
      <w:pPr>
        <w:spacing w:line="360" w:lineRule="auto"/>
        <w:ind w:left="25" w:leftChars="12" w:firstLine="352" w:firstLineChars="147"/>
        <w:contextualSpacing/>
        <w:rPr>
          <w:rFonts w:ascii="宋体" w:hAnsi="宋体"/>
          <w:color w:val="auto"/>
          <w:kern w:val="0"/>
          <w:sz w:val="24"/>
          <w:highlight w:val="none"/>
        </w:rPr>
      </w:pPr>
    </w:p>
    <w:p w14:paraId="26888BD3">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日期：</w:t>
      </w:r>
    </w:p>
    <w:p w14:paraId="00AD2CEE">
      <w:pPr>
        <w:spacing w:line="360" w:lineRule="auto"/>
        <w:contextualSpacing/>
        <w:rPr>
          <w:rFonts w:ascii="宋体" w:hAnsi="宋体"/>
          <w:b/>
          <w:color w:val="auto"/>
          <w:kern w:val="0"/>
          <w:sz w:val="24"/>
          <w:highlight w:val="none"/>
        </w:rPr>
      </w:pPr>
    </w:p>
    <w:p w14:paraId="237B87ED">
      <w:pPr>
        <w:spacing w:line="360" w:lineRule="auto"/>
        <w:contextualSpacing/>
        <w:rPr>
          <w:rFonts w:ascii="宋体" w:hAnsi="宋体"/>
          <w:b/>
          <w:color w:val="auto"/>
          <w:kern w:val="0"/>
          <w:sz w:val="24"/>
          <w:highlight w:val="none"/>
        </w:rPr>
      </w:pPr>
    </w:p>
    <w:p w14:paraId="2B5202BE">
      <w:pPr>
        <w:spacing w:line="360" w:lineRule="auto"/>
        <w:contextualSpacing/>
        <w:rPr>
          <w:rFonts w:ascii="宋体" w:hAnsi="宋体"/>
          <w:b/>
          <w:color w:val="auto"/>
          <w:kern w:val="0"/>
          <w:sz w:val="24"/>
          <w:highlight w:val="none"/>
        </w:rPr>
      </w:pPr>
      <w:r>
        <w:rPr>
          <w:rFonts w:hint="eastAsia" w:ascii="宋体" w:hAnsi="宋体"/>
          <w:b/>
          <w:color w:val="auto"/>
          <w:kern w:val="0"/>
          <w:sz w:val="24"/>
          <w:highlight w:val="none"/>
        </w:rPr>
        <w:t>说明：</w:t>
      </w:r>
    </w:p>
    <w:p w14:paraId="7430FEE1">
      <w:pPr>
        <w:spacing w:line="360" w:lineRule="auto"/>
        <w:ind w:left="25" w:leftChars="12" w:firstLine="354" w:firstLineChars="147"/>
        <w:contextualSpacing/>
        <w:rPr>
          <w:rFonts w:ascii="宋体" w:hAnsi="宋体"/>
          <w:b/>
          <w:bCs/>
          <w:color w:val="auto"/>
          <w:kern w:val="0"/>
          <w:sz w:val="24"/>
          <w:highlight w:val="none"/>
        </w:rPr>
      </w:pPr>
      <w:r>
        <w:rPr>
          <w:rFonts w:hint="eastAsia" w:ascii="宋体" w:hAnsi="宋体"/>
          <w:b/>
          <w:color w:val="auto"/>
          <w:kern w:val="0"/>
          <w:sz w:val="24"/>
          <w:highlight w:val="none"/>
        </w:rPr>
        <w:t>1.供应商提出质疑时，应提交质疑函和必要的证明材料</w:t>
      </w:r>
      <w:r>
        <w:rPr>
          <w:rFonts w:hint="eastAsia" w:ascii="宋体" w:hAnsi="宋体"/>
          <w:b/>
          <w:bCs/>
          <w:color w:val="auto"/>
          <w:kern w:val="0"/>
          <w:sz w:val="24"/>
          <w:highlight w:val="none"/>
        </w:rPr>
        <w:t>。</w:t>
      </w:r>
    </w:p>
    <w:p w14:paraId="793A7558">
      <w:pPr>
        <w:spacing w:line="360" w:lineRule="auto"/>
        <w:ind w:left="25" w:leftChars="12" w:firstLine="354" w:firstLineChars="147"/>
        <w:contextualSpacing/>
        <w:rPr>
          <w:rFonts w:ascii="宋体" w:hAnsi="宋体"/>
          <w:b/>
          <w:color w:val="auto"/>
          <w:kern w:val="0"/>
          <w:sz w:val="24"/>
          <w:highlight w:val="none"/>
        </w:rPr>
      </w:pPr>
      <w:r>
        <w:rPr>
          <w:rFonts w:hint="eastAsia" w:ascii="宋体" w:hAnsi="宋体"/>
          <w:b/>
          <w:color w:val="auto"/>
          <w:kern w:val="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F025C9B">
      <w:pPr>
        <w:spacing w:line="360" w:lineRule="auto"/>
        <w:ind w:left="25" w:leftChars="12" w:firstLine="354" w:firstLineChars="147"/>
        <w:contextualSpacing/>
        <w:rPr>
          <w:rFonts w:ascii="宋体" w:hAnsi="宋体"/>
          <w:b/>
          <w:color w:val="auto"/>
          <w:kern w:val="0"/>
          <w:sz w:val="24"/>
          <w:highlight w:val="none"/>
        </w:rPr>
      </w:pPr>
      <w:r>
        <w:rPr>
          <w:rFonts w:hint="eastAsia" w:ascii="宋体" w:hAnsi="宋体"/>
          <w:b/>
          <w:color w:val="auto"/>
          <w:kern w:val="0"/>
          <w:sz w:val="24"/>
          <w:highlight w:val="none"/>
        </w:rPr>
        <w:t>3.质疑函的质疑事项应具体、明确，并有必要的事实依据和法律依据。</w:t>
      </w:r>
    </w:p>
    <w:p w14:paraId="7ACBC795">
      <w:pPr>
        <w:spacing w:line="360" w:lineRule="auto"/>
        <w:ind w:left="25" w:leftChars="12" w:firstLine="354" w:firstLineChars="147"/>
        <w:contextualSpacing/>
        <w:rPr>
          <w:rFonts w:ascii="宋体" w:hAnsi="宋体"/>
          <w:b/>
          <w:color w:val="auto"/>
          <w:kern w:val="0"/>
          <w:sz w:val="24"/>
          <w:highlight w:val="none"/>
        </w:rPr>
      </w:pPr>
      <w:r>
        <w:rPr>
          <w:rFonts w:hint="eastAsia" w:ascii="宋体" w:hAnsi="宋体"/>
          <w:b/>
          <w:color w:val="auto"/>
          <w:kern w:val="0"/>
          <w:sz w:val="24"/>
          <w:highlight w:val="none"/>
        </w:rPr>
        <w:t>4.质疑函的质疑请求应与质疑事项相关。</w:t>
      </w:r>
    </w:p>
    <w:p w14:paraId="08CDC98C">
      <w:pPr>
        <w:spacing w:line="360" w:lineRule="auto"/>
        <w:ind w:left="25" w:leftChars="12" w:firstLine="354" w:firstLineChars="147"/>
        <w:contextualSpacing/>
        <w:rPr>
          <w:rFonts w:ascii="宋体" w:hAnsi="宋体"/>
          <w:b/>
          <w:color w:val="auto"/>
          <w:kern w:val="0"/>
          <w:sz w:val="20"/>
          <w:szCs w:val="21"/>
          <w:highlight w:val="none"/>
        </w:rPr>
      </w:pPr>
      <w:r>
        <w:rPr>
          <w:rFonts w:hint="eastAsia" w:ascii="宋体" w:hAnsi="宋体"/>
          <w:b/>
          <w:color w:val="auto"/>
          <w:kern w:val="0"/>
          <w:sz w:val="24"/>
          <w:highlight w:val="none"/>
        </w:rPr>
        <w:t>5.质疑供应商为法人或者其他组织的，质疑函应由法定代表人、主要负责人，或者其授权代表签字或者盖章，并加盖公章。</w:t>
      </w:r>
    </w:p>
    <w:p w14:paraId="0879E46C">
      <w:pPr>
        <w:snapToGrid w:val="0"/>
        <w:rPr>
          <w:rFonts w:ascii="宋体" w:hAnsi="Courier New"/>
          <w:b/>
          <w:color w:val="auto"/>
          <w:kern w:val="0"/>
          <w:sz w:val="24"/>
          <w:highlight w:val="none"/>
        </w:rPr>
      </w:pPr>
    </w:p>
    <w:p w14:paraId="485D4CA1">
      <w:pPr>
        <w:spacing w:line="460" w:lineRule="exact"/>
        <w:jc w:val="center"/>
        <w:rPr>
          <w:rFonts w:eastAsia="隶书"/>
          <w:color w:val="auto"/>
          <w:sz w:val="44"/>
          <w:highlight w:val="none"/>
        </w:rPr>
      </w:pPr>
      <w:r>
        <w:rPr>
          <w:rFonts w:eastAsia="隶书"/>
          <w:color w:val="auto"/>
          <w:sz w:val="44"/>
          <w:highlight w:val="none"/>
        </w:rPr>
        <w:br w:type="page"/>
      </w:r>
    </w:p>
    <w:p w14:paraId="3D7C489D">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投诉书（格式）</w:t>
      </w:r>
    </w:p>
    <w:p w14:paraId="41F10FCC">
      <w:pPr>
        <w:snapToGri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一、投诉相关主体基本情况：</w:t>
      </w:r>
    </w:p>
    <w:p w14:paraId="46B4A856">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 xml:space="preserve">供应商：                                                                                         </w:t>
      </w:r>
    </w:p>
    <w:p w14:paraId="413C6DF7">
      <w:pPr>
        <w:snapToGrid w:val="0"/>
        <w:spacing w:line="360" w:lineRule="auto"/>
        <w:ind w:firstLine="480" w:firstLineChars="200"/>
        <w:rPr>
          <w:rFonts w:ascii="宋体" w:hAnsi="宋体"/>
          <w:bCs/>
          <w:color w:val="auto"/>
          <w:kern w:val="0"/>
          <w:sz w:val="24"/>
          <w:highlight w:val="none"/>
        </w:rPr>
      </w:pPr>
      <w:r>
        <w:rPr>
          <w:rFonts w:ascii="宋体" w:hAnsi="宋体"/>
          <w:bCs/>
          <w:color w:val="auto"/>
          <w:kern w:val="0"/>
          <w:sz w:val="24"/>
          <w:highlight w:val="none"/>
        </w:rPr>
        <w:t>地址</w:t>
      </w:r>
      <w:r>
        <w:rPr>
          <w:rFonts w:hint="eastAsia" w:ascii="宋体" w:hAnsi="宋体"/>
          <w:bCs/>
          <w:color w:val="auto"/>
          <w:kern w:val="0"/>
          <w:sz w:val="24"/>
          <w:highlight w:val="none"/>
        </w:rPr>
        <w:t xml:space="preserve">：                                          </w:t>
      </w:r>
      <w:r>
        <w:rPr>
          <w:rFonts w:ascii="宋体" w:hAnsi="宋体"/>
          <w:bCs/>
          <w:color w:val="auto"/>
          <w:kern w:val="0"/>
          <w:sz w:val="24"/>
          <w:highlight w:val="none"/>
        </w:rPr>
        <w:t>邮编</w:t>
      </w:r>
      <w:r>
        <w:rPr>
          <w:rFonts w:hint="eastAsia" w:ascii="宋体" w:hAnsi="宋体"/>
          <w:bCs/>
          <w:color w:val="auto"/>
          <w:kern w:val="0"/>
          <w:sz w:val="24"/>
          <w:highlight w:val="none"/>
        </w:rPr>
        <w:t xml:space="preserve">：                                           </w:t>
      </w:r>
    </w:p>
    <w:p w14:paraId="662CCB93">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 xml:space="preserve">法定代表人/主要负责人：                                                         </w:t>
      </w:r>
    </w:p>
    <w:p w14:paraId="1B1BF859">
      <w:pPr>
        <w:snapToGrid w:val="0"/>
        <w:spacing w:line="360" w:lineRule="auto"/>
        <w:ind w:firstLine="480" w:firstLineChars="200"/>
        <w:rPr>
          <w:rFonts w:ascii="宋体" w:hAnsi="宋体"/>
          <w:bCs/>
          <w:color w:val="auto"/>
          <w:kern w:val="0"/>
          <w:sz w:val="24"/>
          <w:highlight w:val="none"/>
        </w:rPr>
      </w:pPr>
      <w:r>
        <w:rPr>
          <w:rFonts w:ascii="宋体" w:hAnsi="宋体"/>
          <w:bCs/>
          <w:color w:val="auto"/>
          <w:kern w:val="0"/>
          <w:sz w:val="24"/>
          <w:highlight w:val="none"/>
        </w:rPr>
        <w:t>联系电话</w:t>
      </w:r>
      <w:r>
        <w:rPr>
          <w:rFonts w:hint="eastAsia" w:ascii="宋体" w:hAnsi="宋体"/>
          <w:bCs/>
          <w:color w:val="auto"/>
          <w:kern w:val="0"/>
          <w:sz w:val="24"/>
          <w:highlight w:val="none"/>
        </w:rPr>
        <w:t xml:space="preserve">：                                         </w:t>
      </w:r>
    </w:p>
    <w:p w14:paraId="48E17E27">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 xml:space="preserve">授权代表：                                         </w:t>
      </w:r>
      <w:r>
        <w:rPr>
          <w:rFonts w:ascii="宋体" w:hAnsi="宋体"/>
          <w:bCs/>
          <w:color w:val="auto"/>
          <w:kern w:val="0"/>
          <w:sz w:val="24"/>
          <w:highlight w:val="none"/>
        </w:rPr>
        <w:t>联系</w:t>
      </w:r>
      <w:r>
        <w:rPr>
          <w:rFonts w:hint="eastAsia" w:ascii="宋体" w:hAnsi="宋体"/>
          <w:bCs/>
          <w:color w:val="auto"/>
          <w:kern w:val="0"/>
          <w:sz w:val="24"/>
          <w:highlight w:val="none"/>
        </w:rPr>
        <w:t xml:space="preserve">电话：                   </w:t>
      </w:r>
    </w:p>
    <w:p w14:paraId="014875FA">
      <w:pPr>
        <w:snapToGrid w:val="0"/>
        <w:spacing w:line="360" w:lineRule="auto"/>
        <w:ind w:firstLine="480" w:firstLineChars="200"/>
        <w:rPr>
          <w:rFonts w:ascii="宋体" w:hAnsi="宋体"/>
          <w:bCs/>
          <w:color w:val="auto"/>
          <w:kern w:val="0"/>
          <w:sz w:val="24"/>
          <w:highlight w:val="none"/>
        </w:rPr>
      </w:pPr>
      <w:r>
        <w:rPr>
          <w:rFonts w:ascii="宋体" w:hAnsi="宋体"/>
          <w:bCs/>
          <w:color w:val="auto"/>
          <w:kern w:val="0"/>
          <w:sz w:val="24"/>
          <w:highlight w:val="none"/>
        </w:rPr>
        <w:t>地址</w:t>
      </w:r>
      <w:r>
        <w:rPr>
          <w:rFonts w:hint="eastAsia" w:ascii="宋体" w:hAnsi="宋体"/>
          <w:bCs/>
          <w:color w:val="auto"/>
          <w:kern w:val="0"/>
          <w:sz w:val="24"/>
          <w:highlight w:val="none"/>
        </w:rPr>
        <w:t xml:space="preserve">：                                                            </w:t>
      </w:r>
    </w:p>
    <w:p w14:paraId="5CE76408">
      <w:pPr>
        <w:snapToGrid w:val="0"/>
        <w:spacing w:line="360" w:lineRule="auto"/>
        <w:ind w:firstLine="480" w:firstLineChars="200"/>
        <w:rPr>
          <w:rFonts w:ascii="宋体" w:hAnsi="宋体"/>
          <w:bCs/>
          <w:color w:val="auto"/>
          <w:kern w:val="0"/>
          <w:sz w:val="24"/>
          <w:highlight w:val="none"/>
        </w:rPr>
      </w:pPr>
      <w:r>
        <w:rPr>
          <w:rFonts w:ascii="宋体" w:hAnsi="宋体"/>
          <w:bCs/>
          <w:color w:val="auto"/>
          <w:kern w:val="0"/>
          <w:sz w:val="24"/>
          <w:highlight w:val="none"/>
        </w:rPr>
        <w:t>邮编</w:t>
      </w:r>
      <w:r>
        <w:rPr>
          <w:rFonts w:hint="eastAsia" w:ascii="宋体" w:hAnsi="宋体"/>
          <w:bCs/>
          <w:color w:val="auto"/>
          <w:kern w:val="0"/>
          <w:sz w:val="24"/>
          <w:highlight w:val="none"/>
        </w:rPr>
        <w:t xml:space="preserve">：            </w:t>
      </w:r>
    </w:p>
    <w:p w14:paraId="082C3E18">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被投诉人1：</w:t>
      </w:r>
    </w:p>
    <w:p w14:paraId="692EE74F">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 xml:space="preserve">地址：                                                            </w:t>
      </w:r>
    </w:p>
    <w:p w14:paraId="14851055">
      <w:pPr>
        <w:snapToGrid w:val="0"/>
        <w:spacing w:line="360" w:lineRule="auto"/>
        <w:ind w:firstLine="480" w:firstLineChars="200"/>
        <w:rPr>
          <w:rFonts w:ascii="宋体" w:hAnsi="宋体"/>
          <w:bCs/>
          <w:color w:val="auto"/>
          <w:kern w:val="0"/>
          <w:sz w:val="24"/>
          <w:highlight w:val="none"/>
        </w:rPr>
      </w:pPr>
      <w:r>
        <w:rPr>
          <w:rFonts w:ascii="宋体" w:hAnsi="宋体"/>
          <w:bCs/>
          <w:color w:val="auto"/>
          <w:kern w:val="0"/>
          <w:sz w:val="24"/>
          <w:highlight w:val="none"/>
        </w:rPr>
        <w:t>邮编</w:t>
      </w:r>
      <w:r>
        <w:rPr>
          <w:rFonts w:hint="eastAsia" w:ascii="宋体" w:hAnsi="宋体"/>
          <w:bCs/>
          <w:color w:val="auto"/>
          <w:kern w:val="0"/>
          <w:sz w:val="24"/>
          <w:highlight w:val="none"/>
        </w:rPr>
        <w:t xml:space="preserve">：           </w:t>
      </w:r>
    </w:p>
    <w:p w14:paraId="23EF3DE4">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 xml:space="preserve">联系人：                                                </w:t>
      </w:r>
      <w:r>
        <w:rPr>
          <w:rFonts w:ascii="宋体" w:hAnsi="宋体"/>
          <w:bCs/>
          <w:color w:val="auto"/>
          <w:kern w:val="0"/>
          <w:sz w:val="24"/>
          <w:highlight w:val="none"/>
        </w:rPr>
        <w:t>联系</w:t>
      </w:r>
      <w:r>
        <w:rPr>
          <w:rFonts w:hint="eastAsia" w:ascii="宋体" w:hAnsi="宋体"/>
          <w:bCs/>
          <w:color w:val="auto"/>
          <w:kern w:val="0"/>
          <w:sz w:val="24"/>
          <w:highlight w:val="none"/>
        </w:rPr>
        <w:t xml:space="preserve">电话：                </w:t>
      </w:r>
    </w:p>
    <w:p w14:paraId="1CF6657B">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被投诉人2：</w:t>
      </w:r>
    </w:p>
    <w:p w14:paraId="377DE8FC">
      <w:pPr>
        <w:snapToGrid w:val="0"/>
        <w:spacing w:line="360" w:lineRule="auto"/>
        <w:ind w:firstLine="480" w:firstLineChars="200"/>
        <w:rPr>
          <w:rFonts w:ascii="宋体" w:hAnsi="宋体"/>
          <w:bCs/>
          <w:color w:val="auto"/>
          <w:kern w:val="0"/>
          <w:sz w:val="24"/>
          <w:highlight w:val="none"/>
        </w:rPr>
      </w:pPr>
      <w:r>
        <w:rPr>
          <w:rFonts w:ascii="宋体" w:hAnsi="宋体"/>
          <w:bCs/>
          <w:color w:val="auto"/>
          <w:kern w:val="0"/>
          <w:sz w:val="24"/>
          <w:highlight w:val="none"/>
        </w:rPr>
        <w:t>……</w:t>
      </w:r>
    </w:p>
    <w:p w14:paraId="6015315C">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 xml:space="preserve">相关供应商：                                                                       </w:t>
      </w:r>
    </w:p>
    <w:p w14:paraId="5B6E4FDD">
      <w:pPr>
        <w:snapToGrid w:val="0"/>
        <w:spacing w:line="360" w:lineRule="auto"/>
        <w:ind w:firstLine="480" w:firstLineChars="200"/>
        <w:rPr>
          <w:rFonts w:ascii="宋体" w:hAnsi="宋体"/>
          <w:bCs/>
          <w:color w:val="auto"/>
          <w:kern w:val="0"/>
          <w:sz w:val="24"/>
          <w:highlight w:val="none"/>
        </w:rPr>
      </w:pPr>
      <w:r>
        <w:rPr>
          <w:rFonts w:ascii="宋体" w:hAnsi="宋体"/>
          <w:bCs/>
          <w:color w:val="auto"/>
          <w:kern w:val="0"/>
          <w:sz w:val="24"/>
          <w:highlight w:val="none"/>
        </w:rPr>
        <w:t>地址</w:t>
      </w:r>
      <w:r>
        <w:rPr>
          <w:rFonts w:hint="eastAsia" w:ascii="宋体" w:hAnsi="宋体"/>
          <w:bCs/>
          <w:color w:val="auto"/>
          <w:kern w:val="0"/>
          <w:sz w:val="24"/>
          <w:highlight w:val="none"/>
        </w:rPr>
        <w:t xml:space="preserve">：                                              </w:t>
      </w:r>
      <w:r>
        <w:rPr>
          <w:rFonts w:ascii="宋体" w:hAnsi="宋体"/>
          <w:bCs/>
          <w:color w:val="auto"/>
          <w:kern w:val="0"/>
          <w:sz w:val="24"/>
          <w:highlight w:val="none"/>
        </w:rPr>
        <w:t>邮编</w:t>
      </w:r>
      <w:r>
        <w:rPr>
          <w:rFonts w:hint="eastAsia" w:ascii="宋体" w:hAnsi="宋体"/>
          <w:bCs/>
          <w:color w:val="auto"/>
          <w:kern w:val="0"/>
          <w:sz w:val="24"/>
          <w:highlight w:val="none"/>
        </w:rPr>
        <w:t xml:space="preserve">：                         </w:t>
      </w:r>
    </w:p>
    <w:p w14:paraId="49446A1C">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 xml:space="preserve">联系人：                                            </w:t>
      </w:r>
      <w:r>
        <w:rPr>
          <w:rFonts w:ascii="宋体" w:hAnsi="宋体"/>
          <w:bCs/>
          <w:color w:val="auto"/>
          <w:kern w:val="0"/>
          <w:sz w:val="24"/>
          <w:highlight w:val="none"/>
        </w:rPr>
        <w:t>联系</w:t>
      </w:r>
      <w:r>
        <w:rPr>
          <w:rFonts w:hint="eastAsia" w:ascii="宋体" w:hAnsi="宋体"/>
          <w:bCs/>
          <w:color w:val="auto"/>
          <w:kern w:val="0"/>
          <w:sz w:val="24"/>
          <w:highlight w:val="none"/>
        </w:rPr>
        <w:t xml:space="preserve">电话：                                     </w:t>
      </w:r>
    </w:p>
    <w:p w14:paraId="4DCE2AFC">
      <w:pPr>
        <w:snapToGri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二、投诉项目基本情况：</w:t>
      </w:r>
    </w:p>
    <w:p w14:paraId="3A084583">
      <w:pPr>
        <w:spacing w:line="360" w:lineRule="auto"/>
        <w:ind w:left="25" w:leftChars="12" w:firstLine="472" w:firstLineChars="197"/>
        <w:rPr>
          <w:rFonts w:ascii="宋体" w:hAnsi="宋体"/>
          <w:color w:val="auto"/>
          <w:kern w:val="0"/>
          <w:sz w:val="24"/>
          <w:highlight w:val="none"/>
        </w:rPr>
      </w:pPr>
      <w:r>
        <w:rPr>
          <w:rFonts w:hint="eastAsia" w:ascii="宋体" w:hAnsi="宋体"/>
          <w:bCs/>
          <w:color w:val="auto"/>
          <w:kern w:val="0"/>
          <w:sz w:val="24"/>
          <w:highlight w:val="none"/>
        </w:rPr>
        <w:t>采购</w:t>
      </w:r>
      <w:r>
        <w:rPr>
          <w:rFonts w:hint="eastAsia" w:ascii="宋体" w:hAnsi="宋体"/>
          <w:color w:val="auto"/>
          <w:kern w:val="0"/>
          <w:sz w:val="24"/>
          <w:highlight w:val="none"/>
        </w:rPr>
        <w:t>项目的名称：</w:t>
      </w:r>
    </w:p>
    <w:p w14:paraId="0B76E63E">
      <w:pPr>
        <w:spacing w:line="360" w:lineRule="auto"/>
        <w:ind w:left="25" w:leftChars="12" w:firstLine="472" w:firstLineChars="197"/>
        <w:rPr>
          <w:rFonts w:ascii="宋体" w:hAnsi="宋体"/>
          <w:color w:val="auto"/>
          <w:kern w:val="0"/>
          <w:sz w:val="24"/>
          <w:highlight w:val="none"/>
        </w:rPr>
      </w:pPr>
      <w:r>
        <w:rPr>
          <w:rFonts w:hint="eastAsia" w:ascii="宋体" w:hAnsi="宋体"/>
          <w:bCs/>
          <w:color w:val="auto"/>
          <w:kern w:val="0"/>
          <w:sz w:val="24"/>
          <w:highlight w:val="none"/>
        </w:rPr>
        <w:t>采购</w:t>
      </w:r>
      <w:r>
        <w:rPr>
          <w:rFonts w:hint="eastAsia" w:ascii="宋体" w:hAnsi="宋体"/>
          <w:color w:val="auto"/>
          <w:kern w:val="0"/>
          <w:sz w:val="24"/>
          <w:highlight w:val="none"/>
        </w:rPr>
        <w:t>项目的编号：</w:t>
      </w:r>
    </w:p>
    <w:p w14:paraId="33C082DE">
      <w:pPr>
        <w:spacing w:line="360" w:lineRule="auto"/>
        <w:ind w:left="25" w:leftChars="12" w:firstLine="472" w:firstLineChars="197"/>
        <w:rPr>
          <w:rFonts w:ascii="宋体" w:hAnsi="宋体"/>
          <w:bCs/>
          <w:color w:val="auto"/>
          <w:kern w:val="0"/>
          <w:sz w:val="24"/>
          <w:highlight w:val="none"/>
        </w:rPr>
      </w:pPr>
      <w:r>
        <w:rPr>
          <w:rFonts w:hint="eastAsia" w:ascii="宋体" w:hAnsi="宋体"/>
          <w:color w:val="auto"/>
          <w:kern w:val="0"/>
          <w:sz w:val="24"/>
          <w:highlight w:val="none"/>
        </w:rPr>
        <w:t>采购人名称：</w:t>
      </w:r>
    </w:p>
    <w:p w14:paraId="0749DC7E">
      <w:pPr>
        <w:spacing w:line="360" w:lineRule="auto"/>
        <w:ind w:left="25" w:leftChars="12" w:firstLine="472" w:firstLineChars="197"/>
        <w:rPr>
          <w:rFonts w:ascii="宋体" w:hAnsi="宋体"/>
          <w:bCs/>
          <w:color w:val="auto"/>
          <w:kern w:val="0"/>
          <w:sz w:val="24"/>
          <w:highlight w:val="none"/>
        </w:rPr>
      </w:pPr>
      <w:r>
        <w:rPr>
          <w:rFonts w:hint="eastAsia" w:ascii="宋体" w:hAnsi="宋体"/>
          <w:color w:val="auto"/>
          <w:kern w:val="0"/>
          <w:sz w:val="24"/>
          <w:highlight w:val="none"/>
        </w:rPr>
        <w:t>代理机构名称：</w:t>
      </w:r>
    </w:p>
    <w:p w14:paraId="66A8128A">
      <w:pPr>
        <w:spacing w:line="360" w:lineRule="auto"/>
        <w:ind w:left="25" w:leftChars="12" w:firstLine="472" w:firstLineChars="197"/>
        <w:rPr>
          <w:rFonts w:ascii="宋体" w:hAnsi="宋体"/>
          <w:bCs/>
          <w:color w:val="auto"/>
          <w:kern w:val="0"/>
          <w:sz w:val="24"/>
          <w:highlight w:val="none"/>
        </w:rPr>
      </w:pPr>
      <w:r>
        <w:rPr>
          <w:rFonts w:hint="eastAsia" w:ascii="宋体" w:hAnsi="宋体"/>
          <w:bCs/>
          <w:color w:val="auto"/>
          <w:kern w:val="0"/>
          <w:sz w:val="24"/>
          <w:highlight w:val="none"/>
        </w:rPr>
        <w:t xml:space="preserve">招标文件公告：是/否公告期限：                                                       </w:t>
      </w:r>
    </w:p>
    <w:p w14:paraId="424800C4">
      <w:pPr>
        <w:spacing w:line="360" w:lineRule="auto"/>
        <w:ind w:left="25" w:leftChars="12" w:firstLine="472" w:firstLineChars="197"/>
        <w:rPr>
          <w:rFonts w:ascii="宋体" w:hAnsi="宋体"/>
          <w:b/>
          <w:color w:val="auto"/>
          <w:kern w:val="0"/>
          <w:sz w:val="24"/>
          <w:highlight w:val="none"/>
        </w:rPr>
      </w:pPr>
      <w:r>
        <w:rPr>
          <w:rFonts w:hint="eastAsia" w:ascii="宋体" w:hAnsi="宋体"/>
          <w:bCs/>
          <w:color w:val="auto"/>
          <w:kern w:val="0"/>
          <w:sz w:val="24"/>
          <w:highlight w:val="none"/>
        </w:rPr>
        <w:t xml:space="preserve">采购结果公告：是/否公告期限：                                                       </w:t>
      </w:r>
    </w:p>
    <w:p w14:paraId="1A3A83F1">
      <w:pPr>
        <w:spacing w:line="360" w:lineRule="auto"/>
        <w:ind w:left="25" w:leftChars="12" w:firstLine="472" w:firstLineChars="196"/>
        <w:rPr>
          <w:rFonts w:ascii="宋体" w:hAnsi="宋体"/>
          <w:b/>
          <w:color w:val="auto"/>
          <w:kern w:val="0"/>
          <w:sz w:val="24"/>
          <w:highlight w:val="none"/>
        </w:rPr>
      </w:pPr>
      <w:r>
        <w:rPr>
          <w:rFonts w:hint="eastAsia" w:ascii="宋体" w:hAnsi="宋体"/>
          <w:b/>
          <w:color w:val="auto"/>
          <w:kern w:val="0"/>
          <w:sz w:val="24"/>
          <w:highlight w:val="none"/>
        </w:rPr>
        <w:t>三、质疑基本情况</w:t>
      </w:r>
    </w:p>
    <w:p w14:paraId="292CA969">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投诉人于      年   月   日，向                                提出质疑，质疑事项为：</w:t>
      </w:r>
    </w:p>
    <w:p w14:paraId="4AA3AABC">
      <w:pPr>
        <w:spacing w:line="360" w:lineRule="auto"/>
        <w:ind w:firstLine="241"/>
        <w:rPr>
          <w:rFonts w:ascii="宋体" w:hAnsi="宋体"/>
          <w:bCs/>
          <w:color w:val="auto"/>
          <w:kern w:val="0"/>
          <w:sz w:val="24"/>
          <w:highlight w:val="none"/>
        </w:rPr>
      </w:pPr>
    </w:p>
    <w:p w14:paraId="13EC4D8D">
      <w:pPr>
        <w:spacing w:line="360" w:lineRule="auto"/>
        <w:ind w:firstLine="241"/>
        <w:rPr>
          <w:rFonts w:ascii="宋体" w:hAnsi="宋体"/>
          <w:bCs/>
          <w:color w:val="auto"/>
          <w:kern w:val="0"/>
          <w:sz w:val="24"/>
          <w:highlight w:val="none"/>
        </w:rPr>
      </w:pPr>
    </w:p>
    <w:p w14:paraId="05609FD2">
      <w:pPr>
        <w:spacing w:line="360" w:lineRule="auto"/>
        <w:ind w:firstLine="480" w:firstLineChars="200"/>
        <w:rPr>
          <w:rFonts w:ascii="宋体" w:hAnsi="宋体"/>
          <w:color w:val="auto"/>
          <w:kern w:val="0"/>
          <w:sz w:val="24"/>
          <w:highlight w:val="none"/>
        </w:rPr>
      </w:pPr>
      <w:r>
        <w:rPr>
          <w:rFonts w:hint="eastAsia" w:ascii="宋体" w:hAnsi="宋体"/>
          <w:bCs/>
          <w:color w:val="auto"/>
          <w:kern w:val="0"/>
          <w:sz w:val="24"/>
          <w:highlight w:val="none"/>
        </w:rPr>
        <w:t>采购人/代理机构于</w:t>
      </w:r>
      <w:r>
        <w:rPr>
          <w:rFonts w:hint="eastAsia" w:ascii="宋体" w:hAnsi="宋体"/>
          <w:color w:val="auto"/>
          <w:kern w:val="0"/>
          <w:sz w:val="24"/>
          <w:highlight w:val="none"/>
        </w:rPr>
        <w:t xml:space="preserve">      年   月   日，</w:t>
      </w:r>
      <w:r>
        <w:rPr>
          <w:rFonts w:hint="eastAsia" w:ascii="宋体" w:hAnsi="宋体"/>
          <w:bCs/>
          <w:color w:val="auto"/>
          <w:kern w:val="0"/>
          <w:sz w:val="24"/>
          <w:highlight w:val="none"/>
        </w:rPr>
        <w:t xml:space="preserve">就质疑事项作出了答复/没有在法定期限内作出答复。                                                                                             </w:t>
      </w:r>
    </w:p>
    <w:p w14:paraId="507F58C2">
      <w:pPr>
        <w:spacing w:line="360" w:lineRule="auto"/>
        <w:ind w:left="25" w:leftChars="12" w:firstLine="472" w:firstLineChars="196"/>
        <w:rPr>
          <w:rFonts w:ascii="宋体" w:hAnsi="宋体"/>
          <w:b/>
          <w:color w:val="auto"/>
          <w:kern w:val="0"/>
          <w:sz w:val="24"/>
          <w:highlight w:val="none"/>
        </w:rPr>
      </w:pPr>
      <w:r>
        <w:rPr>
          <w:rFonts w:hint="eastAsia" w:ascii="宋体" w:hAnsi="宋体"/>
          <w:b/>
          <w:color w:val="auto"/>
          <w:kern w:val="0"/>
          <w:sz w:val="24"/>
          <w:highlight w:val="none"/>
        </w:rPr>
        <w:t>四、投诉事项具体内容</w:t>
      </w:r>
    </w:p>
    <w:p w14:paraId="157A88E6">
      <w:pPr>
        <w:spacing w:line="360" w:lineRule="auto"/>
        <w:ind w:left="25" w:leftChars="12" w:firstLine="472" w:firstLineChars="197"/>
        <w:rPr>
          <w:rFonts w:ascii="宋体" w:hAnsi="宋体"/>
          <w:bCs/>
          <w:color w:val="auto"/>
          <w:kern w:val="0"/>
          <w:sz w:val="24"/>
          <w:highlight w:val="none"/>
        </w:rPr>
      </w:pPr>
      <w:r>
        <w:rPr>
          <w:rFonts w:hint="eastAsia" w:ascii="宋体" w:hAnsi="宋体"/>
          <w:color w:val="auto"/>
          <w:kern w:val="0"/>
          <w:sz w:val="24"/>
          <w:highlight w:val="none"/>
        </w:rPr>
        <w:t>投诉事项1：</w:t>
      </w:r>
    </w:p>
    <w:p w14:paraId="68A8951B">
      <w:pPr>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事实依据：</w:t>
      </w:r>
    </w:p>
    <w:p w14:paraId="11A92482">
      <w:pPr>
        <w:spacing w:line="360" w:lineRule="auto"/>
        <w:ind w:left="25" w:leftChars="12" w:firstLine="472" w:firstLineChars="197"/>
        <w:rPr>
          <w:rFonts w:ascii="宋体" w:hAnsi="宋体"/>
          <w:color w:val="auto"/>
          <w:kern w:val="0"/>
          <w:sz w:val="24"/>
          <w:highlight w:val="none"/>
        </w:rPr>
      </w:pPr>
    </w:p>
    <w:p w14:paraId="2FDD41E9">
      <w:pPr>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法律依据：</w:t>
      </w:r>
    </w:p>
    <w:p w14:paraId="420067AD">
      <w:pPr>
        <w:spacing w:line="360" w:lineRule="auto"/>
        <w:ind w:left="25" w:leftChars="12" w:firstLine="352" w:firstLineChars="147"/>
        <w:rPr>
          <w:rFonts w:ascii="宋体" w:hAnsi="宋体"/>
          <w:bCs/>
          <w:color w:val="auto"/>
          <w:kern w:val="0"/>
          <w:sz w:val="24"/>
          <w:highlight w:val="none"/>
        </w:rPr>
      </w:pPr>
    </w:p>
    <w:p w14:paraId="299C3529">
      <w:pPr>
        <w:spacing w:line="360" w:lineRule="auto"/>
        <w:ind w:left="25" w:leftChars="12" w:firstLine="472" w:firstLineChars="197"/>
        <w:rPr>
          <w:rFonts w:ascii="宋体" w:hAnsi="宋体"/>
          <w:bCs/>
          <w:color w:val="auto"/>
          <w:kern w:val="0"/>
          <w:sz w:val="24"/>
          <w:highlight w:val="none"/>
        </w:rPr>
      </w:pPr>
      <w:r>
        <w:rPr>
          <w:rFonts w:hint="eastAsia" w:ascii="宋体" w:hAnsi="宋体"/>
          <w:color w:val="auto"/>
          <w:kern w:val="0"/>
          <w:sz w:val="24"/>
          <w:highlight w:val="none"/>
        </w:rPr>
        <w:t xml:space="preserve">投诉事项2  </w:t>
      </w:r>
    </w:p>
    <w:p w14:paraId="0EB02E30">
      <w:pPr>
        <w:spacing w:line="360" w:lineRule="auto"/>
        <w:ind w:left="25" w:leftChars="12" w:firstLine="472" w:firstLineChars="197"/>
        <w:rPr>
          <w:rFonts w:ascii="宋体" w:hAnsi="宋体"/>
          <w:bCs/>
          <w:color w:val="auto"/>
          <w:kern w:val="0"/>
          <w:sz w:val="24"/>
          <w:highlight w:val="none"/>
        </w:rPr>
      </w:pPr>
      <w:r>
        <w:rPr>
          <w:rFonts w:ascii="宋体" w:hAnsi="宋体"/>
          <w:bCs/>
          <w:color w:val="auto"/>
          <w:kern w:val="0"/>
          <w:sz w:val="24"/>
          <w:highlight w:val="none"/>
        </w:rPr>
        <w:t>……</w:t>
      </w:r>
    </w:p>
    <w:p w14:paraId="35476630">
      <w:pPr>
        <w:spacing w:line="360" w:lineRule="auto"/>
        <w:ind w:left="25" w:leftChars="12" w:firstLine="472" w:firstLineChars="196"/>
        <w:rPr>
          <w:rFonts w:ascii="宋体" w:hAnsi="宋体"/>
          <w:b/>
          <w:color w:val="auto"/>
          <w:kern w:val="0"/>
          <w:sz w:val="24"/>
          <w:highlight w:val="none"/>
        </w:rPr>
      </w:pPr>
      <w:r>
        <w:rPr>
          <w:rFonts w:hint="eastAsia" w:ascii="宋体" w:hAnsi="宋体"/>
          <w:b/>
          <w:color w:val="auto"/>
          <w:kern w:val="0"/>
          <w:sz w:val="24"/>
          <w:highlight w:val="none"/>
        </w:rPr>
        <w:t>五、与投诉事项相关的投诉请求：</w:t>
      </w:r>
    </w:p>
    <w:p w14:paraId="7A3BED24">
      <w:pPr>
        <w:spacing w:line="360" w:lineRule="auto"/>
        <w:ind w:left="25" w:leftChars="12" w:firstLine="472" w:firstLineChars="197"/>
        <w:rPr>
          <w:rFonts w:ascii="宋体" w:hAnsi="宋体"/>
          <w:color w:val="auto"/>
          <w:kern w:val="0"/>
          <w:sz w:val="24"/>
          <w:highlight w:val="none"/>
        </w:rPr>
      </w:pPr>
      <w:r>
        <w:rPr>
          <w:rFonts w:hint="eastAsia" w:ascii="宋体" w:hAnsi="宋体"/>
          <w:color w:val="auto"/>
          <w:kern w:val="0"/>
          <w:sz w:val="24"/>
          <w:highlight w:val="none"/>
        </w:rPr>
        <w:t>请求：</w:t>
      </w:r>
    </w:p>
    <w:p w14:paraId="3BB9B05C">
      <w:pPr>
        <w:spacing w:line="360" w:lineRule="auto"/>
        <w:ind w:left="25" w:leftChars="12" w:firstLine="352" w:firstLineChars="147"/>
        <w:rPr>
          <w:rFonts w:ascii="宋体" w:hAnsi="宋体"/>
          <w:color w:val="auto"/>
          <w:kern w:val="0"/>
          <w:sz w:val="24"/>
          <w:highlight w:val="none"/>
        </w:rPr>
      </w:pPr>
    </w:p>
    <w:p w14:paraId="31185CF2">
      <w:pPr>
        <w:spacing w:line="360" w:lineRule="auto"/>
        <w:ind w:left="25" w:leftChars="12" w:firstLine="472" w:firstLineChars="197"/>
        <w:rPr>
          <w:rFonts w:ascii="宋体" w:hAnsi="宋体"/>
          <w:color w:val="auto"/>
          <w:kern w:val="0"/>
          <w:sz w:val="24"/>
          <w:highlight w:val="none"/>
        </w:rPr>
      </w:pPr>
      <w:r>
        <w:rPr>
          <w:rFonts w:hint="eastAsia" w:ascii="宋体" w:hAnsi="宋体"/>
          <w:color w:val="auto"/>
          <w:kern w:val="0"/>
          <w:sz w:val="24"/>
          <w:highlight w:val="none"/>
        </w:rPr>
        <w:t>签字（签章）：                                       公章：</w:t>
      </w:r>
    </w:p>
    <w:p w14:paraId="54D53E1B">
      <w:pPr>
        <w:spacing w:line="360" w:lineRule="auto"/>
        <w:ind w:left="25" w:leftChars="12" w:firstLine="352" w:firstLineChars="147"/>
        <w:rPr>
          <w:rFonts w:ascii="宋体" w:hAnsi="宋体"/>
          <w:color w:val="auto"/>
          <w:kern w:val="0"/>
          <w:sz w:val="24"/>
          <w:highlight w:val="none"/>
        </w:rPr>
      </w:pPr>
    </w:p>
    <w:p w14:paraId="7100C23D">
      <w:pPr>
        <w:spacing w:line="360" w:lineRule="auto"/>
        <w:ind w:left="25" w:leftChars="12" w:firstLine="472" w:firstLineChars="197"/>
        <w:rPr>
          <w:rFonts w:ascii="宋体" w:hAnsi="宋体"/>
          <w:color w:val="auto"/>
          <w:kern w:val="0"/>
          <w:sz w:val="24"/>
          <w:highlight w:val="none"/>
        </w:rPr>
      </w:pPr>
      <w:r>
        <w:rPr>
          <w:rFonts w:hint="eastAsia" w:ascii="宋体" w:hAnsi="宋体"/>
          <w:color w:val="auto"/>
          <w:kern w:val="0"/>
          <w:sz w:val="24"/>
          <w:highlight w:val="none"/>
        </w:rPr>
        <w:t>日期：</w:t>
      </w:r>
    </w:p>
    <w:p w14:paraId="184AA287">
      <w:pPr>
        <w:spacing w:line="360" w:lineRule="auto"/>
        <w:ind w:left="25" w:leftChars="12" w:firstLine="472" w:firstLineChars="197"/>
        <w:rPr>
          <w:rFonts w:ascii="宋体" w:hAnsi="宋体"/>
          <w:color w:val="auto"/>
          <w:kern w:val="0"/>
          <w:sz w:val="24"/>
          <w:highlight w:val="none"/>
        </w:rPr>
      </w:pPr>
    </w:p>
    <w:p w14:paraId="07162D18">
      <w:pPr>
        <w:snapToGrid w:val="0"/>
        <w:spacing w:line="360" w:lineRule="auto"/>
        <w:rPr>
          <w:rFonts w:ascii="宋体" w:hAnsi="宋体"/>
          <w:b/>
          <w:color w:val="auto"/>
          <w:kern w:val="0"/>
          <w:sz w:val="24"/>
          <w:highlight w:val="none"/>
        </w:rPr>
      </w:pPr>
    </w:p>
    <w:p w14:paraId="0CE3BE62">
      <w:pPr>
        <w:snapToGrid w:val="0"/>
        <w:spacing w:line="360" w:lineRule="auto"/>
        <w:rPr>
          <w:rFonts w:ascii="宋体" w:hAnsi="宋体"/>
          <w:b/>
          <w:color w:val="auto"/>
          <w:kern w:val="0"/>
          <w:sz w:val="24"/>
          <w:highlight w:val="none"/>
        </w:rPr>
      </w:pPr>
      <w:r>
        <w:rPr>
          <w:rFonts w:hint="eastAsia" w:ascii="宋体" w:hAnsi="宋体"/>
          <w:b/>
          <w:color w:val="auto"/>
          <w:kern w:val="0"/>
          <w:sz w:val="24"/>
          <w:highlight w:val="none"/>
        </w:rPr>
        <w:t>说明：</w:t>
      </w:r>
    </w:p>
    <w:p w14:paraId="7BB9FD7A">
      <w:pPr>
        <w:spacing w:line="360" w:lineRule="auto"/>
        <w:ind w:left="25" w:leftChars="12" w:firstLine="354" w:firstLineChars="147"/>
        <w:rPr>
          <w:rFonts w:ascii="宋体" w:hAnsi="宋体"/>
          <w:b/>
          <w:bCs/>
          <w:color w:val="auto"/>
          <w:kern w:val="0"/>
          <w:sz w:val="24"/>
          <w:highlight w:val="none"/>
        </w:rPr>
      </w:pPr>
      <w:r>
        <w:rPr>
          <w:rFonts w:hint="eastAsia" w:ascii="宋体" w:hAnsi="宋体"/>
          <w:b/>
          <w:color w:val="auto"/>
          <w:kern w:val="0"/>
          <w:sz w:val="24"/>
          <w:highlight w:val="none"/>
        </w:rPr>
        <w:t>1.投诉人提起投诉时，应当提交投诉书和必要的证明材料，并按照被投诉人和与投诉事项有关的供应商数量提供投诉书副本</w:t>
      </w:r>
      <w:r>
        <w:rPr>
          <w:rFonts w:hint="eastAsia" w:ascii="宋体" w:hAnsi="宋体"/>
          <w:b/>
          <w:bCs/>
          <w:color w:val="auto"/>
          <w:kern w:val="0"/>
          <w:sz w:val="24"/>
          <w:highlight w:val="none"/>
        </w:rPr>
        <w:t>。</w:t>
      </w:r>
    </w:p>
    <w:p w14:paraId="33327919">
      <w:pPr>
        <w:spacing w:line="360" w:lineRule="auto"/>
        <w:ind w:left="25" w:leftChars="12" w:firstLine="354" w:firstLineChars="147"/>
        <w:rPr>
          <w:rFonts w:ascii="宋体" w:hAnsi="宋体"/>
          <w:b/>
          <w:color w:val="auto"/>
          <w:kern w:val="0"/>
          <w:sz w:val="24"/>
          <w:highlight w:val="none"/>
        </w:rPr>
      </w:pPr>
      <w:r>
        <w:rPr>
          <w:rFonts w:hint="eastAsia" w:ascii="宋体" w:hAnsi="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3D9BBD5">
      <w:pPr>
        <w:spacing w:line="360" w:lineRule="auto"/>
        <w:ind w:left="25" w:leftChars="12" w:firstLine="354" w:firstLineChars="147"/>
        <w:rPr>
          <w:rFonts w:ascii="宋体" w:hAnsi="宋体"/>
          <w:b/>
          <w:color w:val="auto"/>
          <w:kern w:val="0"/>
          <w:sz w:val="24"/>
          <w:highlight w:val="none"/>
        </w:rPr>
      </w:pPr>
      <w:r>
        <w:rPr>
          <w:rFonts w:hint="eastAsia" w:ascii="宋体" w:hAnsi="宋体"/>
          <w:b/>
          <w:color w:val="auto"/>
          <w:kern w:val="0"/>
          <w:sz w:val="24"/>
          <w:highlight w:val="none"/>
        </w:rPr>
        <w:t>3.投诉书应简要列明质疑事项，质疑函、质疑答复等作为附件材料提供。</w:t>
      </w:r>
    </w:p>
    <w:p w14:paraId="57314A75">
      <w:pPr>
        <w:spacing w:line="360" w:lineRule="auto"/>
        <w:ind w:left="25" w:leftChars="12" w:firstLine="354" w:firstLineChars="147"/>
        <w:rPr>
          <w:rFonts w:ascii="宋体" w:hAnsi="宋体"/>
          <w:b/>
          <w:color w:val="auto"/>
          <w:kern w:val="0"/>
          <w:sz w:val="24"/>
          <w:highlight w:val="none"/>
        </w:rPr>
      </w:pPr>
      <w:r>
        <w:rPr>
          <w:rFonts w:hint="eastAsia" w:ascii="宋体" w:hAnsi="宋体"/>
          <w:b/>
          <w:color w:val="auto"/>
          <w:kern w:val="0"/>
          <w:sz w:val="24"/>
          <w:highlight w:val="none"/>
        </w:rPr>
        <w:t>4.投诉书的投诉事项应具体、明确，并有必要的事实依据和法律依据。</w:t>
      </w:r>
    </w:p>
    <w:p w14:paraId="74AA6661">
      <w:pPr>
        <w:spacing w:line="360" w:lineRule="auto"/>
        <w:ind w:left="25" w:leftChars="12" w:firstLine="354" w:firstLineChars="147"/>
        <w:rPr>
          <w:rFonts w:ascii="宋体" w:hAnsi="宋体"/>
          <w:b/>
          <w:color w:val="auto"/>
          <w:kern w:val="0"/>
          <w:sz w:val="24"/>
          <w:highlight w:val="none"/>
        </w:rPr>
      </w:pPr>
      <w:r>
        <w:rPr>
          <w:rFonts w:hint="eastAsia" w:ascii="宋体" w:hAnsi="宋体"/>
          <w:b/>
          <w:color w:val="auto"/>
          <w:kern w:val="0"/>
          <w:sz w:val="24"/>
          <w:highlight w:val="none"/>
        </w:rPr>
        <w:t>5.投诉书的投诉请求应与投诉事项相关。</w:t>
      </w:r>
    </w:p>
    <w:p w14:paraId="0A57B6FB">
      <w:pPr>
        <w:spacing w:line="360" w:lineRule="auto"/>
        <w:ind w:left="25" w:leftChars="12" w:firstLine="354" w:firstLineChars="147"/>
        <w:rPr>
          <w:rFonts w:ascii="宋体" w:hAnsi="Courier New"/>
          <w:color w:val="auto"/>
          <w:kern w:val="0"/>
          <w:sz w:val="20"/>
          <w:szCs w:val="21"/>
          <w:highlight w:val="none"/>
        </w:rPr>
      </w:pPr>
      <w:r>
        <w:rPr>
          <w:rFonts w:hint="eastAsia" w:ascii="宋体" w:hAnsi="宋体"/>
          <w:b/>
          <w:color w:val="auto"/>
          <w:kern w:val="0"/>
          <w:sz w:val="24"/>
          <w:highlight w:val="none"/>
        </w:rPr>
        <w:t>6.投诉人为法人或者其他组织的，投诉书应由法定代表人、主要负责人，或者其授权代表签字或者盖章，并加盖公章。</w:t>
      </w:r>
    </w:p>
    <w:p w14:paraId="2072BD50">
      <w:pPr>
        <w:rPr>
          <w:rFonts w:hint="eastAsia"/>
          <w:color w:val="auto"/>
          <w:highlight w:val="none"/>
        </w:rPr>
      </w:pPr>
    </w:p>
    <w:p w14:paraId="0D411148">
      <w:pPr>
        <w:rPr>
          <w:rFonts w:hint="eastAsia"/>
          <w:color w:val="auto"/>
          <w:highlight w:val="none"/>
        </w:rPr>
      </w:pPr>
    </w:p>
    <w:sectPr>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7E71B39-DA47-4858-8770-34571841093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15A292D9-2319-4F04-B883-3061D028678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726C84F3-E629-4CEA-A9C2-606A0548B095}"/>
  </w:font>
  <w:font w:name="Ђˎ̥">
    <w:altName w:val="宋体"/>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大黑简体2.">
    <w:altName w:val="黑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embedRegular r:id="rId4" w:fontKey="{D387E5D2-A633-4BB2-8053-C283FB9CC205}"/>
  </w:font>
  <w:font w:name="隶书">
    <w:panose1 w:val="02010509060101010101"/>
    <w:charset w:val="86"/>
    <w:family w:val="modern"/>
    <w:pitch w:val="default"/>
    <w:sig w:usb0="00000001" w:usb1="080E0000" w:usb2="00000000" w:usb3="00000000" w:csb0="00040000" w:csb1="00000000"/>
    <w:embedRegular r:id="rId5" w:fontKey="{03091C98-3A81-4F5E-9A94-9356E8F07EB0}"/>
  </w:font>
  <w:font w:name="WPSEMBED35">
    <w:panose1 w:val="02010609030101010101"/>
    <w:charset w:val="86"/>
    <w:family w:val="auto"/>
    <w:pitch w:val="default"/>
    <w:sig w:usb0="00000001" w:usb1="080E0000" w:usb2="00000000" w:usb3="00000000" w:csb0="00040000" w:csb1="00000000"/>
  </w:font>
  <w:font w:name="WPSEMBED36">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ECCA8">
    <w:pPr>
      <w:pStyle w:val="22"/>
      <w:tabs>
        <w:tab w:val="center" w:pos="4439"/>
        <w:tab w:val="clear" w:pos="4153"/>
      </w:tabs>
      <w:jc w:val="both"/>
    </w:pPr>
  </w:p>
  <w:p w14:paraId="110A773B">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BAF76">
    <w:pPr>
      <w:pStyle w:val="22"/>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101CEB"/>
                      </w:txbxContent>
                    </wps:txbx>
                    <wps:bodyPr wrap="none" lIns="0" tIns="0" rIns="0" bIns="0" upright="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0NPFssBAACc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3m5&#10;XN1k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9DTxbLAQAAnAMAAA4AAAAAAAAAAQAgAAAAHgEAAGRycy9lMm9E&#10;b2MueG1sUEsFBgAAAAAGAAYAWQEAAFsFAAAAAA==&#10;">
              <v:fill on="f" focussize="0,0"/>
              <v:stroke on="f"/>
              <v:imagedata o:title=""/>
              <o:lock v:ext="edit" aspectratio="f"/>
              <v:textbox inset="0mm,0mm,0mm,0mm" style="mso-fit-shape-to-text:t;">
                <w:txbxContent>
                  <w:p w14:paraId="3A101CEB"/>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0F1FF">
    <w:pPr>
      <w:pStyle w:val="22"/>
      <w:tabs>
        <w:tab w:val="center" w:pos="4439"/>
        <w:tab w:val="clear" w:pos="4153"/>
      </w:tabs>
      <w:jc w:val="both"/>
    </w:pPr>
  </w:p>
  <w:p w14:paraId="534903A4">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E6757">
    <w:pPr>
      <w:pStyle w:val="22"/>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AD75DC"/>
                      </w:txbxContent>
                    </wps:txbx>
                    <wps:bodyPr wrap="none" lIns="0" tIns="0" rIns="0" bIns="0" upright="0">
                      <a:spAutoFit/>
                    </wps:bodyPr>
                  </wps:wsp>
                </a:graphicData>
              </a:graphic>
            </wp:anchor>
          </w:drawing>
        </mc:Choice>
        <mc:Fallback>
          <w:pict>
            <v:shape id="文本框 51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is/ussBAACcAwAADgAAAGRycy9lMm9Eb2MueG1srVPNjtMwEL4j8Q6W&#10;79Rpx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fUmJ4xYHfvn+7fLj1+XnV3Kz&#10;XN1k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orP7rLAQAAnAMAAA4AAAAAAAAAAQAgAAAAHgEAAGRycy9lMm9E&#10;b2MueG1sUEsFBgAAAAAGAAYAWQEAAFsFAAAAAA==&#10;">
              <v:fill on="f" focussize="0,0"/>
              <v:stroke on="f"/>
              <v:imagedata o:title=""/>
              <o:lock v:ext="edit" aspectratio="f"/>
              <v:textbox inset="0mm,0mm,0mm,0mm" style="mso-fit-shape-to-text:t;">
                <w:txbxContent>
                  <w:p w14:paraId="7FAD75DC"/>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22457">
    <w:pPr>
      <w:pStyle w:val="2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973623">
                          <w:pPr>
                            <w:pStyle w:val="22"/>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文本框 513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hSmDcsBAACc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7lZ&#10;vlxm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Upg3LAQAAnAMAAA4AAAAAAAAAAQAgAAAAHgEAAGRycy9lMm9E&#10;b2MueG1sUEsFBgAAAAAGAAYAWQEAAFsFAAAAAA==&#10;">
              <v:fill on="f" focussize="0,0"/>
              <v:stroke on="f"/>
              <v:imagedata o:title=""/>
              <o:lock v:ext="edit" aspectratio="f"/>
              <v:textbox inset="0mm,0mm,0mm,0mm" style="mso-fit-shape-to-text:t;">
                <w:txbxContent>
                  <w:p w14:paraId="08973623">
                    <w:pPr>
                      <w:pStyle w:val="22"/>
                    </w:pPr>
                    <w:r>
                      <w:fldChar w:fldCharType="begin"/>
                    </w:r>
                    <w:r>
                      <w:instrText xml:space="preserve"> PAGE  \* MERGEFORMAT </w:instrText>
                    </w:r>
                    <w:r>
                      <w:fldChar w:fldCharType="separate"/>
                    </w:r>
                    <w:r>
                      <w:t>23</w:t>
                    </w:r>
                    <w:r>
                      <w:fldChar w:fldCharType="end"/>
                    </w:r>
                  </w:p>
                </w:txbxContent>
              </v:textbox>
            </v:shape>
          </w:pict>
        </mc:Fallback>
      </mc:AlternateContent>
    </w:r>
  </w:p>
  <w:p w14:paraId="36483848">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67101">
    <w:pPr>
      <w:pStyle w:val="2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4A3139">
                          <w:pPr>
                            <w:pStyle w:val="2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513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QR6DcsBAACcAwAADgAAAGRycy9lMm9Eb2MueG1srVPNjtMwEL4j8Q6W&#10;79RpE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3lDiuMWBX75/u/z4dfn5lbxa&#10;vlxl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kEeg3LAQAAnAMAAA4AAAAAAAAAAQAgAAAAHgEAAGRycy9lMm9E&#10;b2MueG1sUEsFBgAAAAAGAAYAWQEAAFsFAAAAAA==&#10;">
              <v:fill on="f" focussize="0,0"/>
              <v:stroke on="f"/>
              <v:imagedata o:title=""/>
              <o:lock v:ext="edit" aspectratio="f"/>
              <v:textbox inset="0mm,0mm,0mm,0mm" style="mso-fit-shape-to-text:t;">
                <w:txbxContent>
                  <w:p w14:paraId="6C4A3139">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FA88D">
    <w:pPr>
      <w:pStyle w:val="22"/>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9342DB">
                          <w:pPr>
                            <w:pStyle w:val="22"/>
                          </w:pPr>
                          <w:r>
                            <w:fldChar w:fldCharType="begin"/>
                          </w:r>
                          <w:r>
                            <w:instrText xml:space="preserve"> PAGE  \* MERGEFORMAT </w:instrText>
                          </w:r>
                          <w:r>
                            <w:fldChar w:fldCharType="separate"/>
                          </w:r>
                          <w:r>
                            <w:t>63</w:t>
                          </w:r>
                          <w:r>
                            <w:fldChar w:fldCharType="end"/>
                          </w:r>
                        </w:p>
                      </w:txbxContent>
                    </wps:txbx>
                    <wps:bodyPr wrap="none" lIns="0" tIns="0" rIns="0" bIns="0" upright="0">
                      <a:spAutoFit/>
                    </wps:bodyPr>
                  </wps:wsp>
                </a:graphicData>
              </a:graphic>
            </wp:anchor>
          </w:drawing>
        </mc:Choice>
        <mc:Fallback>
          <w:pict>
            <v:shape id="文本框 513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jCeG7zAEAAJwDAAAOAAAAAAAAAAEAIAAAAB4BAABkcnMvZTJv&#10;RG9jLnhtbFBLBQYAAAAABgAGAFkBAABcBQAAAAA=&#10;">
              <v:fill on="f" focussize="0,0"/>
              <v:stroke on="f"/>
              <v:imagedata o:title=""/>
              <o:lock v:ext="edit" aspectratio="f"/>
              <v:textbox inset="0mm,0mm,0mm,0mm" style="mso-fit-shape-to-text:t;">
                <w:txbxContent>
                  <w:p w14:paraId="029342DB">
                    <w:pPr>
                      <w:pStyle w:val="22"/>
                    </w:pPr>
                    <w:r>
                      <w:fldChar w:fldCharType="begin"/>
                    </w:r>
                    <w:r>
                      <w:instrText xml:space="preserve"> PAGE  \* MERGEFORMAT </w:instrText>
                    </w:r>
                    <w:r>
                      <w:fldChar w:fldCharType="separate"/>
                    </w:r>
                    <w:r>
                      <w:t>63</w:t>
                    </w:r>
                    <w:r>
                      <w:fldChar w:fldCharType="end"/>
                    </w:r>
                  </w:p>
                </w:txbxContent>
              </v:textbox>
            </v:shape>
          </w:pict>
        </mc:Fallback>
      </mc:AlternateContent>
    </w:r>
  </w:p>
  <w:p w14:paraId="0FA67C5E">
    <w:pPr>
      <w:pStyle w:val="2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2CFB5">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E60C74">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U7UoM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22VZ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VO1KDLAQAAnAMAAA4AAAAAAAAAAQAgAAAAHgEAAGRycy9lMm9E&#10;b2MueG1sUEsFBgAAAAAGAAYAWQEAAFsFAAAAAA==&#10;">
              <v:fill on="f" focussize="0,0"/>
              <v:stroke on="f"/>
              <v:imagedata o:title=""/>
              <o:lock v:ext="edit" aspectratio="f"/>
              <v:textbox inset="0mm,0mm,0mm,0mm" style="mso-fit-shape-to-text:t;">
                <w:txbxContent>
                  <w:p w14:paraId="15E60C74">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070E8">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28ACE">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E9CAC">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77621D"/>
    <w:multiLevelType w:val="singleLevel"/>
    <w:tmpl w:val="8F77621D"/>
    <w:lvl w:ilvl="0" w:tentative="0">
      <w:start w:val="1"/>
      <w:numFmt w:val="decimal"/>
      <w:suff w:val="nothing"/>
      <w:lvlText w:val="%1、"/>
      <w:lvlJc w:val="left"/>
    </w:lvl>
  </w:abstractNum>
  <w:abstractNum w:abstractNumId="1">
    <w:nsid w:val="417A3EA2"/>
    <w:multiLevelType w:val="singleLevel"/>
    <w:tmpl w:val="417A3EA2"/>
    <w:lvl w:ilvl="0" w:tentative="0">
      <w:start w:val="1"/>
      <w:numFmt w:val="decimal"/>
      <w:lvlText w:val="%1."/>
      <w:lvlJc w:val="left"/>
      <w:pPr>
        <w:tabs>
          <w:tab w:val="left" w:pos="312"/>
        </w:tabs>
      </w:pPr>
    </w:lvl>
  </w:abstractNum>
  <w:abstractNum w:abstractNumId="2">
    <w:nsid w:val="45861309"/>
    <w:multiLevelType w:val="singleLevel"/>
    <w:tmpl w:val="45861309"/>
    <w:lvl w:ilvl="0" w:tentative="0">
      <w:start w:val="7"/>
      <w:numFmt w:val="decimal"/>
      <w:lvlText w:val="%1."/>
      <w:lvlJc w:val="left"/>
      <w:pPr>
        <w:tabs>
          <w:tab w:val="left" w:pos="312"/>
        </w:tabs>
      </w:pPr>
    </w:lvl>
  </w:abstractNum>
  <w:abstractNum w:abstractNumId="3">
    <w:nsid w:val="5EE75099"/>
    <w:multiLevelType w:val="multilevel"/>
    <w:tmpl w:val="5EE75099"/>
    <w:lvl w:ilvl="0" w:tentative="0">
      <w:start w:val="1"/>
      <w:numFmt w:val="chineseCountingThousand"/>
      <w:pStyle w:val="92"/>
      <w:suff w:val="nothing"/>
      <w:lvlText w:val="第%1章 "/>
      <w:lvlJc w:val="left"/>
      <w:pPr>
        <w:ind w:left="200" w:firstLine="0"/>
      </w:pPr>
      <w:rPr>
        <w:rFonts w:hint="eastAsia" w:ascii="黑体" w:hAnsi="黑体" w:eastAsia="黑体" w:cs="宋体"/>
        <w:b w:val="0"/>
        <w:i w:val="0"/>
        <w:sz w:val="36"/>
      </w:rPr>
    </w:lvl>
    <w:lvl w:ilvl="1" w:tentative="0">
      <w:start w:val="1"/>
      <w:numFmt w:val="chineseCountingThousand"/>
      <w:suff w:val="nothing"/>
      <w:lvlText w:val="%2、"/>
      <w:lvlJc w:val="left"/>
      <w:pPr>
        <w:ind w:left="2978" w:firstLine="0"/>
      </w:pPr>
      <w:rPr>
        <w:rFonts w:hint="eastAsia" w:ascii="黑体" w:hAnsi="黑体" w:eastAsia="黑体" w:cs="宋体"/>
        <w:b w:val="0"/>
        <w:i w:val="0"/>
        <w:sz w:val="32"/>
      </w:rPr>
    </w:lvl>
    <w:lvl w:ilvl="2" w:tentative="0">
      <w:start w:val="1"/>
      <w:numFmt w:val="decimal"/>
      <w:suff w:val="nothing"/>
      <w:lvlText w:val="%3."/>
      <w:lvlJc w:val="left"/>
      <w:pPr>
        <w:ind w:left="200" w:firstLine="0"/>
      </w:pPr>
      <w:rPr>
        <w:rFonts w:hint="eastAsia" w:ascii="黑体" w:hAnsi="黑体" w:eastAsia="黑体" w:cs="宋体"/>
        <w:b w:val="0"/>
        <w:i w:val="0"/>
        <w:sz w:val="28"/>
      </w:rPr>
    </w:lvl>
    <w:lvl w:ilvl="3" w:tentative="0">
      <w:start w:val="1"/>
      <w:numFmt w:val="decimal"/>
      <w:suff w:val="nothing"/>
      <w:lvlText w:val="%3.%4 "/>
      <w:lvlJc w:val="left"/>
      <w:pPr>
        <w:tabs>
          <w:tab w:val="left" w:pos="0"/>
        </w:tabs>
        <w:ind w:left="200" w:firstLine="0"/>
      </w:pPr>
      <w:rPr>
        <w:rFonts w:hint="eastAsia" w:ascii="宋体" w:hAnsi="宋体" w:eastAsia="宋体" w:cs="宋体"/>
        <w:b/>
        <w:i w:val="0"/>
        <w:sz w:val="24"/>
      </w:rPr>
    </w:lvl>
    <w:lvl w:ilvl="4" w:tentative="0">
      <w:start w:val="1"/>
      <w:numFmt w:val="decimal"/>
      <w:suff w:val="nothing"/>
      <w:lvlText w:val="%3.%4.%5 "/>
      <w:lvlJc w:val="left"/>
      <w:pPr>
        <w:tabs>
          <w:tab w:val="left" w:pos="0"/>
        </w:tabs>
        <w:ind w:left="0" w:firstLine="0"/>
      </w:pPr>
      <w:rPr>
        <w:rFonts w:hint="eastAsia" w:ascii="宋体" w:hAnsi="宋体" w:eastAsia="宋体" w:cs="宋体"/>
        <w:b/>
      </w:rPr>
    </w:lvl>
    <w:lvl w:ilvl="5" w:tentative="0">
      <w:start w:val="1"/>
      <w:numFmt w:val="decimal"/>
      <w:suff w:val="nothing"/>
      <w:lvlText w:val="%3.%4.%5.%6 "/>
      <w:lvlJc w:val="left"/>
      <w:pPr>
        <w:tabs>
          <w:tab w:val="left" w:pos="0"/>
        </w:tabs>
        <w:ind w:left="200" w:firstLine="0"/>
      </w:pPr>
      <w:rPr>
        <w:rFonts w:hint="eastAsia" w:ascii="宋体" w:hAnsi="宋体" w:eastAsia="宋体" w:cs="宋体"/>
      </w:rPr>
    </w:lvl>
    <w:lvl w:ilvl="6" w:tentative="0">
      <w:start w:val="1"/>
      <w:numFmt w:val="lowerLetter"/>
      <w:suff w:val="nothing"/>
      <w:lvlText w:val="%7．"/>
      <w:lvlJc w:val="left"/>
      <w:pPr>
        <w:ind w:left="200" w:firstLine="402"/>
      </w:pPr>
      <w:rPr>
        <w:rFonts w:hint="eastAsia" w:ascii="宋体" w:hAnsi="宋体" w:eastAsia="宋体" w:cs="宋体"/>
      </w:rPr>
    </w:lvl>
    <w:lvl w:ilvl="7" w:tentative="0">
      <w:start w:val="1"/>
      <w:numFmt w:val="lowerLetter"/>
      <w:suff w:val="nothing"/>
      <w:lvlText w:val="%8）"/>
      <w:lvlJc w:val="left"/>
      <w:pPr>
        <w:ind w:left="200" w:firstLine="402"/>
      </w:pPr>
      <w:rPr>
        <w:rFonts w:hint="eastAsia"/>
      </w:rPr>
    </w:lvl>
    <w:lvl w:ilvl="8" w:tentative="0">
      <w:start w:val="1"/>
      <w:numFmt w:val="lowerRoman"/>
      <w:suff w:val="nothing"/>
      <w:lvlText w:val="%9. "/>
      <w:lvlJc w:val="left"/>
      <w:pPr>
        <w:ind w:left="200" w:firstLine="402"/>
      </w:pPr>
      <w:rPr>
        <w:rFonts w:hint="eastAsia"/>
      </w:rPr>
    </w:lvl>
  </w:abstractNum>
  <w:abstractNum w:abstractNumId="4">
    <w:nsid w:val="6364E5ED"/>
    <w:multiLevelType w:val="singleLevel"/>
    <w:tmpl w:val="6364E5ED"/>
    <w:lvl w:ilvl="0" w:tentative="0">
      <w:start w:val="1"/>
      <w:numFmt w:val="decimal"/>
      <w:lvlText w:val="%1."/>
      <w:lvlJc w:val="left"/>
      <w:pPr>
        <w:tabs>
          <w:tab w:val="left" w:pos="312"/>
        </w:tabs>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3,4,5,6,7"/>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Y2MwMGM3Y2U2MjI1YWY0Yjc2ZTUwYWVhZjM1MDM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97C44"/>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3ED8"/>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4BEE"/>
    <w:rsid w:val="00115E11"/>
    <w:rsid w:val="00115EEE"/>
    <w:rsid w:val="00115F56"/>
    <w:rsid w:val="00116CA9"/>
    <w:rsid w:val="00116F38"/>
    <w:rsid w:val="001170A4"/>
    <w:rsid w:val="00117AE7"/>
    <w:rsid w:val="00117CBD"/>
    <w:rsid w:val="0012006A"/>
    <w:rsid w:val="00121979"/>
    <w:rsid w:val="00121C4E"/>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2DF1"/>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490"/>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8CD"/>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47E"/>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00"/>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8C5"/>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456D"/>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37DE2"/>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49CA"/>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20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16AD"/>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41F"/>
    <w:rsid w:val="008135E1"/>
    <w:rsid w:val="00813779"/>
    <w:rsid w:val="00813E26"/>
    <w:rsid w:val="0081481D"/>
    <w:rsid w:val="00814BE8"/>
    <w:rsid w:val="00814F6E"/>
    <w:rsid w:val="00815363"/>
    <w:rsid w:val="00815B84"/>
    <w:rsid w:val="00816BE9"/>
    <w:rsid w:val="0082027C"/>
    <w:rsid w:val="00822518"/>
    <w:rsid w:val="008226F5"/>
    <w:rsid w:val="00823FC6"/>
    <w:rsid w:val="008242A4"/>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07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12D2"/>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7D1"/>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728"/>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0D18"/>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0B72"/>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678"/>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050"/>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ED2"/>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BE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2E86"/>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12F"/>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4FEF"/>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0FF7D90"/>
    <w:rsid w:val="01AF3D99"/>
    <w:rsid w:val="02511F9D"/>
    <w:rsid w:val="03495E0B"/>
    <w:rsid w:val="03A314B8"/>
    <w:rsid w:val="03D82B98"/>
    <w:rsid w:val="03F83E8B"/>
    <w:rsid w:val="04F27A0F"/>
    <w:rsid w:val="05C56868"/>
    <w:rsid w:val="061709FE"/>
    <w:rsid w:val="07B72767"/>
    <w:rsid w:val="08077E72"/>
    <w:rsid w:val="08882DD0"/>
    <w:rsid w:val="09CC2AAC"/>
    <w:rsid w:val="09D26E76"/>
    <w:rsid w:val="09E6178E"/>
    <w:rsid w:val="0A652D3E"/>
    <w:rsid w:val="0AAA6445"/>
    <w:rsid w:val="0B326F2A"/>
    <w:rsid w:val="0BD54C47"/>
    <w:rsid w:val="0C1E2888"/>
    <w:rsid w:val="0C92213C"/>
    <w:rsid w:val="0D5055B4"/>
    <w:rsid w:val="0D84032B"/>
    <w:rsid w:val="0DF42C17"/>
    <w:rsid w:val="0F2A74C4"/>
    <w:rsid w:val="0FAB5F52"/>
    <w:rsid w:val="0FF16B49"/>
    <w:rsid w:val="10A27F31"/>
    <w:rsid w:val="11927058"/>
    <w:rsid w:val="11D97125"/>
    <w:rsid w:val="13761663"/>
    <w:rsid w:val="13AF4F03"/>
    <w:rsid w:val="14736E66"/>
    <w:rsid w:val="147F458F"/>
    <w:rsid w:val="14D958EC"/>
    <w:rsid w:val="1534169A"/>
    <w:rsid w:val="15B903DD"/>
    <w:rsid w:val="15C03E03"/>
    <w:rsid w:val="162A25EB"/>
    <w:rsid w:val="16FD2A55"/>
    <w:rsid w:val="17067C1A"/>
    <w:rsid w:val="17366761"/>
    <w:rsid w:val="17607D49"/>
    <w:rsid w:val="177C01F0"/>
    <w:rsid w:val="17C73DF4"/>
    <w:rsid w:val="17CE6630"/>
    <w:rsid w:val="1812672C"/>
    <w:rsid w:val="18150702"/>
    <w:rsid w:val="18B007AF"/>
    <w:rsid w:val="1AD339E7"/>
    <w:rsid w:val="1AFF0AFE"/>
    <w:rsid w:val="1B4F19F8"/>
    <w:rsid w:val="1C226F03"/>
    <w:rsid w:val="1ECC44FA"/>
    <w:rsid w:val="1F063325"/>
    <w:rsid w:val="1F550880"/>
    <w:rsid w:val="1FBC5DF5"/>
    <w:rsid w:val="1FF90588"/>
    <w:rsid w:val="20BF40EC"/>
    <w:rsid w:val="20C3623F"/>
    <w:rsid w:val="21781212"/>
    <w:rsid w:val="21B83F86"/>
    <w:rsid w:val="221178A8"/>
    <w:rsid w:val="221213CF"/>
    <w:rsid w:val="22327A92"/>
    <w:rsid w:val="231D53A2"/>
    <w:rsid w:val="236D5383"/>
    <w:rsid w:val="23B7504C"/>
    <w:rsid w:val="23E0247D"/>
    <w:rsid w:val="23F84B49"/>
    <w:rsid w:val="24571307"/>
    <w:rsid w:val="25110A2A"/>
    <w:rsid w:val="253B0B07"/>
    <w:rsid w:val="256C0944"/>
    <w:rsid w:val="26446DE3"/>
    <w:rsid w:val="269669E7"/>
    <w:rsid w:val="26D7699F"/>
    <w:rsid w:val="2727754C"/>
    <w:rsid w:val="28B61AF9"/>
    <w:rsid w:val="2B774624"/>
    <w:rsid w:val="2C7A72BE"/>
    <w:rsid w:val="2C9A7D75"/>
    <w:rsid w:val="2CC17412"/>
    <w:rsid w:val="2DC21DC5"/>
    <w:rsid w:val="2E357C02"/>
    <w:rsid w:val="2E9976CE"/>
    <w:rsid w:val="2F04387E"/>
    <w:rsid w:val="2F401D3C"/>
    <w:rsid w:val="2F5B24E1"/>
    <w:rsid w:val="2FA95C88"/>
    <w:rsid w:val="3041370F"/>
    <w:rsid w:val="307875CF"/>
    <w:rsid w:val="312B50A3"/>
    <w:rsid w:val="3238172D"/>
    <w:rsid w:val="32453A27"/>
    <w:rsid w:val="3263064A"/>
    <w:rsid w:val="32A43132"/>
    <w:rsid w:val="32AC0C06"/>
    <w:rsid w:val="32FC0CE4"/>
    <w:rsid w:val="33344EF5"/>
    <w:rsid w:val="33E854ED"/>
    <w:rsid w:val="343C61E4"/>
    <w:rsid w:val="3537750C"/>
    <w:rsid w:val="3537798C"/>
    <w:rsid w:val="35C13FC9"/>
    <w:rsid w:val="364257B6"/>
    <w:rsid w:val="37940F6D"/>
    <w:rsid w:val="37EA5922"/>
    <w:rsid w:val="38276B93"/>
    <w:rsid w:val="38296EE1"/>
    <w:rsid w:val="386E4EC0"/>
    <w:rsid w:val="38AC3431"/>
    <w:rsid w:val="392F2E16"/>
    <w:rsid w:val="39AF7F62"/>
    <w:rsid w:val="39E00529"/>
    <w:rsid w:val="3A0B64A7"/>
    <w:rsid w:val="3A574DDA"/>
    <w:rsid w:val="3AD3075A"/>
    <w:rsid w:val="3AF74C02"/>
    <w:rsid w:val="3B0317F2"/>
    <w:rsid w:val="3B0A0908"/>
    <w:rsid w:val="3B0B1FFB"/>
    <w:rsid w:val="3B511FE4"/>
    <w:rsid w:val="3B917B6B"/>
    <w:rsid w:val="3C0059A5"/>
    <w:rsid w:val="3C134E78"/>
    <w:rsid w:val="3DEC7285"/>
    <w:rsid w:val="3DF6345D"/>
    <w:rsid w:val="3E2B5515"/>
    <w:rsid w:val="3E2E13D1"/>
    <w:rsid w:val="3E4D4F28"/>
    <w:rsid w:val="3EAB1764"/>
    <w:rsid w:val="3EE13701"/>
    <w:rsid w:val="3F1A4BB3"/>
    <w:rsid w:val="3F42237F"/>
    <w:rsid w:val="40192BA6"/>
    <w:rsid w:val="41766EA9"/>
    <w:rsid w:val="42550A18"/>
    <w:rsid w:val="429D496A"/>
    <w:rsid w:val="42F473A1"/>
    <w:rsid w:val="43F67AE3"/>
    <w:rsid w:val="441E62C0"/>
    <w:rsid w:val="4432252B"/>
    <w:rsid w:val="45325D14"/>
    <w:rsid w:val="45811C7C"/>
    <w:rsid w:val="45906116"/>
    <w:rsid w:val="468B3EFB"/>
    <w:rsid w:val="46FA1B59"/>
    <w:rsid w:val="470A6193"/>
    <w:rsid w:val="471362A9"/>
    <w:rsid w:val="47385210"/>
    <w:rsid w:val="47DC4F5C"/>
    <w:rsid w:val="47F62BBF"/>
    <w:rsid w:val="483D2FCF"/>
    <w:rsid w:val="48AF1445"/>
    <w:rsid w:val="48B40671"/>
    <w:rsid w:val="499B5738"/>
    <w:rsid w:val="499F244D"/>
    <w:rsid w:val="49D338FF"/>
    <w:rsid w:val="4A2E424D"/>
    <w:rsid w:val="4A973F3F"/>
    <w:rsid w:val="4AF96BC7"/>
    <w:rsid w:val="4B5A416B"/>
    <w:rsid w:val="4B862A85"/>
    <w:rsid w:val="4CEF36E2"/>
    <w:rsid w:val="4CEF4DC5"/>
    <w:rsid w:val="4E257655"/>
    <w:rsid w:val="4E8E7871"/>
    <w:rsid w:val="4F372380"/>
    <w:rsid w:val="4F372FFB"/>
    <w:rsid w:val="4F505DD2"/>
    <w:rsid w:val="4F8D0F9C"/>
    <w:rsid w:val="4FB52B94"/>
    <w:rsid w:val="5025116D"/>
    <w:rsid w:val="52395ECD"/>
    <w:rsid w:val="52C10D75"/>
    <w:rsid w:val="534C1F9E"/>
    <w:rsid w:val="53C27FF8"/>
    <w:rsid w:val="549E1A80"/>
    <w:rsid w:val="54C658F4"/>
    <w:rsid w:val="550C4BD7"/>
    <w:rsid w:val="554C1D56"/>
    <w:rsid w:val="55572986"/>
    <w:rsid w:val="55880534"/>
    <w:rsid w:val="55C062DD"/>
    <w:rsid w:val="565340FA"/>
    <w:rsid w:val="5723343E"/>
    <w:rsid w:val="572F19CA"/>
    <w:rsid w:val="573D7EAB"/>
    <w:rsid w:val="588A1939"/>
    <w:rsid w:val="59553170"/>
    <w:rsid w:val="5A2F2CC8"/>
    <w:rsid w:val="5B2907F5"/>
    <w:rsid w:val="5BA26962"/>
    <w:rsid w:val="5BB2599A"/>
    <w:rsid w:val="5C10702D"/>
    <w:rsid w:val="5C152601"/>
    <w:rsid w:val="5C591F03"/>
    <w:rsid w:val="5C8A1B2F"/>
    <w:rsid w:val="5D914004"/>
    <w:rsid w:val="5E12176F"/>
    <w:rsid w:val="5EBB5A18"/>
    <w:rsid w:val="5F561B72"/>
    <w:rsid w:val="5F971CBB"/>
    <w:rsid w:val="606007BB"/>
    <w:rsid w:val="60AC7F66"/>
    <w:rsid w:val="61BF10D9"/>
    <w:rsid w:val="61DA3D4C"/>
    <w:rsid w:val="62AC22DC"/>
    <w:rsid w:val="62D751E5"/>
    <w:rsid w:val="637833E8"/>
    <w:rsid w:val="64993547"/>
    <w:rsid w:val="64E45EF7"/>
    <w:rsid w:val="654237C0"/>
    <w:rsid w:val="6691014E"/>
    <w:rsid w:val="66C87CCE"/>
    <w:rsid w:val="677435B2"/>
    <w:rsid w:val="67EF75F1"/>
    <w:rsid w:val="69124F16"/>
    <w:rsid w:val="6925180D"/>
    <w:rsid w:val="694A5205"/>
    <w:rsid w:val="69AF0EE7"/>
    <w:rsid w:val="69CD5C14"/>
    <w:rsid w:val="69CF0D33"/>
    <w:rsid w:val="69EE07EF"/>
    <w:rsid w:val="6A286809"/>
    <w:rsid w:val="6B9946B3"/>
    <w:rsid w:val="6C200675"/>
    <w:rsid w:val="6C662189"/>
    <w:rsid w:val="6C7007C7"/>
    <w:rsid w:val="6D314E58"/>
    <w:rsid w:val="6DE76850"/>
    <w:rsid w:val="6E3522FC"/>
    <w:rsid w:val="6FB20BD4"/>
    <w:rsid w:val="6FB650F7"/>
    <w:rsid w:val="6FBA59BE"/>
    <w:rsid w:val="70296B3E"/>
    <w:rsid w:val="70611204"/>
    <w:rsid w:val="73445350"/>
    <w:rsid w:val="737648D8"/>
    <w:rsid w:val="74244395"/>
    <w:rsid w:val="74FA2C30"/>
    <w:rsid w:val="754D5C4B"/>
    <w:rsid w:val="76C240A7"/>
    <w:rsid w:val="76E825A5"/>
    <w:rsid w:val="775246B7"/>
    <w:rsid w:val="781E69D1"/>
    <w:rsid w:val="790957D2"/>
    <w:rsid w:val="79AE6327"/>
    <w:rsid w:val="79E15906"/>
    <w:rsid w:val="79FE15F9"/>
    <w:rsid w:val="7A263B6B"/>
    <w:rsid w:val="7A9C2623"/>
    <w:rsid w:val="7AF46346"/>
    <w:rsid w:val="7B0F5EBF"/>
    <w:rsid w:val="7B130FB9"/>
    <w:rsid w:val="7BF64EDE"/>
    <w:rsid w:val="7C0C3956"/>
    <w:rsid w:val="7C142DB9"/>
    <w:rsid w:val="7C400C1E"/>
    <w:rsid w:val="7D6E3166"/>
    <w:rsid w:val="7D8027B1"/>
    <w:rsid w:val="7DD11708"/>
    <w:rsid w:val="7E940C02"/>
    <w:rsid w:val="7EBD579E"/>
    <w:rsid w:val="7EC167BD"/>
    <w:rsid w:val="7F272D9E"/>
    <w:rsid w:val="7F7338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iPriority="99"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3"/>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4"/>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7"/>
    <w:link w:val="45"/>
    <w:qFormat/>
    <w:uiPriority w:val="9"/>
    <w:pPr>
      <w:keepNext/>
      <w:keepLines/>
      <w:spacing w:before="280" w:after="290" w:line="376" w:lineRule="auto"/>
      <w:outlineLvl w:val="4"/>
    </w:pPr>
    <w:rPr>
      <w:b/>
      <w:bCs/>
      <w:sz w:val="28"/>
      <w:szCs w:val="28"/>
    </w:rPr>
  </w:style>
  <w:style w:type="paragraph" w:styleId="8">
    <w:name w:val="heading 8"/>
    <w:basedOn w:val="1"/>
    <w:next w:val="1"/>
    <w:link w:val="46"/>
    <w:qFormat/>
    <w:uiPriority w:val="9"/>
    <w:pPr>
      <w:keepNext/>
      <w:keepLines/>
      <w:spacing w:before="240" w:after="64" w:line="320" w:lineRule="auto"/>
      <w:outlineLvl w:val="7"/>
    </w:pPr>
    <w:rPr>
      <w:rFonts w:ascii="等线 Light" w:hAnsi="等线 Light" w:eastAsia="等线 Light"/>
      <w:sz w:val="24"/>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7">
    <w:name w:val="Normal Indent"/>
    <w:basedOn w:val="1"/>
    <w:unhideWhenUsed/>
    <w:qFormat/>
    <w:uiPriority w:val="99"/>
    <w:pPr>
      <w:ind w:firstLine="420"/>
    </w:pPr>
    <w:rPr>
      <w:szCs w:val="20"/>
    </w:rPr>
  </w:style>
  <w:style w:type="paragraph" w:styleId="9">
    <w:name w:val="index 8"/>
    <w:basedOn w:val="1"/>
    <w:next w:val="1"/>
    <w:unhideWhenUsed/>
    <w:qFormat/>
    <w:uiPriority w:val="99"/>
    <w:pPr>
      <w:ind w:left="1400" w:leftChars="1400"/>
    </w:pPr>
  </w:style>
  <w:style w:type="paragraph" w:styleId="10">
    <w:name w:val="List Number"/>
    <w:basedOn w:val="1"/>
    <w:unhideWhenUsed/>
    <w:qFormat/>
    <w:uiPriority w:val="99"/>
    <w:pPr>
      <w:widowControl/>
      <w:tabs>
        <w:tab w:val="left" w:pos="454"/>
        <w:tab w:val="left" w:pos="720"/>
        <w:tab w:val="left" w:pos="840"/>
      </w:tabs>
      <w:spacing w:after="50" w:afterLines="50"/>
      <w:ind w:left="454" w:hanging="284"/>
      <w:jc w:val="left"/>
    </w:pPr>
    <w:rPr>
      <w:kern w:val="0"/>
      <w:sz w:val="24"/>
      <w:szCs w:val="20"/>
    </w:rPr>
  </w:style>
  <w:style w:type="paragraph" w:styleId="11">
    <w:name w:val="caption"/>
    <w:basedOn w:val="1"/>
    <w:next w:val="1"/>
    <w:qFormat/>
    <w:uiPriority w:val="35"/>
    <w:pPr>
      <w:spacing w:before="152" w:after="160"/>
    </w:pPr>
    <w:rPr>
      <w:rFonts w:ascii="Arial" w:hAnsi="Arial" w:eastAsia="黑体" w:cs="Arial"/>
      <w:sz w:val="20"/>
      <w:szCs w:val="20"/>
    </w:rPr>
  </w:style>
  <w:style w:type="paragraph" w:styleId="12">
    <w:name w:val="annotation text"/>
    <w:basedOn w:val="1"/>
    <w:link w:val="47"/>
    <w:unhideWhenUsed/>
    <w:qFormat/>
    <w:uiPriority w:val="99"/>
    <w:pPr>
      <w:jc w:val="left"/>
    </w:pPr>
  </w:style>
  <w:style w:type="paragraph" w:styleId="13">
    <w:name w:val="Body Text 3"/>
    <w:basedOn w:val="1"/>
    <w:link w:val="48"/>
    <w:unhideWhenUsed/>
    <w:qFormat/>
    <w:uiPriority w:val="99"/>
    <w:pPr>
      <w:spacing w:after="120"/>
    </w:pPr>
    <w:rPr>
      <w:sz w:val="16"/>
      <w:szCs w:val="16"/>
    </w:rPr>
  </w:style>
  <w:style w:type="paragraph" w:styleId="14">
    <w:name w:val="Body Text"/>
    <w:basedOn w:val="1"/>
    <w:next w:val="1"/>
    <w:link w:val="49"/>
    <w:unhideWhenUsed/>
    <w:qFormat/>
    <w:uiPriority w:val="99"/>
    <w:pPr>
      <w:spacing w:after="120"/>
    </w:pPr>
  </w:style>
  <w:style w:type="paragraph" w:styleId="15">
    <w:name w:val="Body Text Indent"/>
    <w:basedOn w:val="1"/>
    <w:next w:val="1"/>
    <w:link w:val="50"/>
    <w:unhideWhenUsed/>
    <w:qFormat/>
    <w:uiPriority w:val="99"/>
    <w:pPr>
      <w:ind w:firstLine="830" w:firstLineChars="352"/>
    </w:pPr>
    <w:rPr>
      <w:rFonts w:ascii="仿宋_GB2312" w:eastAsia="仿宋_GB2312"/>
      <w:kern w:val="0"/>
      <w:sz w:val="32"/>
      <w:szCs w:val="20"/>
    </w:rPr>
  </w:style>
  <w:style w:type="paragraph" w:styleId="16">
    <w:name w:val="List 2"/>
    <w:basedOn w:val="1"/>
    <w:unhideWhenUsed/>
    <w:qFormat/>
    <w:uiPriority w:val="99"/>
    <w:pPr>
      <w:ind w:left="100" w:leftChars="200" w:hanging="200" w:hangingChars="200"/>
      <w:contextualSpacing/>
    </w:pPr>
  </w:style>
  <w:style w:type="paragraph" w:styleId="17">
    <w:name w:val="toc 3"/>
    <w:basedOn w:val="1"/>
    <w:next w:val="1"/>
    <w:unhideWhenUsed/>
    <w:qFormat/>
    <w:uiPriority w:val="39"/>
    <w:pPr>
      <w:ind w:left="840" w:leftChars="400"/>
    </w:pPr>
  </w:style>
  <w:style w:type="paragraph" w:styleId="18">
    <w:name w:val="Plain Text"/>
    <w:basedOn w:val="1"/>
    <w:next w:val="5"/>
    <w:link w:val="51"/>
    <w:unhideWhenUsed/>
    <w:qFormat/>
    <w:uiPriority w:val="99"/>
    <w:rPr>
      <w:rFonts w:ascii="宋体" w:hAnsi="Courier New"/>
      <w:kern w:val="0"/>
      <w:sz w:val="20"/>
      <w:szCs w:val="21"/>
    </w:rPr>
  </w:style>
  <w:style w:type="paragraph" w:styleId="19">
    <w:name w:val="Date"/>
    <w:basedOn w:val="1"/>
    <w:next w:val="1"/>
    <w:link w:val="52"/>
    <w:unhideWhenUsed/>
    <w:qFormat/>
    <w:uiPriority w:val="99"/>
    <w:pPr>
      <w:ind w:left="100" w:leftChars="2500"/>
    </w:pPr>
  </w:style>
  <w:style w:type="paragraph" w:styleId="20">
    <w:name w:val="Body Text Indent 2"/>
    <w:basedOn w:val="1"/>
    <w:qFormat/>
    <w:uiPriority w:val="99"/>
    <w:pPr>
      <w:ind w:firstLine="630"/>
    </w:pPr>
    <w:rPr>
      <w:rFonts w:eastAsia="Ђˎ̥"/>
      <w:kern w:val="0"/>
      <w:sz w:val="32"/>
      <w:szCs w:val="20"/>
    </w:rPr>
  </w:style>
  <w:style w:type="paragraph" w:styleId="21">
    <w:name w:val="Balloon Text"/>
    <w:basedOn w:val="1"/>
    <w:link w:val="53"/>
    <w:unhideWhenUsed/>
    <w:qFormat/>
    <w:uiPriority w:val="99"/>
    <w:rPr>
      <w:sz w:val="18"/>
      <w:szCs w:val="18"/>
    </w:rPr>
  </w:style>
  <w:style w:type="paragraph" w:styleId="22">
    <w:name w:val="footer"/>
    <w:basedOn w:val="1"/>
    <w:next w:val="1"/>
    <w:link w:val="41"/>
    <w:unhideWhenUsed/>
    <w:qFormat/>
    <w:uiPriority w:val="99"/>
    <w:pPr>
      <w:tabs>
        <w:tab w:val="center" w:pos="4153"/>
        <w:tab w:val="right" w:pos="8306"/>
      </w:tabs>
      <w:snapToGrid w:val="0"/>
      <w:jc w:val="left"/>
    </w:pPr>
    <w:rPr>
      <w:kern w:val="0"/>
      <w:sz w:val="18"/>
      <w:szCs w:val="18"/>
    </w:rPr>
  </w:style>
  <w:style w:type="paragraph" w:styleId="23">
    <w:name w:val="header"/>
    <w:basedOn w:val="1"/>
    <w:link w:val="5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unhideWhenUsed/>
    <w:qFormat/>
    <w:uiPriority w:val="39"/>
  </w:style>
  <w:style w:type="paragraph" w:styleId="25">
    <w:name w:val="List"/>
    <w:basedOn w:val="1"/>
    <w:unhideWhenUsed/>
    <w:qFormat/>
    <w:uiPriority w:val="99"/>
    <w:pPr>
      <w:ind w:left="200" w:hanging="200" w:hangingChars="200"/>
      <w:contextualSpacing/>
    </w:pPr>
  </w:style>
  <w:style w:type="paragraph" w:styleId="26">
    <w:name w:val="toc 2"/>
    <w:basedOn w:val="1"/>
    <w:next w:val="1"/>
    <w:unhideWhenUsed/>
    <w:qFormat/>
    <w:uiPriority w:val="39"/>
    <w:pPr>
      <w:tabs>
        <w:tab w:val="right" w:leader="dot" w:pos="8296"/>
      </w:tabs>
      <w:ind w:left="420" w:leftChars="200"/>
    </w:pPr>
  </w:style>
  <w:style w:type="paragraph" w:styleId="27">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8">
    <w:name w:val="Title"/>
    <w:basedOn w:val="1"/>
    <w:next w:val="1"/>
    <w:qFormat/>
    <w:uiPriority w:val="10"/>
    <w:pPr>
      <w:spacing w:before="240" w:after="60"/>
      <w:jc w:val="center"/>
      <w:outlineLvl w:val="0"/>
    </w:pPr>
    <w:rPr>
      <w:rFonts w:ascii="Cambria" w:hAnsi="Cambria"/>
      <w:b/>
      <w:bCs/>
      <w:sz w:val="32"/>
      <w:szCs w:val="32"/>
    </w:rPr>
  </w:style>
  <w:style w:type="paragraph" w:styleId="29">
    <w:name w:val="annotation subject"/>
    <w:basedOn w:val="12"/>
    <w:next w:val="12"/>
    <w:link w:val="55"/>
    <w:unhideWhenUsed/>
    <w:qFormat/>
    <w:uiPriority w:val="99"/>
    <w:rPr>
      <w:b/>
      <w:bCs/>
    </w:rPr>
  </w:style>
  <w:style w:type="paragraph" w:styleId="30">
    <w:name w:val="Body Text First Indent 2"/>
    <w:basedOn w:val="15"/>
    <w:next w:val="31"/>
    <w:qFormat/>
    <w:uiPriority w:val="0"/>
    <w:pPr>
      <w:spacing w:after="120"/>
      <w:ind w:left="420" w:leftChars="200" w:firstLine="420" w:firstLineChars="200"/>
    </w:pPr>
    <w:rPr>
      <w:rFonts w:ascii="Times New Roman" w:eastAsia="宋体"/>
      <w:sz w:val="21"/>
      <w:szCs w:val="24"/>
    </w:rPr>
  </w:style>
  <w:style w:type="paragraph" w:styleId="31">
    <w:name w:val="Intense Quote"/>
    <w:basedOn w:val="1"/>
    <w:next w:val="1"/>
    <w:qFormat/>
    <w:uiPriority w:val="0"/>
    <w:pPr>
      <w:wordWrap w:val="0"/>
      <w:spacing w:before="360" w:after="360"/>
      <w:ind w:left="950" w:right="950"/>
      <w:jc w:val="center"/>
    </w:pPr>
    <w:rPr>
      <w:rFonts w:ascii="Calibri" w:hAnsi="Calibri" w:eastAsia="宋体" w:cs="Times New Roman"/>
      <w:i/>
      <w:sz w:val="21"/>
      <w:lang w:val="en-US" w:eastAsia="zh-CN" w:bidi="ar-SA"/>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basedOn w:val="34"/>
    <w:qFormat/>
    <w:uiPriority w:val="22"/>
    <w:rPr>
      <w:b/>
    </w:rPr>
  </w:style>
  <w:style w:type="character" w:styleId="36">
    <w:name w:val="endnote reference"/>
    <w:unhideWhenUsed/>
    <w:qFormat/>
    <w:uiPriority w:val="99"/>
    <w:rPr>
      <w:vertAlign w:val="superscript"/>
    </w:rPr>
  </w:style>
  <w:style w:type="character" w:styleId="37">
    <w:name w:val="page number"/>
    <w:unhideWhenUsed/>
    <w:qFormat/>
    <w:uiPriority w:val="99"/>
  </w:style>
  <w:style w:type="character" w:styleId="38">
    <w:name w:val="FollowedHyperlink"/>
    <w:unhideWhenUsed/>
    <w:qFormat/>
    <w:uiPriority w:val="99"/>
    <w:rPr>
      <w:color w:val="800080"/>
      <w:u w:val="single"/>
    </w:rPr>
  </w:style>
  <w:style w:type="character" w:styleId="39">
    <w:name w:val="Hyperlink"/>
    <w:unhideWhenUsed/>
    <w:qFormat/>
    <w:uiPriority w:val="99"/>
    <w:rPr>
      <w:color w:val="0000FF"/>
      <w:u w:val="single"/>
    </w:rPr>
  </w:style>
  <w:style w:type="character" w:styleId="40">
    <w:name w:val="annotation reference"/>
    <w:unhideWhenUsed/>
    <w:qFormat/>
    <w:uiPriority w:val="99"/>
    <w:rPr>
      <w:sz w:val="21"/>
      <w:szCs w:val="21"/>
    </w:rPr>
  </w:style>
  <w:style w:type="character" w:customStyle="1" w:styleId="41">
    <w:name w:val="页脚 Char"/>
    <w:link w:val="22"/>
    <w:qFormat/>
    <w:uiPriority w:val="99"/>
    <w:rPr>
      <w:sz w:val="18"/>
      <w:szCs w:val="18"/>
    </w:rPr>
  </w:style>
  <w:style w:type="character" w:customStyle="1" w:styleId="42">
    <w:name w:val="标题 1 字符3"/>
    <w:link w:val="2"/>
    <w:qFormat/>
    <w:uiPriority w:val="9"/>
    <w:rPr>
      <w:b/>
      <w:bCs/>
      <w:kern w:val="44"/>
      <w:sz w:val="44"/>
      <w:szCs w:val="44"/>
    </w:rPr>
  </w:style>
  <w:style w:type="character" w:customStyle="1" w:styleId="43">
    <w:name w:val="标题 2 Char1"/>
    <w:link w:val="3"/>
    <w:qFormat/>
    <w:uiPriority w:val="9"/>
    <w:rPr>
      <w:rFonts w:ascii="Cambria" w:hAnsi="Cambria" w:eastAsia="宋体" w:cs="Times New Roman"/>
      <w:b/>
      <w:bCs/>
      <w:kern w:val="2"/>
      <w:sz w:val="32"/>
      <w:szCs w:val="32"/>
    </w:rPr>
  </w:style>
  <w:style w:type="character" w:customStyle="1" w:styleId="44">
    <w:name w:val="标题 3 Char"/>
    <w:link w:val="4"/>
    <w:qFormat/>
    <w:uiPriority w:val="9"/>
    <w:rPr>
      <w:b/>
      <w:bCs/>
      <w:kern w:val="2"/>
      <w:sz w:val="32"/>
      <w:szCs w:val="32"/>
    </w:rPr>
  </w:style>
  <w:style w:type="character" w:customStyle="1" w:styleId="45">
    <w:name w:val="标题 5 Char"/>
    <w:link w:val="6"/>
    <w:qFormat/>
    <w:uiPriority w:val="9"/>
    <w:rPr>
      <w:rFonts w:ascii="Times New Roman" w:hAnsi="Times New Roman"/>
      <w:b/>
      <w:bCs/>
      <w:kern w:val="2"/>
      <w:sz w:val="28"/>
      <w:szCs w:val="28"/>
    </w:rPr>
  </w:style>
  <w:style w:type="character" w:customStyle="1" w:styleId="46">
    <w:name w:val="标题 8 Char1"/>
    <w:link w:val="8"/>
    <w:qFormat/>
    <w:uiPriority w:val="9"/>
    <w:rPr>
      <w:rFonts w:ascii="等线 Light" w:hAnsi="等线 Light" w:eastAsia="等线 Light" w:cs="Times New Roman"/>
      <w:kern w:val="2"/>
      <w:sz w:val="24"/>
      <w:szCs w:val="24"/>
    </w:rPr>
  </w:style>
  <w:style w:type="character" w:customStyle="1" w:styleId="47">
    <w:name w:val="批注文字 Char1"/>
    <w:link w:val="12"/>
    <w:qFormat/>
    <w:uiPriority w:val="0"/>
    <w:rPr>
      <w:rFonts w:ascii="Times New Roman" w:hAnsi="Times New Roman"/>
      <w:kern w:val="2"/>
      <w:sz w:val="21"/>
      <w:szCs w:val="24"/>
    </w:rPr>
  </w:style>
  <w:style w:type="character" w:customStyle="1" w:styleId="48">
    <w:name w:val="正文文本 3 Char"/>
    <w:link w:val="13"/>
    <w:qFormat/>
    <w:uiPriority w:val="99"/>
    <w:rPr>
      <w:kern w:val="2"/>
      <w:sz w:val="16"/>
      <w:szCs w:val="16"/>
    </w:rPr>
  </w:style>
  <w:style w:type="character" w:customStyle="1" w:styleId="49">
    <w:name w:val="正文文本 Char1"/>
    <w:link w:val="14"/>
    <w:qFormat/>
    <w:uiPriority w:val="0"/>
    <w:rPr>
      <w:rFonts w:ascii="Times New Roman" w:hAnsi="Times New Roman"/>
      <w:kern w:val="2"/>
      <w:sz w:val="21"/>
      <w:szCs w:val="24"/>
    </w:rPr>
  </w:style>
  <w:style w:type="character" w:customStyle="1" w:styleId="50">
    <w:name w:val="正文文本缩进 Char"/>
    <w:link w:val="15"/>
    <w:qFormat/>
    <w:uiPriority w:val="0"/>
    <w:rPr>
      <w:rFonts w:ascii="仿宋_GB2312" w:hAnsi="Times New Roman" w:eastAsia="仿宋_GB2312" w:cs="Times New Roman"/>
      <w:sz w:val="32"/>
      <w:szCs w:val="20"/>
    </w:rPr>
  </w:style>
  <w:style w:type="character" w:customStyle="1" w:styleId="51">
    <w:name w:val="纯文本 Char1"/>
    <w:link w:val="18"/>
    <w:qFormat/>
    <w:uiPriority w:val="0"/>
    <w:rPr>
      <w:rFonts w:ascii="宋体" w:hAnsi="Courier New" w:eastAsia="宋体" w:cs="Courier New"/>
      <w:szCs w:val="21"/>
    </w:rPr>
  </w:style>
  <w:style w:type="character" w:customStyle="1" w:styleId="52">
    <w:name w:val="日期 Char"/>
    <w:link w:val="19"/>
    <w:qFormat/>
    <w:uiPriority w:val="99"/>
    <w:rPr>
      <w:rFonts w:ascii="Times New Roman" w:hAnsi="Times New Roman"/>
      <w:kern w:val="2"/>
      <w:sz w:val="21"/>
      <w:szCs w:val="24"/>
    </w:rPr>
  </w:style>
  <w:style w:type="character" w:customStyle="1" w:styleId="53">
    <w:name w:val="批注框文本 Char"/>
    <w:link w:val="21"/>
    <w:semiHidden/>
    <w:qFormat/>
    <w:uiPriority w:val="99"/>
    <w:rPr>
      <w:kern w:val="2"/>
      <w:sz w:val="18"/>
      <w:szCs w:val="18"/>
    </w:rPr>
  </w:style>
  <w:style w:type="character" w:customStyle="1" w:styleId="54">
    <w:name w:val="页眉 Char"/>
    <w:link w:val="23"/>
    <w:qFormat/>
    <w:uiPriority w:val="99"/>
    <w:rPr>
      <w:sz w:val="18"/>
      <w:szCs w:val="18"/>
    </w:rPr>
  </w:style>
  <w:style w:type="character" w:customStyle="1" w:styleId="55">
    <w:name w:val="批注主题 Char"/>
    <w:link w:val="29"/>
    <w:qFormat/>
    <w:uiPriority w:val="99"/>
    <w:rPr>
      <w:rFonts w:ascii="Times New Roman" w:hAnsi="Times New Roman"/>
      <w:b/>
      <w:bCs/>
      <w:kern w:val="2"/>
      <w:sz w:val="21"/>
      <w:szCs w:val="24"/>
    </w:rPr>
  </w:style>
  <w:style w:type="character" w:customStyle="1" w:styleId="56">
    <w:name w:val="标题 1 Char"/>
    <w:link w:val="2"/>
    <w:qFormat/>
    <w:uiPriority w:val="9"/>
    <w:rPr>
      <w:b/>
      <w:bCs/>
      <w:kern w:val="44"/>
      <w:sz w:val="44"/>
      <w:szCs w:val="44"/>
    </w:rPr>
  </w:style>
  <w:style w:type="character" w:customStyle="1" w:styleId="57">
    <w:name w:val="标题 3 字符"/>
    <w:qFormat/>
    <w:uiPriority w:val="9"/>
    <w:rPr>
      <w:b/>
      <w:bCs/>
      <w:kern w:val="2"/>
      <w:sz w:val="32"/>
      <w:szCs w:val="32"/>
    </w:rPr>
  </w:style>
  <w:style w:type="character" w:customStyle="1" w:styleId="58">
    <w:name w:val="批注主题 字符"/>
    <w:qFormat/>
    <w:uiPriority w:val="99"/>
    <w:rPr>
      <w:rFonts w:ascii="Times New Roman" w:hAnsi="Times New Roman"/>
      <w:b/>
      <w:bCs/>
      <w:kern w:val="2"/>
      <w:sz w:val="21"/>
      <w:szCs w:val="24"/>
    </w:rPr>
  </w:style>
  <w:style w:type="character" w:customStyle="1" w:styleId="59">
    <w:name w:val="textcontents"/>
    <w:qFormat/>
    <w:uiPriority w:val="0"/>
  </w:style>
  <w:style w:type="character" w:customStyle="1" w:styleId="60">
    <w:name w:val="标题 2 Char"/>
    <w:qFormat/>
    <w:uiPriority w:val="9"/>
    <w:rPr>
      <w:rFonts w:ascii="Cambria" w:hAnsi="Cambria" w:eastAsia="宋体" w:cs="Times New Roman"/>
      <w:b/>
      <w:bCs/>
      <w:kern w:val="2"/>
      <w:sz w:val="32"/>
      <w:szCs w:val="32"/>
    </w:rPr>
  </w:style>
  <w:style w:type="character" w:customStyle="1" w:styleId="61">
    <w:name w:val="批注文字 字符2"/>
    <w:qFormat/>
    <w:uiPriority w:val="99"/>
    <w:rPr>
      <w:kern w:val="2"/>
      <w:sz w:val="21"/>
      <w:szCs w:val="24"/>
    </w:rPr>
  </w:style>
  <w:style w:type="character" w:customStyle="1" w:styleId="62">
    <w:name w:val="标题 1 字符1"/>
    <w:qFormat/>
    <w:uiPriority w:val="0"/>
    <w:rPr>
      <w:b/>
      <w:bCs/>
      <w:kern w:val="44"/>
      <w:sz w:val="44"/>
      <w:szCs w:val="44"/>
    </w:rPr>
  </w:style>
  <w:style w:type="character" w:customStyle="1" w:styleId="63">
    <w:name w:val="纯文本 字符3"/>
    <w:qFormat/>
    <w:uiPriority w:val="99"/>
    <w:rPr>
      <w:rFonts w:ascii="宋体" w:hAnsi="Courier New"/>
      <w:szCs w:val="21"/>
    </w:rPr>
  </w:style>
  <w:style w:type="character" w:customStyle="1" w:styleId="64">
    <w:name w:val="纯文本 字符2"/>
    <w:qFormat/>
    <w:uiPriority w:val="0"/>
    <w:rPr>
      <w:rFonts w:ascii="宋体" w:hAnsi="Courier New" w:eastAsia="宋体" w:cs="Courier New"/>
      <w:szCs w:val="21"/>
    </w:rPr>
  </w:style>
  <w:style w:type="character" w:customStyle="1" w:styleId="65">
    <w:name w:val="正文文本 字符1"/>
    <w:qFormat/>
    <w:uiPriority w:val="99"/>
    <w:rPr>
      <w:kern w:val="2"/>
      <w:sz w:val="21"/>
      <w:szCs w:val="24"/>
    </w:rPr>
  </w:style>
  <w:style w:type="character" w:customStyle="1" w:styleId="66">
    <w:name w:val="页脚 字符"/>
    <w:qFormat/>
    <w:uiPriority w:val="99"/>
    <w:rPr>
      <w:sz w:val="18"/>
      <w:szCs w:val="18"/>
    </w:rPr>
  </w:style>
  <w:style w:type="character" w:customStyle="1" w:styleId="67">
    <w:name w:val="批注文字 字符1"/>
    <w:qFormat/>
    <w:uiPriority w:val="0"/>
    <w:rPr>
      <w:rFonts w:ascii="Times New Roman" w:hAnsi="Times New Roman"/>
      <w:kern w:val="2"/>
      <w:sz w:val="21"/>
      <w:szCs w:val="24"/>
    </w:rPr>
  </w:style>
  <w:style w:type="character" w:customStyle="1" w:styleId="68">
    <w:name w:val="标题 8 Char"/>
    <w:qFormat/>
    <w:uiPriority w:val="0"/>
    <w:rPr>
      <w:rFonts w:ascii="Arial" w:hAnsi="Arial" w:eastAsia="黑体"/>
      <w:kern w:val="2"/>
      <w:sz w:val="24"/>
      <w:szCs w:val="24"/>
    </w:rPr>
  </w:style>
  <w:style w:type="character" w:customStyle="1" w:styleId="69">
    <w:name w:val="正文文本 Char"/>
    <w:qFormat/>
    <w:uiPriority w:val="0"/>
    <w:rPr>
      <w:rFonts w:ascii="Times New Roman" w:hAnsi="Times New Roman"/>
      <w:kern w:val="2"/>
      <w:sz w:val="21"/>
      <w:szCs w:val="24"/>
    </w:rPr>
  </w:style>
  <w:style w:type="character" w:customStyle="1" w:styleId="70">
    <w:name w:val="正文文本 3 字符"/>
    <w:qFormat/>
    <w:uiPriority w:val="99"/>
    <w:rPr>
      <w:kern w:val="2"/>
      <w:sz w:val="16"/>
      <w:szCs w:val="16"/>
    </w:rPr>
  </w:style>
  <w:style w:type="character" w:customStyle="1" w:styleId="71">
    <w:name w:val="批注文字 字符"/>
    <w:qFormat/>
    <w:uiPriority w:val="0"/>
    <w:rPr>
      <w:rFonts w:ascii="Times New Roman" w:hAnsi="Times New Roman"/>
      <w:kern w:val="2"/>
      <w:sz w:val="21"/>
      <w:szCs w:val="24"/>
    </w:rPr>
  </w:style>
  <w:style w:type="character" w:customStyle="1" w:styleId="72">
    <w:name w:val="页眉 字符"/>
    <w:qFormat/>
    <w:uiPriority w:val="99"/>
    <w:rPr>
      <w:sz w:val="18"/>
      <w:szCs w:val="18"/>
    </w:rPr>
  </w:style>
  <w:style w:type="character" w:customStyle="1" w:styleId="73">
    <w:name w:val="纯文本 字符"/>
    <w:qFormat/>
    <w:uiPriority w:val="0"/>
    <w:rPr>
      <w:rFonts w:ascii="宋体" w:hAnsi="Courier New" w:eastAsia="宋体" w:cs="Courier New"/>
      <w:szCs w:val="21"/>
    </w:rPr>
  </w:style>
  <w:style w:type="character" w:customStyle="1" w:styleId="74">
    <w:name w:val="正文2 Char Char"/>
    <w:link w:val="75"/>
    <w:qFormat/>
    <w:uiPriority w:val="0"/>
    <w:rPr>
      <w:sz w:val="24"/>
    </w:rPr>
  </w:style>
  <w:style w:type="paragraph" w:customStyle="1" w:styleId="75">
    <w:name w:val="正文2"/>
    <w:basedOn w:val="1"/>
    <w:link w:val="74"/>
    <w:qFormat/>
    <w:uiPriority w:val="0"/>
    <w:pPr>
      <w:adjustRightInd w:val="0"/>
      <w:spacing w:before="156" w:line="360" w:lineRule="auto"/>
      <w:ind w:firstLine="510" w:firstLineChars="200"/>
    </w:pPr>
    <w:rPr>
      <w:kern w:val="0"/>
      <w:sz w:val="24"/>
      <w:szCs w:val="20"/>
    </w:rPr>
  </w:style>
  <w:style w:type="character" w:customStyle="1" w:styleId="76">
    <w:name w:val="apple-style-span"/>
    <w:qFormat/>
    <w:uiPriority w:val="0"/>
  </w:style>
  <w:style w:type="character" w:customStyle="1" w:styleId="77">
    <w:name w:val="纯文本 字符1"/>
    <w:qFormat/>
    <w:uiPriority w:val="0"/>
    <w:rPr>
      <w:rFonts w:ascii="宋体" w:hAnsi="Courier New"/>
    </w:rPr>
  </w:style>
  <w:style w:type="character" w:customStyle="1" w:styleId="78">
    <w:name w:val="纯文本 Char"/>
    <w:qFormat/>
    <w:uiPriority w:val="0"/>
    <w:rPr>
      <w:rFonts w:ascii="宋体" w:hAnsi="Courier New" w:eastAsia="宋体" w:cs="Courier New"/>
      <w:szCs w:val="21"/>
    </w:rPr>
  </w:style>
  <w:style w:type="character" w:customStyle="1" w:styleId="79">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0">
    <w:name w:val="正文文本 字符"/>
    <w:qFormat/>
    <w:uiPriority w:val="0"/>
    <w:rPr>
      <w:rFonts w:ascii="Times New Roman" w:hAnsi="Times New Roman"/>
      <w:kern w:val="2"/>
      <w:sz w:val="21"/>
      <w:szCs w:val="24"/>
    </w:rPr>
  </w:style>
  <w:style w:type="character" w:customStyle="1" w:styleId="81">
    <w:name w:val="批注文字 Char"/>
    <w:qFormat/>
    <w:uiPriority w:val="0"/>
    <w:rPr>
      <w:rFonts w:ascii="Times New Roman" w:hAnsi="Times New Roman"/>
      <w:kern w:val="2"/>
      <w:sz w:val="21"/>
      <w:szCs w:val="24"/>
    </w:rPr>
  </w:style>
  <w:style w:type="character" w:customStyle="1" w:styleId="82">
    <w:name w:val="未处理的提及"/>
    <w:unhideWhenUsed/>
    <w:qFormat/>
    <w:uiPriority w:val="99"/>
    <w:rPr>
      <w:color w:val="605E5C"/>
      <w:shd w:val="clear" w:color="auto" w:fill="E1DFDD"/>
    </w:rPr>
  </w:style>
  <w:style w:type="character" w:customStyle="1" w:styleId="83">
    <w:name w:val="标题 1 字符"/>
    <w:qFormat/>
    <w:uiPriority w:val="9"/>
    <w:rPr>
      <w:b/>
      <w:bCs/>
      <w:kern w:val="44"/>
      <w:sz w:val="44"/>
      <w:szCs w:val="44"/>
    </w:rPr>
  </w:style>
  <w:style w:type="character" w:customStyle="1" w:styleId="84">
    <w:name w:val="标题 2 字符"/>
    <w:qFormat/>
    <w:uiPriority w:val="9"/>
    <w:rPr>
      <w:rFonts w:ascii="Cambria" w:hAnsi="Cambria"/>
      <w:b/>
      <w:bCs/>
      <w:kern w:val="2"/>
      <w:sz w:val="32"/>
      <w:szCs w:val="32"/>
    </w:rPr>
  </w:style>
  <w:style w:type="character" w:customStyle="1" w:styleId="85">
    <w:name w:val="标题 5 字符"/>
    <w:qFormat/>
    <w:uiPriority w:val="9"/>
    <w:rPr>
      <w:b/>
      <w:bCs/>
      <w:kern w:val="2"/>
      <w:sz w:val="28"/>
      <w:szCs w:val="28"/>
    </w:rPr>
  </w:style>
  <w:style w:type="character" w:customStyle="1" w:styleId="86">
    <w:name w:val="标题 8 字符"/>
    <w:qFormat/>
    <w:uiPriority w:val="9"/>
    <w:rPr>
      <w:rFonts w:ascii="等线 Light" w:hAnsi="等线 Light" w:eastAsia="等线 Light"/>
      <w:kern w:val="2"/>
      <w:sz w:val="24"/>
      <w:szCs w:val="24"/>
    </w:rPr>
  </w:style>
  <w:style w:type="character" w:customStyle="1" w:styleId="87">
    <w:name w:val="正文文本缩进 字符"/>
    <w:qFormat/>
    <w:uiPriority w:val="99"/>
    <w:rPr>
      <w:rFonts w:ascii="仿宋_GB2312" w:eastAsia="仿宋_GB2312"/>
      <w:sz w:val="32"/>
    </w:rPr>
  </w:style>
  <w:style w:type="character" w:customStyle="1" w:styleId="88">
    <w:name w:val="日期 字符"/>
    <w:qFormat/>
    <w:uiPriority w:val="99"/>
    <w:rPr>
      <w:kern w:val="2"/>
      <w:sz w:val="21"/>
      <w:szCs w:val="24"/>
    </w:rPr>
  </w:style>
  <w:style w:type="paragraph" w:customStyle="1" w:styleId="89">
    <w:name w:val="表格文字"/>
    <w:basedOn w:val="1"/>
    <w:qFormat/>
    <w:uiPriority w:val="99"/>
    <w:pPr>
      <w:adjustRightInd/>
      <w:spacing w:before="25" w:after="25" w:line="240" w:lineRule="auto"/>
      <w:ind w:firstLine="0" w:firstLineChars="0"/>
      <w:jc w:val="left"/>
      <w:textAlignment w:val="auto"/>
    </w:pPr>
    <w:rPr>
      <w:rFonts w:ascii="Tahoma" w:hAnsi="Tahoma"/>
      <w:bCs/>
      <w:spacing w:val="10"/>
    </w:rPr>
  </w:style>
  <w:style w:type="paragraph" w:customStyle="1" w:styleId="90">
    <w:name w:val="BodyText"/>
    <w:basedOn w:val="1"/>
    <w:qFormat/>
    <w:uiPriority w:val="0"/>
    <w:pPr>
      <w:spacing w:line="380" w:lineRule="exact"/>
    </w:pPr>
    <w:rPr>
      <w:sz w:val="24"/>
    </w:rPr>
  </w:style>
  <w:style w:type="paragraph" w:customStyle="1" w:styleId="91">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customStyle="1" w:styleId="92">
    <w:name w:val="小标题"/>
    <w:basedOn w:val="1"/>
    <w:qFormat/>
    <w:uiPriority w:val="0"/>
    <w:pPr>
      <w:numPr>
        <w:ilvl w:val="0"/>
        <w:numId w:val="1"/>
      </w:numPr>
      <w:spacing w:line="360" w:lineRule="auto"/>
    </w:pPr>
    <w:rPr>
      <w:sz w:val="24"/>
    </w:rPr>
  </w:style>
  <w:style w:type="paragraph" w:customStyle="1" w:styleId="93">
    <w:name w:val="_Style 92"/>
    <w:basedOn w:val="2"/>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94">
    <w:name w:val="正文@中勤招标"/>
    <w:basedOn w:val="1"/>
    <w:qFormat/>
    <w:uiPriority w:val="0"/>
    <w:pPr>
      <w:adjustRightInd w:val="0"/>
      <w:spacing w:line="360" w:lineRule="auto"/>
      <w:ind w:firstLine="200" w:firstLineChars="200"/>
    </w:pPr>
    <w:rPr>
      <w:rFonts w:ascii="宋体" w:hAnsi="宋体"/>
      <w:sz w:val="24"/>
      <w:szCs w:val="21"/>
      <w:lang w:eastAsia="zh-Hans"/>
    </w:rPr>
  </w:style>
  <w:style w:type="paragraph" w:customStyle="1" w:styleId="95">
    <w:name w:val="_Style 94"/>
    <w:basedOn w:val="1"/>
    <w:unhideWhenUsed/>
    <w:qFormat/>
    <w:uiPriority w:val="99"/>
  </w:style>
  <w:style w:type="paragraph" w:styleId="96">
    <w:name w:val="List Paragraph"/>
    <w:basedOn w:val="1"/>
    <w:qFormat/>
    <w:uiPriority w:val="34"/>
    <w:pPr>
      <w:ind w:firstLine="420" w:firstLineChars="200"/>
    </w:pPr>
  </w:style>
  <w:style w:type="paragraph" w:customStyle="1" w:styleId="97">
    <w:name w:val="msonormal"/>
    <w:basedOn w:val="1"/>
    <w:qFormat/>
    <w:uiPriority w:val="99"/>
    <w:rPr>
      <w:rFonts w:ascii="Calibri" w:hAnsi="Calibri"/>
      <w:kern w:val="0"/>
      <w:sz w:val="24"/>
    </w:rPr>
  </w:style>
  <w:style w:type="paragraph" w:customStyle="1" w:styleId="98">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99">
    <w:name w:val="Table Paragraph"/>
    <w:basedOn w:val="1"/>
    <w:qFormat/>
    <w:uiPriority w:val="1"/>
    <w:pPr>
      <w:jc w:val="left"/>
    </w:pPr>
    <w:rPr>
      <w:rFonts w:ascii="Calibri" w:hAnsi="Calibri"/>
      <w:kern w:val="0"/>
      <w:sz w:val="22"/>
      <w:szCs w:val="22"/>
      <w:lang w:eastAsia="en-US"/>
    </w:rPr>
  </w:style>
  <w:style w:type="paragraph" w:customStyle="1" w:styleId="100">
    <w:name w:val="_Style 95"/>
    <w:basedOn w:val="1"/>
    <w:unhideWhenUsed/>
    <w:qFormat/>
    <w:uiPriority w:val="99"/>
  </w:style>
  <w:style w:type="paragraph" w:customStyle="1" w:styleId="101">
    <w:name w:val="正文缩进1"/>
    <w:basedOn w:val="1"/>
    <w:next w:val="15"/>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102">
    <w:name w:val="Char Char Char Char"/>
    <w:basedOn w:val="1"/>
    <w:qFormat/>
    <w:uiPriority w:val="99"/>
    <w:pPr>
      <w:widowControl/>
      <w:spacing w:after="160" w:line="240" w:lineRule="exact"/>
      <w:jc w:val="left"/>
    </w:pPr>
  </w:style>
  <w:style w:type="paragraph" w:customStyle="1" w:styleId="103">
    <w:name w:val="默认段落字体 Para Char Char Char Char Char Char Char Char Char1 Char Char Char Char"/>
    <w:basedOn w:val="1"/>
    <w:qFormat/>
    <w:uiPriority w:val="99"/>
    <w:rPr>
      <w:rFonts w:ascii="Tahoma" w:hAnsi="Tahoma"/>
      <w:sz w:val="24"/>
      <w:szCs w:val="20"/>
    </w:rPr>
  </w:style>
  <w:style w:type="paragraph" w:customStyle="1" w:styleId="104">
    <w:name w:val="Default"/>
    <w:next w:val="105"/>
    <w:qFormat/>
    <w:uiPriority w:val="99"/>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05">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06">
    <w:name w:val="NormalCharacter"/>
    <w:qFormat/>
    <w:uiPriority w:val="0"/>
  </w:style>
  <w:style w:type="paragraph" w:customStyle="1" w:styleId="107">
    <w:name w:val="PlainText"/>
    <w:basedOn w:val="1"/>
    <w:qFormat/>
    <w:uiPriority w:val="0"/>
    <w:pPr>
      <w:widowControl/>
      <w:textAlignment w:val="baseline"/>
    </w:pPr>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102</Pages>
  <Words>8526</Words>
  <Characters>9292</Characters>
  <Lines>335</Lines>
  <Paragraphs>94</Paragraphs>
  <TotalTime>55</TotalTime>
  <ScaleCrop>false</ScaleCrop>
  <LinksUpToDate>false</LinksUpToDate>
  <CharactersWithSpaces>9438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2021-08-17T04:20:00Z</dcterms:created>
  <dc:creator>Administrator</dc:creator>
  <cp:lastModifiedBy>Administrator</cp:lastModifiedBy>
  <cp:lastPrinted>2021-08-26T02:26:00Z</cp:lastPrinted>
  <dcterms:modified xsi:type="dcterms:W3CDTF">2026-05-29T07:55:53Z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12505C3747934566BC014EB8EFFFFF20_13</vt:lpwstr>
  </property>
  <property fmtid="{D5CDD505-2E9C-101B-9397-08002B2CF9AE}" pid="4" name="KSOTemplateDocerSaveRecord">
    <vt:lpwstr>eyJoZGlkIjoiOGM2ZjY5ZDNmZGExZjA2MWZhYTNmMmQ0YWVmNjM2MWUiLCJ1c2VySWQiOiIzMDI4MjMwNzUifQ==</vt:lpwstr>
  </property>
</Properties>
</file>