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E096E">
      <w:pPr>
        <w:spacing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rPr>
        <w:t>广西同泽工程项目管理股份有限公司</w:t>
      </w:r>
    </w:p>
    <w:p w14:paraId="00E19619">
      <w:pPr>
        <w:spacing w:line="360" w:lineRule="auto"/>
        <w:jc w:val="center"/>
        <w:rPr>
          <w:rFonts w:ascii="宋体" w:hAnsi="宋体" w:cs="宋体"/>
          <w:color w:val="auto"/>
          <w:sz w:val="72"/>
          <w:szCs w:val="72"/>
          <w:highlight w:val="none"/>
        </w:rPr>
      </w:pPr>
    </w:p>
    <w:p w14:paraId="51D267E3">
      <w:pPr>
        <w:spacing w:line="360" w:lineRule="auto"/>
        <w:jc w:val="center"/>
        <w:rPr>
          <w:rFonts w:ascii="宋体" w:hAnsi="宋体" w:cs="宋体"/>
          <w:b/>
          <w:color w:val="auto"/>
          <w:sz w:val="44"/>
          <w:szCs w:val="44"/>
          <w:highlight w:val="none"/>
        </w:rPr>
      </w:pPr>
    </w:p>
    <w:p w14:paraId="781C0673">
      <w:pPr>
        <w:snapToGrid w:val="0"/>
        <w:spacing w:before="156" w:beforeLines="50" w:line="360" w:lineRule="auto"/>
        <w:jc w:val="center"/>
        <w:rPr>
          <w:rFonts w:ascii="宋体" w:hAnsi="宋体" w:cs="宋体"/>
          <w:color w:val="auto"/>
          <w:sz w:val="120"/>
          <w:szCs w:val="120"/>
          <w:highlight w:val="none"/>
        </w:rPr>
      </w:pPr>
      <w:r>
        <w:rPr>
          <w:rFonts w:hint="eastAsia" w:ascii="宋体" w:hAnsi="宋体" w:cs="宋体"/>
          <w:color w:val="auto"/>
          <w:sz w:val="120"/>
          <w:szCs w:val="120"/>
          <w:highlight w:val="none"/>
        </w:rPr>
        <w:t>竞争性谈判文件</w:t>
      </w:r>
    </w:p>
    <w:p w14:paraId="01AAA15B">
      <w:pPr>
        <w:snapToGrid w:val="0"/>
        <w:spacing w:before="156" w:beforeLines="50" w:line="360" w:lineRule="auto"/>
        <w:jc w:val="center"/>
        <w:rPr>
          <w:rFonts w:hint="eastAsia" w:ascii="宋体" w:hAnsi="宋体" w:cs="宋体"/>
          <w:b/>
          <w:color w:val="auto"/>
          <w:sz w:val="48"/>
          <w:szCs w:val="48"/>
          <w:highlight w:val="none"/>
        </w:rPr>
      </w:pPr>
    </w:p>
    <w:p w14:paraId="668797DC">
      <w:pPr>
        <w:snapToGrid w:val="0"/>
        <w:spacing w:before="156" w:beforeLines="50" w:line="360" w:lineRule="auto"/>
        <w:jc w:val="center"/>
        <w:rPr>
          <w:rFonts w:ascii="宋体" w:hAnsi="宋体" w:cs="宋体"/>
          <w:b/>
          <w:color w:val="auto"/>
          <w:sz w:val="30"/>
          <w:szCs w:val="72"/>
          <w:highlight w:val="none"/>
        </w:rPr>
      </w:pPr>
      <w:r>
        <w:rPr>
          <w:rFonts w:hint="eastAsia" w:ascii="宋体" w:hAnsi="宋体" w:cs="宋体"/>
          <w:b/>
          <w:color w:val="auto"/>
          <w:sz w:val="48"/>
          <w:szCs w:val="48"/>
          <w:highlight w:val="none"/>
        </w:rPr>
        <w:t>（全流程电子化采购）</w:t>
      </w:r>
    </w:p>
    <w:p w14:paraId="3241AD60">
      <w:pPr>
        <w:snapToGrid w:val="0"/>
        <w:spacing w:line="360" w:lineRule="auto"/>
        <w:rPr>
          <w:rFonts w:ascii="宋体" w:hAnsi="宋体" w:cs="宋体"/>
          <w:color w:val="auto"/>
          <w:sz w:val="30"/>
          <w:szCs w:val="72"/>
          <w:highlight w:val="none"/>
        </w:rPr>
      </w:pPr>
    </w:p>
    <w:p w14:paraId="636A5EB8">
      <w:pPr>
        <w:pStyle w:val="17"/>
        <w:snapToGrid w:val="0"/>
        <w:spacing w:line="360" w:lineRule="auto"/>
        <w:ind w:left="2693" w:leftChars="568" w:hanging="1500" w:hangingChars="498"/>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w:t>
      </w:r>
      <w:r>
        <w:rPr>
          <w:rFonts w:hint="eastAsia" w:hAnsi="宋体" w:cs="宋体"/>
          <w:b/>
          <w:bCs/>
          <w:color w:val="auto"/>
          <w:w w:val="95"/>
          <w:sz w:val="30"/>
          <w:szCs w:val="30"/>
          <w:highlight w:val="none"/>
        </w:rPr>
        <w:t>名称</w:t>
      </w:r>
      <w:r>
        <w:rPr>
          <w:rFonts w:hint="eastAsia" w:hAnsi="宋体" w:cs="宋体"/>
          <w:b/>
          <w:bCs/>
          <w:color w:val="auto"/>
          <w:sz w:val="30"/>
          <w:szCs w:val="30"/>
          <w:highlight w:val="none"/>
        </w:rPr>
        <w:t>：</w:t>
      </w:r>
      <w:r>
        <w:rPr>
          <w:rFonts w:hint="eastAsia" w:hAnsi="宋体" w:cs="宋体"/>
          <w:b/>
          <w:bCs/>
          <w:color w:val="auto"/>
          <w:sz w:val="30"/>
          <w:szCs w:val="30"/>
          <w:highlight w:val="none"/>
          <w:lang w:eastAsia="zh-CN"/>
        </w:rPr>
        <w:t>全区检察机关信访联动指挥一体化系统项目（重）</w:t>
      </w:r>
    </w:p>
    <w:p w14:paraId="3217EBBF">
      <w:pPr>
        <w:pStyle w:val="17"/>
        <w:snapToGrid w:val="0"/>
        <w:spacing w:line="360" w:lineRule="auto"/>
        <w:ind w:left="2693" w:leftChars="568" w:hanging="1500" w:hangingChars="498"/>
        <w:rPr>
          <w:rFonts w:hint="eastAsia" w:hAnsi="宋体" w:cs="宋体"/>
          <w:b/>
          <w:bCs/>
          <w:color w:val="auto"/>
          <w:sz w:val="30"/>
          <w:szCs w:val="30"/>
          <w:highlight w:val="none"/>
        </w:rPr>
      </w:pPr>
      <w:r>
        <w:rPr>
          <w:rFonts w:hint="eastAsia" w:hAnsi="宋体" w:cs="宋体"/>
          <w:b/>
          <w:bCs/>
          <w:color w:val="auto"/>
          <w:sz w:val="30"/>
          <w:szCs w:val="30"/>
          <w:highlight w:val="none"/>
        </w:rPr>
        <w:t>项目编号：GXZC2026-J1-001125-GXTZ</w:t>
      </w:r>
    </w:p>
    <w:p w14:paraId="4E51A57B">
      <w:pPr>
        <w:pStyle w:val="17"/>
        <w:snapToGrid w:val="0"/>
        <w:spacing w:line="360" w:lineRule="auto"/>
        <w:ind w:left="2693" w:leftChars="568" w:hanging="1500" w:hangingChars="498"/>
        <w:rPr>
          <w:rFonts w:hint="eastAsia" w:hAnsi="宋体" w:cs="宋体"/>
          <w:b/>
          <w:bCs/>
          <w:color w:val="auto"/>
          <w:sz w:val="30"/>
          <w:szCs w:val="30"/>
          <w:highlight w:val="none"/>
        </w:rPr>
      </w:pPr>
      <w:r>
        <w:rPr>
          <w:rFonts w:hint="eastAsia" w:hAnsi="宋体" w:cs="宋体"/>
          <w:b/>
          <w:bCs/>
          <w:color w:val="auto"/>
          <w:sz w:val="30"/>
          <w:szCs w:val="30"/>
          <w:highlight w:val="none"/>
        </w:rPr>
        <w:t>采购人：广西壮族</w:t>
      </w:r>
      <w:r>
        <w:rPr>
          <w:rFonts w:hAnsi="宋体" w:cs="宋体"/>
          <w:b/>
          <w:bCs/>
          <w:color w:val="auto"/>
          <w:sz w:val="30"/>
          <w:szCs w:val="30"/>
          <w:highlight w:val="none"/>
        </w:rPr>
        <w:t>自治区人民检察院</w:t>
      </w:r>
    </w:p>
    <w:p w14:paraId="6711DCAB">
      <w:pPr>
        <w:pStyle w:val="17"/>
        <w:snapToGrid w:val="0"/>
        <w:spacing w:line="360" w:lineRule="auto"/>
        <w:ind w:left="2693" w:leftChars="568" w:hanging="1500" w:hangingChars="498"/>
        <w:rPr>
          <w:rFonts w:hAnsi="宋体" w:cs="宋体"/>
          <w:b/>
          <w:bCs/>
          <w:color w:val="auto"/>
          <w:sz w:val="30"/>
          <w:szCs w:val="30"/>
          <w:highlight w:val="none"/>
        </w:rPr>
      </w:pPr>
      <w:r>
        <w:rPr>
          <w:rFonts w:hint="eastAsia" w:hAnsi="宋体" w:cs="宋体"/>
          <w:b/>
          <w:bCs/>
          <w:color w:val="auto"/>
          <w:sz w:val="30"/>
          <w:szCs w:val="30"/>
          <w:highlight w:val="none"/>
        </w:rPr>
        <w:t>采购代理机构：广西同泽工程项目管理股份有限公司</w:t>
      </w:r>
    </w:p>
    <w:p w14:paraId="4AD55E9F">
      <w:pPr>
        <w:pStyle w:val="17"/>
        <w:snapToGrid w:val="0"/>
        <w:spacing w:line="360" w:lineRule="auto"/>
        <w:ind w:firstLine="1125" w:firstLineChars="393"/>
        <w:rPr>
          <w:rFonts w:hAnsi="宋体" w:cs="宋体"/>
          <w:b/>
          <w:bCs/>
          <w:color w:val="auto"/>
          <w:w w:val="95"/>
          <w:sz w:val="30"/>
          <w:szCs w:val="30"/>
          <w:highlight w:val="none"/>
        </w:rPr>
      </w:pPr>
    </w:p>
    <w:p w14:paraId="7FEFD7F8">
      <w:pPr>
        <w:pStyle w:val="17"/>
        <w:snapToGrid w:val="0"/>
        <w:spacing w:line="360" w:lineRule="auto"/>
        <w:jc w:val="center"/>
        <w:rPr>
          <w:rFonts w:hint="eastAsia" w:hAnsi="宋体" w:cs="宋体"/>
          <w:b/>
          <w:bCs/>
          <w:color w:val="auto"/>
          <w:w w:val="95"/>
          <w:sz w:val="30"/>
          <w:szCs w:val="30"/>
          <w:highlight w:val="none"/>
        </w:rPr>
      </w:pPr>
      <w:r>
        <w:rPr>
          <w:rFonts w:hint="eastAsia" w:hAnsi="宋体" w:cs="宋体"/>
          <w:b/>
          <w:bCs/>
          <w:color w:val="auto"/>
          <w:w w:val="95"/>
          <w:sz w:val="30"/>
          <w:szCs w:val="30"/>
          <w:highlight w:val="none"/>
        </w:rPr>
        <w:t>2026年</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月</w:t>
      </w:r>
    </w:p>
    <w:p w14:paraId="7D7FD65A">
      <w:pPr>
        <w:pStyle w:val="17"/>
        <w:snapToGrid w:val="0"/>
        <w:spacing w:line="360" w:lineRule="auto"/>
        <w:jc w:val="center"/>
        <w:rPr>
          <w:rFonts w:hint="eastAsia" w:hAnsi="宋体" w:cs="宋体"/>
          <w:b/>
          <w:bCs/>
          <w:color w:val="auto"/>
          <w:w w:val="95"/>
          <w:sz w:val="30"/>
          <w:szCs w:val="30"/>
          <w:highlight w:val="none"/>
        </w:rPr>
      </w:pPr>
    </w:p>
    <w:p w14:paraId="105385F8">
      <w:pPr>
        <w:pStyle w:val="17"/>
        <w:snapToGrid w:val="0"/>
        <w:spacing w:line="360" w:lineRule="auto"/>
        <w:jc w:val="center"/>
        <w:rPr>
          <w:rFonts w:hint="eastAsia" w:hAnsi="宋体" w:cs="宋体"/>
          <w:b/>
          <w:bCs/>
          <w:color w:val="auto"/>
          <w:w w:val="95"/>
          <w:sz w:val="30"/>
          <w:szCs w:val="30"/>
          <w:highlight w:val="none"/>
        </w:rPr>
      </w:pPr>
    </w:p>
    <w:p w14:paraId="060457DA">
      <w:pPr>
        <w:pStyle w:val="17"/>
        <w:snapToGrid w:val="0"/>
        <w:spacing w:line="360" w:lineRule="auto"/>
        <w:jc w:val="center"/>
        <w:rPr>
          <w:rFonts w:hint="eastAsia" w:hAnsi="宋体" w:cs="宋体"/>
          <w:b/>
          <w:bCs/>
          <w:color w:val="auto"/>
          <w:w w:val="95"/>
          <w:sz w:val="30"/>
          <w:szCs w:val="30"/>
          <w:highlight w:val="none"/>
        </w:rPr>
      </w:pPr>
    </w:p>
    <w:p w14:paraId="17DD7247">
      <w:pPr>
        <w:pStyle w:val="10"/>
        <w:jc w:val="center"/>
        <w:rPr>
          <w:rFonts w:ascii="宋体" w:hAnsi="宋体" w:cs="宋体"/>
          <w:b/>
          <w:color w:val="auto"/>
          <w:sz w:val="44"/>
          <w:szCs w:val="44"/>
          <w:highlight w:val="none"/>
        </w:rPr>
      </w:pPr>
      <w:r>
        <w:rPr>
          <w:rFonts w:hint="eastAsia" w:ascii="宋体" w:hAnsi="宋体" w:cs="宋体"/>
          <w:b/>
          <w:color w:val="auto"/>
          <w:sz w:val="44"/>
          <w:szCs w:val="44"/>
          <w:highlight w:val="none"/>
        </w:rPr>
        <w:t>目录</w:t>
      </w:r>
    </w:p>
    <w:p w14:paraId="648E9A21">
      <w:pPr>
        <w:spacing w:line="400" w:lineRule="exact"/>
        <w:jc w:val="center"/>
        <w:rPr>
          <w:rFonts w:ascii="宋体" w:hAnsi="宋体" w:cs="宋体"/>
          <w:b/>
          <w:color w:val="auto"/>
          <w:sz w:val="44"/>
          <w:szCs w:val="44"/>
          <w:highlight w:val="none"/>
        </w:rPr>
      </w:pPr>
    </w:p>
    <w:p w14:paraId="4F1DEF50">
      <w:pPr>
        <w:pStyle w:val="22"/>
        <w:tabs>
          <w:tab w:val="right" w:leader="dot" w:pos="8879"/>
        </w:tabs>
        <w:rPr>
          <w:rFonts w:ascii="宋体" w:hAnsi="宋体" w:cs="宋体"/>
          <w:b/>
          <w:bCs/>
          <w:color w:val="auto"/>
          <w:sz w:val="32"/>
          <w:szCs w:val="32"/>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TOC \o "1-1" \h \z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"_Toc1567" </w:instrText>
      </w:r>
      <w:r>
        <w:rPr>
          <w:color w:val="auto"/>
          <w:highlight w:val="none"/>
        </w:rPr>
        <w:fldChar w:fldCharType="separate"/>
      </w:r>
      <w:r>
        <w:rPr>
          <w:rFonts w:hint="eastAsia" w:ascii="宋体" w:hAnsi="宋体" w:cs="宋体"/>
          <w:b/>
          <w:bCs/>
          <w:color w:val="auto"/>
          <w:sz w:val="32"/>
          <w:szCs w:val="32"/>
          <w:highlight w:val="none"/>
        </w:rPr>
        <w:t>第一章  竞争性谈判公告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_Toc1567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32CD8AA8">
      <w:pPr>
        <w:pStyle w:val="22"/>
        <w:tabs>
          <w:tab w:val="right" w:leader="dot" w:pos="8879"/>
        </w:tabs>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"_Toc7662" </w:instrText>
      </w:r>
      <w:r>
        <w:rPr>
          <w:color w:val="auto"/>
          <w:highlight w:val="none"/>
        </w:rPr>
        <w:fldChar w:fldCharType="separate"/>
      </w:r>
      <w:r>
        <w:rPr>
          <w:rFonts w:hint="eastAsia" w:ascii="宋体" w:hAnsi="宋体" w:cs="宋体"/>
          <w:b/>
          <w:bCs/>
          <w:color w:val="auto"/>
          <w:sz w:val="32"/>
          <w:szCs w:val="32"/>
          <w:highlight w:val="none"/>
        </w:rPr>
        <w:t>第二章  供应商须知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_Toc7662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2795BEF5">
      <w:pPr>
        <w:pStyle w:val="22"/>
        <w:tabs>
          <w:tab w:val="right" w:leader="dot" w:pos="8879"/>
        </w:tabs>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"_Toc14190" </w:instrText>
      </w:r>
      <w:r>
        <w:rPr>
          <w:color w:val="auto"/>
          <w:highlight w:val="none"/>
        </w:rPr>
        <w:fldChar w:fldCharType="separate"/>
      </w:r>
      <w:r>
        <w:rPr>
          <w:rFonts w:hint="eastAsia" w:ascii="宋体" w:hAnsi="宋体" w:cs="宋体"/>
          <w:b/>
          <w:bCs/>
          <w:color w:val="auto"/>
          <w:sz w:val="32"/>
          <w:szCs w:val="32"/>
          <w:highlight w:val="none"/>
        </w:rPr>
        <w:t>第三章  采购需求</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_Toc14190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24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2B9D53F5">
      <w:pPr>
        <w:pStyle w:val="22"/>
        <w:tabs>
          <w:tab w:val="right" w:leader="dot" w:pos="8879"/>
        </w:tabs>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"_Toc26130" </w:instrText>
      </w:r>
      <w:r>
        <w:rPr>
          <w:color w:val="auto"/>
          <w:highlight w:val="none"/>
        </w:rPr>
        <w:fldChar w:fldCharType="separate"/>
      </w:r>
      <w:r>
        <w:rPr>
          <w:rFonts w:hint="eastAsia" w:ascii="宋体" w:hAnsi="宋体" w:cs="宋体"/>
          <w:b/>
          <w:bCs/>
          <w:color w:val="auto"/>
          <w:sz w:val="32"/>
          <w:szCs w:val="32"/>
          <w:highlight w:val="none"/>
        </w:rPr>
        <w:t>第四章  评审程序和评定成交的标准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_Toc26130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0E393D7F">
      <w:pPr>
        <w:pStyle w:val="22"/>
        <w:tabs>
          <w:tab w:val="right" w:leader="dot" w:pos="8879"/>
        </w:tabs>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"_Toc20203" </w:instrText>
      </w:r>
      <w:r>
        <w:rPr>
          <w:color w:val="auto"/>
          <w:highlight w:val="none"/>
        </w:rPr>
        <w:fldChar w:fldCharType="separate"/>
      </w:r>
      <w:r>
        <w:rPr>
          <w:rFonts w:hint="eastAsia" w:ascii="宋体" w:hAnsi="宋体" w:cs="宋体"/>
          <w:b/>
          <w:bCs/>
          <w:color w:val="auto"/>
          <w:sz w:val="32"/>
          <w:szCs w:val="32"/>
          <w:highlight w:val="none"/>
        </w:rPr>
        <w:t>第五章  响应文件格式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_Toc20203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81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0DBD9D9B">
      <w:pPr>
        <w:pStyle w:val="22"/>
        <w:tabs>
          <w:tab w:val="right" w:leader="dot" w:pos="8879"/>
        </w:tabs>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"_Toc17282" </w:instrText>
      </w:r>
      <w:r>
        <w:rPr>
          <w:color w:val="auto"/>
          <w:highlight w:val="none"/>
        </w:rPr>
        <w:fldChar w:fldCharType="separate"/>
      </w:r>
      <w:r>
        <w:rPr>
          <w:rFonts w:hint="eastAsia" w:ascii="宋体" w:hAnsi="宋体" w:cs="宋体"/>
          <w:b/>
          <w:bCs/>
          <w:color w:val="auto"/>
          <w:sz w:val="32"/>
          <w:szCs w:val="32"/>
          <w:highlight w:val="none"/>
        </w:rPr>
        <w:t>第六章  合同文本</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_Toc17282 \h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108</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0F42F8B9">
      <w:pPr>
        <w:pStyle w:val="24"/>
        <w:tabs>
          <w:tab w:val="right" w:leader="dot" w:pos="8931"/>
          <w:tab w:val="clear" w:pos="8296"/>
        </w:tabs>
        <w:snapToGrid w:val="0"/>
        <w:spacing w:line="500" w:lineRule="atLeast"/>
        <w:ind w:left="0" w:leftChars="0"/>
        <w:rPr>
          <w:rFonts w:ascii="宋体" w:hAnsi="宋体" w:cs="宋体"/>
          <w:b/>
          <w:color w:val="auto"/>
          <w:sz w:val="24"/>
          <w:highlight w:val="none"/>
        </w:rPr>
      </w:pPr>
      <w:r>
        <w:rPr>
          <w:rFonts w:hint="eastAsia" w:ascii="宋体" w:hAnsi="宋体" w:cs="宋体"/>
          <w:b/>
          <w:bCs/>
          <w:color w:val="auto"/>
          <w:sz w:val="32"/>
          <w:szCs w:val="32"/>
          <w:highlight w:val="none"/>
        </w:rPr>
        <w:fldChar w:fldCharType="end"/>
      </w:r>
    </w:p>
    <w:p w14:paraId="54F2612C">
      <w:pPr>
        <w:spacing w:line="400" w:lineRule="exact"/>
        <w:jc w:val="left"/>
        <w:rPr>
          <w:rFonts w:ascii="宋体" w:hAnsi="宋体" w:cs="宋体"/>
          <w:b/>
          <w:color w:val="auto"/>
          <w:sz w:val="32"/>
          <w:szCs w:val="32"/>
          <w:highlight w:val="none"/>
        </w:rPr>
      </w:pPr>
    </w:p>
    <w:p w14:paraId="42617B8A">
      <w:pPr>
        <w:spacing w:line="400" w:lineRule="exact"/>
        <w:jc w:val="center"/>
        <w:rPr>
          <w:rFonts w:ascii="宋体" w:hAnsi="宋体" w:cs="宋体"/>
          <w:b/>
          <w:color w:val="auto"/>
          <w:sz w:val="32"/>
          <w:szCs w:val="32"/>
          <w:highlight w:val="none"/>
        </w:rPr>
      </w:pPr>
    </w:p>
    <w:p w14:paraId="05308AB2">
      <w:pPr>
        <w:spacing w:line="400" w:lineRule="exact"/>
        <w:jc w:val="center"/>
        <w:rPr>
          <w:rFonts w:ascii="宋体" w:hAnsi="宋体" w:cs="宋体"/>
          <w:b/>
          <w:color w:val="auto"/>
          <w:sz w:val="32"/>
          <w:szCs w:val="32"/>
          <w:highlight w:val="none"/>
        </w:rPr>
      </w:pPr>
    </w:p>
    <w:p w14:paraId="054EF9C9">
      <w:pPr>
        <w:spacing w:line="400" w:lineRule="exact"/>
        <w:jc w:val="center"/>
        <w:rPr>
          <w:rFonts w:ascii="宋体" w:hAnsi="宋体" w:cs="宋体"/>
          <w:b/>
          <w:color w:val="auto"/>
          <w:sz w:val="32"/>
          <w:szCs w:val="32"/>
          <w:highlight w:val="none"/>
        </w:rPr>
      </w:pPr>
    </w:p>
    <w:p w14:paraId="5AF0CF92">
      <w:pPr>
        <w:tabs>
          <w:tab w:val="left" w:pos="3391"/>
        </w:tabs>
        <w:spacing w:line="400" w:lineRule="exact"/>
        <w:jc w:val="left"/>
        <w:rPr>
          <w:rFonts w:hint="eastAsia" w:ascii="宋体" w:hAnsi="宋体" w:cs="宋体"/>
          <w:b/>
          <w:color w:val="auto"/>
          <w:sz w:val="32"/>
          <w:szCs w:val="32"/>
          <w:highlight w:val="none"/>
        </w:rPr>
      </w:pPr>
      <w:r>
        <w:rPr>
          <w:rFonts w:hint="eastAsia" w:ascii="宋体" w:hAnsi="宋体" w:cs="宋体"/>
          <w:b/>
          <w:color w:val="auto"/>
          <w:sz w:val="32"/>
          <w:szCs w:val="32"/>
          <w:highlight w:val="none"/>
        </w:rPr>
        <w:tab/>
      </w:r>
    </w:p>
    <w:p w14:paraId="166AB7BC">
      <w:pPr>
        <w:spacing w:line="400" w:lineRule="exact"/>
        <w:rPr>
          <w:rFonts w:ascii="宋体" w:hAnsi="宋体" w:cs="宋体"/>
          <w:b/>
          <w:color w:val="auto"/>
          <w:sz w:val="32"/>
          <w:szCs w:val="32"/>
          <w:highlight w:val="none"/>
        </w:rPr>
      </w:pPr>
    </w:p>
    <w:p w14:paraId="18BB4D31">
      <w:pPr>
        <w:rPr>
          <w:rFonts w:ascii="宋体" w:hAnsi="宋体" w:cs="宋体"/>
          <w:color w:val="auto"/>
          <w:sz w:val="32"/>
          <w:szCs w:val="32"/>
          <w:highlight w:val="none"/>
        </w:rPr>
      </w:pPr>
    </w:p>
    <w:p w14:paraId="4B7FFC19">
      <w:pPr>
        <w:rPr>
          <w:rFonts w:ascii="宋体" w:hAnsi="宋体" w:cs="宋体"/>
          <w:color w:val="auto"/>
          <w:sz w:val="32"/>
          <w:szCs w:val="32"/>
          <w:highlight w:val="none"/>
        </w:rPr>
      </w:pPr>
    </w:p>
    <w:p w14:paraId="5DE7269A">
      <w:pPr>
        <w:rPr>
          <w:rFonts w:ascii="宋体" w:hAnsi="宋体" w:cs="宋体"/>
          <w:color w:val="auto"/>
          <w:sz w:val="32"/>
          <w:szCs w:val="32"/>
          <w:highlight w:val="none"/>
        </w:rPr>
      </w:pPr>
    </w:p>
    <w:p w14:paraId="76B45FC5">
      <w:pPr>
        <w:rPr>
          <w:rFonts w:ascii="宋体" w:hAnsi="宋体" w:cs="宋体"/>
          <w:color w:val="auto"/>
          <w:sz w:val="32"/>
          <w:szCs w:val="32"/>
          <w:highlight w:val="none"/>
        </w:rPr>
      </w:pPr>
    </w:p>
    <w:p w14:paraId="48E0197D">
      <w:pPr>
        <w:rPr>
          <w:rFonts w:ascii="宋体" w:hAnsi="宋体" w:cs="宋体"/>
          <w:color w:val="auto"/>
          <w:sz w:val="32"/>
          <w:szCs w:val="32"/>
          <w:highlight w:val="none"/>
        </w:rPr>
      </w:pPr>
    </w:p>
    <w:p w14:paraId="0427521A">
      <w:pPr>
        <w:jc w:val="center"/>
        <w:rPr>
          <w:rFonts w:ascii="宋体" w:hAnsi="宋体" w:cs="宋体"/>
          <w:color w:val="auto"/>
          <w:sz w:val="32"/>
          <w:szCs w:val="32"/>
          <w:highlight w:val="none"/>
        </w:rPr>
      </w:pPr>
    </w:p>
    <w:p w14:paraId="24D16F81">
      <w:pPr>
        <w:rPr>
          <w:rFonts w:ascii="宋体" w:hAnsi="宋体" w:cs="宋体"/>
          <w:color w:val="auto"/>
          <w:sz w:val="32"/>
          <w:szCs w:val="32"/>
          <w:highlight w:val="none"/>
        </w:rPr>
      </w:pPr>
    </w:p>
    <w:p w14:paraId="38D3C3CE">
      <w:pPr>
        <w:rPr>
          <w:rFonts w:ascii="宋体" w:hAnsi="宋体" w:cs="宋体"/>
          <w:color w:val="auto"/>
          <w:sz w:val="32"/>
          <w:szCs w:val="32"/>
          <w:highlight w:val="none"/>
        </w:rPr>
      </w:pPr>
    </w:p>
    <w:p w14:paraId="416C8386">
      <w:pPr>
        <w:rPr>
          <w:rFonts w:ascii="宋体" w:hAnsi="宋体" w:cs="宋体"/>
          <w:color w:val="auto"/>
          <w:sz w:val="32"/>
          <w:szCs w:val="32"/>
          <w:highlight w:val="none"/>
        </w:rPr>
      </w:pPr>
    </w:p>
    <w:p w14:paraId="0B6D2652">
      <w:pPr>
        <w:pStyle w:val="2"/>
        <w:spacing w:after="100" w:line="480" w:lineRule="auto"/>
        <w:jc w:val="center"/>
        <w:rPr>
          <w:rFonts w:hint="eastAsia" w:ascii="宋体" w:hAnsi="宋体" w:cs="宋体"/>
          <w:color w:val="auto"/>
          <w:highlight w:val="none"/>
        </w:rPr>
        <w:sectPr>
          <w:headerReference r:id="rId3" w:type="default"/>
          <w:footerReference r:id="rId4" w:type="default"/>
          <w:pgSz w:w="11910" w:h="16840"/>
          <w:pgMar w:top="1520" w:right="1500" w:bottom="1502" w:left="1680" w:header="720" w:footer="720" w:gutter="0"/>
          <w:pgNumType w:start="1"/>
          <w:cols w:space="720" w:num="1"/>
        </w:sectPr>
      </w:pPr>
      <w:bookmarkStart w:id="0" w:name="_Toc1567"/>
    </w:p>
    <w:p w14:paraId="03E9B6A3">
      <w:pPr>
        <w:pStyle w:val="2"/>
        <w:spacing w:after="100" w:line="480" w:lineRule="auto"/>
        <w:jc w:val="center"/>
        <w:rPr>
          <w:rFonts w:ascii="宋体" w:hAnsi="宋体" w:cs="宋体"/>
          <w:color w:val="auto"/>
          <w:highlight w:val="none"/>
        </w:rPr>
      </w:pPr>
      <w:r>
        <w:rPr>
          <w:rFonts w:hint="eastAsia" w:ascii="宋体" w:hAnsi="宋体" w:cs="宋体"/>
          <w:color w:val="auto"/>
          <w:highlight w:val="none"/>
        </w:rPr>
        <w:t>第一章竞争性谈判 公告</w:t>
      </w:r>
      <w:bookmarkEnd w:id="0"/>
    </w:p>
    <w:p w14:paraId="4B890F0D">
      <w:pPr>
        <w:spacing w:line="400" w:lineRule="exact"/>
        <w:jc w:val="center"/>
        <w:rPr>
          <w:rFonts w:ascii="宋体" w:hAnsi="宋体" w:cs="宋体"/>
          <w:b/>
          <w:bCs/>
          <w:color w:val="auto"/>
          <w:sz w:val="32"/>
          <w:szCs w:val="32"/>
          <w:highlight w:val="none"/>
        </w:rPr>
      </w:pPr>
      <w:bookmarkStart w:id="1" w:name="OLE_LINK43"/>
      <w:r>
        <w:rPr>
          <w:rFonts w:hint="eastAsia" w:ascii="宋体" w:hAnsi="宋体" w:cs="宋体"/>
          <w:b/>
          <w:bCs/>
          <w:color w:val="auto"/>
          <w:sz w:val="32"/>
          <w:szCs w:val="32"/>
          <w:highlight w:val="none"/>
        </w:rPr>
        <w:t>竞争性谈判公告</w:t>
      </w:r>
    </w:p>
    <w:p w14:paraId="4E353BCB">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auto"/>
          <w:szCs w:val="21"/>
          <w:highlight w:val="none"/>
        </w:rPr>
      </w:pPr>
      <w:bookmarkStart w:id="2" w:name="_Hlk37430271"/>
      <w:r>
        <w:rPr>
          <w:rFonts w:hint="eastAsia" w:ascii="宋体" w:hAnsi="宋体" w:cs="宋体"/>
          <w:color w:val="auto"/>
          <w:szCs w:val="21"/>
          <w:highlight w:val="none"/>
        </w:rPr>
        <w:t>项目概况</w:t>
      </w:r>
    </w:p>
    <w:p w14:paraId="243DC547">
      <w:pPr>
        <w:pBdr>
          <w:top w:val="single" w:color="auto" w:sz="4" w:space="1"/>
          <w:left w:val="single" w:color="auto" w:sz="4" w:space="4"/>
          <w:bottom w:val="single" w:color="auto" w:sz="4" w:space="1"/>
          <w:right w:val="single" w:color="auto" w:sz="4" w:space="4"/>
        </w:pBd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全区检察机关信访联动指挥一体化系统项目（重）</w:t>
      </w:r>
      <w:r>
        <w:rPr>
          <w:rFonts w:hint="eastAsia" w:ascii="宋体" w:hAnsi="宋体" w:cs="宋体"/>
          <w:color w:val="auto"/>
          <w:szCs w:val="21"/>
          <w:highlight w:val="none"/>
        </w:rPr>
        <w:t>（也称为“广西</w:t>
      </w:r>
      <w:r>
        <w:rPr>
          <w:rFonts w:ascii="宋体" w:hAnsi="宋体" w:cs="宋体"/>
          <w:color w:val="auto"/>
          <w:szCs w:val="21"/>
          <w:highlight w:val="none"/>
        </w:rPr>
        <w:t>壮族</w:t>
      </w:r>
      <w:r>
        <w:rPr>
          <w:rFonts w:hint="eastAsia" w:ascii="宋体" w:hAnsi="宋体" w:cs="宋体"/>
          <w:color w:val="auto"/>
          <w:szCs w:val="21"/>
          <w:highlight w:val="none"/>
        </w:rPr>
        <w:t>自治区人民检察院安防联网智能指挥一体化系统项目”，</w:t>
      </w:r>
      <w:r>
        <w:rPr>
          <w:rFonts w:ascii="宋体" w:hAnsi="宋体" w:cs="宋体"/>
          <w:color w:val="auto"/>
          <w:szCs w:val="21"/>
          <w:highlight w:val="none"/>
        </w:rPr>
        <w:t>为方便</w:t>
      </w:r>
      <w:r>
        <w:rPr>
          <w:rFonts w:hint="eastAsia" w:ascii="宋体" w:hAnsi="宋体" w:cs="宋体"/>
          <w:color w:val="auto"/>
          <w:szCs w:val="21"/>
          <w:highlight w:val="none"/>
        </w:rPr>
        <w:t>项目</w:t>
      </w:r>
      <w:r>
        <w:rPr>
          <w:rFonts w:ascii="宋体" w:hAnsi="宋体" w:cs="宋体"/>
          <w:color w:val="auto"/>
          <w:szCs w:val="21"/>
          <w:highlight w:val="none"/>
        </w:rPr>
        <w:t>采购表述，统称为“</w:t>
      </w:r>
      <w:r>
        <w:rPr>
          <w:rFonts w:hint="eastAsia" w:ascii="宋体" w:hAnsi="宋体" w:cs="宋体"/>
          <w:color w:val="auto"/>
          <w:szCs w:val="21"/>
          <w:highlight w:val="none"/>
          <w:lang w:eastAsia="zh-CN"/>
        </w:rPr>
        <w:t>全区检察机关信访联动指挥一体化系统项目（重）</w:t>
      </w:r>
      <w:r>
        <w:rPr>
          <w:rFonts w:ascii="宋体" w:hAnsi="宋体" w:cs="宋体"/>
          <w:color w:val="auto"/>
          <w:szCs w:val="21"/>
          <w:highlight w:val="none"/>
        </w:rPr>
        <w:t>”</w:t>
      </w:r>
      <w:r>
        <w:rPr>
          <w:rFonts w:hint="eastAsia" w:ascii="宋体" w:hAnsi="宋体" w:cs="宋体"/>
          <w:color w:val="auto"/>
          <w:szCs w:val="21"/>
          <w:highlight w:val="none"/>
        </w:rPr>
        <w:t>）的潜在供应商应在广西政府采购云平台（https://www.gcy.zfcg.gxzf.gov.cn/）获取（下载）竞争性谈判文件，并于</w:t>
      </w:r>
      <w:r>
        <w:rPr>
          <w:rFonts w:hint="eastAsia" w:ascii="宋体" w:hAnsi="宋体" w:cs="宋体"/>
          <w:color w:val="auto"/>
          <w:szCs w:val="21"/>
          <w:highlight w:val="none"/>
          <w:u w:val="single"/>
        </w:rPr>
        <w:t>2026年</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15</w:t>
      </w:r>
      <w:r>
        <w:rPr>
          <w:rFonts w:hint="eastAsia" w:ascii="宋体" w:hAnsi="宋体" w:cs="宋体"/>
          <w:color w:val="auto"/>
          <w:szCs w:val="21"/>
          <w:highlight w:val="none"/>
          <w:u w:val="single"/>
        </w:rPr>
        <w:t>日09时30分</w:t>
      </w:r>
      <w:r>
        <w:rPr>
          <w:rFonts w:hint="eastAsia" w:ascii="宋体" w:hAnsi="宋体" w:cs="宋体"/>
          <w:bCs/>
          <w:color w:val="auto"/>
          <w:szCs w:val="21"/>
          <w:highlight w:val="none"/>
          <w:u w:val="single"/>
        </w:rPr>
        <w:t>（北京时间）</w:t>
      </w:r>
      <w:r>
        <w:rPr>
          <w:rFonts w:hint="eastAsia" w:ascii="宋体" w:hAnsi="宋体" w:cs="宋体"/>
          <w:bCs/>
          <w:color w:val="auto"/>
          <w:szCs w:val="21"/>
          <w:highlight w:val="none"/>
        </w:rPr>
        <w:t>前提交（上传）</w:t>
      </w:r>
      <w:r>
        <w:rPr>
          <w:rFonts w:hint="eastAsia" w:ascii="宋体" w:hAnsi="宋体" w:cs="宋体"/>
          <w:color w:val="auto"/>
          <w:szCs w:val="21"/>
          <w:highlight w:val="none"/>
        </w:rPr>
        <w:t>响应</w:t>
      </w:r>
      <w:r>
        <w:rPr>
          <w:rFonts w:hint="eastAsia" w:ascii="宋体" w:hAnsi="宋体" w:cs="宋体"/>
          <w:bCs/>
          <w:color w:val="auto"/>
          <w:szCs w:val="21"/>
          <w:highlight w:val="none"/>
        </w:rPr>
        <w:t>文件</w:t>
      </w:r>
      <w:r>
        <w:rPr>
          <w:rFonts w:hint="eastAsia" w:ascii="宋体" w:hAnsi="宋体" w:cs="宋体"/>
          <w:color w:val="auto"/>
          <w:szCs w:val="21"/>
          <w:highlight w:val="none"/>
        </w:rPr>
        <w:t>。</w:t>
      </w:r>
    </w:p>
    <w:p w14:paraId="71F4FF77">
      <w:pPr>
        <w:spacing w:line="360" w:lineRule="exact"/>
        <w:ind w:firstLine="361" w:firstLineChars="150"/>
        <w:rPr>
          <w:rFonts w:ascii="宋体" w:hAnsi="宋体" w:cs="宋体"/>
          <w:b/>
          <w:bCs/>
          <w:color w:val="auto"/>
          <w:sz w:val="24"/>
          <w:highlight w:val="none"/>
        </w:rPr>
      </w:pPr>
      <w:bookmarkStart w:id="3" w:name="_Toc28359012"/>
      <w:bookmarkStart w:id="4" w:name="_Toc71365362"/>
      <w:bookmarkStart w:id="5" w:name="_Toc35393629"/>
      <w:bookmarkStart w:id="6" w:name="_Toc35393798"/>
      <w:bookmarkStart w:id="7" w:name="_Toc28359089"/>
      <w:bookmarkStart w:id="8" w:name="_Toc71366040"/>
      <w:r>
        <w:rPr>
          <w:rFonts w:hint="eastAsia" w:ascii="宋体" w:hAnsi="宋体" w:cs="宋体"/>
          <w:b/>
          <w:bCs/>
          <w:color w:val="auto"/>
          <w:sz w:val="24"/>
          <w:highlight w:val="none"/>
        </w:rPr>
        <w:t>一、项目基本情况</w:t>
      </w:r>
      <w:bookmarkEnd w:id="3"/>
      <w:bookmarkEnd w:id="4"/>
      <w:bookmarkEnd w:id="5"/>
      <w:bookmarkEnd w:id="6"/>
      <w:bookmarkEnd w:id="7"/>
      <w:bookmarkEnd w:id="8"/>
    </w:p>
    <w:p w14:paraId="12485F03">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项目编号：GXZC2026-J1-001125-GXTZ（采购计划编号：广西政采[2026]5325号）</w:t>
      </w:r>
    </w:p>
    <w:p w14:paraId="1063BB66">
      <w:pPr>
        <w:spacing w:line="360" w:lineRule="exact"/>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全区检察机关信访联动指挥一体化系统项目（重）</w:t>
      </w:r>
    </w:p>
    <w:p w14:paraId="0C3F442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采购方式：竞争性谈判</w:t>
      </w:r>
    </w:p>
    <w:p w14:paraId="3A431160">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预算金额：</w:t>
      </w:r>
      <w:r>
        <w:rPr>
          <w:rFonts w:ascii="宋体" w:hAnsi="宋体" w:cs="宋体"/>
          <w:color w:val="auto"/>
          <w:szCs w:val="21"/>
          <w:highlight w:val="none"/>
        </w:rPr>
        <w:t>1464866.00</w:t>
      </w:r>
      <w:r>
        <w:rPr>
          <w:rFonts w:hint="eastAsia" w:ascii="宋体" w:hAnsi="宋体" w:cs="宋体"/>
          <w:color w:val="auto"/>
          <w:szCs w:val="21"/>
          <w:highlight w:val="none"/>
        </w:rPr>
        <w:t>元</w:t>
      </w:r>
    </w:p>
    <w:p w14:paraId="43BD7E08">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最高限价：</w:t>
      </w:r>
      <w:r>
        <w:rPr>
          <w:rFonts w:ascii="宋体" w:hAnsi="宋体" w:cs="宋体"/>
          <w:color w:val="auto"/>
          <w:szCs w:val="21"/>
          <w:highlight w:val="none"/>
        </w:rPr>
        <w:t>1464866.00</w:t>
      </w:r>
      <w:r>
        <w:rPr>
          <w:rFonts w:hint="eastAsia" w:ascii="宋体" w:hAnsi="宋体" w:cs="宋体"/>
          <w:color w:val="auto"/>
          <w:szCs w:val="21"/>
          <w:highlight w:val="none"/>
        </w:rPr>
        <w:t>元</w:t>
      </w:r>
    </w:p>
    <w:p w14:paraId="2A9C766B">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采购需求：</w:t>
      </w:r>
    </w:p>
    <w:tbl>
      <w:tblPr>
        <w:tblStyle w:val="29"/>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9"/>
        <w:gridCol w:w="3397"/>
        <w:gridCol w:w="910"/>
        <w:gridCol w:w="3790"/>
      </w:tblGrid>
      <w:tr w14:paraId="38BE44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2" w:hRule="atLeast"/>
        </w:trPr>
        <w:tc>
          <w:tcPr>
            <w:tcW w:w="5000" w:type="pct"/>
            <w:gridSpan w:val="4"/>
            <w:noWrap w:val="0"/>
            <w:vAlign w:val="center"/>
          </w:tcPr>
          <w:p w14:paraId="3E2833B6">
            <w:pPr>
              <w:spacing w:line="360" w:lineRule="exact"/>
              <w:rPr>
                <w:rFonts w:ascii="宋体" w:hAnsi="宋体" w:cs="宋体"/>
                <w:color w:val="auto"/>
                <w:szCs w:val="21"/>
                <w:highlight w:val="none"/>
              </w:rPr>
            </w:pPr>
            <w:r>
              <w:rPr>
                <w:rFonts w:hint="eastAsia" w:ascii="宋体" w:hAnsi="宋体" w:cs="宋体"/>
                <w:color w:val="auto"/>
                <w:szCs w:val="21"/>
                <w:highlight w:val="none"/>
              </w:rPr>
              <w:t>单分标；预算金额：</w:t>
            </w:r>
            <w:r>
              <w:rPr>
                <w:rFonts w:ascii="宋体" w:hAnsi="宋体" w:cs="宋体"/>
                <w:color w:val="auto"/>
                <w:szCs w:val="21"/>
                <w:highlight w:val="none"/>
              </w:rPr>
              <w:t>1464866.00</w:t>
            </w:r>
            <w:r>
              <w:rPr>
                <w:rFonts w:hint="eastAsia" w:ascii="宋体" w:hAnsi="宋体" w:cs="宋体"/>
                <w:color w:val="auto"/>
                <w:szCs w:val="21"/>
                <w:highlight w:val="none"/>
              </w:rPr>
              <w:t>元</w:t>
            </w:r>
          </w:p>
        </w:tc>
      </w:tr>
      <w:tr w14:paraId="40335D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3" w:hRule="atLeast"/>
        </w:trPr>
        <w:tc>
          <w:tcPr>
            <w:tcW w:w="473" w:type="pct"/>
            <w:noWrap w:val="0"/>
            <w:vAlign w:val="center"/>
          </w:tcPr>
          <w:p w14:paraId="3F014C23">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序号</w:t>
            </w:r>
          </w:p>
        </w:tc>
        <w:tc>
          <w:tcPr>
            <w:tcW w:w="1899" w:type="pct"/>
            <w:noWrap w:val="0"/>
            <w:vAlign w:val="center"/>
          </w:tcPr>
          <w:p w14:paraId="493C5BDA">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标的名称</w:t>
            </w:r>
          </w:p>
        </w:tc>
        <w:tc>
          <w:tcPr>
            <w:tcW w:w="509" w:type="pct"/>
            <w:noWrap w:val="0"/>
            <w:vAlign w:val="center"/>
          </w:tcPr>
          <w:p w14:paraId="576EA64E">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数量及单位</w:t>
            </w:r>
          </w:p>
        </w:tc>
        <w:tc>
          <w:tcPr>
            <w:tcW w:w="2119" w:type="pct"/>
            <w:noWrap w:val="0"/>
            <w:vAlign w:val="center"/>
          </w:tcPr>
          <w:p w14:paraId="13956C94">
            <w:pPr>
              <w:widowControl/>
              <w:adjustRightInd w:val="0"/>
              <w:snapToGrid w:val="0"/>
              <w:spacing w:line="360" w:lineRule="exact"/>
              <w:jc w:val="center"/>
              <w:textAlignment w:val="top"/>
              <w:rPr>
                <w:rFonts w:ascii="宋体" w:hAnsi="宋体" w:cs="宋体"/>
                <w:color w:val="auto"/>
                <w:szCs w:val="21"/>
                <w:highlight w:val="none"/>
              </w:rPr>
            </w:pPr>
            <w:r>
              <w:rPr>
                <w:rFonts w:hint="eastAsia" w:ascii="宋体" w:hAnsi="宋体" w:cs="宋体"/>
                <w:color w:val="auto"/>
                <w:szCs w:val="21"/>
                <w:highlight w:val="none"/>
              </w:rPr>
              <w:t>简要技术需求或者服务要求</w:t>
            </w:r>
          </w:p>
        </w:tc>
      </w:tr>
      <w:tr w14:paraId="4C99C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5BF594D0">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（一）</w:t>
            </w:r>
          </w:p>
        </w:tc>
        <w:tc>
          <w:tcPr>
            <w:tcW w:w="4527" w:type="pct"/>
            <w:gridSpan w:val="3"/>
            <w:noWrap w:val="0"/>
            <w:vAlign w:val="center"/>
          </w:tcPr>
          <w:p w14:paraId="76D48354">
            <w:pPr>
              <w:widowControl/>
              <w:jc w:val="left"/>
              <w:textAlignment w:val="center"/>
              <w:rPr>
                <w:rFonts w:ascii="宋体" w:hAnsi="宋体" w:cs="宋体"/>
                <w:b/>
                <w:color w:val="auto"/>
                <w:szCs w:val="21"/>
                <w:highlight w:val="none"/>
              </w:rPr>
            </w:pPr>
            <w:r>
              <w:rPr>
                <w:rFonts w:hint="eastAsia" w:ascii="宋体" w:hAnsi="宋体" w:cs="宋体"/>
                <w:b/>
                <w:color w:val="auto"/>
                <w:szCs w:val="21"/>
                <w:highlight w:val="none"/>
              </w:rPr>
              <w:t>自治区检察院安防联动指挥系统改造</w:t>
            </w:r>
          </w:p>
        </w:tc>
      </w:tr>
      <w:tr w14:paraId="56463B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6084DDA3">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1899" w:type="pct"/>
            <w:noWrap w:val="0"/>
            <w:vAlign w:val="center"/>
          </w:tcPr>
          <w:p w14:paraId="15DFCD6A">
            <w:pPr>
              <w:widowControl/>
              <w:jc w:val="center"/>
              <w:rPr>
                <w:rFonts w:ascii="宋体" w:hAnsi="宋体" w:cs="宋体"/>
                <w:color w:val="auto"/>
                <w:szCs w:val="21"/>
                <w:highlight w:val="none"/>
              </w:rPr>
            </w:pPr>
            <w:r>
              <w:rPr>
                <w:rFonts w:hint="eastAsia" w:ascii="宋体" w:hAnsi="宋体" w:cs="宋体"/>
                <w:color w:val="auto"/>
                <w:szCs w:val="21"/>
                <w:highlight w:val="none"/>
              </w:rPr>
              <w:t>综合安防联动管理平台（国产化）</w:t>
            </w:r>
          </w:p>
        </w:tc>
        <w:tc>
          <w:tcPr>
            <w:tcW w:w="509" w:type="pct"/>
            <w:noWrap w:val="0"/>
            <w:vAlign w:val="center"/>
          </w:tcPr>
          <w:p w14:paraId="3F36C5D5">
            <w:pPr>
              <w:widowControl/>
              <w:spacing w:line="360" w:lineRule="exact"/>
              <w:jc w:val="center"/>
              <w:textAlignment w:val="center"/>
              <w:rPr>
                <w:rFonts w:hint="eastAsia" w:ascii="宋体" w:hAnsi="宋体" w:cs="宋体"/>
                <w:color w:val="auto"/>
                <w:szCs w:val="21"/>
                <w:highlight w:val="none"/>
              </w:rPr>
            </w:pPr>
            <w:r>
              <w:rPr>
                <w:rFonts w:hint="eastAsia" w:ascii="宋体" w:hAnsi="宋体" w:cs="宋体"/>
                <w:color w:val="auto"/>
                <w:szCs w:val="21"/>
                <w:highlight w:val="none"/>
              </w:rPr>
              <w:t>1套</w:t>
            </w:r>
          </w:p>
        </w:tc>
        <w:tc>
          <w:tcPr>
            <w:tcW w:w="2119" w:type="pct"/>
            <w:noWrap w:val="0"/>
            <w:vAlign w:val="center"/>
          </w:tcPr>
          <w:p w14:paraId="396B94D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51A0DB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2474894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.2</w:t>
            </w:r>
          </w:p>
        </w:tc>
        <w:tc>
          <w:tcPr>
            <w:tcW w:w="1899" w:type="pct"/>
            <w:noWrap w:val="0"/>
            <w:vAlign w:val="center"/>
          </w:tcPr>
          <w:p w14:paraId="15CC7DE6">
            <w:pPr>
              <w:widowControl/>
              <w:jc w:val="left"/>
              <w:rPr>
                <w:rFonts w:ascii="宋体" w:hAnsi="宋体" w:cs="宋体"/>
                <w:color w:val="auto"/>
                <w:szCs w:val="21"/>
                <w:highlight w:val="none"/>
              </w:rPr>
            </w:pPr>
            <w:r>
              <w:rPr>
                <w:rFonts w:hint="eastAsia" w:ascii="宋体" w:hAnsi="宋体" w:cs="宋体"/>
                <w:color w:val="auto"/>
                <w:szCs w:val="21"/>
                <w:highlight w:val="none"/>
              </w:rPr>
              <w:t>智能人员管控系统</w:t>
            </w:r>
          </w:p>
        </w:tc>
        <w:tc>
          <w:tcPr>
            <w:tcW w:w="509" w:type="pct"/>
            <w:noWrap w:val="0"/>
            <w:vAlign w:val="center"/>
          </w:tcPr>
          <w:p w14:paraId="3BBB7B7F">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1套</w:t>
            </w:r>
          </w:p>
        </w:tc>
        <w:tc>
          <w:tcPr>
            <w:tcW w:w="2119" w:type="pct"/>
            <w:noWrap w:val="0"/>
            <w:vAlign w:val="center"/>
          </w:tcPr>
          <w:p w14:paraId="56A8CBE1">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43283E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32FAC198">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.3</w:t>
            </w:r>
          </w:p>
        </w:tc>
        <w:tc>
          <w:tcPr>
            <w:tcW w:w="1899" w:type="pct"/>
            <w:noWrap w:val="0"/>
            <w:vAlign w:val="center"/>
          </w:tcPr>
          <w:p w14:paraId="6D23DA4E">
            <w:pPr>
              <w:widowControl/>
              <w:jc w:val="left"/>
              <w:rPr>
                <w:rFonts w:ascii="宋体" w:hAnsi="宋体" w:cs="宋体"/>
                <w:color w:val="auto"/>
                <w:szCs w:val="21"/>
                <w:highlight w:val="none"/>
              </w:rPr>
            </w:pPr>
            <w:r>
              <w:rPr>
                <w:rFonts w:hint="eastAsia" w:ascii="宋体" w:hAnsi="宋体" w:cs="宋体"/>
                <w:color w:val="auto"/>
                <w:szCs w:val="21"/>
                <w:highlight w:val="none"/>
              </w:rPr>
              <w:t>安防盲点改造</w:t>
            </w:r>
          </w:p>
        </w:tc>
        <w:tc>
          <w:tcPr>
            <w:tcW w:w="509" w:type="pct"/>
            <w:noWrap w:val="0"/>
            <w:vAlign w:val="center"/>
          </w:tcPr>
          <w:p w14:paraId="57ADAD99">
            <w:pPr>
              <w:widowControl/>
              <w:spacing w:line="360" w:lineRule="exact"/>
              <w:jc w:val="center"/>
              <w:textAlignment w:val="center"/>
              <w:rPr>
                <w:rFonts w:ascii="宋体" w:hAnsi="宋体" w:cs="宋体"/>
                <w:color w:val="auto"/>
                <w:szCs w:val="21"/>
                <w:highlight w:val="none"/>
              </w:rPr>
            </w:pPr>
            <w:r>
              <w:rPr>
                <w:rFonts w:hint="eastAsia" w:ascii="宋体" w:hAnsi="宋体" w:cs="宋体"/>
                <w:color w:val="auto"/>
                <w:szCs w:val="21"/>
                <w:highlight w:val="none"/>
              </w:rPr>
              <w:t>1套</w:t>
            </w:r>
          </w:p>
        </w:tc>
        <w:tc>
          <w:tcPr>
            <w:tcW w:w="2119" w:type="pct"/>
            <w:noWrap w:val="0"/>
            <w:vAlign w:val="center"/>
          </w:tcPr>
          <w:p w14:paraId="33A4731E">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35C11C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3621E305">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（二</w:t>
            </w:r>
            <w:r>
              <w:rPr>
                <w:rFonts w:ascii="宋体" w:hAnsi="宋体" w:cs="宋体"/>
                <w:b/>
                <w:color w:val="auto"/>
                <w:szCs w:val="21"/>
                <w:highlight w:val="none"/>
              </w:rPr>
              <w:t>）</w:t>
            </w:r>
          </w:p>
        </w:tc>
        <w:tc>
          <w:tcPr>
            <w:tcW w:w="4527" w:type="pct"/>
            <w:gridSpan w:val="3"/>
            <w:noWrap w:val="0"/>
            <w:vAlign w:val="center"/>
          </w:tcPr>
          <w:p w14:paraId="2AEB3A85">
            <w:pPr>
              <w:widowControl/>
              <w:jc w:val="left"/>
              <w:textAlignment w:val="cente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t>全区检察机关一体化综合信访安防视频联网调度指挥平台</w:t>
            </w:r>
          </w:p>
        </w:tc>
      </w:tr>
      <w:tr w14:paraId="3974B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6A772D66">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 xml:space="preserve">1 </w:t>
            </w:r>
          </w:p>
        </w:tc>
        <w:tc>
          <w:tcPr>
            <w:tcW w:w="1899" w:type="pct"/>
            <w:noWrap w:val="0"/>
            <w:vAlign w:val="center"/>
          </w:tcPr>
          <w:p w14:paraId="302B4E12">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全区检察机关一体化综合信访安防视频联网调度指挥平台（国产化）</w:t>
            </w:r>
          </w:p>
        </w:tc>
        <w:tc>
          <w:tcPr>
            <w:tcW w:w="509" w:type="pct"/>
            <w:noWrap w:val="0"/>
            <w:vAlign w:val="center"/>
          </w:tcPr>
          <w:p w14:paraId="43A09CAA">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119" w:type="pct"/>
            <w:noWrap w:val="0"/>
            <w:vAlign w:val="center"/>
          </w:tcPr>
          <w:p w14:paraId="36CC8B96">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73E6C0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585BBCEA">
            <w:pPr>
              <w:widowControl/>
              <w:jc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2</w:t>
            </w:r>
          </w:p>
        </w:tc>
        <w:tc>
          <w:tcPr>
            <w:tcW w:w="1899" w:type="pct"/>
            <w:noWrap w:val="0"/>
            <w:vAlign w:val="center"/>
          </w:tcPr>
          <w:p w14:paraId="0EFBED9D">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国产化中间件</w:t>
            </w:r>
          </w:p>
        </w:tc>
        <w:tc>
          <w:tcPr>
            <w:tcW w:w="509" w:type="pct"/>
            <w:noWrap w:val="0"/>
            <w:vAlign w:val="center"/>
          </w:tcPr>
          <w:p w14:paraId="03AFBB3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2套</w:t>
            </w:r>
          </w:p>
        </w:tc>
        <w:tc>
          <w:tcPr>
            <w:tcW w:w="2119" w:type="pct"/>
            <w:noWrap w:val="0"/>
            <w:vAlign w:val="center"/>
          </w:tcPr>
          <w:p w14:paraId="0E28E807">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r w14:paraId="66E6B0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5C16FF05">
            <w:pPr>
              <w:spacing w:line="36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（三</w:t>
            </w:r>
            <w:r>
              <w:rPr>
                <w:rFonts w:ascii="宋体" w:hAnsi="宋体" w:cs="宋体"/>
                <w:b/>
                <w:color w:val="auto"/>
                <w:szCs w:val="21"/>
                <w:highlight w:val="none"/>
              </w:rPr>
              <w:t>）</w:t>
            </w:r>
          </w:p>
        </w:tc>
        <w:tc>
          <w:tcPr>
            <w:tcW w:w="4527" w:type="pct"/>
            <w:gridSpan w:val="3"/>
            <w:noWrap w:val="0"/>
            <w:vAlign w:val="center"/>
          </w:tcPr>
          <w:p w14:paraId="06998304">
            <w:pPr>
              <w:widowControl/>
              <w:jc w:val="left"/>
              <w:textAlignment w:val="center"/>
              <w:rPr>
                <w:rFonts w:hint="eastAsia" w:ascii="宋体" w:hAnsi="宋体" w:cs="宋体"/>
                <w:b/>
                <w:color w:val="auto"/>
                <w:kern w:val="0"/>
                <w:szCs w:val="21"/>
                <w:highlight w:val="none"/>
                <w:lang w:bidi="ar"/>
              </w:rPr>
            </w:pPr>
            <w:r>
              <w:rPr>
                <w:rFonts w:hint="eastAsia" w:ascii="宋体" w:hAnsi="宋体" w:cs="宋体"/>
                <w:b/>
                <w:color w:val="auto"/>
                <w:szCs w:val="21"/>
                <w:highlight w:val="none"/>
              </w:rPr>
              <w:t>边界安全建设</w:t>
            </w:r>
          </w:p>
        </w:tc>
      </w:tr>
      <w:tr w14:paraId="0577F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473" w:type="pct"/>
            <w:noWrap w:val="0"/>
            <w:vAlign w:val="center"/>
          </w:tcPr>
          <w:p w14:paraId="1F75B217">
            <w:pPr>
              <w:spacing w:line="36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.1</w:t>
            </w:r>
          </w:p>
        </w:tc>
        <w:tc>
          <w:tcPr>
            <w:tcW w:w="1899" w:type="pct"/>
            <w:noWrap w:val="0"/>
            <w:vAlign w:val="center"/>
          </w:tcPr>
          <w:p w14:paraId="026BA328">
            <w:pPr>
              <w:widowControl/>
              <w:jc w:val="left"/>
              <w:rPr>
                <w:rFonts w:ascii="宋体" w:hAnsi="宋体" w:cs="宋体"/>
                <w:color w:val="auto"/>
                <w:kern w:val="0"/>
                <w:szCs w:val="21"/>
                <w:highlight w:val="none"/>
              </w:rPr>
            </w:pPr>
            <w:r>
              <w:rPr>
                <w:rFonts w:hint="eastAsia" w:ascii="宋体" w:hAnsi="宋体" w:cs="宋体"/>
                <w:color w:val="auto"/>
                <w:kern w:val="0"/>
                <w:szCs w:val="21"/>
                <w:highlight w:val="none"/>
              </w:rPr>
              <w:t>下一代防火墙</w:t>
            </w:r>
          </w:p>
        </w:tc>
        <w:tc>
          <w:tcPr>
            <w:tcW w:w="509" w:type="pct"/>
            <w:noWrap w:val="0"/>
            <w:vAlign w:val="center"/>
          </w:tcPr>
          <w:p w14:paraId="36C586C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119" w:type="pct"/>
            <w:noWrap w:val="0"/>
            <w:vAlign w:val="center"/>
          </w:tcPr>
          <w:p w14:paraId="1A132D23">
            <w:pPr>
              <w:widowControl/>
              <w:jc w:val="left"/>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具体详见竞争性谈判文件《采购需求》。</w:t>
            </w:r>
          </w:p>
        </w:tc>
      </w:tr>
    </w:tbl>
    <w:p w14:paraId="7D863025">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本项目</w:t>
      </w:r>
      <w:r>
        <w:rPr>
          <w:rFonts w:hint="eastAsia" w:ascii="宋体" w:hAnsi="宋体" w:cs="宋体"/>
          <w:b/>
          <w:bCs/>
          <w:color w:val="auto"/>
          <w:szCs w:val="21"/>
          <w:highlight w:val="none"/>
        </w:rPr>
        <w:t>不接受</w:t>
      </w:r>
      <w:r>
        <w:rPr>
          <w:rFonts w:hint="eastAsia" w:ascii="宋体" w:hAnsi="宋体" w:cs="宋体"/>
          <w:color w:val="auto"/>
          <w:szCs w:val="21"/>
          <w:highlight w:val="none"/>
        </w:rPr>
        <w:t>联合体。</w:t>
      </w:r>
    </w:p>
    <w:p w14:paraId="5476AA5C">
      <w:pPr>
        <w:spacing w:line="360" w:lineRule="exact"/>
        <w:ind w:firstLine="482" w:firstLineChars="200"/>
        <w:rPr>
          <w:rFonts w:ascii="宋体" w:hAnsi="宋体" w:cs="宋体"/>
          <w:b/>
          <w:bCs/>
          <w:color w:val="auto"/>
          <w:sz w:val="24"/>
          <w:highlight w:val="none"/>
        </w:rPr>
      </w:pPr>
      <w:bookmarkStart w:id="9" w:name="_Toc71366041"/>
      <w:bookmarkStart w:id="10" w:name="_Toc35393799"/>
      <w:bookmarkStart w:id="11" w:name="_Toc71365363"/>
      <w:bookmarkStart w:id="12" w:name="_Toc28359090"/>
      <w:bookmarkStart w:id="13" w:name="_Toc28359013"/>
      <w:bookmarkStart w:id="14" w:name="_Toc35393630"/>
      <w:r>
        <w:rPr>
          <w:rFonts w:hint="eastAsia" w:ascii="宋体" w:hAnsi="宋体" w:cs="宋体"/>
          <w:b/>
          <w:bCs/>
          <w:color w:val="auto"/>
          <w:sz w:val="24"/>
          <w:highlight w:val="none"/>
        </w:rPr>
        <w:t>二、供应商的资格条件：</w:t>
      </w:r>
      <w:bookmarkEnd w:id="9"/>
      <w:bookmarkEnd w:id="10"/>
      <w:bookmarkEnd w:id="11"/>
      <w:bookmarkEnd w:id="12"/>
      <w:bookmarkEnd w:id="13"/>
      <w:bookmarkEnd w:id="14"/>
    </w:p>
    <w:p w14:paraId="0E09CE06">
      <w:pPr>
        <w:spacing w:line="360" w:lineRule="exact"/>
        <w:ind w:firstLine="420" w:firstLineChars="200"/>
        <w:rPr>
          <w:rFonts w:ascii="宋体" w:hAnsi="宋体" w:cs="宋体"/>
          <w:color w:val="auto"/>
          <w:szCs w:val="21"/>
          <w:highlight w:val="none"/>
        </w:rPr>
      </w:pPr>
      <w:bookmarkStart w:id="15" w:name="_Toc28359091"/>
      <w:bookmarkStart w:id="16" w:name="_Toc28359014"/>
      <w:r>
        <w:rPr>
          <w:rFonts w:hint="eastAsia" w:ascii="宋体" w:hAnsi="宋体" w:cs="宋体"/>
          <w:color w:val="auto"/>
          <w:szCs w:val="21"/>
          <w:highlight w:val="none"/>
        </w:rPr>
        <w:t>1.满足《中华人民共和国政府采购法》第二十二条规定；</w:t>
      </w:r>
    </w:p>
    <w:p w14:paraId="77CA9D62">
      <w:pPr>
        <w:spacing w:line="3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2.落实政府采购政策需满足的资格要求：非专门面向中小微企业采购的项目。</w:t>
      </w:r>
    </w:p>
    <w:p w14:paraId="099FF4EA">
      <w:pPr>
        <w:spacing w:line="36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w:t>
      </w:r>
      <w:bookmarkStart w:id="17" w:name="OLE_LINK6"/>
      <w:r>
        <w:rPr>
          <w:rFonts w:hint="eastAsia" w:ascii="宋体" w:hAnsi="宋体" w:cs="宋体"/>
          <w:color w:val="auto"/>
          <w:szCs w:val="21"/>
          <w:highlight w:val="none"/>
        </w:rPr>
        <w:t>无</w:t>
      </w:r>
      <w:bookmarkEnd w:id="17"/>
      <w:r>
        <w:rPr>
          <w:rFonts w:hint="eastAsia" w:ascii="宋体" w:hAnsi="宋体" w:cs="宋体"/>
          <w:color w:val="auto"/>
          <w:szCs w:val="21"/>
          <w:highlight w:val="none"/>
        </w:rPr>
        <w:t>；</w:t>
      </w:r>
    </w:p>
    <w:p w14:paraId="2EF48806">
      <w:pPr>
        <w:spacing w:line="360" w:lineRule="exact"/>
        <w:ind w:firstLine="482" w:firstLineChars="200"/>
        <w:rPr>
          <w:rFonts w:ascii="宋体" w:hAnsi="宋体" w:cs="宋体"/>
          <w:b/>
          <w:bCs/>
          <w:color w:val="auto"/>
          <w:sz w:val="24"/>
          <w:highlight w:val="none"/>
        </w:rPr>
      </w:pPr>
      <w:bookmarkStart w:id="18" w:name="_Toc71365364"/>
      <w:bookmarkStart w:id="19" w:name="_Toc35393800"/>
      <w:bookmarkStart w:id="20" w:name="_Toc71366042"/>
      <w:bookmarkStart w:id="21" w:name="_Toc35393631"/>
      <w:r>
        <w:rPr>
          <w:rFonts w:hint="eastAsia" w:ascii="宋体" w:hAnsi="宋体" w:cs="宋体"/>
          <w:b/>
          <w:bCs/>
          <w:color w:val="auto"/>
          <w:sz w:val="24"/>
          <w:highlight w:val="none"/>
        </w:rPr>
        <w:t>三、获取竞争性谈判文件</w:t>
      </w:r>
      <w:bookmarkEnd w:id="15"/>
      <w:bookmarkEnd w:id="16"/>
      <w:bookmarkEnd w:id="18"/>
      <w:bookmarkEnd w:id="19"/>
      <w:bookmarkEnd w:id="20"/>
      <w:bookmarkEnd w:id="21"/>
    </w:p>
    <w:p w14:paraId="65104BE3">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时间：2026年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09</w:t>
      </w:r>
      <w:r>
        <w:rPr>
          <w:rFonts w:hint="eastAsia" w:ascii="宋体" w:hAnsi="宋体" w:cs="宋体"/>
          <w:bCs/>
          <w:color w:val="auto"/>
          <w:kern w:val="0"/>
          <w:szCs w:val="21"/>
          <w:highlight w:val="none"/>
        </w:rPr>
        <w:t>日至2026年</w:t>
      </w:r>
      <w:r>
        <w:rPr>
          <w:rFonts w:hint="eastAsia" w:ascii="宋体" w:hAnsi="宋体" w:cs="宋体"/>
          <w:bCs/>
          <w:color w:val="auto"/>
          <w:kern w:val="0"/>
          <w:szCs w:val="21"/>
          <w:highlight w:val="none"/>
          <w:lang w:val="en-US" w:eastAsia="zh-CN"/>
        </w:rPr>
        <w:t>05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13</w:t>
      </w:r>
      <w:r>
        <w:rPr>
          <w:rFonts w:hint="eastAsia" w:ascii="宋体" w:hAnsi="宋体" w:cs="宋体"/>
          <w:bCs/>
          <w:color w:val="auto"/>
          <w:kern w:val="0"/>
          <w:szCs w:val="21"/>
          <w:highlight w:val="none"/>
        </w:rPr>
        <w:t>日，每天00：00至23：59（北京时间）</w:t>
      </w:r>
    </w:p>
    <w:p w14:paraId="42436E9C">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地点：</w:t>
      </w:r>
      <w:bookmarkStart w:id="22" w:name="OLE_LINK9"/>
      <w:bookmarkStart w:id="23" w:name="OLE_LINK3"/>
      <w:r>
        <w:rPr>
          <w:rFonts w:hint="eastAsia" w:ascii="宋体" w:hAnsi="宋体" w:cs="宋体"/>
          <w:bCs/>
          <w:color w:val="auto"/>
          <w:kern w:val="0"/>
          <w:szCs w:val="21"/>
          <w:highlight w:val="none"/>
        </w:rPr>
        <w:t>广西政府采购云平台（https://www.gcy.zfcg.gxzf.gov.cn/）</w:t>
      </w:r>
      <w:bookmarkEnd w:id="22"/>
    </w:p>
    <w:bookmarkEnd w:id="23"/>
    <w:p w14:paraId="65F7DD85">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方式：</w:t>
      </w:r>
      <w:bookmarkStart w:id="24" w:name="OLE_LINK8"/>
      <w:r>
        <w:rPr>
          <w:rFonts w:hint="eastAsia" w:ascii="宋体" w:hAnsi="宋体" w:cs="宋体"/>
          <w:bCs/>
          <w:color w:val="auto"/>
          <w:kern w:val="0"/>
          <w:szCs w:val="21"/>
          <w:highlight w:val="none"/>
        </w:rPr>
        <w:t>网上下载。本项目不提供纸质文件，潜在供应商需使用账号登录或者使用CA登录广西政府采购云平台（https://www.gcy.zfcg.gxzf.gov.cn/）-进入“项目采购”应用，在获取采购文件菜单中选择项目，获取竞争性谈判文件。电子响应文件制作需要基于广西政府采购云平台获取的谈判文件编制，通过其他方式获取谈判文件的，将有可能导致供应商无法在广西政府采购云平台编制及上传响应文件。</w:t>
      </w:r>
    </w:p>
    <w:bookmarkEnd w:id="24"/>
    <w:p w14:paraId="10A9C85E">
      <w:pPr>
        <w:spacing w:line="360" w:lineRule="exact"/>
        <w:ind w:firstLine="420" w:firstLineChars="200"/>
        <w:rPr>
          <w:rFonts w:ascii="宋体" w:hAnsi="宋体" w:cs="宋体"/>
          <w:bCs/>
          <w:color w:val="auto"/>
          <w:kern w:val="0"/>
          <w:szCs w:val="21"/>
          <w:highlight w:val="none"/>
        </w:rPr>
      </w:pPr>
      <w:r>
        <w:rPr>
          <w:rFonts w:hint="eastAsia" w:ascii="宋体" w:hAnsi="宋体" w:cs="宋体"/>
          <w:bCs/>
          <w:color w:val="auto"/>
          <w:kern w:val="0"/>
          <w:szCs w:val="21"/>
          <w:highlight w:val="none"/>
        </w:rPr>
        <w:t>售价：0元</w:t>
      </w:r>
    </w:p>
    <w:p w14:paraId="73D65B7E">
      <w:pPr>
        <w:spacing w:line="360" w:lineRule="exact"/>
        <w:ind w:firstLine="361" w:firstLineChars="150"/>
        <w:rPr>
          <w:rFonts w:ascii="宋体" w:hAnsi="宋体" w:cs="宋体"/>
          <w:b/>
          <w:bCs/>
          <w:color w:val="auto"/>
          <w:sz w:val="24"/>
          <w:highlight w:val="none"/>
        </w:rPr>
      </w:pPr>
      <w:bookmarkStart w:id="25" w:name="_Toc35393801"/>
      <w:bookmarkStart w:id="26" w:name="_Toc71366043"/>
      <w:bookmarkStart w:id="27" w:name="_Toc28359092"/>
      <w:bookmarkStart w:id="28" w:name="_Toc35393632"/>
      <w:bookmarkStart w:id="29" w:name="_Toc71365365"/>
      <w:bookmarkStart w:id="30" w:name="_Toc28359015"/>
      <w:r>
        <w:rPr>
          <w:rFonts w:hint="eastAsia" w:ascii="宋体" w:hAnsi="宋体" w:cs="宋体"/>
          <w:b/>
          <w:bCs/>
          <w:color w:val="auto"/>
          <w:sz w:val="24"/>
          <w:highlight w:val="none"/>
        </w:rPr>
        <w:t>四、响应文件提交</w:t>
      </w:r>
      <w:bookmarkEnd w:id="25"/>
      <w:bookmarkEnd w:id="26"/>
      <w:bookmarkEnd w:id="27"/>
      <w:bookmarkEnd w:id="28"/>
      <w:bookmarkEnd w:id="29"/>
      <w:bookmarkEnd w:id="30"/>
    </w:p>
    <w:p w14:paraId="2A8BBCF0">
      <w:pPr>
        <w:spacing w:line="36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截止时间：</w:t>
      </w:r>
      <w:r>
        <w:rPr>
          <w:rFonts w:hint="eastAsia" w:ascii="宋体" w:hAnsi="宋体" w:cs="宋体"/>
          <w:bCs/>
          <w:color w:val="auto"/>
          <w:kern w:val="0"/>
          <w:szCs w:val="21"/>
          <w:highlight w:val="none"/>
          <w:u w:val="single"/>
        </w:rPr>
        <w:t>2026年</w:t>
      </w:r>
      <w:r>
        <w:rPr>
          <w:rFonts w:hint="eastAsia" w:ascii="宋体" w:hAnsi="宋体" w:cs="宋体"/>
          <w:bCs/>
          <w:color w:val="auto"/>
          <w:kern w:val="0"/>
          <w:szCs w:val="21"/>
          <w:highlight w:val="none"/>
          <w:u w:val="single"/>
          <w:lang w:val="en-US" w:eastAsia="zh-CN"/>
        </w:rPr>
        <w:t>5</w:t>
      </w:r>
      <w:r>
        <w:rPr>
          <w:rFonts w:hint="eastAsia" w:ascii="宋体" w:hAnsi="宋体" w:cs="宋体"/>
          <w:bCs/>
          <w:color w:val="auto"/>
          <w:kern w:val="0"/>
          <w:szCs w:val="21"/>
          <w:highlight w:val="none"/>
          <w:u w:val="single"/>
        </w:rPr>
        <w:t>月</w:t>
      </w:r>
      <w:r>
        <w:rPr>
          <w:rFonts w:hint="eastAsia" w:ascii="宋体" w:hAnsi="宋体" w:cs="宋体"/>
          <w:bCs/>
          <w:color w:val="auto"/>
          <w:kern w:val="0"/>
          <w:szCs w:val="21"/>
          <w:highlight w:val="none"/>
          <w:u w:val="single"/>
          <w:lang w:val="en-US" w:eastAsia="zh-CN"/>
        </w:rPr>
        <w:t>15</w:t>
      </w:r>
      <w:r>
        <w:rPr>
          <w:rFonts w:hint="eastAsia" w:ascii="宋体" w:hAnsi="宋体" w:cs="宋体"/>
          <w:bCs/>
          <w:color w:val="auto"/>
          <w:kern w:val="0"/>
          <w:szCs w:val="21"/>
          <w:highlight w:val="none"/>
          <w:u w:val="single"/>
        </w:rPr>
        <w:t>日</w:t>
      </w:r>
      <w:r>
        <w:rPr>
          <w:rFonts w:hint="eastAsia" w:ascii="宋体" w:hAnsi="宋体" w:cs="宋体"/>
          <w:color w:val="auto"/>
          <w:szCs w:val="21"/>
          <w:highlight w:val="none"/>
          <w:u w:val="single"/>
        </w:rPr>
        <w:t>09时30分</w:t>
      </w:r>
      <w:r>
        <w:rPr>
          <w:rFonts w:hint="eastAsia" w:ascii="宋体" w:hAnsi="宋体" w:cs="宋体"/>
          <w:bCs/>
          <w:color w:val="auto"/>
          <w:szCs w:val="21"/>
          <w:highlight w:val="none"/>
          <w:u w:val="single"/>
        </w:rPr>
        <w:t>（北京时间）</w:t>
      </w:r>
    </w:p>
    <w:p w14:paraId="192DD1F3">
      <w:pPr>
        <w:spacing w:line="360" w:lineRule="exact"/>
        <w:ind w:left="422"/>
        <w:rPr>
          <w:rFonts w:ascii="宋体" w:hAnsi="宋体" w:cs="宋体"/>
          <w:bCs/>
          <w:color w:val="auto"/>
          <w:szCs w:val="21"/>
          <w:highlight w:val="none"/>
          <w:u w:val="single"/>
        </w:rPr>
      </w:pPr>
      <w:r>
        <w:rPr>
          <w:rFonts w:hint="eastAsia" w:ascii="宋体" w:hAnsi="宋体" w:cs="宋体"/>
          <w:color w:val="auto"/>
          <w:szCs w:val="21"/>
          <w:highlight w:val="none"/>
        </w:rPr>
        <w:t>地点：</w:t>
      </w:r>
      <w:bookmarkStart w:id="31" w:name="OLE_LINK4"/>
      <w:r>
        <w:rPr>
          <w:rFonts w:hint="eastAsia" w:ascii="宋体" w:hAnsi="宋体" w:cs="宋体"/>
          <w:color w:val="auto"/>
          <w:szCs w:val="21"/>
          <w:highlight w:val="none"/>
        </w:rPr>
        <w:t>广西政府采购云平台（https://www.gcy.zfcg.gxzf.gov.cn/）</w:t>
      </w:r>
      <w:bookmarkEnd w:id="31"/>
    </w:p>
    <w:p w14:paraId="2834B299">
      <w:pPr>
        <w:spacing w:line="360" w:lineRule="exact"/>
        <w:ind w:firstLine="361" w:firstLineChars="150"/>
        <w:rPr>
          <w:rFonts w:ascii="宋体" w:hAnsi="宋体" w:cs="宋体"/>
          <w:b/>
          <w:bCs/>
          <w:color w:val="auto"/>
          <w:sz w:val="24"/>
          <w:highlight w:val="none"/>
        </w:rPr>
      </w:pPr>
      <w:bookmarkStart w:id="32" w:name="_Toc35393802"/>
      <w:bookmarkStart w:id="33" w:name="_Toc71365366"/>
      <w:bookmarkStart w:id="34" w:name="_Toc35393633"/>
      <w:bookmarkStart w:id="35" w:name="_Toc28359016"/>
      <w:bookmarkStart w:id="36" w:name="_Toc71366044"/>
      <w:bookmarkStart w:id="37" w:name="_Toc28359093"/>
      <w:r>
        <w:rPr>
          <w:rFonts w:hint="eastAsia" w:ascii="宋体" w:hAnsi="宋体" w:cs="宋体"/>
          <w:b/>
          <w:bCs/>
          <w:color w:val="auto"/>
          <w:sz w:val="24"/>
          <w:highlight w:val="none"/>
        </w:rPr>
        <w:t>五、开启</w:t>
      </w:r>
      <w:bookmarkEnd w:id="32"/>
      <w:bookmarkEnd w:id="33"/>
      <w:bookmarkEnd w:id="34"/>
      <w:bookmarkEnd w:id="35"/>
      <w:bookmarkEnd w:id="36"/>
      <w:bookmarkEnd w:id="37"/>
    </w:p>
    <w:p w14:paraId="21E92F4E">
      <w:pPr>
        <w:spacing w:line="360" w:lineRule="exact"/>
        <w:ind w:firstLine="420" w:firstLineChars="200"/>
        <w:rPr>
          <w:rFonts w:ascii="宋体" w:hAnsi="宋体" w:cs="宋体"/>
          <w:bCs/>
          <w:color w:val="auto"/>
          <w:szCs w:val="21"/>
          <w:highlight w:val="none"/>
          <w:u w:val="none"/>
        </w:rPr>
      </w:pPr>
      <w:r>
        <w:rPr>
          <w:rFonts w:hint="eastAsia" w:ascii="宋体" w:hAnsi="宋体" w:cs="宋体"/>
          <w:color w:val="auto"/>
          <w:szCs w:val="21"/>
          <w:highlight w:val="none"/>
        </w:rPr>
        <w:t>时间：</w:t>
      </w:r>
      <w:r>
        <w:rPr>
          <w:rFonts w:hint="eastAsia" w:ascii="宋体" w:hAnsi="宋体" w:cs="宋体"/>
          <w:bCs/>
          <w:color w:val="auto"/>
          <w:kern w:val="0"/>
          <w:szCs w:val="21"/>
          <w:highlight w:val="none"/>
          <w:u w:val="none"/>
        </w:rPr>
        <w:t>2026年</w:t>
      </w:r>
      <w:r>
        <w:rPr>
          <w:rFonts w:hint="eastAsia" w:ascii="宋体" w:hAnsi="宋体" w:cs="宋体"/>
          <w:bCs/>
          <w:color w:val="auto"/>
          <w:kern w:val="0"/>
          <w:szCs w:val="21"/>
          <w:highlight w:val="none"/>
          <w:u w:val="none"/>
          <w:lang w:val="en-US" w:eastAsia="zh-CN"/>
        </w:rPr>
        <w:t>5</w:t>
      </w:r>
      <w:r>
        <w:rPr>
          <w:rFonts w:hint="eastAsia" w:ascii="宋体" w:hAnsi="宋体" w:cs="宋体"/>
          <w:bCs/>
          <w:color w:val="auto"/>
          <w:kern w:val="0"/>
          <w:szCs w:val="21"/>
          <w:highlight w:val="none"/>
          <w:u w:val="none"/>
        </w:rPr>
        <w:t>月</w:t>
      </w:r>
      <w:r>
        <w:rPr>
          <w:rFonts w:hint="eastAsia" w:ascii="宋体" w:hAnsi="宋体" w:cs="宋体"/>
          <w:bCs/>
          <w:color w:val="auto"/>
          <w:kern w:val="0"/>
          <w:szCs w:val="21"/>
          <w:highlight w:val="none"/>
          <w:u w:val="none"/>
          <w:lang w:val="en-US" w:eastAsia="zh-CN"/>
        </w:rPr>
        <w:t>15</w:t>
      </w:r>
      <w:r>
        <w:rPr>
          <w:rFonts w:hint="eastAsia" w:ascii="宋体" w:hAnsi="宋体" w:cs="宋体"/>
          <w:bCs/>
          <w:color w:val="auto"/>
          <w:kern w:val="0"/>
          <w:szCs w:val="21"/>
          <w:highlight w:val="none"/>
          <w:u w:val="none"/>
        </w:rPr>
        <w:t>日</w:t>
      </w:r>
      <w:r>
        <w:rPr>
          <w:rFonts w:hint="eastAsia" w:ascii="宋体" w:hAnsi="宋体" w:cs="宋体"/>
          <w:color w:val="auto"/>
          <w:szCs w:val="21"/>
          <w:highlight w:val="none"/>
          <w:u w:val="none"/>
        </w:rPr>
        <w:t>09时30分</w:t>
      </w:r>
      <w:r>
        <w:rPr>
          <w:rFonts w:hint="eastAsia" w:ascii="宋体" w:hAnsi="宋体" w:cs="宋体"/>
          <w:bCs/>
          <w:color w:val="auto"/>
          <w:szCs w:val="21"/>
          <w:highlight w:val="none"/>
          <w:u w:val="none"/>
        </w:rPr>
        <w:t>（北京时间）</w:t>
      </w:r>
    </w:p>
    <w:p w14:paraId="0565D0F7">
      <w:pPr>
        <w:spacing w:line="36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w:t>
      </w:r>
      <w:bookmarkStart w:id="38" w:name="OLE_LINK11"/>
      <w:r>
        <w:rPr>
          <w:rFonts w:hint="eastAsia" w:ascii="宋体" w:hAnsi="宋体" w:cs="宋体"/>
          <w:color w:val="auto"/>
          <w:szCs w:val="21"/>
          <w:highlight w:val="none"/>
        </w:rPr>
        <w:t>广西政府采购云平台（https://www.gcy.zfcg.gxzf.gov.cn/）</w:t>
      </w:r>
    </w:p>
    <w:bookmarkEnd w:id="38"/>
    <w:p w14:paraId="61E2F159">
      <w:pPr>
        <w:spacing w:line="360" w:lineRule="exact"/>
        <w:ind w:firstLine="361" w:firstLineChars="150"/>
        <w:rPr>
          <w:rFonts w:ascii="宋体" w:hAnsi="宋体" w:cs="宋体"/>
          <w:b/>
          <w:bCs/>
          <w:color w:val="auto"/>
          <w:sz w:val="24"/>
          <w:highlight w:val="none"/>
        </w:rPr>
      </w:pPr>
      <w:bookmarkStart w:id="39" w:name="_Toc28359017"/>
      <w:bookmarkStart w:id="40" w:name="_Toc71365367"/>
      <w:bookmarkStart w:id="41" w:name="_Toc28359094"/>
      <w:bookmarkStart w:id="42" w:name="_Toc71366045"/>
      <w:bookmarkStart w:id="43" w:name="_Toc35393634"/>
      <w:bookmarkStart w:id="44" w:name="_Toc35393803"/>
      <w:r>
        <w:rPr>
          <w:rFonts w:hint="eastAsia" w:ascii="宋体" w:hAnsi="宋体" w:cs="宋体"/>
          <w:b/>
          <w:bCs/>
          <w:color w:val="auto"/>
          <w:sz w:val="24"/>
          <w:highlight w:val="none"/>
        </w:rPr>
        <w:t>六、公告期限</w:t>
      </w:r>
      <w:bookmarkEnd w:id="39"/>
      <w:bookmarkEnd w:id="40"/>
      <w:bookmarkEnd w:id="41"/>
      <w:bookmarkEnd w:id="42"/>
      <w:bookmarkEnd w:id="43"/>
      <w:bookmarkEnd w:id="44"/>
    </w:p>
    <w:p w14:paraId="4817A470">
      <w:pPr>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6379D3C8">
      <w:pPr>
        <w:spacing w:line="360" w:lineRule="exact"/>
        <w:ind w:firstLine="361" w:firstLineChars="150"/>
        <w:rPr>
          <w:rFonts w:ascii="宋体" w:hAnsi="宋体" w:cs="宋体"/>
          <w:b/>
          <w:bCs/>
          <w:color w:val="auto"/>
          <w:sz w:val="24"/>
          <w:highlight w:val="none"/>
        </w:rPr>
      </w:pPr>
      <w:bookmarkStart w:id="45" w:name="_Toc71366046"/>
      <w:bookmarkStart w:id="46" w:name="_Toc35393635"/>
      <w:bookmarkStart w:id="47" w:name="_Toc71365368"/>
      <w:bookmarkStart w:id="48" w:name="_Toc35393804"/>
      <w:r>
        <w:rPr>
          <w:rFonts w:hint="eastAsia" w:ascii="宋体" w:hAnsi="宋体" w:cs="宋体"/>
          <w:b/>
          <w:bCs/>
          <w:color w:val="auto"/>
          <w:sz w:val="24"/>
          <w:highlight w:val="none"/>
        </w:rPr>
        <w:t>七、其他补充事宜</w:t>
      </w:r>
      <w:bookmarkEnd w:id="45"/>
      <w:bookmarkEnd w:id="46"/>
      <w:bookmarkEnd w:id="47"/>
      <w:bookmarkEnd w:id="48"/>
    </w:p>
    <w:p w14:paraId="75847728">
      <w:pPr>
        <w:spacing w:line="360" w:lineRule="exact"/>
        <w:ind w:firstLine="420" w:firstLineChars="200"/>
        <w:rPr>
          <w:rFonts w:ascii="宋体" w:hAnsi="宋体" w:cs="宋体"/>
          <w:color w:val="auto"/>
          <w:kern w:val="0"/>
          <w:szCs w:val="21"/>
          <w:highlight w:val="none"/>
        </w:rPr>
      </w:pPr>
      <w:bookmarkStart w:id="49" w:name="OLE_LINK16"/>
      <w:r>
        <w:rPr>
          <w:rFonts w:hint="eastAsia" w:ascii="宋体" w:hAnsi="宋体" w:cs="宋体"/>
          <w:color w:val="auto"/>
          <w:kern w:val="0"/>
          <w:szCs w:val="21"/>
          <w:highlight w:val="none"/>
        </w:rPr>
        <w:t>1.网上查询地址</w:t>
      </w:r>
    </w:p>
    <w:p w14:paraId="37B85E3C">
      <w:pPr>
        <w:wordWrap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中国政府采购网（http://www.ccgp.gov.cn）、广西壮族自治区政府采购网（http://zfcg.gxzf.gov.cn）</w:t>
      </w:r>
    </w:p>
    <w:p w14:paraId="3E0727AB">
      <w:pPr>
        <w:spacing w:line="360" w:lineRule="exact"/>
        <w:ind w:firstLine="424" w:firstLineChars="202"/>
        <w:rPr>
          <w:rFonts w:ascii="宋体" w:hAnsi="宋体" w:cs="宋体"/>
          <w:color w:val="auto"/>
          <w:kern w:val="0"/>
          <w:szCs w:val="21"/>
          <w:highlight w:val="none"/>
        </w:rPr>
      </w:pPr>
      <w:bookmarkStart w:id="50" w:name="_Hlk37429674"/>
      <w:bookmarkStart w:id="51" w:name="_Toc28359018"/>
      <w:bookmarkStart w:id="52" w:name="_Toc28359095"/>
      <w:bookmarkStart w:id="53" w:name="_Toc71365369"/>
      <w:bookmarkStart w:id="54" w:name="_Toc35393805"/>
      <w:bookmarkStart w:id="55" w:name="_Toc71366047"/>
      <w:bookmarkStart w:id="56" w:name="_Toc35393636"/>
      <w:r>
        <w:rPr>
          <w:rFonts w:hint="eastAsia" w:ascii="宋体" w:hAnsi="宋体" w:cs="宋体"/>
          <w:color w:val="auto"/>
          <w:szCs w:val="21"/>
          <w:highlight w:val="none"/>
        </w:rPr>
        <w:t>2.</w:t>
      </w:r>
      <w:r>
        <w:rPr>
          <w:rFonts w:hint="eastAsia" w:ascii="宋体" w:hAnsi="宋体" w:cs="宋体"/>
          <w:color w:val="auto"/>
          <w:kern w:val="0"/>
          <w:szCs w:val="21"/>
          <w:highlight w:val="none"/>
        </w:rPr>
        <w:t>本项目需要落实的政府采购政策</w:t>
      </w:r>
    </w:p>
    <w:p w14:paraId="0F96E98F">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（1）政府采购促进中小企业发展。</w:t>
      </w:r>
    </w:p>
    <w:p w14:paraId="66444B1D">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（2）政府采购支持采用本国产品的政策。</w:t>
      </w:r>
    </w:p>
    <w:p w14:paraId="517AF68E">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（3）强制采购节能产品；优先采购节能产品、环境标志产品。</w:t>
      </w:r>
    </w:p>
    <w:p w14:paraId="51ECF40D">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（4）政府采购促进残疾人就业政策。</w:t>
      </w:r>
    </w:p>
    <w:p w14:paraId="0264A506">
      <w:pPr>
        <w:spacing w:line="360" w:lineRule="exact"/>
        <w:ind w:firstLine="420" w:firstLineChars="200"/>
        <w:rPr>
          <w:rFonts w:ascii="宋体" w:hAnsi="宋体" w:cs="宋体"/>
          <w:iCs/>
          <w:color w:val="auto"/>
          <w:kern w:val="0"/>
          <w:szCs w:val="21"/>
          <w:highlight w:val="none"/>
        </w:rPr>
      </w:pPr>
      <w:r>
        <w:rPr>
          <w:rFonts w:hint="eastAsia" w:ascii="宋体" w:hAnsi="宋体" w:cs="宋体"/>
          <w:iCs/>
          <w:color w:val="auto"/>
          <w:kern w:val="0"/>
          <w:szCs w:val="21"/>
          <w:highlight w:val="none"/>
        </w:rPr>
        <w:t>（5）政府采购支持监狱企业发展。</w:t>
      </w:r>
    </w:p>
    <w:p w14:paraId="6F154C3B">
      <w:pPr>
        <w:widowControl/>
        <w:spacing w:line="360" w:lineRule="exact"/>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3.供应商</w:t>
      </w:r>
      <w:r>
        <w:rPr>
          <w:rFonts w:hint="eastAsia" w:ascii="宋体" w:hAnsi="宋体" w:cs="宋体"/>
          <w:color w:val="auto"/>
          <w:szCs w:val="21"/>
          <w:highlight w:val="none"/>
        </w:rPr>
        <w:t>竞标注意事项</w:t>
      </w:r>
    </w:p>
    <w:p w14:paraId="5E4A8313">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本项目为全流程电子化采购项目，通过广西政府采购云平台（https://www.gcy.zfcg.gxzf.gov.cn/）实行在线电子竞标，供应商应按照本项目竞争性谈判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28DBEF90">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广西政府采购云平台，依次进入“服务中心-入驻与配置”中查看CA数字证书办理操作流程。如在操作过程中遇到问题或者需要技术支持，请致电客服热线：95763或者0771-3381253）。</w:t>
      </w:r>
    </w:p>
    <w:p w14:paraId="61DE901E">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57258667">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1）为确保网上操作合法、有效和安全，请供应商确保在电子竞标过程中能够对相关数据电文进行加密和使用电子签章，妥善保管CA数字证书并使用有效的CA数字证书参与整个采购活动。2）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C21CA63">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（4）供应商需要在具备有摄像头及语音功能且互联网网络状况良好的电脑登录广西政府采购云平台远程开标大厅参与本次谈判，否则后果自负。</w:t>
      </w:r>
    </w:p>
    <w:bookmarkEnd w:id="49"/>
    <w:bookmarkEnd w:id="50"/>
    <w:p w14:paraId="442F0CE5">
      <w:pPr>
        <w:spacing w:line="360" w:lineRule="exact"/>
        <w:ind w:firstLine="361" w:firstLineChars="150"/>
        <w:rPr>
          <w:rFonts w:ascii="宋体" w:hAnsi="宋体" w:cs="宋体"/>
          <w:b/>
          <w:bCs/>
          <w:color w:val="auto"/>
          <w:sz w:val="24"/>
          <w:highlight w:val="none"/>
        </w:rPr>
      </w:pPr>
      <w:r>
        <w:rPr>
          <w:rFonts w:hint="eastAsia" w:ascii="宋体" w:hAnsi="宋体" w:cs="宋体"/>
          <w:b/>
          <w:bCs/>
          <w:color w:val="auto"/>
          <w:sz w:val="24"/>
          <w:highlight w:val="none"/>
        </w:rPr>
        <w:t>八、凡对本次采购提出询问，请按以下方式联系。</w:t>
      </w:r>
      <w:bookmarkEnd w:id="51"/>
      <w:bookmarkEnd w:id="52"/>
      <w:bookmarkEnd w:id="53"/>
      <w:bookmarkEnd w:id="54"/>
      <w:bookmarkEnd w:id="55"/>
      <w:bookmarkEnd w:id="56"/>
    </w:p>
    <w:bookmarkEnd w:id="2"/>
    <w:p w14:paraId="17759323">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1.采购单位</w:t>
      </w:r>
    </w:p>
    <w:p w14:paraId="5792B496">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名 称：广西壮族自治区人民检察院 </w:t>
      </w:r>
    </w:p>
    <w:p w14:paraId="221B28D7">
      <w:pPr>
        <w:snapToGrid w:val="0"/>
        <w:spacing w:line="36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地 址：南宁市青秀区凤翔路3号</w:t>
      </w:r>
    </w:p>
    <w:p w14:paraId="435A7811">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 xml:space="preserve">项目联系人：黎淼  </w:t>
      </w:r>
    </w:p>
    <w:p w14:paraId="732819ED">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联系电话： 0771-5506586</w:t>
      </w:r>
    </w:p>
    <w:p w14:paraId="6C766AB3">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2A6DE91D">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名称：广西同泽工程项目管理股份有限公司</w:t>
      </w:r>
    </w:p>
    <w:p w14:paraId="19779EA0">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地址：</w:t>
      </w:r>
      <w:bookmarkStart w:id="57" w:name="OLE_LINK7"/>
      <w:r>
        <w:rPr>
          <w:rFonts w:hint="eastAsia" w:ascii="宋体" w:hAnsi="宋体" w:cs="宋体"/>
          <w:color w:val="auto"/>
          <w:kern w:val="0"/>
          <w:szCs w:val="21"/>
          <w:highlight w:val="none"/>
        </w:rPr>
        <w:t>南宁市良庆区凯旋路16号裕达国际中心广东大厦十八层</w:t>
      </w:r>
    </w:p>
    <w:bookmarkEnd w:id="57"/>
    <w:p w14:paraId="2376E2ED">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联系方式：陆珍花、奉云、龙晶晶、农英民；0771-5590176</w:t>
      </w:r>
    </w:p>
    <w:p w14:paraId="4094139D">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3.项目联系方式</w:t>
      </w:r>
    </w:p>
    <w:p w14:paraId="7A170B14">
      <w:pPr>
        <w:snapToGrid w:val="0"/>
        <w:spacing w:line="36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项目联系人：陆珍花、奉云、农英民</w:t>
      </w:r>
    </w:p>
    <w:p w14:paraId="7F8B50AE">
      <w:pPr>
        <w:snapToGrid w:val="0"/>
        <w:spacing w:line="360" w:lineRule="exact"/>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电　　话：</w:t>
      </w:r>
      <w:r>
        <w:rPr>
          <w:rFonts w:hint="eastAsia" w:ascii="宋体" w:hAnsi="宋体" w:cs="宋体"/>
          <w:color w:val="auto"/>
          <w:szCs w:val="21"/>
          <w:highlight w:val="none"/>
        </w:rPr>
        <w:t>0771-5590176</w:t>
      </w:r>
    </w:p>
    <w:p w14:paraId="64D29B60">
      <w:pPr>
        <w:snapToGrid w:val="0"/>
        <w:spacing w:line="360" w:lineRule="exact"/>
        <w:ind w:firstLine="420" w:firstLineChars="200"/>
        <w:jc w:val="right"/>
        <w:rPr>
          <w:rFonts w:hint="eastAsia" w:ascii="宋体" w:hAnsi="宋体" w:cs="宋体"/>
          <w:bCs/>
          <w:color w:val="auto"/>
          <w:kern w:val="0"/>
          <w:szCs w:val="21"/>
          <w:highlight w:val="none"/>
        </w:rPr>
      </w:pPr>
    </w:p>
    <w:p w14:paraId="04B7B208">
      <w:pPr>
        <w:snapToGrid w:val="0"/>
        <w:spacing w:line="360" w:lineRule="exact"/>
        <w:ind w:firstLine="420" w:firstLineChars="200"/>
        <w:jc w:val="right"/>
        <w:rPr>
          <w:rFonts w:hint="eastAsia" w:ascii="宋体" w:hAnsi="宋体" w:cs="宋体"/>
          <w:bCs/>
          <w:color w:val="auto"/>
          <w:kern w:val="0"/>
          <w:szCs w:val="21"/>
          <w:highlight w:val="none"/>
        </w:rPr>
      </w:pPr>
    </w:p>
    <w:p w14:paraId="2B2AB45A">
      <w:pPr>
        <w:snapToGrid w:val="0"/>
        <w:spacing w:line="360" w:lineRule="exact"/>
        <w:ind w:firstLine="420" w:firstLineChars="200"/>
        <w:jc w:val="right"/>
        <w:rPr>
          <w:rFonts w:hint="eastAsia" w:ascii="宋体" w:hAnsi="宋体" w:cs="宋体"/>
          <w:color w:val="auto"/>
          <w:highlight w:val="none"/>
        </w:rPr>
      </w:pPr>
      <w:r>
        <w:rPr>
          <w:rFonts w:hint="eastAsia" w:ascii="宋体" w:hAnsi="宋体" w:cs="宋体"/>
          <w:bCs/>
          <w:color w:val="auto"/>
          <w:kern w:val="0"/>
          <w:szCs w:val="21"/>
          <w:highlight w:val="none"/>
        </w:rPr>
        <w:t>2026年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06</w:t>
      </w:r>
      <w:r>
        <w:rPr>
          <w:rFonts w:hint="eastAsia" w:ascii="宋体" w:hAnsi="宋体" w:cs="宋体"/>
          <w:bCs/>
          <w:color w:val="auto"/>
          <w:kern w:val="0"/>
          <w:szCs w:val="21"/>
          <w:highlight w:val="none"/>
        </w:rPr>
        <w:t>日</w:t>
      </w:r>
      <w:bookmarkEnd w:id="1"/>
      <w:bookmarkStart w:id="58" w:name="_Toc7662"/>
    </w:p>
    <w:p w14:paraId="4E5F993A">
      <w:pPr>
        <w:pStyle w:val="2"/>
        <w:spacing w:line="240" w:lineRule="auto"/>
        <w:jc w:val="center"/>
        <w:rPr>
          <w:rFonts w:hint="eastAsia" w:ascii="宋体" w:hAnsi="宋体" w:cs="宋体"/>
          <w:color w:val="auto"/>
          <w:highlight w:val="none"/>
        </w:rPr>
      </w:pPr>
    </w:p>
    <w:p w14:paraId="21E8BD71">
      <w:pPr>
        <w:pStyle w:val="2"/>
        <w:spacing w:line="240" w:lineRule="auto"/>
        <w:jc w:val="center"/>
        <w:rPr>
          <w:rFonts w:ascii="宋体" w:hAnsi="宋体" w:cs="宋体"/>
          <w:color w:val="auto"/>
          <w:highlight w:val="none"/>
        </w:rPr>
      </w:pPr>
      <w:bookmarkStart w:id="111" w:name="_GoBack"/>
      <w:bookmarkEnd w:id="111"/>
      <w:r>
        <w:rPr>
          <w:rFonts w:hint="eastAsia" w:ascii="宋体" w:hAnsi="宋体" w:cs="宋体"/>
          <w:color w:val="auto"/>
          <w:highlight w:val="none"/>
        </w:rPr>
        <w:t>第二章供应商须知</w:t>
      </w:r>
      <w:bookmarkEnd w:id="58"/>
    </w:p>
    <w:p w14:paraId="7F71DDD1">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供应商须知前附表</w:t>
      </w:r>
    </w:p>
    <w:p w14:paraId="218CB911">
      <w:pPr>
        <w:spacing w:line="400" w:lineRule="exact"/>
        <w:jc w:val="center"/>
        <w:rPr>
          <w:rFonts w:ascii="宋体" w:hAnsi="宋体" w:cs="宋体"/>
          <w:b/>
          <w:color w:val="auto"/>
          <w:sz w:val="32"/>
          <w:szCs w:val="32"/>
          <w:highlight w:val="none"/>
        </w:rPr>
      </w:pP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46A083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6FC7A928">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912" w:type="dxa"/>
            <w:noWrap w:val="0"/>
            <w:vAlign w:val="top"/>
          </w:tcPr>
          <w:p w14:paraId="79B9AC47">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内容</w:t>
            </w:r>
          </w:p>
        </w:tc>
      </w:tr>
      <w:tr w14:paraId="1EAE5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A2EA5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w:t>
            </w:r>
          </w:p>
        </w:tc>
        <w:tc>
          <w:tcPr>
            <w:tcW w:w="7912" w:type="dxa"/>
            <w:noWrap w:val="0"/>
            <w:vAlign w:val="center"/>
          </w:tcPr>
          <w:p w14:paraId="7D788EB6">
            <w:pPr>
              <w:spacing w:line="360" w:lineRule="auto"/>
              <w:rPr>
                <w:rFonts w:ascii="宋体" w:hAnsi="宋体" w:cs="宋体"/>
                <w:color w:val="auto"/>
                <w:szCs w:val="21"/>
                <w:highlight w:val="none"/>
              </w:rPr>
            </w:pPr>
            <w:r>
              <w:rPr>
                <w:rFonts w:hint="eastAsia" w:ascii="宋体" w:hAnsi="宋体" w:cs="宋体"/>
                <w:color w:val="auto"/>
                <w:szCs w:val="21"/>
                <w:highlight w:val="none"/>
              </w:rPr>
              <w:t>1.供应商的资格条件：详见竞争性谈判公告。</w:t>
            </w:r>
          </w:p>
          <w:p w14:paraId="6F8F9516">
            <w:pPr>
              <w:spacing w:line="360" w:lineRule="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Cs/>
                <w:color w:val="auto"/>
                <w:szCs w:val="21"/>
                <w:highlight w:val="none"/>
              </w:rPr>
              <w:t>供应商</w:t>
            </w:r>
            <w:r>
              <w:rPr>
                <w:rFonts w:hint="eastAsia" w:ascii="宋体" w:hAnsi="宋体" w:cs="宋体"/>
                <w:color w:val="auto"/>
                <w:szCs w:val="21"/>
                <w:highlight w:val="none"/>
              </w:rPr>
              <w:t>出现下列情形之一的，不得参加政府采购活动：</w:t>
            </w:r>
          </w:p>
          <w:p w14:paraId="19DECC3B">
            <w:pPr>
              <w:spacing w:line="360" w:lineRule="auto"/>
              <w:rPr>
                <w:rFonts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2B3ADFB">
            <w:pPr>
              <w:spacing w:line="360" w:lineRule="auto"/>
              <w:rPr>
                <w:rFonts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中国执行信息公开网（https://zxgk.court.gov.cn/）被列入失信被执行人、重大税收违法失信主体、政府采购严重违法失信行为记录名单及其他不符合《中华人民共和国政府采购法》第二十二条规定条件的供应商，不得参与政府采购活动。</w:t>
            </w:r>
          </w:p>
        </w:tc>
      </w:tr>
      <w:tr w14:paraId="706B8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BCAFBE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7912" w:type="dxa"/>
            <w:noWrap w:val="0"/>
            <w:vAlign w:val="center"/>
          </w:tcPr>
          <w:p w14:paraId="0BC40E65">
            <w:pPr>
              <w:spacing w:line="360" w:lineRule="auto"/>
              <w:rPr>
                <w:rFonts w:ascii="宋体" w:hAnsi="宋体" w:cs="宋体"/>
                <w:color w:val="auto"/>
                <w:szCs w:val="21"/>
                <w:highlight w:val="none"/>
              </w:rPr>
            </w:pPr>
            <w:r>
              <w:rPr>
                <w:rFonts w:hint="eastAsia" w:ascii="宋体" w:hAnsi="宋体" w:cs="宋体"/>
                <w:color w:val="auto"/>
                <w:szCs w:val="21"/>
                <w:highlight w:val="none"/>
              </w:rPr>
              <w:t>是否接受联合体竞标: 详见竞争性谈判公告。</w:t>
            </w:r>
          </w:p>
        </w:tc>
      </w:tr>
      <w:tr w14:paraId="5DE24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DE4F5C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7912" w:type="dxa"/>
            <w:noWrap w:val="0"/>
            <w:vAlign w:val="center"/>
          </w:tcPr>
          <w:p w14:paraId="62B75383">
            <w:pPr>
              <w:spacing w:line="360" w:lineRule="auto"/>
              <w:rPr>
                <w:rFonts w:ascii="宋体" w:hAnsi="宋体" w:cs="宋体"/>
                <w:color w:val="auto"/>
                <w:szCs w:val="21"/>
                <w:highlight w:val="none"/>
              </w:rPr>
            </w:pPr>
            <w:r>
              <w:rPr>
                <w:rFonts w:hint="eastAsia" w:ascii="宋体" w:hAnsi="宋体" w:cs="宋体"/>
                <w:color w:val="auto"/>
                <w:szCs w:val="21"/>
                <w:highlight w:val="none"/>
              </w:rPr>
              <w:t>如接受联合体竞标，联合体竞标要求如下：</w:t>
            </w:r>
          </w:p>
          <w:p w14:paraId="1762A237">
            <w:pPr>
              <w:spacing w:line="360" w:lineRule="auto"/>
              <w:rPr>
                <w:rFonts w:ascii="宋体" w:hAnsi="宋体" w:cs="宋体"/>
                <w:color w:val="auto"/>
                <w:szCs w:val="21"/>
                <w:highlight w:val="none"/>
              </w:rPr>
            </w:pPr>
            <w:r>
              <w:rPr>
                <w:rFonts w:hint="eastAsia" w:ascii="宋体" w:hAnsi="宋体" w:cs="宋体"/>
                <w:color w:val="auto"/>
                <w:szCs w:val="21"/>
                <w:highlight w:val="none"/>
              </w:rPr>
              <w:t>1.两个以上供应商可以组成一个竞标联合体，以一个供应商的身份共同参加竞标。联合体竞标的，须提供《联合体竞标协议书》（格式后附）。</w:t>
            </w:r>
          </w:p>
          <w:p w14:paraId="38783EEE">
            <w:pPr>
              <w:spacing w:line="360" w:lineRule="auto"/>
              <w:rPr>
                <w:rFonts w:ascii="宋体" w:hAnsi="宋体" w:cs="宋体"/>
                <w:color w:val="auto"/>
                <w:szCs w:val="21"/>
                <w:highlight w:val="none"/>
              </w:rPr>
            </w:pPr>
            <w:r>
              <w:rPr>
                <w:rFonts w:hint="eastAsia" w:ascii="宋体" w:hAnsi="宋体" w:cs="宋体"/>
                <w:color w:val="auto"/>
                <w:szCs w:val="21"/>
                <w:highlight w:val="none"/>
              </w:rPr>
              <w:t>2.以联合体形式参加竞标的，联合体各方均须具备《中华人民共和国政府采购法》第二十二条第一款规定的基本条件（涉及行政许可范围的内容，联合体各方均应具备相应资质）。本项目有特殊要求规定供应商特定条件的，联合体各方中至少有一方必须符合谈判文件规定的特定条件。</w:t>
            </w:r>
          </w:p>
          <w:p w14:paraId="2E9A3C3F">
            <w:pPr>
              <w:spacing w:line="360" w:lineRule="auto"/>
              <w:rPr>
                <w:rFonts w:ascii="宋体" w:hAnsi="宋体" w:cs="宋体"/>
                <w:color w:val="auto"/>
                <w:szCs w:val="21"/>
                <w:highlight w:val="none"/>
              </w:rPr>
            </w:pPr>
            <w:r>
              <w:rPr>
                <w:rFonts w:hint="eastAsia" w:ascii="宋体" w:hAnsi="宋体" w:cs="宋体"/>
                <w:color w:val="auto"/>
                <w:szCs w:val="21"/>
                <w:highlight w:val="none"/>
              </w:rPr>
              <w:t>3.联合体各方之间必须签订联合竞标协议，协议书必须明确主体方（或者牵头方）并明确约定联合体各方承担的工作和相应的责任（各方承担责任与义务的分工必须符合采购需求，否则，联合体竞标无效），并将联合竞标协议连同响应文件一并提交采购代理机构。联合体各方必须共同与采购人签订采购合同，就采购合同约定的事项对采购人承担连带责任。</w:t>
            </w:r>
          </w:p>
          <w:p w14:paraId="748A05A5">
            <w:pPr>
              <w:spacing w:line="360" w:lineRule="auto"/>
              <w:rPr>
                <w:rFonts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4.以联合体形式参加政府采购活动的，联合体各方不得再单独参加或者与其他供应商另外组成联合体参加同一合同项下的政府采购活动。</w:t>
            </w:r>
          </w:p>
          <w:p w14:paraId="75F535EC">
            <w:pPr>
              <w:spacing w:line="360" w:lineRule="auto"/>
              <w:rPr>
                <w:rFonts w:ascii="宋体" w:hAnsi="宋体" w:cs="宋体"/>
                <w:color w:val="auto"/>
                <w:szCs w:val="21"/>
                <w:highlight w:val="none"/>
              </w:rPr>
            </w:pPr>
            <w:r>
              <w:rPr>
                <w:rFonts w:hint="eastAsia" w:ascii="宋体" w:hAnsi="宋体" w:cs="宋体"/>
                <w:color w:val="auto"/>
                <w:szCs w:val="21"/>
                <w:highlight w:val="none"/>
              </w:rPr>
              <w:t>5.联合体中有同类资质的供应商按照联合体分工承担相同工作的，应当按照资质等级较低的供应商确定资质等级。</w:t>
            </w:r>
          </w:p>
          <w:p w14:paraId="4D44FFE0">
            <w:pPr>
              <w:spacing w:line="360" w:lineRule="auto"/>
              <w:rPr>
                <w:rFonts w:ascii="宋体" w:hAnsi="宋体" w:cs="宋体"/>
                <w:color w:val="auto"/>
                <w:szCs w:val="21"/>
                <w:highlight w:val="none"/>
              </w:rPr>
            </w:pPr>
            <w:r>
              <w:rPr>
                <w:rFonts w:hint="eastAsia" w:ascii="宋体" w:hAnsi="宋体" w:cs="宋体"/>
                <w:color w:val="auto"/>
                <w:szCs w:val="21"/>
                <w:highlight w:val="none"/>
              </w:rPr>
              <w:t>6.联合体竞标业绩、履约能力按照联合体各方中较高的一方认定并计算。</w:t>
            </w:r>
          </w:p>
          <w:p w14:paraId="76B37AC3">
            <w:pPr>
              <w:spacing w:line="360" w:lineRule="auto"/>
              <w:rPr>
                <w:rFonts w:ascii="宋体" w:hAnsi="宋体" w:cs="宋体"/>
                <w:color w:val="auto"/>
                <w:szCs w:val="21"/>
                <w:highlight w:val="none"/>
              </w:rPr>
            </w:pPr>
            <w:r>
              <w:rPr>
                <w:rFonts w:hint="eastAsia" w:ascii="宋体" w:hAnsi="宋体" w:cs="宋体"/>
                <w:color w:val="auto"/>
                <w:szCs w:val="21"/>
                <w:highlight w:val="none"/>
              </w:rPr>
              <w:t>7.供应商为联合体的，可以由联合体中的一方或者多方共同交纳保证金，其交纳的保证金对联合体各方均具有约束力。</w:t>
            </w:r>
          </w:p>
          <w:p w14:paraId="7CA93D70">
            <w:pPr>
              <w:spacing w:line="360" w:lineRule="auto"/>
              <w:rPr>
                <w:rFonts w:ascii="宋体" w:hAnsi="宋体" w:cs="宋体"/>
                <w:color w:val="auto"/>
                <w:szCs w:val="21"/>
                <w:highlight w:val="none"/>
              </w:rPr>
            </w:pPr>
            <w:r>
              <w:rPr>
                <w:rFonts w:hint="eastAsia" w:ascii="宋体" w:hAnsi="宋体" w:cs="宋体"/>
                <w:color w:val="auto"/>
                <w:szCs w:val="21"/>
                <w:highlight w:val="none"/>
              </w:rPr>
              <w:t>8.联合体各方均应按照谈判文件的规定分别提交资格证明文件。</w:t>
            </w:r>
          </w:p>
        </w:tc>
      </w:tr>
      <w:tr w14:paraId="33C68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24EAC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6.2</w:t>
            </w:r>
          </w:p>
        </w:tc>
        <w:tc>
          <w:tcPr>
            <w:tcW w:w="7912" w:type="dxa"/>
            <w:noWrap w:val="0"/>
            <w:vAlign w:val="center"/>
          </w:tcPr>
          <w:p w14:paraId="37F2371A">
            <w:pPr>
              <w:pStyle w:val="10"/>
              <w:spacing w:line="360" w:lineRule="auto"/>
              <w:rPr>
                <w:rFonts w:ascii="宋体" w:hAnsi="宋体" w:cs="宋体"/>
                <w:color w:val="auto"/>
                <w:highlight w:val="none"/>
              </w:rPr>
            </w:pPr>
            <w:r>
              <w:rPr>
                <w:rFonts w:hint="eastAsia" w:ascii="宋体" w:hAnsi="宋体" w:cs="宋体"/>
                <w:color w:val="auto"/>
                <w:highlight w:val="none"/>
              </w:rPr>
              <w:t>☑不允许分包</w:t>
            </w:r>
          </w:p>
          <w:p w14:paraId="615A061C">
            <w:pPr>
              <w:pStyle w:val="10"/>
              <w:spacing w:line="360" w:lineRule="auto"/>
              <w:rPr>
                <w:rFonts w:ascii="宋体" w:hAnsi="宋体" w:cs="宋体"/>
                <w:color w:val="auto"/>
                <w:highlight w:val="none"/>
              </w:rPr>
            </w:pPr>
            <w:r>
              <w:rPr>
                <w:rFonts w:hint="eastAsia" w:ascii="宋体" w:hAnsi="宋体" w:cs="宋体"/>
                <w:color w:val="auto"/>
                <w:highlight w:val="none"/>
              </w:rPr>
              <w:t>□允许分包</w:t>
            </w:r>
          </w:p>
          <w:p w14:paraId="6B195536">
            <w:pPr>
              <w:pStyle w:val="10"/>
              <w:spacing w:line="360" w:lineRule="auto"/>
              <w:rPr>
                <w:rFonts w:ascii="宋体" w:hAnsi="宋体" w:cs="宋体"/>
                <w:color w:val="auto"/>
                <w:highlight w:val="none"/>
                <w:u w:val="single"/>
              </w:rPr>
            </w:pPr>
            <w:r>
              <w:rPr>
                <w:rFonts w:hint="eastAsia" w:ascii="宋体" w:hAnsi="宋体" w:cs="宋体"/>
                <w:color w:val="auto"/>
                <w:highlight w:val="none"/>
              </w:rPr>
              <w:t>分包内容：</w:t>
            </w:r>
            <w:r>
              <w:rPr>
                <w:rFonts w:hint="eastAsia" w:ascii="宋体" w:hAnsi="宋体" w:cs="宋体"/>
                <w:color w:val="auto"/>
                <w:highlight w:val="none"/>
                <w:u w:val="single"/>
              </w:rPr>
              <w:t>。</w:t>
            </w:r>
          </w:p>
          <w:p w14:paraId="546199E5">
            <w:pPr>
              <w:pStyle w:val="10"/>
              <w:spacing w:line="360" w:lineRule="auto"/>
              <w:rPr>
                <w:rFonts w:ascii="宋体" w:hAnsi="宋体" w:cs="宋体"/>
                <w:color w:val="auto"/>
                <w:highlight w:val="none"/>
                <w:u w:val="single"/>
              </w:rPr>
            </w:pPr>
            <w:r>
              <w:rPr>
                <w:rFonts w:hint="eastAsia" w:ascii="宋体" w:hAnsi="宋体" w:cs="宋体"/>
                <w:color w:val="auto"/>
                <w:highlight w:val="none"/>
              </w:rPr>
              <w:t>分包金额或者比例：</w:t>
            </w:r>
            <w:r>
              <w:rPr>
                <w:rFonts w:hint="eastAsia" w:ascii="宋体" w:hAnsi="宋体" w:cs="宋体"/>
                <w:color w:val="auto"/>
                <w:highlight w:val="none"/>
                <w:u w:val="single"/>
              </w:rPr>
              <w:t>。</w:t>
            </w:r>
          </w:p>
          <w:p w14:paraId="018B20B8">
            <w:pPr>
              <w:pStyle w:val="10"/>
              <w:spacing w:line="360" w:lineRule="auto"/>
              <w:rPr>
                <w:rFonts w:ascii="宋体" w:hAnsi="宋体" w:cs="宋体"/>
                <w:color w:val="auto"/>
                <w:highlight w:val="none"/>
                <w:u w:val="single"/>
              </w:rPr>
            </w:pPr>
            <w:r>
              <w:rPr>
                <w:rFonts w:hint="eastAsia" w:ascii="宋体" w:hAnsi="宋体" w:cs="宋体"/>
                <w:color w:val="auto"/>
                <w:szCs w:val="21"/>
                <w:highlight w:val="none"/>
              </w:rPr>
              <w:t>分包供应商必须具备的资质：</w:t>
            </w:r>
            <w:r>
              <w:rPr>
                <w:rFonts w:hint="eastAsia" w:ascii="宋体" w:hAnsi="宋体" w:cs="宋体"/>
                <w:color w:val="auto"/>
                <w:szCs w:val="21"/>
                <w:highlight w:val="none"/>
                <w:u w:val="single"/>
              </w:rPr>
              <w:t>。</w:t>
            </w:r>
          </w:p>
        </w:tc>
      </w:tr>
      <w:tr w14:paraId="44E1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BD033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7.1</w:t>
            </w:r>
          </w:p>
        </w:tc>
        <w:tc>
          <w:tcPr>
            <w:tcW w:w="7912" w:type="dxa"/>
            <w:noWrap w:val="0"/>
            <w:vAlign w:val="center"/>
          </w:tcPr>
          <w:p w14:paraId="49F87895">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提供相同品牌产品（非单一产品采购项目的，指核心产品）的不同供应商最后报价相同时，按照下列方式确定一个供应商获得成交人推荐资格：</w:t>
            </w:r>
          </w:p>
          <w:p w14:paraId="5B17FEDA">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□随机抽取；</w:t>
            </w:r>
          </w:p>
          <w:p w14:paraId="1B0F2B61">
            <w:pPr>
              <w:pStyle w:val="10"/>
              <w:spacing w:line="360" w:lineRule="auto"/>
              <w:rPr>
                <w:rFonts w:ascii="宋体" w:hAnsi="宋体" w:cs="宋体"/>
                <w:color w:val="auto"/>
                <w:szCs w:val="21"/>
                <w:highlight w:val="none"/>
              </w:rPr>
            </w:pPr>
            <w:r>
              <w:rPr>
                <w:rFonts w:hint="eastAsia" w:ascii="宋体" w:hAnsi="宋体" w:cs="宋体"/>
                <w:color w:val="auto"/>
                <w:szCs w:val="21"/>
                <w:highlight w:val="none"/>
              </w:rPr>
              <w:t>☑由采购人自主选择确定一家供应商参加评审，其他竞标无效。</w:t>
            </w:r>
          </w:p>
        </w:tc>
      </w:tr>
      <w:tr w14:paraId="7548F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BB686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7912" w:type="dxa"/>
            <w:noWrap w:val="0"/>
            <w:vAlign w:val="center"/>
          </w:tcPr>
          <w:p w14:paraId="1511F416">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资格证明文件</w:t>
            </w:r>
          </w:p>
          <w:p w14:paraId="584A6163">
            <w:pPr>
              <w:snapToGrid w:val="0"/>
              <w:spacing w:line="360" w:lineRule="auto"/>
              <w:ind w:firstLine="420" w:firstLineChars="200"/>
              <w:jc w:val="left"/>
              <w:rPr>
                <w:rFonts w:ascii="宋体" w:hAnsi="宋体" w:cs="宋体"/>
                <w:color w:val="auto"/>
                <w:szCs w:val="21"/>
                <w:highlight w:val="none"/>
              </w:rPr>
            </w:pPr>
            <w:bookmarkStart w:id="59" w:name="OLE_LINK23"/>
            <w:r>
              <w:rPr>
                <w:rFonts w:hint="eastAsia" w:ascii="宋体" w:hAnsi="宋体" w:cs="宋体"/>
                <w:color w:val="auto"/>
                <w:szCs w:val="21"/>
                <w:highlight w:val="none"/>
              </w:rPr>
              <w:t>1.供应商为法人或者其他组织的提供其营业执照等证明文件（如营业执照或者事业单位法人证书或者执业许可证或者登记证书等），供应商为自然人的提供其身份证复印件；（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59"/>
          <w:p w14:paraId="726FB418">
            <w:pPr>
              <w:spacing w:line="360" w:lineRule="auto"/>
              <w:ind w:firstLine="420" w:firstLineChars="200"/>
              <w:contextualSpacing/>
              <w:jc w:val="left"/>
              <w:rPr>
                <w:rFonts w:ascii="宋体" w:hAnsi="宋体" w:cs="宋体"/>
                <w:color w:val="auto"/>
                <w:szCs w:val="21"/>
                <w:highlight w:val="none"/>
              </w:rPr>
            </w:pPr>
            <w:bookmarkStart w:id="60" w:name="OLE_LINK24"/>
            <w:r>
              <w:rPr>
                <w:rFonts w:hint="eastAsia" w:ascii="宋体" w:hAnsi="宋体" w:cs="宋体"/>
                <w:color w:val="auto"/>
                <w:szCs w:val="21"/>
                <w:highlight w:val="none"/>
              </w:rPr>
              <w:t>2.供应商依法缴纳税收的相关材料（</w:t>
            </w:r>
            <w:bookmarkStart w:id="61" w:name="OLE_LINK14"/>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月内任意3个月</w:t>
            </w:r>
            <w:bookmarkEnd w:id="61"/>
            <w:r>
              <w:rPr>
                <w:rFonts w:hint="eastAsia" w:ascii="宋体" w:hAnsi="宋体" w:cs="宋体"/>
                <w:color w:val="auto"/>
                <w:szCs w:val="21"/>
                <w:highlight w:val="none"/>
              </w:rPr>
              <w:t>的依法缴纳税收的凭据复印件；</w:t>
            </w:r>
            <w:r>
              <w:rPr>
                <w:rFonts w:hint="eastAsia" w:ascii="宋体" w:hAnsi="宋体" w:cs="宋体"/>
                <w:color w:val="auto"/>
                <w:highlight w:val="none"/>
              </w:rPr>
              <w:t>依法免税的，必须提供相应文件证明其依法免税。</w:t>
            </w:r>
            <w:r>
              <w:rPr>
                <w:rFonts w:hint="eastAsia" w:ascii="宋体" w:hAnsi="宋体" w:cs="宋体"/>
                <w:color w:val="auto"/>
                <w:szCs w:val="21"/>
                <w:highlight w:val="none"/>
              </w:rPr>
              <w:t>从成立之日起到响应文件提交截止时间止不足要求月数的，只需提供从成立之日起的依法缴纳税收</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60"/>
          <w:p w14:paraId="105713B8">
            <w:pPr>
              <w:spacing w:line="360" w:lineRule="auto"/>
              <w:ind w:firstLine="420" w:firstLineChars="200"/>
              <w:contextualSpacing/>
              <w:jc w:val="left"/>
              <w:rPr>
                <w:rFonts w:ascii="宋体" w:hAnsi="宋体" w:cs="宋体"/>
                <w:color w:val="auto"/>
                <w:szCs w:val="21"/>
                <w:highlight w:val="none"/>
              </w:rPr>
            </w:pPr>
            <w:bookmarkStart w:id="62" w:name="OLE_LINK25"/>
            <w:r>
              <w:rPr>
                <w:rFonts w:hint="eastAsia" w:ascii="宋体" w:hAnsi="宋体" w:cs="宋体"/>
                <w:color w:val="auto"/>
                <w:szCs w:val="21"/>
                <w:highlight w:val="none"/>
              </w:rPr>
              <w:t>3.供应商依法缴纳社会保障资金的相关材料[</w:t>
            </w:r>
            <w:r>
              <w:rPr>
                <w:rFonts w:hint="eastAsia" w:ascii="宋体" w:hAnsi="宋体" w:cs="宋体"/>
                <w:color w:val="auto"/>
                <w:szCs w:val="21"/>
                <w:highlight w:val="none"/>
                <w:u w:val="single"/>
              </w:rPr>
              <w:t>2025年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月至2026年</w:t>
            </w:r>
            <w:r>
              <w:rPr>
                <w:rFonts w:hint="eastAsia" w:ascii="宋体" w:hAnsi="宋体" w:cs="宋体"/>
                <w:color w:val="auto"/>
                <w:szCs w:val="21"/>
                <w:highlight w:val="none"/>
                <w:u w:val="single"/>
                <w:lang w:val="en-US" w:eastAsia="zh-CN"/>
              </w:rPr>
              <w:t>4</w:t>
            </w:r>
            <w:r>
              <w:rPr>
                <w:rFonts w:hint="eastAsia" w:ascii="宋体" w:hAnsi="宋体" w:cs="宋体"/>
                <w:color w:val="auto"/>
                <w:szCs w:val="21"/>
                <w:highlight w:val="none"/>
                <w:u w:val="single"/>
              </w:rPr>
              <w:t>月内任意3个月</w:t>
            </w:r>
            <w:r>
              <w:rPr>
                <w:rFonts w:hint="eastAsia" w:ascii="宋体" w:hAnsi="宋体" w:cs="宋体"/>
                <w:color w:val="auto"/>
                <w:szCs w:val="21"/>
                <w:highlight w:val="none"/>
              </w:rPr>
              <w:t>的依法缴纳社会保障资金的缴费凭证（如：专用收据、社会保险缴纳清单或者社保部门的证明）复印件；</w:t>
            </w:r>
            <w:r>
              <w:rPr>
                <w:rFonts w:hint="eastAsia" w:ascii="宋体" w:hAnsi="宋体" w:cs="宋体"/>
                <w:color w:val="auto"/>
                <w:highlight w:val="none"/>
              </w:rPr>
              <w:t>依法不需要缴纳社会保障资金的，必须提供相应文件证明不需要缴纳社会保障资金。</w:t>
            </w:r>
            <w:r>
              <w:rPr>
                <w:rFonts w:hint="eastAsia" w:ascii="宋体" w:hAnsi="宋体" w:cs="宋体"/>
                <w:color w:val="auto"/>
                <w:szCs w:val="21"/>
                <w:highlight w:val="none"/>
              </w:rPr>
              <w:t>从成立之日起到响应文件提交截止时间止不足要求月数的只需提供从成立之日起的依法缴纳社会保障资金的</w:t>
            </w:r>
            <w:r>
              <w:rPr>
                <w:rFonts w:hint="eastAsia" w:ascii="宋体" w:hAnsi="宋体" w:cs="宋体"/>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62"/>
          <w:p w14:paraId="0B333516">
            <w:pPr>
              <w:spacing w:line="360" w:lineRule="auto"/>
              <w:ind w:firstLine="420" w:firstLineChars="200"/>
              <w:contextualSpacing/>
              <w:jc w:val="left"/>
              <w:rPr>
                <w:rFonts w:ascii="宋体" w:hAnsi="宋体" w:cs="宋体"/>
                <w:b/>
                <w:color w:val="auto"/>
                <w:szCs w:val="21"/>
                <w:highlight w:val="none"/>
              </w:rPr>
            </w:pPr>
            <w:bookmarkStart w:id="63" w:name="OLE_LINK26"/>
            <w:r>
              <w:rPr>
                <w:rFonts w:hint="eastAsia" w:ascii="宋体" w:hAnsi="宋体" w:cs="宋体"/>
                <w:color w:val="auto"/>
                <w:szCs w:val="21"/>
                <w:highlight w:val="none"/>
              </w:rPr>
              <w:t>4.供应商财务状况报告（</w:t>
            </w:r>
            <w:r>
              <w:rPr>
                <w:rFonts w:hint="eastAsia" w:ascii="宋体" w:hAnsi="宋体" w:cs="宋体"/>
                <w:color w:val="auto"/>
                <w:szCs w:val="21"/>
                <w:highlight w:val="none"/>
                <w:u w:val="single"/>
              </w:rPr>
              <w:t>2024</w:t>
            </w:r>
            <w:r>
              <w:rPr>
                <w:rFonts w:hint="eastAsia" w:ascii="宋体" w:hAnsi="宋体" w:cs="宋体"/>
                <w:color w:val="auto"/>
                <w:szCs w:val="21"/>
                <w:highlight w:val="none"/>
              </w:rPr>
              <w:t>年或者</w:t>
            </w:r>
            <w:r>
              <w:rPr>
                <w:rFonts w:hint="eastAsia" w:ascii="宋体" w:hAnsi="宋体" w:cs="宋体"/>
                <w:color w:val="auto"/>
                <w:szCs w:val="21"/>
                <w:highlight w:val="none"/>
                <w:u w:val="single"/>
              </w:rPr>
              <w:t>2025</w:t>
            </w:r>
            <w:r>
              <w:rPr>
                <w:rFonts w:hint="eastAsia" w:ascii="宋体" w:hAnsi="宋体" w:cs="宋体"/>
                <w:color w:val="auto"/>
                <w:szCs w:val="21"/>
                <w:highlight w:val="none"/>
              </w:rPr>
              <w:t>年度财务报表复印件，或者银行出具的资信证明，或者中国人民银行征信中心出具的信用报告（企业竞标的提供企业信用报告，自然人竞标的提供个人信用报告）；供应商属于</w:t>
            </w:r>
            <w:r>
              <w:rPr>
                <w:rFonts w:hint="eastAsia" w:ascii="宋体" w:hAnsi="宋体" w:cs="宋体"/>
                <w:color w:val="auto"/>
                <w:highlight w:val="none"/>
              </w:rPr>
              <w:t>成立时间</w:t>
            </w:r>
            <w:r>
              <w:rPr>
                <w:rFonts w:hint="eastAsia" w:ascii="宋体" w:hAnsi="宋体" w:cs="宋体"/>
                <w:color w:val="auto"/>
                <w:kern w:val="0"/>
                <w:highlight w:val="none"/>
              </w:rPr>
              <w:t>在规定年度之后</w:t>
            </w:r>
            <w:r>
              <w:rPr>
                <w:rFonts w:hint="eastAsia" w:ascii="宋体" w:hAnsi="宋体" w:cs="宋体"/>
                <w:color w:val="auto"/>
                <w:highlight w:val="none"/>
              </w:rPr>
              <w:t>的</w:t>
            </w:r>
            <w:r>
              <w:rPr>
                <w:rFonts w:hint="eastAsia" w:ascii="宋体" w:hAnsi="宋体" w:cs="宋体"/>
                <w:color w:val="auto"/>
                <w:szCs w:val="21"/>
                <w:highlight w:val="none"/>
              </w:rPr>
              <w:t>法人或其他组织</w:t>
            </w:r>
            <w:r>
              <w:rPr>
                <w:rFonts w:hint="eastAsia" w:ascii="宋体" w:hAnsi="宋体" w:cs="宋体"/>
                <w:color w:val="auto"/>
                <w:highlight w:val="none"/>
              </w:rPr>
              <w:t>，需提供成立之日起至响应文件提交截止时间前的月报表</w:t>
            </w:r>
            <w:r>
              <w:rPr>
                <w:rFonts w:hint="eastAsia" w:ascii="宋体" w:hAnsi="宋体" w:cs="宋体"/>
                <w:color w:val="auto"/>
                <w:szCs w:val="21"/>
                <w:highlight w:val="none"/>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bookmarkEnd w:id="63"/>
          <w:p w14:paraId="75532E39">
            <w:pPr>
              <w:snapToGrid w:val="0"/>
              <w:spacing w:line="360" w:lineRule="auto"/>
              <w:ind w:firstLine="420" w:firstLineChars="200"/>
              <w:jc w:val="left"/>
              <w:rPr>
                <w:rFonts w:ascii="宋体" w:hAnsi="宋体" w:cs="宋体"/>
                <w:color w:val="auto"/>
                <w:szCs w:val="21"/>
                <w:highlight w:val="none"/>
              </w:rPr>
            </w:pPr>
            <w:bookmarkStart w:id="64" w:name="OLE_LINK27"/>
            <w:r>
              <w:rPr>
                <w:rFonts w:hint="eastAsia" w:ascii="宋体" w:hAnsi="宋体" w:cs="宋体"/>
                <w:color w:val="auto"/>
                <w:szCs w:val="21"/>
                <w:highlight w:val="none"/>
              </w:rPr>
              <w:t>5.供应商直接控股信息表（格式后附）；（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64"/>
          <w:p w14:paraId="7E93EF6B">
            <w:pPr>
              <w:snapToGrid w:val="0"/>
              <w:spacing w:line="360" w:lineRule="auto"/>
              <w:ind w:firstLine="420" w:firstLineChars="200"/>
              <w:jc w:val="left"/>
              <w:rPr>
                <w:rFonts w:ascii="宋体" w:hAnsi="宋体" w:cs="宋体"/>
                <w:color w:val="auto"/>
                <w:szCs w:val="21"/>
                <w:highlight w:val="none"/>
              </w:rPr>
            </w:pPr>
            <w:bookmarkStart w:id="65" w:name="OLE_LINK28"/>
            <w:r>
              <w:rPr>
                <w:rFonts w:hint="eastAsia" w:ascii="宋体" w:hAnsi="宋体" w:cs="宋体"/>
                <w:color w:val="auto"/>
                <w:szCs w:val="21"/>
                <w:highlight w:val="none"/>
              </w:rPr>
              <w:t>6.供应商直接管理关系信息表（格式后附）；（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bookmarkEnd w:id="65"/>
          <w:p w14:paraId="3607FECF">
            <w:pPr>
              <w:snapToGrid w:val="0"/>
              <w:spacing w:line="360" w:lineRule="auto"/>
              <w:ind w:firstLine="420" w:firstLineChars="200"/>
              <w:jc w:val="left"/>
              <w:rPr>
                <w:rFonts w:ascii="宋体" w:hAnsi="宋体" w:cs="宋体"/>
                <w:color w:val="auto"/>
                <w:szCs w:val="21"/>
                <w:highlight w:val="none"/>
              </w:rPr>
            </w:pPr>
            <w:bookmarkStart w:id="66" w:name="OLE_LINK29"/>
            <w:r>
              <w:rPr>
                <w:rFonts w:hint="eastAsia" w:ascii="宋体" w:hAnsi="宋体" w:cs="宋体"/>
                <w:color w:val="auto"/>
                <w:szCs w:val="21"/>
                <w:highlight w:val="none"/>
              </w:rPr>
              <w:t>7.竞标声明（格式后附）；（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66"/>
          <w:p w14:paraId="34D72B1D">
            <w:pPr>
              <w:snapToGrid w:val="0"/>
              <w:spacing w:line="360" w:lineRule="auto"/>
              <w:ind w:firstLine="420" w:firstLineChars="200"/>
              <w:jc w:val="left"/>
              <w:rPr>
                <w:rFonts w:ascii="宋体" w:hAnsi="宋体" w:cs="宋体"/>
                <w:color w:val="auto"/>
                <w:szCs w:val="21"/>
                <w:highlight w:val="none"/>
              </w:rPr>
            </w:pPr>
            <w:bookmarkStart w:id="67" w:name="OLE_LINK10"/>
            <w:r>
              <w:rPr>
                <w:rFonts w:hint="eastAsia" w:ascii="宋体" w:hAnsi="宋体" w:cs="宋体"/>
                <w:color w:val="auto"/>
                <w:szCs w:val="21"/>
                <w:highlight w:val="none"/>
              </w:rPr>
              <w:t>8.联合体竞标协议书（格式后附）；</w:t>
            </w:r>
            <w:bookmarkEnd w:id="67"/>
            <w:r>
              <w:rPr>
                <w:rFonts w:hint="eastAsia" w:ascii="宋体" w:hAnsi="宋体" w:cs="宋体"/>
                <w:color w:val="auto"/>
                <w:szCs w:val="21"/>
                <w:highlight w:val="none"/>
              </w:rPr>
              <w:t>（</w:t>
            </w:r>
            <w:r>
              <w:rPr>
                <w:rFonts w:hint="eastAsia" w:ascii="宋体" w:hAnsi="宋体" w:cs="宋体"/>
                <w:b/>
                <w:color w:val="auto"/>
                <w:szCs w:val="21"/>
                <w:highlight w:val="none"/>
              </w:rPr>
              <w:t>联合体竞标时必须提供，否则响应文件按无效处理</w:t>
            </w:r>
            <w:r>
              <w:rPr>
                <w:rFonts w:hint="eastAsia" w:ascii="宋体" w:hAnsi="宋体" w:cs="宋体"/>
                <w:color w:val="auto"/>
                <w:szCs w:val="21"/>
                <w:highlight w:val="none"/>
              </w:rPr>
              <w:t>）</w:t>
            </w:r>
          </w:p>
          <w:p w14:paraId="147BF1DF">
            <w:pPr>
              <w:snapToGrid w:val="0"/>
              <w:spacing w:line="360" w:lineRule="auto"/>
              <w:ind w:firstLine="420" w:firstLineChars="200"/>
              <w:jc w:val="left"/>
              <w:rPr>
                <w:rFonts w:ascii="宋体" w:hAnsi="宋体" w:cs="宋体"/>
                <w:i/>
                <w:color w:val="auto"/>
                <w:szCs w:val="21"/>
                <w:highlight w:val="none"/>
              </w:rPr>
            </w:pPr>
            <w:r>
              <w:rPr>
                <w:rFonts w:hint="eastAsia" w:ascii="宋体" w:hAnsi="宋体" w:cs="宋体"/>
                <w:color w:val="auto"/>
                <w:szCs w:val="21"/>
                <w:highlight w:val="none"/>
              </w:rPr>
              <w:t>9.除谈判文件规定必须提供以外，供应商认为需要提供的其他证明材料；</w:t>
            </w:r>
          </w:p>
          <w:p w14:paraId="4897FF36">
            <w:pPr>
              <w:snapToGrid w:val="0"/>
              <w:spacing w:line="360" w:lineRule="auto"/>
              <w:jc w:val="left"/>
              <w:rPr>
                <w:rFonts w:ascii="宋体" w:hAnsi="宋体" w:cs="宋体"/>
                <w:b/>
                <w:color w:val="auto"/>
                <w:szCs w:val="21"/>
                <w:highlight w:val="none"/>
              </w:rPr>
            </w:pPr>
            <w:bookmarkStart w:id="68" w:name="OLE_LINK30"/>
            <w:r>
              <w:rPr>
                <w:rFonts w:hint="eastAsia" w:ascii="宋体" w:hAnsi="宋体" w:cs="宋体"/>
                <w:b/>
                <w:color w:val="auto"/>
                <w:szCs w:val="21"/>
                <w:highlight w:val="none"/>
              </w:rPr>
              <w:t>注：</w:t>
            </w:r>
          </w:p>
          <w:p w14:paraId="1DCAEB83">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w:t>
            </w:r>
          </w:p>
          <w:p w14:paraId="78C746D8">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2.联合体竞标时，第1-5项资格证明文件联合体各方均必须分别提供，</w:t>
            </w:r>
            <w:r>
              <w:rPr>
                <w:rFonts w:hint="eastAsia" w:ascii="宋体" w:hAnsi="宋体" w:cs="宋体"/>
                <w:b/>
                <w:color w:val="auto"/>
                <w:highlight w:val="none"/>
              </w:rPr>
              <w:t>并由</w:t>
            </w:r>
            <w:r>
              <w:rPr>
                <w:rFonts w:hint="eastAsia" w:ascii="宋体" w:hAnsi="宋体" w:cs="宋体"/>
                <w:b/>
                <w:color w:val="auto"/>
                <w:szCs w:val="21"/>
                <w:highlight w:val="none"/>
              </w:rPr>
              <w:t>联合体</w:t>
            </w:r>
            <w:r>
              <w:rPr>
                <w:rFonts w:hint="eastAsia" w:ascii="宋体" w:hAnsi="宋体" w:cs="宋体"/>
                <w:b/>
                <w:color w:val="auto"/>
                <w:highlight w:val="none"/>
              </w:rPr>
              <w:t>牵头人加盖电子签章</w:t>
            </w:r>
            <w:r>
              <w:rPr>
                <w:rFonts w:hint="eastAsia" w:ascii="宋体" w:hAnsi="宋体" w:cs="宋体"/>
                <w:b/>
                <w:color w:val="auto"/>
                <w:szCs w:val="21"/>
                <w:highlight w:val="none"/>
              </w:rPr>
              <w:t>，</w:t>
            </w:r>
            <w:r>
              <w:rPr>
                <w:rFonts w:hint="eastAsia" w:ascii="宋体" w:hAnsi="宋体" w:cs="宋体"/>
                <w:b/>
                <w:color w:val="auto"/>
                <w:highlight w:val="none"/>
              </w:rPr>
              <w:t>规定签字</w:t>
            </w:r>
            <w:r>
              <w:rPr>
                <w:rFonts w:hint="eastAsia" w:ascii="宋体" w:hAnsi="宋体" w:cs="宋体"/>
                <w:b/>
                <w:color w:val="auto"/>
                <w:szCs w:val="21"/>
                <w:highlight w:val="none"/>
              </w:rPr>
              <w:t>处签字</w:t>
            </w:r>
            <w:r>
              <w:rPr>
                <w:rFonts w:hint="eastAsia" w:ascii="宋体" w:hAnsi="宋体" w:cs="宋体"/>
                <w:b/>
                <w:bCs/>
                <w:color w:val="auto"/>
                <w:szCs w:val="21"/>
                <w:highlight w:val="none"/>
              </w:rPr>
              <w:t>（或者电子签名）</w:t>
            </w:r>
            <w:r>
              <w:rPr>
                <w:rFonts w:hint="eastAsia" w:ascii="宋体" w:hAnsi="宋体" w:cs="宋体"/>
                <w:b/>
                <w:color w:val="auto"/>
                <w:szCs w:val="21"/>
                <w:highlight w:val="none"/>
              </w:rPr>
              <w:t>，否则响应文件按无效处理。</w:t>
            </w:r>
            <w:bookmarkEnd w:id="68"/>
          </w:p>
        </w:tc>
      </w:tr>
      <w:tr w14:paraId="7895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398C4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7912" w:type="dxa"/>
            <w:noWrap w:val="0"/>
            <w:vAlign w:val="center"/>
          </w:tcPr>
          <w:p w14:paraId="56ADB482">
            <w:pPr>
              <w:spacing w:line="360" w:lineRule="auto"/>
              <w:rPr>
                <w:rFonts w:ascii="宋体" w:hAnsi="宋体" w:cs="宋体"/>
                <w:b/>
                <w:color w:val="auto"/>
                <w:szCs w:val="21"/>
                <w:highlight w:val="none"/>
              </w:rPr>
            </w:pPr>
            <w:r>
              <w:rPr>
                <w:rFonts w:hint="eastAsia" w:ascii="宋体" w:hAnsi="宋体" w:cs="宋体"/>
                <w:b/>
                <w:color w:val="auto"/>
                <w:szCs w:val="21"/>
                <w:highlight w:val="none"/>
              </w:rPr>
              <w:t>报价文件</w:t>
            </w:r>
          </w:p>
          <w:p w14:paraId="28BC8FC5">
            <w:pPr>
              <w:spacing w:line="360" w:lineRule="auto"/>
              <w:ind w:firstLine="420" w:firstLineChars="200"/>
              <w:jc w:val="left"/>
              <w:rPr>
                <w:rFonts w:ascii="宋体" w:hAnsi="宋体" w:cs="宋体"/>
                <w:color w:val="auto"/>
                <w:szCs w:val="21"/>
                <w:highlight w:val="none"/>
              </w:rPr>
            </w:pPr>
            <w:bookmarkStart w:id="69" w:name="OLE_LINK31"/>
            <w:r>
              <w:rPr>
                <w:rFonts w:hint="eastAsia" w:ascii="宋体" w:hAnsi="宋体" w:cs="宋体"/>
                <w:color w:val="auto"/>
                <w:szCs w:val="21"/>
                <w:highlight w:val="none"/>
              </w:rPr>
              <w:t>1.竞标报价表（格式后附）；（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69"/>
          <w:p w14:paraId="135FC6B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2.供应商认为需要提供的其他有关资料；</w:t>
            </w:r>
          </w:p>
          <w:p w14:paraId="2A6900E0">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3.《中小企业声明函》</w:t>
            </w:r>
            <w:r>
              <w:rPr>
                <w:rFonts w:hint="eastAsia" w:ascii="宋体" w:hAnsi="宋体" w:cs="宋体"/>
                <w:color w:val="auto"/>
                <w:highlight w:val="none"/>
              </w:rPr>
              <w:t>或《残疾人福利性单位声明函》（格式见第五章）或由省级(或以上)监狱管理局、戒毒管理局（含新疆生产建设兵团）出具的属于监狱企业的证明文件复印件</w:t>
            </w:r>
            <w:r>
              <w:rPr>
                <w:rFonts w:hint="eastAsia" w:ascii="宋体" w:hAnsi="宋体" w:cs="宋体"/>
                <w:color w:val="auto"/>
                <w:szCs w:val="21"/>
                <w:highlight w:val="none"/>
              </w:rPr>
              <w:t>。</w:t>
            </w:r>
          </w:p>
          <w:p w14:paraId="51CB28E6">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4.《关于符合本国产品标准的声明函》或者财政部会同有关部门规定的有关证明文件；</w:t>
            </w:r>
            <w:r>
              <w:rPr>
                <w:rFonts w:hint="eastAsia" w:ascii="宋体" w:hAnsi="宋体" w:cs="宋体"/>
                <w:b/>
                <w:bCs/>
                <w:color w:val="auto"/>
                <w:szCs w:val="21"/>
                <w:highlight w:val="none"/>
              </w:rPr>
              <w:t>（供应商根据自身响应情况出具）</w:t>
            </w:r>
          </w:p>
          <w:p w14:paraId="38D781E5">
            <w:pPr>
              <w:spacing w:line="360" w:lineRule="auto"/>
              <w:ind w:firstLine="422" w:firstLineChars="200"/>
              <w:jc w:val="left"/>
              <w:rPr>
                <w:rFonts w:ascii="宋体" w:hAnsi="宋体" w:cs="宋体"/>
                <w:color w:val="auto"/>
                <w:szCs w:val="21"/>
                <w:highlight w:val="none"/>
              </w:rPr>
            </w:pPr>
            <w:bookmarkStart w:id="70" w:name="OLE_LINK32"/>
            <w:r>
              <w:rPr>
                <w:rFonts w:hint="eastAsia" w:ascii="宋体" w:hAnsi="宋体" w:cs="宋体"/>
                <w:b/>
                <w:color w:val="auto"/>
                <w:szCs w:val="21"/>
                <w:highlight w:val="none"/>
              </w:rPr>
              <w:t>以上标明“必须提供”的材料属于复印件的，必须加盖供应商</w:t>
            </w:r>
            <w:r>
              <w:rPr>
                <w:rFonts w:hint="eastAsia" w:ascii="宋体" w:hAnsi="宋体" w:cs="宋体"/>
                <w:b/>
                <w:color w:val="auto"/>
                <w:highlight w:val="none"/>
              </w:rPr>
              <w:t>电子签章</w:t>
            </w:r>
            <w:r>
              <w:rPr>
                <w:rFonts w:hint="eastAsia" w:ascii="宋体" w:hAnsi="宋体" w:cs="宋体"/>
                <w:b/>
                <w:color w:val="auto"/>
                <w:szCs w:val="21"/>
                <w:highlight w:val="none"/>
              </w:rPr>
              <w:t>，否则响应文件按无效处理。</w:t>
            </w:r>
            <w:bookmarkEnd w:id="70"/>
          </w:p>
        </w:tc>
      </w:tr>
      <w:tr w14:paraId="2A0A2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03BC1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7912" w:type="dxa"/>
            <w:noWrap w:val="0"/>
            <w:vAlign w:val="center"/>
          </w:tcPr>
          <w:p w14:paraId="5C616DA1">
            <w:pPr>
              <w:spacing w:line="360" w:lineRule="auto"/>
              <w:rPr>
                <w:rFonts w:ascii="宋体" w:hAnsi="宋体" w:cs="宋体"/>
                <w:b/>
                <w:color w:val="auto"/>
                <w:szCs w:val="21"/>
                <w:highlight w:val="none"/>
              </w:rPr>
            </w:pPr>
            <w:r>
              <w:rPr>
                <w:rFonts w:hint="eastAsia" w:ascii="宋体" w:hAnsi="宋体" w:cs="宋体"/>
                <w:b/>
                <w:color w:val="auto"/>
                <w:szCs w:val="21"/>
                <w:highlight w:val="none"/>
              </w:rPr>
              <w:t>商务技术文件</w:t>
            </w:r>
          </w:p>
          <w:p w14:paraId="675774B8">
            <w:pPr>
              <w:spacing w:line="360" w:lineRule="auto"/>
              <w:ind w:firstLine="420" w:firstLineChars="200"/>
              <w:jc w:val="left"/>
              <w:rPr>
                <w:rFonts w:ascii="宋体" w:hAnsi="宋体" w:cs="宋体"/>
                <w:color w:val="auto"/>
                <w:szCs w:val="21"/>
                <w:highlight w:val="none"/>
              </w:rPr>
            </w:pPr>
            <w:bookmarkStart w:id="71" w:name="OLE_LINK33"/>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71"/>
          <w:p w14:paraId="3D2DE16A">
            <w:pPr>
              <w:snapToGrid w:val="0"/>
              <w:spacing w:line="360" w:lineRule="auto"/>
              <w:ind w:firstLine="420" w:firstLineChars="200"/>
              <w:jc w:val="left"/>
              <w:rPr>
                <w:rFonts w:ascii="宋体" w:hAnsi="宋体" w:cs="宋体"/>
                <w:color w:val="auto"/>
                <w:szCs w:val="21"/>
                <w:highlight w:val="none"/>
              </w:rPr>
            </w:pPr>
            <w:bookmarkStart w:id="72" w:name="OLE_LINK34"/>
            <w:r>
              <w:rPr>
                <w:rFonts w:hint="eastAsia" w:ascii="宋体" w:hAnsi="宋体" w:cs="宋体"/>
                <w:color w:val="auto"/>
                <w:szCs w:val="21"/>
                <w:highlight w:val="none"/>
              </w:rPr>
              <w:t>2.法定代表人身份证明书及法定代表人有效身份证正反面复印件（格式后附）；（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72"/>
          <w:p w14:paraId="56785CD1">
            <w:pPr>
              <w:spacing w:line="360" w:lineRule="auto"/>
              <w:ind w:firstLine="420" w:firstLineChars="200"/>
              <w:jc w:val="left"/>
              <w:rPr>
                <w:rFonts w:ascii="宋体" w:hAnsi="宋体" w:cs="宋体"/>
                <w:b/>
                <w:color w:val="auto"/>
                <w:szCs w:val="21"/>
                <w:highlight w:val="none"/>
              </w:rPr>
            </w:pPr>
            <w:bookmarkStart w:id="73" w:name="OLE_LINK35"/>
            <w:r>
              <w:rPr>
                <w:rFonts w:hint="eastAsia" w:ascii="宋体" w:hAnsi="宋体" w:cs="宋体"/>
                <w:color w:val="auto"/>
                <w:szCs w:val="21"/>
                <w:highlight w:val="none"/>
              </w:rPr>
              <w:t>3.授权委托书及委托代理人有效身份证正反面复印件（格式后附）；（</w:t>
            </w:r>
            <w:r>
              <w:rPr>
                <w:rFonts w:hint="eastAsia" w:ascii="宋体" w:hAnsi="宋体" w:cs="宋体"/>
                <w:b/>
                <w:color w:val="auto"/>
                <w:szCs w:val="21"/>
                <w:highlight w:val="none"/>
              </w:rPr>
              <w:t>委托时必须提供，否则响应文件按无效处理</w:t>
            </w:r>
            <w:r>
              <w:rPr>
                <w:rFonts w:hint="eastAsia" w:ascii="宋体" w:hAnsi="宋体" w:cs="宋体"/>
                <w:color w:val="auto"/>
                <w:szCs w:val="21"/>
                <w:highlight w:val="none"/>
              </w:rPr>
              <w:t>）</w:t>
            </w:r>
          </w:p>
          <w:bookmarkEnd w:id="73"/>
          <w:p w14:paraId="72F489B3">
            <w:pPr>
              <w:spacing w:line="360" w:lineRule="auto"/>
              <w:ind w:firstLine="420" w:firstLineChars="200"/>
              <w:jc w:val="left"/>
              <w:rPr>
                <w:rFonts w:ascii="宋体" w:hAnsi="宋体" w:cs="宋体"/>
                <w:color w:val="auto"/>
                <w:szCs w:val="21"/>
                <w:highlight w:val="none"/>
              </w:rPr>
            </w:pPr>
            <w:bookmarkStart w:id="74" w:name="OLE_LINK36"/>
            <w:r>
              <w:rPr>
                <w:rFonts w:hint="eastAsia" w:ascii="宋体" w:hAnsi="宋体" w:cs="宋体"/>
                <w:color w:val="auto"/>
                <w:szCs w:val="21"/>
                <w:highlight w:val="none"/>
              </w:rPr>
              <w:t>4.竞标保证金提交凭证；（</w:t>
            </w:r>
            <w:r>
              <w:rPr>
                <w:rFonts w:hint="eastAsia" w:ascii="宋体" w:hAnsi="宋体" w:cs="宋体"/>
                <w:b/>
                <w:bCs/>
                <w:color w:val="auto"/>
                <w:highlight w:val="none"/>
              </w:rPr>
              <w:t>必须提供</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w:t>
            </w:r>
          </w:p>
          <w:bookmarkEnd w:id="74"/>
          <w:p w14:paraId="3D0C926E">
            <w:pPr>
              <w:spacing w:line="360" w:lineRule="auto"/>
              <w:ind w:firstLine="420" w:firstLineChars="200"/>
              <w:jc w:val="left"/>
              <w:rPr>
                <w:rFonts w:ascii="宋体" w:hAnsi="宋体" w:cs="宋体"/>
                <w:color w:val="auto"/>
                <w:szCs w:val="21"/>
                <w:highlight w:val="none"/>
              </w:rPr>
            </w:pPr>
            <w:bookmarkStart w:id="75" w:name="OLE_LINK38"/>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75"/>
          <w:p w14:paraId="32EBC673">
            <w:pPr>
              <w:spacing w:line="360" w:lineRule="auto"/>
              <w:ind w:firstLine="420" w:firstLineChars="200"/>
              <w:jc w:val="left"/>
              <w:rPr>
                <w:rFonts w:ascii="宋体" w:hAnsi="宋体" w:cs="宋体"/>
                <w:color w:val="auto"/>
                <w:szCs w:val="21"/>
                <w:highlight w:val="none"/>
              </w:rPr>
            </w:pPr>
            <w:bookmarkStart w:id="76" w:name="OLE_LINK12"/>
            <w:bookmarkStart w:id="77" w:name="OLE_LINK39"/>
            <w:r>
              <w:rPr>
                <w:rFonts w:hint="eastAsia" w:ascii="宋体" w:hAnsi="宋体" w:cs="宋体"/>
                <w:color w:val="auto"/>
                <w:szCs w:val="21"/>
                <w:highlight w:val="none"/>
              </w:rPr>
              <w:t>6.售后服务承诺（格式自拟）；</w:t>
            </w:r>
            <w:bookmarkEnd w:id="76"/>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77"/>
          <w:p w14:paraId="6C24E96A">
            <w:pPr>
              <w:spacing w:line="360" w:lineRule="auto"/>
              <w:ind w:firstLine="420" w:firstLineChars="200"/>
              <w:jc w:val="left"/>
              <w:rPr>
                <w:rFonts w:ascii="宋体" w:hAnsi="宋体" w:cs="宋体"/>
                <w:color w:val="auto"/>
                <w:szCs w:val="21"/>
                <w:highlight w:val="none"/>
              </w:rPr>
            </w:pPr>
            <w:bookmarkStart w:id="78" w:name="OLE_LINK40"/>
            <w:r>
              <w:rPr>
                <w:rFonts w:hint="eastAsia" w:ascii="宋体" w:hAnsi="宋体" w:cs="宋体"/>
                <w:color w:val="auto"/>
                <w:szCs w:val="21"/>
                <w:highlight w:val="none"/>
              </w:rPr>
              <w:t>7.货物配置清单（均不含报价）（格式后附）；（</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78"/>
          <w:p w14:paraId="05B4F250">
            <w:pPr>
              <w:spacing w:line="360" w:lineRule="auto"/>
              <w:ind w:firstLine="420" w:firstLineChars="200"/>
              <w:jc w:val="left"/>
              <w:rPr>
                <w:rFonts w:ascii="宋体" w:hAnsi="宋体" w:cs="宋体"/>
                <w:color w:val="auto"/>
                <w:szCs w:val="21"/>
                <w:highlight w:val="none"/>
              </w:rPr>
            </w:pPr>
            <w:bookmarkStart w:id="79" w:name="OLE_LINK13"/>
            <w:bookmarkStart w:id="80" w:name="OLE_LINK41"/>
            <w:r>
              <w:rPr>
                <w:rFonts w:hint="eastAsia" w:ascii="宋体" w:hAnsi="宋体" w:cs="宋体"/>
                <w:color w:val="auto"/>
                <w:szCs w:val="21"/>
                <w:highlight w:val="none"/>
              </w:rPr>
              <w:t>8.技术要求偏离表（格式后附）；</w:t>
            </w:r>
            <w:bookmarkEnd w:id="79"/>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必须提供，否则响应文件按无效处理</w:t>
            </w:r>
            <w:r>
              <w:rPr>
                <w:rFonts w:hint="eastAsia" w:ascii="宋体" w:hAnsi="宋体" w:cs="宋体"/>
                <w:color w:val="auto"/>
                <w:szCs w:val="21"/>
                <w:highlight w:val="none"/>
              </w:rPr>
              <w:t>）</w:t>
            </w:r>
          </w:p>
          <w:bookmarkEnd w:id="80"/>
          <w:p w14:paraId="68C7911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9.对应采购需求的技术要求、商务要求提供的其他文件资料（格式自拟）；</w:t>
            </w:r>
          </w:p>
          <w:p w14:paraId="56929F8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10.供应商认为需要提供的其他有关资料。</w:t>
            </w:r>
          </w:p>
          <w:p w14:paraId="5DBD81DC">
            <w:pPr>
              <w:snapToGrid w:val="0"/>
              <w:spacing w:line="360" w:lineRule="auto"/>
              <w:ind w:firstLine="422" w:firstLineChars="200"/>
              <w:jc w:val="left"/>
              <w:rPr>
                <w:rFonts w:ascii="宋体" w:hAnsi="宋体" w:cs="宋体"/>
                <w:b/>
                <w:color w:val="auto"/>
                <w:szCs w:val="21"/>
                <w:highlight w:val="none"/>
              </w:rPr>
            </w:pPr>
            <w:bookmarkStart w:id="81" w:name="OLE_LINK42"/>
            <w:r>
              <w:rPr>
                <w:rFonts w:hint="eastAsia" w:ascii="宋体" w:hAnsi="宋体" w:cs="宋体"/>
                <w:b/>
                <w:color w:val="auto"/>
                <w:szCs w:val="21"/>
                <w:highlight w:val="none"/>
              </w:rPr>
              <w:t>注：以上标明“必须提供”材料复印件的，必须加盖供应商</w:t>
            </w:r>
            <w:r>
              <w:rPr>
                <w:rFonts w:hint="eastAsia" w:ascii="宋体" w:hAnsi="宋体" w:cs="宋体"/>
                <w:b/>
                <w:bCs/>
                <w:color w:val="auto"/>
                <w:szCs w:val="21"/>
                <w:highlight w:val="none"/>
              </w:rPr>
              <w:t>电子签章</w:t>
            </w:r>
            <w:r>
              <w:rPr>
                <w:rFonts w:hint="eastAsia" w:ascii="宋体" w:hAnsi="宋体" w:cs="宋体"/>
                <w:b/>
                <w:color w:val="auto"/>
                <w:szCs w:val="21"/>
                <w:highlight w:val="none"/>
              </w:rPr>
              <w:t>，否则响应文件按无效处理。</w:t>
            </w:r>
            <w:bookmarkEnd w:id="81"/>
          </w:p>
        </w:tc>
      </w:tr>
      <w:tr w14:paraId="06539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CDD28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7912" w:type="dxa"/>
            <w:noWrap w:val="0"/>
            <w:vAlign w:val="center"/>
          </w:tcPr>
          <w:p w14:paraId="0814459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竞标报价包含货物、货物标准附件、备品备件、杂配件、专用工具、设备安装辅材、施工辅材（如有）、包装、运输、装卸、保险、货到就位的各种费用以及安装、调试、技术支持、验收费等本采购文件所列设备材料需进行补充完善才能完成本项目的功能配置或实际采购中产品材料有任何遗漏的费用（含本项目需要但本文件中未列出的设备材料、功能配置）、税金、售后服务（含质保期内上门维修、更换零部件等）、技术培训及其他所有成本费用，以及合同明示或暗示的所有责任、义务和一般风险等一切费用，成交后采购人不再另行支付额外费用。</w:t>
            </w:r>
          </w:p>
        </w:tc>
      </w:tr>
      <w:tr w14:paraId="55A46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5E9008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7912" w:type="dxa"/>
            <w:noWrap w:val="0"/>
            <w:vAlign w:val="center"/>
          </w:tcPr>
          <w:p w14:paraId="3711020C">
            <w:pPr>
              <w:pStyle w:val="9"/>
              <w:tabs>
                <w:tab w:val="clear" w:pos="454"/>
              </w:tabs>
              <w:snapToGrid w:val="0"/>
              <w:spacing w:after="120" w:line="360" w:lineRule="auto"/>
              <w:ind w:left="324" w:hanging="283" w:hangingChars="135"/>
              <w:rPr>
                <w:rFonts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SA"/>
              </w:rPr>
              <w:t>竞标有效期：自首次响应文件提交截止之日起90日。</w:t>
            </w:r>
          </w:p>
        </w:tc>
      </w:tr>
      <w:tr w14:paraId="47D17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4BF6BA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7912" w:type="dxa"/>
            <w:noWrap w:val="0"/>
            <w:vAlign w:val="center"/>
          </w:tcPr>
          <w:p w14:paraId="2F1E3C0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□本项目不收取竞标保证金。</w:t>
            </w:r>
          </w:p>
          <w:p w14:paraId="7ECAF05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☑本项目收取竞标保证金，具体规定如下：</w:t>
            </w:r>
          </w:p>
          <w:p w14:paraId="68F93AC7">
            <w:pPr>
              <w:snapToGrid w:val="0"/>
              <w:spacing w:line="360" w:lineRule="auto"/>
              <w:rPr>
                <w:rFonts w:ascii="宋体" w:hAnsi="宋体" w:cs="宋体"/>
                <w:color w:val="auto"/>
                <w:kern w:val="0"/>
                <w:szCs w:val="21"/>
                <w:highlight w:val="none"/>
              </w:rPr>
            </w:pPr>
            <w:bookmarkStart w:id="82" w:name="OLE_LINK15"/>
            <w:r>
              <w:rPr>
                <w:rFonts w:hint="eastAsia" w:ascii="宋体" w:hAnsi="宋体" w:cs="宋体"/>
                <w:b/>
                <w:bCs/>
                <w:color w:val="auto"/>
                <w:kern w:val="0"/>
                <w:szCs w:val="21"/>
                <w:highlight w:val="none"/>
                <w:u w:val="single"/>
              </w:rPr>
              <w:t>竞标保证金人民币</w:t>
            </w:r>
            <w:bookmarkEnd w:id="82"/>
            <w:r>
              <w:rPr>
                <w:rFonts w:hint="eastAsia" w:ascii="宋体" w:hAnsi="宋体" w:cs="宋体"/>
                <w:b/>
                <w:bCs/>
                <w:color w:val="auto"/>
                <w:kern w:val="0"/>
                <w:szCs w:val="21"/>
                <w:highlight w:val="none"/>
                <w:u w:val="single"/>
              </w:rPr>
              <w:t>壹万肆仟元整（¥14000.00）</w:t>
            </w:r>
            <w:r>
              <w:rPr>
                <w:rFonts w:hint="eastAsia" w:ascii="宋体" w:hAnsi="宋体" w:cs="宋体"/>
                <w:color w:val="auto"/>
                <w:kern w:val="0"/>
                <w:szCs w:val="21"/>
                <w:highlight w:val="none"/>
              </w:rPr>
              <w:t>。</w:t>
            </w:r>
          </w:p>
          <w:p w14:paraId="6DAFE092">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竞标保证金的交纳方式：银行转账、支票、汇票、本票或者银行、保险机构出具的保函（包含电子保函），禁止采用现钞方式。采用银行转账方式的，在响应文件提交截止时间前交至指定账户并且到账[</w:t>
            </w:r>
            <w:r>
              <w:rPr>
                <w:rFonts w:hint="eastAsia" w:ascii="宋体" w:hAnsi="宋体" w:cs="宋体"/>
                <w:b/>
                <w:bCs/>
                <w:color w:val="auto"/>
                <w:kern w:val="0"/>
                <w:szCs w:val="21"/>
                <w:highlight w:val="none"/>
              </w:rPr>
              <w:t>开户银行：建行广西区分行营业部本级营业厅，开户名称：广西同泽工程项目管理股份有限公司，银行账号：</w:t>
            </w:r>
            <w:bookmarkStart w:id="83" w:name="OLE_LINK1"/>
            <w:r>
              <w:rPr>
                <w:rFonts w:hint="eastAsia" w:ascii="宋体" w:hAnsi="宋体" w:cs="宋体"/>
                <w:b/>
                <w:bCs/>
                <w:color w:val="auto"/>
                <w:kern w:val="0"/>
                <w:szCs w:val="21"/>
                <w:highlight w:val="none"/>
              </w:rPr>
              <w:t>45001594151050716039</w:t>
            </w:r>
            <w:bookmarkEnd w:id="83"/>
            <w:r>
              <w:rPr>
                <w:rFonts w:hint="eastAsia" w:ascii="宋体" w:hAnsi="宋体" w:cs="宋体"/>
                <w:color w:val="auto"/>
                <w:kern w:val="0"/>
                <w:szCs w:val="21"/>
                <w:highlight w:val="none"/>
              </w:rPr>
              <w:t>]；采用支票、汇票、本票或者保函等方式的，在响应文件提交截止时间前，供应商必须提交单独密封的支票、汇票、本票或者保函原件。否则视为无效竞标保证金。</w:t>
            </w:r>
          </w:p>
          <w:p w14:paraId="33EB065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相关要求：</w:t>
            </w:r>
          </w:p>
          <w:p w14:paraId="05BAE434">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1.竞标保证金采用银行转账交纳方式的，在响应文件提交截止时间前交至指定账户并且到账，供应商应将银行转账底单的复印件作为竞标保证金提交凭证，放置于商务技术文件中，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2680AC05">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竞标保证金采用支票、汇票、本票或者银行、保险机构出具的保函（包含电子保函）交纳方式的，供应商应将支票、汇票、本票或者银行、保险机构出具的保函（包含电子保函）的复印件作为竞标保证金提交凭证，放置于商务技术文件中，</w:t>
            </w:r>
            <w:r>
              <w:rPr>
                <w:rFonts w:hint="eastAsia" w:ascii="宋体" w:hAnsi="宋体" w:cs="宋体"/>
                <w:b/>
                <w:color w:val="auto"/>
                <w:szCs w:val="21"/>
                <w:highlight w:val="none"/>
              </w:rPr>
              <w:t>否则响应文件按无效处理</w:t>
            </w:r>
            <w:r>
              <w:rPr>
                <w:rFonts w:hint="eastAsia" w:ascii="宋体" w:hAnsi="宋体" w:cs="宋体"/>
                <w:color w:val="auto"/>
                <w:szCs w:val="21"/>
                <w:highlight w:val="none"/>
              </w:rPr>
              <w:t>。供应商必须</w:t>
            </w:r>
            <w:r>
              <w:rPr>
                <w:rFonts w:hint="eastAsia" w:ascii="宋体" w:hAnsi="宋体" w:cs="宋体"/>
                <w:color w:val="auto"/>
                <w:highlight w:val="none"/>
              </w:rPr>
              <w:t>在响应文件提交截止时间前采用现场或邮寄方式（现场提交地址：南宁市良庆区凯旋路16号裕达国际中心广东大厦十八层；邮寄地址：南宁市良庆区凯旋路16号裕达国际中心广东大厦十八层，收件人：陆珍花、奉云、龙晶晶、农英民；联系方式：0771-5590176）</w:t>
            </w:r>
            <w:r>
              <w:rPr>
                <w:rFonts w:hint="eastAsia" w:ascii="宋体" w:hAnsi="宋体" w:cs="宋体"/>
                <w:color w:val="auto"/>
                <w:szCs w:val="21"/>
                <w:highlight w:val="none"/>
              </w:rPr>
              <w:t>将</w:t>
            </w:r>
            <w:r>
              <w:rPr>
                <w:rFonts w:hint="eastAsia" w:ascii="宋体" w:hAnsi="宋体" w:cs="宋体"/>
                <w:color w:val="auto"/>
                <w:kern w:val="0"/>
                <w:szCs w:val="21"/>
                <w:highlight w:val="none"/>
              </w:rPr>
              <w:t>单独密封的</w:t>
            </w:r>
            <w:r>
              <w:rPr>
                <w:rFonts w:hint="eastAsia" w:ascii="宋体" w:hAnsi="宋体" w:cs="宋体"/>
                <w:color w:val="auto"/>
                <w:szCs w:val="21"/>
                <w:highlight w:val="none"/>
              </w:rPr>
              <w:t>支票、汇票、本票或者银行、保险机构出具的保函原件提交给采购人或者采购代理机构，由采购人或者采购代理机构向供应商出具回执（邮寄方式的除外），并妥善保管。</w:t>
            </w:r>
          </w:p>
          <w:p w14:paraId="3D86F76A">
            <w:pPr>
              <w:snapToGrid w:val="0"/>
              <w:spacing w:line="360" w:lineRule="auto"/>
              <w:ind w:firstLine="420" w:firstLineChars="200"/>
              <w:jc w:val="left"/>
              <w:rPr>
                <w:rFonts w:ascii="宋体" w:hAnsi="宋体" w:cs="宋体"/>
                <w:b/>
                <w:color w:val="auto"/>
                <w:szCs w:val="21"/>
                <w:highlight w:val="none"/>
              </w:rPr>
            </w:pPr>
            <w:r>
              <w:rPr>
                <w:rFonts w:hint="eastAsia" w:ascii="宋体" w:hAnsi="宋体" w:cs="宋体"/>
                <w:color w:val="auto"/>
                <w:szCs w:val="21"/>
                <w:highlight w:val="none"/>
              </w:rPr>
              <w:t>3.供应商为联合体的，可以由联合体中的一方或者多方共同交纳竞标保证金，其交纳的保证金对联合体各方均具有约束力。</w:t>
            </w:r>
          </w:p>
          <w:p w14:paraId="6B37DEB9">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备注：</w:t>
            </w:r>
          </w:p>
          <w:p w14:paraId="14C6DF1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1.竞标保证金在响应文件提交截止时间后提交的，或者不按规定交纳方式交纳的，或者未足额交纳的（包含保函额度不足的），视为无效竞标保证金。</w:t>
            </w:r>
          </w:p>
          <w:p w14:paraId="2B277B9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2.供应商采用现钞方式或者从个人账户（自然人竞标除外）转出的竞标保证金，视为无效竞标保证金。</w:t>
            </w:r>
          </w:p>
          <w:p w14:paraId="10A44117">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3.支票、汇票或者本票出现无效或者背书情形的，视为无效竞标保证金。</w:t>
            </w:r>
          </w:p>
          <w:p w14:paraId="77F0818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4.保函有效期低于竞标有效期的，视为无效竞标保证金。</w:t>
            </w:r>
          </w:p>
          <w:p w14:paraId="7576EC01">
            <w:pPr>
              <w:snapToGrid w:val="0"/>
              <w:spacing w:line="360" w:lineRule="auto"/>
              <w:rPr>
                <w:rFonts w:ascii="宋体" w:hAnsi="宋体" w:cs="宋体"/>
                <w:color w:val="auto"/>
                <w:szCs w:val="21"/>
                <w:highlight w:val="none"/>
              </w:rPr>
            </w:pPr>
            <w:r>
              <w:rPr>
                <w:rFonts w:hint="eastAsia" w:ascii="宋体" w:hAnsi="宋体" w:cs="宋体"/>
                <w:b/>
                <w:color w:val="auto"/>
                <w:szCs w:val="21"/>
                <w:highlight w:val="none"/>
              </w:rPr>
              <w:t>5.竞标保证金采用银行、保险机构出具的保函为有条件保函的，视为无效竞标保证金。</w:t>
            </w:r>
          </w:p>
        </w:tc>
      </w:tr>
      <w:tr w14:paraId="75119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E21EFF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19</w:t>
            </w:r>
          </w:p>
        </w:tc>
        <w:tc>
          <w:tcPr>
            <w:tcW w:w="7912" w:type="dxa"/>
            <w:noWrap w:val="0"/>
            <w:vAlign w:val="center"/>
          </w:tcPr>
          <w:p w14:paraId="4F31620B">
            <w:pPr>
              <w:autoSpaceDE w:val="0"/>
              <w:autoSpaceDN w:val="0"/>
              <w:snapToGrid w:val="0"/>
              <w:spacing w:line="360" w:lineRule="auto"/>
              <w:textAlignment w:val="bottom"/>
              <w:rPr>
                <w:rFonts w:hint="eastAsia" w:ascii="宋体" w:hAnsi="宋体" w:cs="宋体"/>
                <w:color w:val="auto"/>
                <w:szCs w:val="21"/>
                <w:highlight w:val="none"/>
              </w:rPr>
            </w:pPr>
            <w:r>
              <w:rPr>
                <w:rFonts w:hint="eastAsia" w:ascii="宋体" w:hAnsi="宋体" w:cs="宋体"/>
                <w:color w:val="auto"/>
                <w:szCs w:val="21"/>
                <w:highlight w:val="none"/>
              </w:rPr>
              <w:t>本项目不接受</w:t>
            </w:r>
            <w:r>
              <w:rPr>
                <w:rFonts w:hint="eastAsia" w:ascii="宋体" w:hAnsi="宋体" w:cs="宋体"/>
                <w:color w:val="auto"/>
                <w:highlight w:val="none"/>
              </w:rPr>
              <w:t>电子</w:t>
            </w:r>
            <w:r>
              <w:rPr>
                <w:rFonts w:hint="eastAsia" w:ascii="宋体" w:hAnsi="宋体" w:cs="宋体"/>
                <w:color w:val="auto"/>
                <w:szCs w:val="21"/>
                <w:highlight w:val="none"/>
              </w:rPr>
              <w:t>备份响应文件。</w:t>
            </w:r>
          </w:p>
        </w:tc>
      </w:tr>
      <w:tr w14:paraId="15737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3C705D1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7912" w:type="dxa"/>
            <w:noWrap w:val="0"/>
            <w:vAlign w:val="center"/>
          </w:tcPr>
          <w:p w14:paraId="161B1887">
            <w:pPr>
              <w:spacing w:line="360" w:lineRule="auto"/>
              <w:contextualSpacing/>
              <w:jc w:val="left"/>
              <w:rPr>
                <w:rFonts w:ascii="宋体" w:hAnsi="宋体" w:cs="宋体"/>
                <w:color w:val="auto"/>
                <w:szCs w:val="21"/>
                <w:highlight w:val="none"/>
                <w:u w:val="single"/>
              </w:rPr>
            </w:pPr>
            <w:r>
              <w:rPr>
                <w:rFonts w:hint="eastAsia" w:ascii="宋体" w:hAnsi="宋体" w:cs="宋体"/>
                <w:color w:val="auto"/>
                <w:szCs w:val="21"/>
                <w:highlight w:val="none"/>
              </w:rPr>
              <w:t>响应文件提交截止时间：详见竞争性谈判公告。</w:t>
            </w:r>
          </w:p>
          <w:p w14:paraId="544D750B">
            <w:pPr>
              <w:spacing w:line="360" w:lineRule="auto"/>
              <w:contextualSpacing/>
              <w:jc w:val="left"/>
              <w:rPr>
                <w:rFonts w:ascii="宋体" w:hAnsi="宋体" w:cs="宋体"/>
                <w:color w:val="auto"/>
                <w:szCs w:val="21"/>
                <w:highlight w:val="none"/>
              </w:rPr>
            </w:pPr>
            <w:r>
              <w:rPr>
                <w:rFonts w:hint="eastAsia" w:ascii="宋体" w:hAnsi="宋体" w:cs="宋体"/>
                <w:color w:val="auto"/>
                <w:szCs w:val="21"/>
                <w:highlight w:val="none"/>
              </w:rPr>
              <w:t>响应文件提交地点：详见竞争性谈判公告。</w:t>
            </w:r>
          </w:p>
        </w:tc>
      </w:tr>
      <w:tr w14:paraId="0CE93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384DEE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24.1</w:t>
            </w:r>
          </w:p>
        </w:tc>
        <w:tc>
          <w:tcPr>
            <w:tcW w:w="7912" w:type="dxa"/>
            <w:noWrap w:val="0"/>
            <w:vAlign w:val="center"/>
          </w:tcPr>
          <w:p w14:paraId="7D49BAE7">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谈判小组的人数：</w:t>
            </w:r>
            <w:r>
              <w:rPr>
                <w:rFonts w:hint="eastAsia" w:ascii="宋体" w:hAnsi="宋体" w:cs="宋体"/>
                <w:color w:val="auto"/>
                <w:szCs w:val="21"/>
                <w:highlight w:val="none"/>
                <w:u w:val="single"/>
              </w:rPr>
              <w:t>3</w:t>
            </w:r>
            <w:r>
              <w:rPr>
                <w:rFonts w:hint="eastAsia" w:ascii="宋体" w:hAnsi="宋体" w:cs="宋体"/>
                <w:color w:val="auto"/>
                <w:szCs w:val="21"/>
                <w:highlight w:val="none"/>
              </w:rPr>
              <w:t>人。</w:t>
            </w:r>
          </w:p>
        </w:tc>
      </w:tr>
      <w:tr w14:paraId="4F5A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AA3210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25</w:t>
            </w:r>
          </w:p>
        </w:tc>
        <w:tc>
          <w:tcPr>
            <w:tcW w:w="7912" w:type="dxa"/>
            <w:noWrap w:val="0"/>
            <w:vAlign w:val="center"/>
          </w:tcPr>
          <w:p w14:paraId="5A39913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首次响应文件开启时间详见“竞争性谈判公告”</w:t>
            </w:r>
          </w:p>
          <w:p w14:paraId="0931F1D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首次响应文件解密时间：</w:t>
            </w:r>
            <w:r>
              <w:rPr>
                <w:rFonts w:hint="eastAsia" w:ascii="宋体" w:hAnsi="宋体" w:cs="宋体"/>
                <w:color w:val="auto"/>
                <w:highlight w:val="none"/>
                <w:u w:val="single"/>
              </w:rPr>
              <w:t>30</w:t>
            </w:r>
            <w:r>
              <w:rPr>
                <w:rFonts w:hint="eastAsia" w:ascii="宋体" w:hAnsi="宋体" w:cs="宋体"/>
                <w:color w:val="auto"/>
                <w:highlight w:val="none"/>
              </w:rPr>
              <w:t>分钟</w:t>
            </w:r>
          </w:p>
        </w:tc>
      </w:tr>
      <w:tr w14:paraId="544E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3E4F8F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7912" w:type="dxa"/>
            <w:noWrap w:val="0"/>
            <w:vAlign w:val="center"/>
          </w:tcPr>
          <w:p w14:paraId="3EACEBBF">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评审价相同时，按照最后报价由低到高顺序依次推荐；最后报价相同时，按节能、环保产品累计金额由高到低顺序依次推荐；节能、环保产品累计金额也相同时，按以下原则确定成交候选人的顺序：</w:t>
            </w:r>
          </w:p>
          <w:p w14:paraId="49F01868">
            <w:pPr>
              <w:spacing w:line="360" w:lineRule="auto"/>
              <w:contextualSpacing/>
              <w:rPr>
                <w:rFonts w:ascii="宋体" w:hAnsi="宋体" w:cs="宋体"/>
                <w:color w:val="auto"/>
                <w:szCs w:val="21"/>
                <w:highlight w:val="none"/>
              </w:rPr>
            </w:pPr>
            <w:r>
              <w:rPr>
                <w:rFonts w:hint="eastAsia" w:ascii="宋体" w:hAnsi="宋体" w:cs="宋体"/>
                <w:color w:val="auto"/>
                <w:szCs w:val="21"/>
                <w:highlight w:val="none"/>
              </w:rPr>
              <w:t>☑带“▲”的实质性要求正偏离项数多的优先、均无正偏离或者正偏离项数一致时负偏离项数少的优先、质保期长优先、交货期短优先、故障响应时间短优先的顺序推荐。</w:t>
            </w:r>
          </w:p>
          <w:p w14:paraId="0B4E5CA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□由谈判小组推荐代表随机抽取。</w:t>
            </w:r>
          </w:p>
        </w:tc>
      </w:tr>
      <w:tr w14:paraId="44862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0"/>
            <w:vAlign w:val="center"/>
          </w:tcPr>
          <w:p w14:paraId="45CC5543">
            <w:pPr>
              <w:spacing w:line="360" w:lineRule="auto"/>
              <w:jc w:val="center"/>
              <w:rPr>
                <w:rFonts w:ascii="宋体" w:hAnsi="宋体" w:cs="宋体"/>
                <w:color w:val="auto"/>
                <w:szCs w:val="21"/>
                <w:highlight w:val="none"/>
              </w:rPr>
            </w:pPr>
          </w:p>
        </w:tc>
        <w:tc>
          <w:tcPr>
            <w:tcW w:w="7912" w:type="dxa"/>
            <w:noWrap w:val="0"/>
            <w:vAlign w:val="center"/>
          </w:tcPr>
          <w:p w14:paraId="4C90ACC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 xml:space="preserve"> 0</w:t>
            </w:r>
            <w:r>
              <w:rPr>
                <w:rFonts w:hint="eastAsia" w:ascii="宋体" w:hAnsi="宋体" w:cs="宋体"/>
                <w:color w:val="auto"/>
                <w:szCs w:val="21"/>
                <w:highlight w:val="none"/>
              </w:rPr>
              <w:t>项。</w:t>
            </w:r>
          </w:p>
          <w:p w14:paraId="2A8BFA8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bl>
    <w:p w14:paraId="2A337A53">
      <w:pPr>
        <w:rPr>
          <w:color w:val="auto"/>
          <w:highlight w:val="none"/>
        </w:rPr>
      </w:pPr>
      <w:r>
        <w:rPr>
          <w:color w:val="auto"/>
          <w:highlight w:val="none"/>
        </w:rPr>
        <w:br w:type="page"/>
      </w:r>
    </w:p>
    <w:tbl>
      <w:tblPr>
        <w:tblStyle w:val="29"/>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76949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A90467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28.1</w:t>
            </w:r>
          </w:p>
        </w:tc>
        <w:tc>
          <w:tcPr>
            <w:tcW w:w="7912" w:type="dxa"/>
            <w:noWrap w:val="0"/>
            <w:vAlign w:val="center"/>
          </w:tcPr>
          <w:p w14:paraId="4915FF52">
            <w:pPr>
              <w:autoSpaceDE w:val="0"/>
              <w:autoSpaceDN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本项目不收取履约保证金。</w:t>
            </w:r>
          </w:p>
          <w:p w14:paraId="1319320A">
            <w:pPr>
              <w:autoSpaceDE w:val="0"/>
              <w:autoSpaceDN w:val="0"/>
              <w:spacing w:line="360" w:lineRule="exact"/>
              <w:textAlignment w:val="bottom"/>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本项目收取履约保证金，具体规定如下：</w:t>
            </w:r>
          </w:p>
          <w:p w14:paraId="6A4DEA70">
            <w:pPr>
              <w:pStyle w:val="109"/>
              <w:spacing w:after="0" w:line="360" w:lineRule="exact"/>
              <w:rPr>
                <w:rFonts w:hint="eastAsia" w:ascii="宋体" w:hAnsi="宋体"/>
                <w:color w:val="auto"/>
                <w:sz w:val="21"/>
                <w:szCs w:val="21"/>
                <w:highlight w:val="none"/>
                <w:lang w:eastAsia="zh-CN"/>
              </w:rPr>
            </w:pPr>
            <w:r>
              <w:rPr>
                <w:rFonts w:hint="eastAsia" w:ascii="宋体" w:hAnsi="宋体"/>
                <w:b/>
                <w:color w:val="auto"/>
                <w:sz w:val="21"/>
                <w:szCs w:val="21"/>
                <w:highlight w:val="none"/>
                <w:lang w:eastAsia="zh-CN"/>
              </w:rPr>
              <w:t>1．履约保证金金额：</w:t>
            </w:r>
            <w:r>
              <w:rPr>
                <w:rFonts w:hint="eastAsia" w:ascii="宋体" w:hAnsi="宋体"/>
                <w:color w:val="auto"/>
                <w:sz w:val="21"/>
                <w:szCs w:val="21"/>
                <w:highlight w:val="none"/>
                <w:lang w:eastAsia="zh-CN"/>
              </w:rPr>
              <w:t>按成交金额的5%交纳。符合政府采购促进中小企业发展政策的，按成交金额的2%交纳。</w:t>
            </w:r>
          </w:p>
          <w:p w14:paraId="01B31B73">
            <w:pPr>
              <w:pStyle w:val="109"/>
              <w:spacing w:after="0" w:line="360" w:lineRule="exact"/>
              <w:rPr>
                <w:rFonts w:hint="eastAsia" w:ascii="宋体" w:hAnsi="宋体"/>
                <w:color w:val="auto"/>
                <w:sz w:val="21"/>
                <w:szCs w:val="21"/>
                <w:highlight w:val="none"/>
                <w:lang w:eastAsia="zh-CN"/>
              </w:rPr>
            </w:pPr>
            <w:r>
              <w:rPr>
                <w:rFonts w:ascii="宋体" w:hAnsi="宋体"/>
                <w:b/>
                <w:color w:val="auto"/>
                <w:sz w:val="21"/>
                <w:szCs w:val="21"/>
                <w:highlight w:val="none"/>
                <w:lang w:eastAsia="zh-CN"/>
              </w:rPr>
              <w:t>2.</w:t>
            </w:r>
            <w:r>
              <w:rPr>
                <w:rFonts w:hint="eastAsia" w:ascii="宋体" w:hAnsi="宋体"/>
                <w:b/>
                <w:color w:val="auto"/>
                <w:sz w:val="21"/>
                <w:szCs w:val="21"/>
                <w:highlight w:val="none"/>
                <w:lang w:eastAsia="zh-CN"/>
              </w:rPr>
              <w:t>履约保证金递交方式：</w:t>
            </w:r>
            <w:r>
              <w:rPr>
                <w:rFonts w:hint="eastAsia" w:ascii="宋体" w:hAnsi="宋体"/>
                <w:color w:val="auto"/>
                <w:sz w:val="21"/>
                <w:szCs w:val="21"/>
                <w:highlight w:val="none"/>
                <w:lang w:eastAsia="zh-CN"/>
              </w:rPr>
              <w:t>银行转账、支票、汇票、本票或者银行、保险机构出具的保函等非现金方式。如成交供应商采用保函形式缴纳履约保证金的，该保函需载明：（1）见索即付；（2）收到采购人法定代表人或授权委托代理人签字确认并加盖公章的书面索赔通知后即应不争辩、不挑剔、不可撤销地向采购人支付索赔款，直至最高担保金额。（如成交供应商提供的保函未载明前述内容的，甲方可直接拒收该保函，成交供应商应以银行转账或其他能切实发挥履约担保作用的方式提供履约保证金）。</w:t>
            </w:r>
          </w:p>
          <w:p w14:paraId="101E3BA6">
            <w:pPr>
              <w:pStyle w:val="109"/>
              <w:spacing w:after="0" w:line="360" w:lineRule="exact"/>
              <w:rPr>
                <w:rFonts w:hint="eastAsia" w:ascii="宋体" w:hAnsi="宋体"/>
                <w:color w:val="auto"/>
                <w:sz w:val="21"/>
                <w:szCs w:val="21"/>
                <w:highlight w:val="none"/>
                <w:lang w:eastAsia="zh-CN"/>
              </w:rPr>
            </w:pPr>
            <w:r>
              <w:rPr>
                <w:rFonts w:hint="eastAsia" w:ascii="宋体" w:hAnsi="宋体"/>
                <w:b/>
                <w:color w:val="auto"/>
                <w:sz w:val="21"/>
                <w:szCs w:val="21"/>
                <w:highlight w:val="none"/>
                <w:lang w:eastAsia="zh-CN"/>
              </w:rPr>
              <w:t>3</w:t>
            </w:r>
            <w:r>
              <w:rPr>
                <w:rFonts w:ascii="宋体" w:hAnsi="宋体"/>
                <w:b/>
                <w:color w:val="auto"/>
                <w:sz w:val="21"/>
                <w:szCs w:val="21"/>
                <w:highlight w:val="none"/>
                <w:lang w:eastAsia="zh-CN"/>
              </w:rPr>
              <w:t>.</w:t>
            </w:r>
            <w:r>
              <w:rPr>
                <w:rFonts w:hint="eastAsia" w:ascii="宋体" w:hAnsi="宋体"/>
                <w:b/>
                <w:color w:val="auto"/>
                <w:sz w:val="21"/>
                <w:szCs w:val="21"/>
                <w:highlight w:val="none"/>
                <w:lang w:eastAsia="zh-CN"/>
              </w:rPr>
              <w:t>履约保证金缴纳期限：</w:t>
            </w:r>
            <w:r>
              <w:rPr>
                <w:rFonts w:hint="eastAsia" w:ascii="宋体" w:hAnsi="宋体"/>
                <w:color w:val="auto"/>
                <w:sz w:val="21"/>
                <w:szCs w:val="21"/>
                <w:highlight w:val="none"/>
                <w:lang w:eastAsia="zh-CN"/>
              </w:rPr>
              <w:t>自中标通知书发出之日起</w:t>
            </w:r>
            <w:r>
              <w:rPr>
                <w:rFonts w:hint="eastAsia" w:ascii="宋体" w:hAnsi="宋体"/>
                <w:color w:val="auto"/>
                <w:sz w:val="21"/>
                <w:szCs w:val="21"/>
                <w:highlight w:val="none"/>
                <w:u w:val="single"/>
                <w:lang w:eastAsia="zh-CN"/>
              </w:rPr>
              <w:t xml:space="preserve"> 5个</w:t>
            </w:r>
            <w:r>
              <w:rPr>
                <w:rFonts w:ascii="宋体" w:hAnsi="宋体"/>
                <w:color w:val="auto"/>
                <w:sz w:val="21"/>
                <w:szCs w:val="21"/>
                <w:highlight w:val="none"/>
                <w:u w:val="single"/>
                <w:lang w:eastAsia="zh-CN"/>
              </w:rPr>
              <w:t>工作</w:t>
            </w:r>
            <w:r>
              <w:rPr>
                <w:rFonts w:hint="eastAsia" w:ascii="宋体" w:hAnsi="宋体"/>
                <w:color w:val="auto"/>
                <w:sz w:val="21"/>
                <w:szCs w:val="21"/>
                <w:highlight w:val="none"/>
                <w:u w:val="single"/>
                <w:lang w:eastAsia="zh-CN"/>
              </w:rPr>
              <w:t>日</w:t>
            </w:r>
            <w:r>
              <w:rPr>
                <w:rFonts w:hint="eastAsia" w:ascii="宋体" w:hAnsi="宋体"/>
                <w:color w:val="auto"/>
                <w:sz w:val="21"/>
                <w:szCs w:val="21"/>
                <w:highlight w:val="none"/>
                <w:lang w:eastAsia="zh-CN"/>
              </w:rPr>
              <w:t>内。</w:t>
            </w:r>
          </w:p>
          <w:p w14:paraId="67710116">
            <w:pPr>
              <w:pStyle w:val="109"/>
              <w:spacing w:after="0" w:line="360" w:lineRule="exact"/>
              <w:rPr>
                <w:rFonts w:hint="eastAsia" w:ascii="宋体" w:hAnsi="宋体"/>
                <w:color w:val="auto"/>
                <w:sz w:val="21"/>
                <w:szCs w:val="21"/>
                <w:highlight w:val="none"/>
                <w:lang w:eastAsia="zh-CN"/>
              </w:rPr>
            </w:pPr>
            <w:r>
              <w:rPr>
                <w:rFonts w:ascii="宋体" w:hAnsi="宋体"/>
                <w:b/>
                <w:color w:val="auto"/>
                <w:sz w:val="21"/>
                <w:szCs w:val="21"/>
                <w:highlight w:val="none"/>
                <w:lang w:eastAsia="zh-CN"/>
              </w:rPr>
              <w:t>4.</w:t>
            </w:r>
            <w:r>
              <w:rPr>
                <w:rFonts w:hint="eastAsia" w:ascii="宋体" w:hAnsi="宋体"/>
                <w:b/>
                <w:color w:val="auto"/>
                <w:sz w:val="21"/>
                <w:szCs w:val="21"/>
                <w:highlight w:val="none"/>
                <w:lang w:eastAsia="zh-CN"/>
              </w:rPr>
              <w:t>履约保证金退付方式、时间及条件：</w:t>
            </w:r>
            <w:r>
              <w:rPr>
                <w:rFonts w:hint="eastAsia" w:ascii="宋体" w:hAnsi="宋体"/>
                <w:color w:val="auto"/>
                <w:sz w:val="21"/>
                <w:szCs w:val="21"/>
                <w:highlight w:val="none"/>
                <w:lang w:eastAsia="zh-CN"/>
              </w:rPr>
              <w:t>履约保证金在项目履约完成（按合同约定履行完合同所有内容，包括但不限于承诺的免费保修）后无息退还。由成交供应商向履约保证金收取单位提供《广西壮族自治区政府采购项目合同验收书》（详见桂财采〔2015〕22号），保证金收取单位在收到合格材料后</w:t>
            </w:r>
            <w:r>
              <w:rPr>
                <w:rFonts w:ascii="宋体" w:hAnsi="宋体"/>
                <w:color w:val="auto"/>
                <w:sz w:val="21"/>
                <w:szCs w:val="21"/>
                <w:highlight w:val="none"/>
                <w:lang w:eastAsia="zh-CN"/>
              </w:rPr>
              <w:t>10</w:t>
            </w:r>
            <w:r>
              <w:rPr>
                <w:rFonts w:hint="eastAsia" w:ascii="宋体" w:hAnsi="宋体"/>
                <w:color w:val="auto"/>
                <w:sz w:val="21"/>
                <w:szCs w:val="21"/>
                <w:highlight w:val="none"/>
                <w:lang w:eastAsia="zh-CN"/>
              </w:rPr>
              <w:t>个工作日内办理退还手续（不计利息）。</w:t>
            </w:r>
          </w:p>
          <w:p w14:paraId="52FAFF9B">
            <w:pPr>
              <w:pStyle w:val="109"/>
              <w:spacing w:after="0" w:line="360" w:lineRule="exact"/>
              <w:rPr>
                <w:rFonts w:ascii="宋体" w:hAnsi="宋体"/>
                <w:color w:val="auto"/>
                <w:sz w:val="21"/>
                <w:szCs w:val="21"/>
                <w:highlight w:val="none"/>
                <w:lang w:eastAsia="zh-CN"/>
              </w:rPr>
            </w:pPr>
            <w:r>
              <w:rPr>
                <w:rFonts w:hint="eastAsia" w:ascii="宋体" w:hAnsi="宋体"/>
                <w:b/>
                <w:color w:val="auto"/>
                <w:sz w:val="21"/>
                <w:szCs w:val="21"/>
                <w:highlight w:val="none"/>
                <w:lang w:eastAsia="zh-CN"/>
              </w:rPr>
              <w:t>5</w:t>
            </w:r>
            <w:r>
              <w:rPr>
                <w:rFonts w:ascii="宋体" w:hAnsi="宋体"/>
                <w:b/>
                <w:color w:val="auto"/>
                <w:sz w:val="21"/>
                <w:szCs w:val="21"/>
                <w:highlight w:val="none"/>
                <w:lang w:eastAsia="zh-CN"/>
              </w:rPr>
              <w:t>.</w:t>
            </w:r>
            <w:r>
              <w:rPr>
                <w:rFonts w:hint="eastAsia" w:ascii="宋体" w:hAnsi="宋体"/>
                <w:b/>
                <w:color w:val="auto"/>
                <w:sz w:val="21"/>
                <w:szCs w:val="21"/>
                <w:highlight w:val="none"/>
                <w:lang w:eastAsia="zh-CN"/>
              </w:rPr>
              <w:t>不予退还的情形：</w:t>
            </w:r>
            <w:r>
              <w:rPr>
                <w:rFonts w:hint="eastAsia" w:ascii="宋体" w:hAnsi="宋体"/>
                <w:color w:val="auto"/>
                <w:sz w:val="21"/>
                <w:szCs w:val="21"/>
                <w:highlight w:val="none"/>
                <w:lang w:eastAsia="zh-CN"/>
              </w:rPr>
              <w:t>签订合同后，如成交供应商不按双方签订的合同规定履约，则其全部履约保证金不予退还，</w:t>
            </w:r>
            <w:r>
              <w:rPr>
                <w:rFonts w:ascii="宋体" w:hAnsi="宋体"/>
                <w:color w:val="auto"/>
                <w:sz w:val="21"/>
                <w:szCs w:val="21"/>
                <w:highlight w:val="none"/>
                <w:lang w:eastAsia="zh-CN"/>
              </w:rPr>
              <w:t>如存在违约行为则根据合同约定扣除</w:t>
            </w:r>
            <w:r>
              <w:rPr>
                <w:rFonts w:hint="eastAsia" w:ascii="宋体" w:hAnsi="宋体"/>
                <w:color w:val="auto"/>
                <w:sz w:val="21"/>
                <w:szCs w:val="21"/>
                <w:highlight w:val="none"/>
                <w:lang w:eastAsia="zh-CN"/>
              </w:rPr>
              <w:t>违约</w:t>
            </w:r>
            <w:r>
              <w:rPr>
                <w:rFonts w:ascii="宋体" w:hAnsi="宋体"/>
                <w:color w:val="auto"/>
                <w:sz w:val="21"/>
                <w:szCs w:val="21"/>
                <w:highlight w:val="none"/>
                <w:lang w:eastAsia="zh-CN"/>
              </w:rPr>
              <w:t>处罚费用后</w:t>
            </w:r>
            <w:r>
              <w:rPr>
                <w:rFonts w:hint="eastAsia" w:ascii="宋体" w:hAnsi="宋体"/>
                <w:color w:val="auto"/>
                <w:sz w:val="21"/>
                <w:szCs w:val="21"/>
                <w:highlight w:val="none"/>
                <w:lang w:eastAsia="zh-CN"/>
              </w:rPr>
              <w:t>再</w:t>
            </w:r>
            <w:r>
              <w:rPr>
                <w:rFonts w:ascii="宋体" w:hAnsi="宋体"/>
                <w:color w:val="auto"/>
                <w:sz w:val="21"/>
                <w:szCs w:val="21"/>
                <w:highlight w:val="none"/>
                <w:lang w:eastAsia="zh-CN"/>
              </w:rPr>
              <w:t>结算</w:t>
            </w:r>
            <w:r>
              <w:rPr>
                <w:rFonts w:hint="eastAsia" w:ascii="宋体" w:hAnsi="宋体"/>
                <w:color w:val="auto"/>
                <w:sz w:val="21"/>
                <w:szCs w:val="21"/>
                <w:highlight w:val="none"/>
                <w:lang w:eastAsia="zh-CN"/>
              </w:rPr>
              <w:t>退还。</w:t>
            </w:r>
          </w:p>
          <w:p w14:paraId="65AB0803">
            <w:pPr>
              <w:pStyle w:val="109"/>
              <w:spacing w:after="0" w:line="360" w:lineRule="exact"/>
              <w:rPr>
                <w:rFonts w:hint="eastAsia" w:ascii="宋体" w:hAnsi="宋体"/>
                <w:color w:val="auto"/>
                <w:sz w:val="21"/>
                <w:szCs w:val="21"/>
                <w:highlight w:val="none"/>
                <w:lang w:eastAsia="zh-CN"/>
              </w:rPr>
            </w:pPr>
            <w:r>
              <w:rPr>
                <w:rFonts w:hint="eastAsia" w:ascii="宋体" w:hAnsi="宋体"/>
                <w:b/>
                <w:color w:val="auto"/>
                <w:sz w:val="21"/>
                <w:szCs w:val="21"/>
                <w:highlight w:val="none"/>
                <w:lang w:eastAsia="zh-CN"/>
              </w:rPr>
              <w:t>6</w:t>
            </w:r>
            <w:r>
              <w:rPr>
                <w:rFonts w:ascii="宋体" w:hAnsi="宋体"/>
                <w:b/>
                <w:color w:val="auto"/>
                <w:sz w:val="21"/>
                <w:szCs w:val="21"/>
                <w:highlight w:val="none"/>
                <w:lang w:eastAsia="zh-CN"/>
              </w:rPr>
              <w:t>.其他要求：</w:t>
            </w:r>
            <w:r>
              <w:rPr>
                <w:rFonts w:hint="eastAsia" w:ascii="宋体" w:hAnsi="宋体"/>
                <w:color w:val="auto"/>
                <w:sz w:val="21"/>
                <w:szCs w:val="21"/>
                <w:highlight w:val="none"/>
                <w:lang w:eastAsia="zh-CN"/>
              </w:rPr>
              <w:t>在履约保证金退还日期前，若成交供应商的开户名称、开户银行、账号有变动的，请以书面形式通知保证金收取单位，否则由此产生的后果由成交供应商自负。</w:t>
            </w:r>
          </w:p>
          <w:p w14:paraId="071EC97B">
            <w:pPr>
              <w:pStyle w:val="109"/>
              <w:spacing w:after="0" w:line="360" w:lineRule="exact"/>
              <w:rPr>
                <w:rFonts w:hint="eastAsia" w:ascii="宋体" w:hAnsi="宋体"/>
                <w:b/>
                <w:color w:val="auto"/>
                <w:sz w:val="21"/>
                <w:szCs w:val="21"/>
                <w:highlight w:val="none"/>
                <w:lang w:eastAsia="zh-CN"/>
              </w:rPr>
            </w:pPr>
            <w:r>
              <w:rPr>
                <w:rFonts w:ascii="宋体" w:hAnsi="宋体"/>
                <w:b/>
                <w:color w:val="auto"/>
                <w:sz w:val="21"/>
                <w:szCs w:val="21"/>
                <w:highlight w:val="none"/>
                <w:lang w:eastAsia="zh-CN"/>
              </w:rPr>
              <w:t>7.</w:t>
            </w:r>
            <w:r>
              <w:rPr>
                <w:rFonts w:hint="eastAsia" w:ascii="宋体" w:hAnsi="宋体"/>
                <w:b/>
                <w:color w:val="auto"/>
                <w:sz w:val="21"/>
                <w:szCs w:val="21"/>
                <w:highlight w:val="none"/>
                <w:lang w:eastAsia="zh-CN"/>
              </w:rPr>
              <w:t>履约保证金指定账户：</w:t>
            </w:r>
          </w:p>
          <w:p w14:paraId="19920A6B">
            <w:pPr>
              <w:pStyle w:val="109"/>
              <w:spacing w:after="0" w:line="360" w:lineRule="exac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开户名称：广西壮族自治区人民检察院</w:t>
            </w:r>
          </w:p>
          <w:p w14:paraId="0A9387CB">
            <w:pPr>
              <w:pStyle w:val="109"/>
              <w:spacing w:after="0" w:line="360" w:lineRule="exac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开户银行：农行南宁市古城支行凤翔分理处</w:t>
            </w:r>
          </w:p>
          <w:p w14:paraId="7EEB26AB">
            <w:pPr>
              <w:pStyle w:val="109"/>
              <w:spacing w:after="0" w:line="360" w:lineRule="exact"/>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银行账号：20009201040000296</w:t>
            </w:r>
          </w:p>
          <w:p w14:paraId="66344537">
            <w:pPr>
              <w:pStyle w:val="109"/>
              <w:spacing w:after="0" w:line="360" w:lineRule="exact"/>
              <w:rPr>
                <w:rFonts w:hint="eastAsia" w:ascii="宋体" w:hAnsi="宋体"/>
                <w:b/>
                <w:color w:val="auto"/>
                <w:sz w:val="21"/>
                <w:szCs w:val="21"/>
                <w:highlight w:val="none"/>
                <w:lang w:eastAsia="zh-CN"/>
              </w:rPr>
            </w:pPr>
            <w:r>
              <w:rPr>
                <w:rFonts w:hint="eastAsia" w:ascii="宋体" w:hAnsi="宋体"/>
                <w:b/>
                <w:color w:val="auto"/>
                <w:sz w:val="21"/>
                <w:szCs w:val="21"/>
                <w:highlight w:val="none"/>
                <w:lang w:eastAsia="zh-CN"/>
              </w:rPr>
              <w:t>备注：</w:t>
            </w:r>
          </w:p>
          <w:p w14:paraId="463C1467">
            <w:pPr>
              <w:spacing w:line="360" w:lineRule="exact"/>
              <w:rPr>
                <w:rFonts w:ascii="宋体" w:hAnsi="宋体" w:cs="宋体"/>
                <w:b/>
                <w:color w:val="auto"/>
                <w:szCs w:val="21"/>
                <w:highlight w:val="none"/>
              </w:rPr>
            </w:pPr>
            <w:r>
              <w:rPr>
                <w:rFonts w:hint="eastAsia" w:ascii="宋体" w:hAnsi="宋体" w:cs="宋体"/>
                <w:b/>
                <w:color w:val="auto"/>
                <w:szCs w:val="21"/>
                <w:highlight w:val="none"/>
              </w:rPr>
              <w:t>1.</w:t>
            </w:r>
            <w:bookmarkStart w:id="84" w:name="_Hlk54170335"/>
            <w:r>
              <w:rPr>
                <w:rFonts w:hint="eastAsia" w:ascii="宋体" w:hAnsi="宋体" w:cs="宋体"/>
                <w:b/>
                <w:color w:val="auto"/>
                <w:szCs w:val="21"/>
                <w:highlight w:val="none"/>
              </w:rPr>
              <w:t xml:space="preserve"> 根据《广西壮族自治区财政厅关于持续优化政府采购营商环境推动高质量发展的通知》（桂财采〔2024〕55号）的规定，履约保证金</w:t>
            </w:r>
            <w:bookmarkEnd w:id="84"/>
            <w:r>
              <w:rPr>
                <w:rFonts w:hint="eastAsia" w:ascii="宋体" w:hAnsi="宋体" w:cs="宋体"/>
                <w:b/>
                <w:color w:val="auto"/>
                <w:szCs w:val="21"/>
                <w:highlight w:val="none"/>
              </w:rPr>
              <w:t>数额不得超过政府采购合同金额的5%；对中小企业收取的履约保证金数额不得超过政府采购合同金额的2%。</w:t>
            </w:r>
          </w:p>
          <w:p w14:paraId="6E46818A">
            <w:pPr>
              <w:spacing w:line="360" w:lineRule="exact"/>
              <w:rPr>
                <w:rFonts w:ascii="宋体" w:hAnsi="宋体" w:cs="宋体"/>
                <w:b/>
                <w:color w:val="auto"/>
                <w:szCs w:val="21"/>
                <w:highlight w:val="none"/>
              </w:rPr>
            </w:pPr>
            <w:r>
              <w:rPr>
                <w:rFonts w:hint="eastAsia" w:ascii="宋体" w:hAnsi="宋体" w:cs="宋体"/>
                <w:b/>
                <w:color w:val="auto"/>
                <w:szCs w:val="21"/>
                <w:highlight w:val="none"/>
              </w:rPr>
              <w:t>2.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3.采用银行、保险机构出具的保函的，必须为无条件保函，否则不予签订合同。</w:t>
            </w:r>
          </w:p>
          <w:p w14:paraId="391A8789">
            <w:pPr>
              <w:pStyle w:val="12"/>
              <w:spacing w:after="0" w:line="360" w:lineRule="exact"/>
              <w:rPr>
                <w:rFonts w:ascii="宋体" w:hAnsi="宋体" w:cs="宋体"/>
                <w:color w:val="auto"/>
                <w:highlight w:val="none"/>
              </w:rPr>
            </w:pPr>
            <w:r>
              <w:rPr>
                <w:rFonts w:hint="eastAsia" w:ascii="宋体" w:hAnsi="宋体" w:cs="宋体"/>
                <w:b/>
                <w:color w:val="auto"/>
                <w:szCs w:val="21"/>
                <w:highlight w:val="none"/>
              </w:rPr>
              <w:t>4.供应商为联合体的，由联合体任意一方按规定提交的履约保证金，视为有效履约保证金。</w:t>
            </w:r>
          </w:p>
        </w:tc>
      </w:tr>
      <w:tr w14:paraId="267A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10072C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29.1</w:t>
            </w:r>
          </w:p>
        </w:tc>
        <w:tc>
          <w:tcPr>
            <w:tcW w:w="7912" w:type="dxa"/>
            <w:noWrap w:val="0"/>
            <w:vAlign w:val="center"/>
          </w:tcPr>
          <w:p w14:paraId="125E544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签订合同携带的证明材料：</w:t>
            </w:r>
          </w:p>
          <w:p w14:paraId="7688B633">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75A95C4A">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5A327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332D54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7912" w:type="dxa"/>
            <w:noWrap w:val="0"/>
            <w:vAlign w:val="center"/>
          </w:tcPr>
          <w:p w14:paraId="61DF19D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接收质疑函方式：以书面形式。</w:t>
            </w:r>
          </w:p>
          <w:p w14:paraId="1754CB4F">
            <w:pPr>
              <w:pStyle w:val="17"/>
              <w:snapToGrid w:val="0"/>
              <w:spacing w:line="360" w:lineRule="auto"/>
              <w:rPr>
                <w:rFonts w:hAnsi="宋体" w:cs="宋体"/>
                <w:color w:val="auto"/>
                <w:kern w:val="2"/>
                <w:sz w:val="21"/>
                <w:highlight w:val="none"/>
              </w:rPr>
            </w:pPr>
            <w:r>
              <w:rPr>
                <w:rFonts w:hint="eastAsia" w:hAnsi="宋体" w:cs="宋体"/>
                <w:color w:val="auto"/>
                <w:kern w:val="2"/>
                <w:sz w:val="21"/>
                <w:highlight w:val="none"/>
              </w:rPr>
              <w:t>质疑联系部门及联系方式：</w:t>
            </w:r>
            <w:r>
              <w:rPr>
                <w:rFonts w:hint="eastAsia" w:hAnsi="宋体" w:cs="宋体"/>
                <w:color w:val="auto"/>
                <w:kern w:val="2"/>
                <w:sz w:val="21"/>
                <w:highlight w:val="none"/>
                <w:u w:val="single"/>
              </w:rPr>
              <w:t>广西同泽工程项目管理股份有限公司</w:t>
            </w:r>
            <w:r>
              <w:rPr>
                <w:rFonts w:hint="eastAsia" w:hAnsi="宋体" w:cs="宋体"/>
                <w:color w:val="auto"/>
                <w:kern w:val="2"/>
                <w:sz w:val="21"/>
                <w:highlight w:val="none"/>
              </w:rPr>
              <w:t>，联系电话：详见竞争性谈判公告，通讯地址：详见竞争性谈判公告。</w:t>
            </w:r>
          </w:p>
          <w:p w14:paraId="2D25F5C3">
            <w:pPr>
              <w:pStyle w:val="17"/>
              <w:snapToGrid w:val="0"/>
              <w:spacing w:line="360" w:lineRule="auto"/>
              <w:rPr>
                <w:rFonts w:hAnsi="宋体" w:cs="宋体"/>
                <w:color w:val="auto"/>
                <w:kern w:val="2"/>
                <w:sz w:val="21"/>
                <w:highlight w:val="none"/>
              </w:rPr>
            </w:pPr>
            <w:r>
              <w:rPr>
                <w:rFonts w:hint="eastAsia" w:hAnsi="宋体" w:cs="宋体"/>
                <w:color w:val="auto"/>
                <w:sz w:val="21"/>
                <w:highlight w:val="none"/>
              </w:rPr>
              <w:t>业务时间：工作日每天上午9时00分到12时00分，下午2时30分到5时30分。</w:t>
            </w:r>
          </w:p>
        </w:tc>
      </w:tr>
      <w:tr w14:paraId="04898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88" w:hRule="atLeast"/>
          <w:jc w:val="center"/>
        </w:trPr>
        <w:tc>
          <w:tcPr>
            <w:tcW w:w="992" w:type="dxa"/>
            <w:noWrap w:val="0"/>
            <w:vAlign w:val="center"/>
          </w:tcPr>
          <w:p w14:paraId="42F37C0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32.1</w:t>
            </w:r>
          </w:p>
        </w:tc>
        <w:tc>
          <w:tcPr>
            <w:tcW w:w="7912" w:type="dxa"/>
            <w:noWrap w:val="0"/>
            <w:vAlign w:val="center"/>
          </w:tcPr>
          <w:p w14:paraId="2EF72A58">
            <w:pPr>
              <w:pStyle w:val="17"/>
              <w:snapToGrid w:val="0"/>
              <w:spacing w:line="360" w:lineRule="auto"/>
              <w:rPr>
                <w:rFonts w:hAnsi="宋体" w:cs="宋体"/>
                <w:color w:val="auto"/>
                <w:sz w:val="21"/>
                <w:highlight w:val="none"/>
              </w:rPr>
            </w:pPr>
            <w:r>
              <w:rPr>
                <w:rFonts w:hint="eastAsia" w:hAnsi="宋体" w:cs="宋体"/>
                <w:color w:val="auto"/>
                <w:sz w:val="21"/>
                <w:highlight w:val="none"/>
              </w:rPr>
              <w:t>1.采购代理费支付方式：</w:t>
            </w:r>
          </w:p>
          <w:p w14:paraId="6CAE66B2">
            <w:pPr>
              <w:pStyle w:val="17"/>
              <w:snapToGrid w:val="0"/>
              <w:spacing w:line="360" w:lineRule="auto"/>
              <w:rPr>
                <w:rFonts w:hAnsi="宋体" w:cs="宋体"/>
                <w:color w:val="auto"/>
                <w:sz w:val="21"/>
                <w:highlight w:val="none"/>
              </w:rPr>
            </w:pPr>
            <w:r>
              <w:rPr>
                <w:rFonts w:hint="eastAsia" w:hAnsi="宋体" w:cs="宋体"/>
                <w:color w:val="auto"/>
                <w:sz w:val="21"/>
                <w:highlight w:val="none"/>
              </w:rPr>
              <w:t>☑本项目代理服务费按如下规定由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14:paraId="7F979805">
            <w:pPr>
              <w:pStyle w:val="17"/>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374B039B">
            <w:pPr>
              <w:pStyle w:val="17"/>
              <w:snapToGrid w:val="0"/>
              <w:spacing w:line="360" w:lineRule="auto"/>
              <w:rPr>
                <w:rFonts w:hAnsi="宋体" w:cs="宋体"/>
                <w:color w:val="auto"/>
                <w:sz w:val="21"/>
                <w:highlight w:val="none"/>
              </w:rPr>
            </w:pPr>
            <w:r>
              <w:rPr>
                <w:rFonts w:hint="eastAsia" w:hAnsi="宋体" w:cs="宋体"/>
                <w:color w:val="auto"/>
                <w:sz w:val="21"/>
                <w:highlight w:val="none"/>
              </w:rPr>
              <w:t>2.采购代理费收取标准：</w:t>
            </w:r>
          </w:p>
          <w:p w14:paraId="572BA7C5">
            <w:pPr>
              <w:pStyle w:val="17"/>
              <w:snapToGrid w:val="0"/>
              <w:spacing w:line="360" w:lineRule="auto"/>
              <w:rPr>
                <w:rFonts w:hAnsi="宋体" w:cs="宋体"/>
                <w:color w:val="auto"/>
                <w:sz w:val="21"/>
                <w:highlight w:val="none"/>
              </w:rPr>
            </w:pPr>
            <w:bookmarkStart w:id="85" w:name="OLE_LINK5"/>
            <w:r>
              <w:rPr>
                <w:rFonts w:hint="eastAsia" w:hAnsi="宋体" w:cs="宋体"/>
                <w:color w:val="auto"/>
                <w:sz w:val="21"/>
                <w:highlight w:val="none"/>
              </w:rPr>
              <w:t>☑以分标（☑成交金额/</w:t>
            </w:r>
            <w:bookmarkStart w:id="86" w:name="OLE_LINK17"/>
            <w:r>
              <w:rPr>
                <w:rFonts w:hint="eastAsia" w:hAnsi="宋体" w:cs="宋体"/>
                <w:color w:val="auto"/>
                <w:sz w:val="21"/>
                <w:highlight w:val="none"/>
              </w:rPr>
              <w:t>□</w:t>
            </w:r>
            <w:bookmarkEnd w:id="86"/>
            <w:r>
              <w:rPr>
                <w:rFonts w:hint="eastAsia" w:hAnsi="宋体" w:cs="宋体"/>
                <w:color w:val="auto"/>
                <w:sz w:val="21"/>
                <w:highlight w:val="none"/>
              </w:rPr>
              <w:t>采购预算/□暂定成交金额/□其他）为计费额，按本须知正文第35.1条规定的（☑货物类/□服务类/□工程类）标准采用差额定率累进法计算出收费基准价格，采购代理收费以（□收费基准价格/☑收费基准价格下浮/□收费基准价格上浮</w:t>
            </w:r>
            <w:r>
              <w:rPr>
                <w:rFonts w:hint="eastAsia" w:hAnsi="宋体" w:cs="宋体"/>
                <w:color w:val="auto"/>
                <w:sz w:val="21"/>
                <w:highlight w:val="none"/>
                <w:u w:val="single"/>
              </w:rPr>
              <w:t>%</w:t>
            </w:r>
            <w:r>
              <w:rPr>
                <w:rFonts w:hint="eastAsia" w:hAnsi="宋体" w:cs="宋体"/>
                <w:color w:val="auto"/>
                <w:sz w:val="21"/>
                <w:highlight w:val="none"/>
              </w:rPr>
              <w:t>）收取。</w:t>
            </w:r>
          </w:p>
          <w:bookmarkEnd w:id="85"/>
          <w:p w14:paraId="1A4F5B8F">
            <w:pPr>
              <w:pStyle w:val="17"/>
              <w:snapToGrid w:val="0"/>
              <w:spacing w:line="360" w:lineRule="auto"/>
              <w:rPr>
                <w:rFonts w:hAnsi="宋体" w:cs="宋体"/>
                <w:color w:val="auto"/>
                <w:sz w:val="21"/>
                <w:highlight w:val="none"/>
                <w:u w:val="single"/>
              </w:rPr>
            </w:pPr>
            <w:r>
              <w:rPr>
                <w:rFonts w:hint="eastAsia" w:hAnsi="宋体" w:cs="宋体"/>
                <w:color w:val="auto"/>
                <w:sz w:val="21"/>
                <w:highlight w:val="none"/>
              </w:rPr>
              <w:t>□固定采购代理收费。</w:t>
            </w:r>
          </w:p>
          <w:p w14:paraId="08E46A1E">
            <w:pPr>
              <w:pStyle w:val="17"/>
              <w:snapToGrid w:val="0"/>
              <w:spacing w:line="360" w:lineRule="auto"/>
              <w:rPr>
                <w:rFonts w:hAnsi="宋体" w:cs="宋体"/>
                <w:color w:val="auto"/>
                <w:sz w:val="21"/>
                <w:highlight w:val="none"/>
              </w:rPr>
            </w:pPr>
            <w:r>
              <w:rPr>
                <w:rFonts w:hint="eastAsia" w:hAnsi="宋体" w:cs="宋体"/>
                <w:color w:val="auto"/>
                <w:sz w:val="21"/>
                <w:highlight w:val="none"/>
              </w:rPr>
              <w:t>3. 采购代理费收取银行账户</w:t>
            </w:r>
          </w:p>
          <w:p w14:paraId="6574F193">
            <w:pPr>
              <w:pStyle w:val="17"/>
              <w:snapToGrid w:val="0"/>
              <w:spacing w:line="360" w:lineRule="auto"/>
              <w:rPr>
                <w:rFonts w:hAnsi="宋体" w:cs="宋体"/>
                <w:color w:val="auto"/>
                <w:sz w:val="21"/>
                <w:highlight w:val="none"/>
              </w:rPr>
            </w:pPr>
            <w:r>
              <w:rPr>
                <w:rFonts w:hint="eastAsia" w:hAnsi="宋体" w:cs="宋体"/>
                <w:color w:val="auto"/>
                <w:sz w:val="21"/>
                <w:highlight w:val="none"/>
              </w:rPr>
              <w:t>开户名称：广西同泽工程项目管理股份有限公司南宁第八分公司</w:t>
            </w:r>
          </w:p>
          <w:p w14:paraId="082D5080">
            <w:pPr>
              <w:pStyle w:val="17"/>
              <w:snapToGrid w:val="0"/>
              <w:spacing w:line="360" w:lineRule="auto"/>
              <w:rPr>
                <w:rFonts w:hAnsi="宋体" w:cs="宋体"/>
                <w:color w:val="auto"/>
                <w:sz w:val="21"/>
                <w:highlight w:val="none"/>
              </w:rPr>
            </w:pPr>
            <w:r>
              <w:rPr>
                <w:rFonts w:hint="eastAsia" w:hAnsi="宋体" w:cs="宋体"/>
                <w:color w:val="auto"/>
                <w:sz w:val="21"/>
                <w:highlight w:val="none"/>
              </w:rPr>
              <w:t>开户银行：上海浦东发展银行广西自贸试验区南宁片区支行</w:t>
            </w:r>
          </w:p>
          <w:p w14:paraId="44A7D4EE">
            <w:pPr>
              <w:rPr>
                <w:rFonts w:ascii="宋体" w:hAnsi="宋体" w:cs="宋体"/>
                <w:color w:val="auto"/>
                <w:highlight w:val="none"/>
              </w:rPr>
            </w:pPr>
            <w:r>
              <w:rPr>
                <w:rFonts w:hint="eastAsia" w:ascii="宋体" w:hAnsi="宋体" w:cs="宋体"/>
                <w:color w:val="auto"/>
                <w:highlight w:val="none"/>
              </w:rPr>
              <w:t>银行账号：63150078801600000504</w:t>
            </w:r>
          </w:p>
          <w:p w14:paraId="6A4564A1">
            <w:pPr>
              <w:pStyle w:val="17"/>
              <w:snapToGrid w:val="0"/>
              <w:spacing w:line="360" w:lineRule="auto"/>
              <w:rPr>
                <w:rFonts w:hAnsi="宋体" w:cs="宋体"/>
                <w:color w:val="auto"/>
                <w:sz w:val="21"/>
                <w:highlight w:val="none"/>
                <w:u w:val="single"/>
              </w:rPr>
            </w:pPr>
          </w:p>
        </w:tc>
      </w:tr>
      <w:tr w14:paraId="3F936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90917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33.1</w:t>
            </w:r>
          </w:p>
        </w:tc>
        <w:tc>
          <w:tcPr>
            <w:tcW w:w="7912" w:type="dxa"/>
            <w:noWrap w:val="0"/>
            <w:vAlign w:val="center"/>
          </w:tcPr>
          <w:p w14:paraId="2C4F8F10">
            <w:pPr>
              <w:pStyle w:val="17"/>
              <w:snapToGrid w:val="0"/>
              <w:spacing w:line="360" w:lineRule="auto"/>
              <w:rPr>
                <w:rFonts w:hAnsi="宋体" w:cs="宋体"/>
                <w:color w:val="auto"/>
                <w:sz w:val="21"/>
                <w:highlight w:val="none"/>
              </w:rPr>
            </w:pPr>
            <w:r>
              <w:rPr>
                <w:rFonts w:hint="eastAsia" w:hAnsi="宋体" w:cs="宋体"/>
                <w:color w:val="auto"/>
                <w:sz w:val="21"/>
                <w:highlight w:val="none"/>
              </w:rPr>
              <w:t>解释：构成本谈判文件的各个组成文件应互为解释，互为说明；除谈判文件中有特别规定外，仅适用于竞标阶段的规定，按更正公告（澄清公告）、竞争性谈判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谈判文件不一致时以更正公告（澄清公告）为准。按本款前述规定仍不能形成结论的，由采购人或者采购代理机构负责解释。</w:t>
            </w:r>
          </w:p>
        </w:tc>
      </w:tr>
      <w:tr w14:paraId="71DD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40298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33.2</w:t>
            </w:r>
          </w:p>
        </w:tc>
        <w:tc>
          <w:tcPr>
            <w:tcW w:w="7912" w:type="dxa"/>
            <w:noWrap w:val="0"/>
            <w:vAlign w:val="center"/>
          </w:tcPr>
          <w:p w14:paraId="5A0D2E08">
            <w:pPr>
              <w:pStyle w:val="17"/>
              <w:snapToGrid w:val="0"/>
              <w:spacing w:line="360" w:lineRule="auto"/>
              <w:rPr>
                <w:rFonts w:hAnsi="宋体" w:cs="宋体"/>
                <w:color w:val="auto"/>
                <w:sz w:val="21"/>
                <w:highlight w:val="none"/>
              </w:rPr>
            </w:pPr>
            <w:r>
              <w:rPr>
                <w:rFonts w:hint="eastAsia" w:hAnsi="宋体" w:cs="宋体"/>
                <w:color w:val="auto"/>
                <w:sz w:val="21"/>
                <w:highlight w:val="none"/>
              </w:rPr>
              <w:t>1.本谈判文件中描述供应商的“公章”是指根据我国对公章的管理规定，用供应商法定主体行为名称制作的印章，除本谈判文件有特殊规定外，供应商的财务章、部门章、分公司章、工会章、合同章、竞标专用章、业务专用章及银行的转账章、现金收讫章、现金付讫章等其他形式印章均不能代替公章。</w:t>
            </w:r>
          </w:p>
          <w:p w14:paraId="284FC43C">
            <w:pPr>
              <w:pStyle w:val="17"/>
              <w:snapToGrid w:val="0"/>
              <w:spacing w:line="360" w:lineRule="auto"/>
              <w:rPr>
                <w:rFonts w:hAnsi="宋体" w:cs="宋体"/>
                <w:color w:val="auto"/>
                <w:sz w:val="21"/>
                <w:highlight w:val="none"/>
              </w:rPr>
            </w:pPr>
            <w:r>
              <w:rPr>
                <w:rFonts w:hint="eastAsia" w:hAnsi="宋体" w:cs="宋体"/>
                <w:color w:val="auto"/>
                <w:sz w:val="21"/>
                <w:highlight w:val="none"/>
              </w:rPr>
              <w:t>2.本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419FB0C">
            <w:pPr>
              <w:pStyle w:val="17"/>
              <w:snapToGrid w:val="0"/>
              <w:spacing w:line="360" w:lineRule="auto"/>
              <w:rPr>
                <w:rFonts w:hAnsi="宋体" w:cs="宋体"/>
                <w:color w:val="auto"/>
                <w:sz w:val="21"/>
                <w:highlight w:val="none"/>
              </w:rPr>
            </w:pPr>
            <w:r>
              <w:rPr>
                <w:rFonts w:hint="eastAsia" w:hAnsi="宋体" w:cs="宋体"/>
                <w:color w:val="auto"/>
                <w:sz w:val="21"/>
                <w:highlight w:val="none"/>
              </w:rPr>
              <w:t>3.供应商为其他组织或者自然人时，本谈判文件规定的法定代表人指负责人或者自然人。本谈判文件所称负责人是指参加竞标的其他组织营业执照或者执业许可证等证照上的负责人，本谈判文件所称自然人指参与竞标的自然人本人，且应具备独立承担民事责任能力，自然人应当为年满18岁以上成年人（十六周岁以上的未成年人，以自己的劳动收入为主要生活来源的，视为完全民事行为能力人）。</w:t>
            </w:r>
          </w:p>
          <w:p w14:paraId="02292605">
            <w:pPr>
              <w:pStyle w:val="17"/>
              <w:snapToGrid w:val="0"/>
              <w:spacing w:line="360" w:lineRule="auto"/>
              <w:rPr>
                <w:rFonts w:hAnsi="宋体" w:cs="宋体"/>
                <w:color w:val="auto"/>
                <w:sz w:val="21"/>
                <w:highlight w:val="none"/>
              </w:rPr>
            </w:pPr>
            <w:r>
              <w:rPr>
                <w:rFonts w:hint="eastAsia" w:hAnsi="宋体" w:cs="宋体"/>
                <w:color w:val="auto"/>
                <w:sz w:val="21"/>
                <w:highlight w:val="none"/>
              </w:rPr>
              <w:t>4.本谈判文件中描述供应商的“签字”是指供应商的法定代表人或者委托代理人亲自在文件规定签署处亲笔写上个人的名字的行为，私章、签字章、印鉴、影印等其他形式均不能代替亲笔签字。</w:t>
            </w:r>
          </w:p>
          <w:p w14:paraId="3CCE23C2">
            <w:pPr>
              <w:pStyle w:val="17"/>
              <w:snapToGrid w:val="0"/>
              <w:spacing w:line="360" w:lineRule="auto"/>
              <w:rPr>
                <w:rFonts w:hAnsi="宋体" w:cs="宋体"/>
                <w:color w:val="auto"/>
                <w:sz w:val="21"/>
                <w:highlight w:val="none"/>
              </w:rPr>
            </w:pPr>
            <w:r>
              <w:rPr>
                <w:rFonts w:hint="eastAsia" w:hAnsi="宋体" w:cs="宋体"/>
                <w:color w:val="auto"/>
                <w:sz w:val="21"/>
                <w:highlight w:val="none"/>
              </w:rPr>
              <w:t>5.本谈判文件所称的“以上”“以下”“以内”“届满”，包括本数；所称的“不满”“超过”“以外”，不包括本数。</w:t>
            </w:r>
          </w:p>
        </w:tc>
      </w:tr>
      <w:tr w14:paraId="6E8A1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94466E1">
            <w:pPr>
              <w:spacing w:line="360" w:lineRule="auto"/>
              <w:jc w:val="center"/>
              <w:rPr>
                <w:rFonts w:ascii="宋体" w:hAnsi="宋体" w:cs="宋体"/>
                <w:color w:val="auto"/>
                <w:szCs w:val="21"/>
                <w:highlight w:val="none"/>
              </w:rPr>
            </w:pPr>
          </w:p>
        </w:tc>
        <w:tc>
          <w:tcPr>
            <w:tcW w:w="7912" w:type="dxa"/>
            <w:noWrap w:val="0"/>
            <w:vAlign w:val="center"/>
          </w:tcPr>
          <w:p w14:paraId="27265EF2">
            <w:pPr>
              <w:spacing w:line="360" w:lineRule="auto"/>
              <w:jc w:val="left"/>
              <w:rPr>
                <w:rFonts w:ascii="宋体" w:hAnsi="宋体" w:cs="宋体"/>
                <w:bCs/>
                <w:color w:val="auto"/>
                <w:highlight w:val="none"/>
              </w:rPr>
            </w:pPr>
            <w:r>
              <w:rPr>
                <w:rFonts w:hint="eastAsia" w:ascii="宋体" w:hAnsi="宋体" w:cs="宋体"/>
                <w:bCs/>
                <w:color w:val="auto"/>
                <w:highlight w:val="none"/>
              </w:rPr>
              <w:t>特别说明：因项目存档需要，须按以下要求提供纸质投标响应文件：</w:t>
            </w:r>
          </w:p>
          <w:p w14:paraId="17CEEEA2">
            <w:pPr>
              <w:pStyle w:val="17"/>
              <w:snapToGrid w:val="0"/>
              <w:spacing w:line="360" w:lineRule="auto"/>
              <w:rPr>
                <w:rFonts w:hAnsi="宋体" w:cs="宋体"/>
                <w:color w:val="auto"/>
                <w:sz w:val="21"/>
                <w:highlight w:val="none"/>
              </w:rPr>
            </w:pPr>
            <w:r>
              <w:rPr>
                <w:rFonts w:hint="eastAsia" w:hAnsi="宋体" w:cs="宋体"/>
                <w:color w:val="auto"/>
                <w:sz w:val="21"/>
                <w:highlight w:val="none"/>
              </w:rPr>
              <w:t>中标（成交）供应商在中标（成交）通知书发出后5天内须提交3套纸质版投标响应文件（含报价文件、资格证明文件、商务文件、技术文件。按要求加盖公章）给招标代理机构，一正二副。提交的纸质版响应文件文本必须与其上传系统的电子响应文件内容一致，不允许有篡改。如项目验收时因所提供的纸质响应文件与评标的响应文件不一致造成纠纷时，所有责任由中标（成交）人承担。</w:t>
            </w:r>
          </w:p>
        </w:tc>
      </w:tr>
    </w:tbl>
    <w:p w14:paraId="19BD2D7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供应商须知正文</w:t>
      </w:r>
    </w:p>
    <w:p w14:paraId="6AC8CB77">
      <w:pPr>
        <w:spacing w:line="400" w:lineRule="exact"/>
        <w:jc w:val="center"/>
        <w:rPr>
          <w:rFonts w:ascii="宋体" w:hAnsi="宋体" w:cs="宋体"/>
          <w:b/>
          <w:color w:val="auto"/>
          <w:sz w:val="32"/>
          <w:szCs w:val="32"/>
          <w:highlight w:val="none"/>
        </w:rPr>
      </w:pPr>
    </w:p>
    <w:p w14:paraId="3BC4CE40">
      <w:pPr>
        <w:spacing w:line="40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一、总则</w:t>
      </w:r>
    </w:p>
    <w:p w14:paraId="34CB99ED">
      <w:pPr>
        <w:spacing w:line="400" w:lineRule="exact"/>
        <w:rPr>
          <w:rFonts w:ascii="宋体" w:hAnsi="宋体" w:cs="宋体"/>
          <w:color w:val="auto"/>
          <w:szCs w:val="21"/>
          <w:highlight w:val="none"/>
        </w:rPr>
      </w:pPr>
    </w:p>
    <w:p w14:paraId="5158BCB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适用范围</w:t>
      </w:r>
    </w:p>
    <w:p w14:paraId="0BD77F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14:paraId="46F9C2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本竞争性谈判文件（以下简称谈判文件）适用于本项目的所有采购程序和环节（法律、法规另有规定的，从其规定）。</w:t>
      </w:r>
    </w:p>
    <w:p w14:paraId="2A26349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 定义</w:t>
      </w:r>
    </w:p>
    <w:p w14:paraId="27D17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2.1“采购人”是指依法进行采购的国家机关、事业单位、团体组织。</w:t>
      </w:r>
    </w:p>
    <w:p w14:paraId="200D4306">
      <w:pP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2.2“采购代理机构”</w:t>
      </w:r>
      <w:r>
        <w:rPr>
          <w:rFonts w:hint="eastAsia" w:ascii="宋体" w:hAnsi="宋体" w:cs="宋体"/>
          <w:b/>
          <w:color w:val="auto"/>
          <w:szCs w:val="21"/>
          <w:highlight w:val="none"/>
        </w:rPr>
        <w:t>是指政府采购集中采购机构和集中采购机构以外的采购代理机构。</w:t>
      </w:r>
    </w:p>
    <w:p w14:paraId="4E1624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C6857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2.4“货物”是指各种形态和种类的物品，包括原材料、燃料、设备、产品等。</w:t>
      </w:r>
    </w:p>
    <w:p w14:paraId="36582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2.5“竞标”是指按照本项目竞争性谈判公告或者邀请函规定的方式供应商获取谈判文件、提交响应文件并希望获得标的的行为。</w:t>
      </w:r>
    </w:p>
    <w:p w14:paraId="6E8698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2.6“售后服务”是指包含但不限于供应商须承担的备品备件、包装、运输、装卸、保险、货到就位以及安装、调试、培训、保修和其他类似的义务。</w:t>
      </w:r>
    </w:p>
    <w:p w14:paraId="3E6E31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2.7“书面形式”是指合同书、信件和数据电文（包括电报、电传、传真、电子数据交换和电子邮件）等可以有形地表现所载内容的形式。</w:t>
      </w:r>
    </w:p>
    <w:p w14:paraId="43B810A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2.8“响应文件”</w:t>
      </w:r>
      <w:r>
        <w:rPr>
          <w:rFonts w:hint="eastAsia" w:ascii="宋体" w:hAnsi="宋体" w:cs="宋体"/>
          <w:color w:val="auto"/>
          <w:spacing w:val="-6"/>
          <w:szCs w:val="21"/>
          <w:highlight w:val="none"/>
        </w:rPr>
        <w:t>是指：供应商根据本谈判文件要求，编制包含资格证明、报价、商务技术等所有内容的文件。</w:t>
      </w:r>
    </w:p>
    <w:p w14:paraId="6DF4F44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 “实质性要求”是指采购需求中带“▲”的条款或者不能负偏离的条款或者已经指明不满足按响应文件按无效处理的条款。</w:t>
      </w:r>
    </w:p>
    <w:p w14:paraId="314DBA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2.10“正偏离”，是指响应文件对谈判文件“采购需求”中有关条款作出优于条款要求并有利于采购人的响应情形；</w:t>
      </w:r>
    </w:p>
    <w:p w14:paraId="3EA896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2.11“负偏离”，是指响应文件对谈判文件“采购需求”中有关条款作出的响应不满足条款要求，导致采购人要求不能得到满足的情形。</w:t>
      </w:r>
    </w:p>
    <w:p w14:paraId="2FF699F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2.12“允许负偏离的条款”是指采购需求中的不属于“实质性要求”的条款。</w:t>
      </w:r>
    </w:p>
    <w:p w14:paraId="4594F4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2.13“首次报价”是指供应商提交的首次响应文件中的竞标报价。</w:t>
      </w:r>
    </w:p>
    <w:p w14:paraId="2E9FA2B5">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 供应商的资格条件</w:t>
      </w:r>
    </w:p>
    <w:p w14:paraId="44502432">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1A75379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 竞标费用</w:t>
      </w:r>
    </w:p>
    <w:p w14:paraId="6C90BF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竞标费用：供应商应承担参与本次采购活动有关的所有费用，包括但不限于获取谈判文件、勘查现场、编制和提交响应文件、参加谈判与应答、签订合同等，不论竞标结果如何，均应自行承担。</w:t>
      </w:r>
    </w:p>
    <w:p w14:paraId="4ED4E2C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04944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3682C8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bCs/>
          <w:color w:val="auto"/>
          <w:szCs w:val="21"/>
          <w:highlight w:val="none"/>
        </w:rPr>
        <w:t>如接受联合体竞标，</w:t>
      </w:r>
      <w:r>
        <w:rPr>
          <w:rFonts w:hint="eastAsia" w:ascii="宋体" w:hAnsi="宋体" w:cs="宋体"/>
          <w:color w:val="auto"/>
          <w:szCs w:val="21"/>
          <w:highlight w:val="none"/>
        </w:rPr>
        <w:t>联合体竞标要求详见“供应商须知前附表”。</w:t>
      </w:r>
    </w:p>
    <w:p w14:paraId="03D62284">
      <w:pPr>
        <w:spacing w:line="360" w:lineRule="auto"/>
        <w:ind w:firstLine="420" w:firstLineChars="200"/>
        <w:rPr>
          <w:rFonts w:ascii="宋体" w:hAnsi="宋体" w:cs="宋体"/>
          <w:color w:val="auto"/>
          <w:szCs w:val="21"/>
          <w:highlight w:val="none"/>
        </w:rPr>
      </w:pPr>
      <w:bookmarkStart w:id="87" w:name="_Hlk66782192"/>
      <w:r>
        <w:rPr>
          <w:rFonts w:hint="eastAsia" w:ascii="宋体" w:hAnsi="宋体" w:cs="宋体"/>
          <w:color w:val="auto"/>
          <w:szCs w:val="21"/>
          <w:highlight w:val="none"/>
        </w:rPr>
        <w:t>5.3根据《政府采购促进中小企业发展管理办法》（财库〔2020〕46号）及《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bookmarkEnd w:id="87"/>
    </w:p>
    <w:p w14:paraId="0B6E4420">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6.转包与分包</w:t>
      </w:r>
    </w:p>
    <w:p w14:paraId="30CDE895">
      <w:pPr>
        <w:spacing w:line="360" w:lineRule="auto"/>
        <w:ind w:firstLine="420" w:firstLineChars="200"/>
        <w:rPr>
          <w:rFonts w:ascii="宋体" w:hAnsi="宋体" w:cs="宋体"/>
          <w:color w:val="auto"/>
          <w:szCs w:val="21"/>
          <w:highlight w:val="none"/>
        </w:rPr>
      </w:pPr>
      <w:bookmarkStart w:id="88" w:name="_Toc254970532"/>
      <w:bookmarkStart w:id="89" w:name="_Toc254970673"/>
      <w:r>
        <w:rPr>
          <w:rFonts w:hint="eastAsia" w:ascii="宋体" w:hAnsi="宋体" w:cs="宋体"/>
          <w:color w:val="auto"/>
          <w:szCs w:val="21"/>
          <w:highlight w:val="none"/>
        </w:rPr>
        <w:t>6.1本项目不允许转包。</w:t>
      </w:r>
    </w:p>
    <w:p w14:paraId="786B027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6650C2C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 6.3供应商根据谈判文件的规定和采购项目的实际情况，拟在成交后将成交项目的非主体、非关键性工作分包的，应当在响应文件中载明分包承担主体，分包承担主体应当具备相应资质条件且不得再次分包。</w:t>
      </w:r>
    </w:p>
    <w:p w14:paraId="2BF34E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7.特别说明</w:t>
      </w:r>
      <w:bookmarkEnd w:id="88"/>
      <w:bookmarkEnd w:id="89"/>
    </w:p>
    <w:p w14:paraId="2782DA10">
      <w:pPr>
        <w:spacing w:line="360" w:lineRule="auto"/>
        <w:ind w:firstLine="420" w:firstLineChars="200"/>
        <w:rPr>
          <w:rFonts w:ascii="宋体" w:hAnsi="宋体" w:cs="宋体"/>
          <w:color w:val="auto"/>
          <w:szCs w:val="21"/>
          <w:highlight w:val="none"/>
        </w:rPr>
      </w:pPr>
      <w:bookmarkStart w:id="90" w:name="_8.1提供相同品牌产品且通过资格审查、符合性审查的不同投标人参加同一合"/>
      <w:bookmarkEnd w:id="90"/>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HYPERLINK  \l "_8.1"</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7.1</w:t>
      </w:r>
      <w:r>
        <w:rPr>
          <w:rFonts w:hint="eastAsia" w:ascii="宋体" w:hAnsi="宋体" w:cs="宋体"/>
          <w:color w:val="auto"/>
          <w:szCs w:val="21"/>
          <w:highlight w:val="none"/>
        </w:rPr>
        <w:fldChar w:fldCharType="end"/>
      </w:r>
      <w:r>
        <w:rPr>
          <w:rFonts w:hint="eastAsia" w:ascii="宋体" w:hAnsi="宋体" w:cs="宋体"/>
          <w:color w:val="auto"/>
          <w:szCs w:val="21"/>
          <w:highlight w:val="none"/>
        </w:rPr>
        <w:t>提供相同品牌产品的不同供应商参加同一合同项下竞标的，以其中通过资格审查、符合性审查、谈判且最后报价最低的参加报价评审；最后报价相同的，由采购人或者采购人委托谈判小组按照“供应商须知前附表”规定的方式确定一个供应商获得成交人推荐资格，其他响应文件按无效处理。</w:t>
      </w:r>
    </w:p>
    <w:p w14:paraId="1719E8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非单一产品采购项目，多家供应商提供的核心产品品牌相同的，按前款规定处理。</w:t>
      </w:r>
    </w:p>
    <w:p w14:paraId="31CB08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7.2如果本谈判文件要求提供供应商或制造商的资格、信誉、荣誉、业绩与企业认证等材料的，资格、信誉、荣誉、业绩与企业认证等必须为供应商或者制造商所拥有或自身获得。</w:t>
      </w:r>
    </w:p>
    <w:p w14:paraId="1FB308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7.3供应商应仔细阅读谈判文件的所有内容，按照谈判文件的要求提交响应文件，并对所提供的全部资料的真实性承担法律责任。</w:t>
      </w:r>
    </w:p>
    <w:p w14:paraId="38816D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供应商在竞标活动中提供任何虚假材料，其响应文件按无效处理，并报监管部门查处；签订合同后发现的，成交供应商须依照《中华人民共和国消费者权益保护法》规定赔偿采购人，且民事赔偿并不免除违法供应商的行政与刑事责任。</w:t>
      </w:r>
    </w:p>
    <w:p w14:paraId="0A4B67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7.5在政府采购活动中，采购人员及相关人员与供应商有下列利害关系之一的，应当回避：</w:t>
      </w:r>
    </w:p>
    <w:p w14:paraId="3200D2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23016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104730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0ED107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28F235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01BD1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9F112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7.6有下列情形之一的视为供应商相互串通竞标，响应文件将被视为无效：</w:t>
      </w:r>
    </w:p>
    <w:p w14:paraId="272AB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（1）不同供应商的响应文件由同一单位或者个人编制；</w:t>
      </w:r>
    </w:p>
    <w:p w14:paraId="7E9667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BC0AE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7D672C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7EE390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0D8A26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（6）不同供应商的竞标保证金从同一单位或者个人账户转出。</w:t>
      </w:r>
    </w:p>
    <w:p w14:paraId="17806BE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7.7供应商有下列情形之一的，属于恶意串通行为</w:t>
      </w:r>
      <w:bookmarkStart w:id="91" w:name="_Hlk54682620"/>
      <w:r>
        <w:rPr>
          <w:rFonts w:hint="eastAsia" w:ascii="宋体" w:hAnsi="宋体" w:cs="宋体"/>
          <w:color w:val="auto"/>
          <w:szCs w:val="21"/>
          <w:highlight w:val="none"/>
        </w:rPr>
        <w:t>，将报同级监督管理部门</w:t>
      </w:r>
      <w:bookmarkEnd w:id="91"/>
      <w:r>
        <w:rPr>
          <w:rFonts w:hint="eastAsia" w:ascii="宋体" w:hAnsi="宋体" w:cs="宋体"/>
          <w:color w:val="auto"/>
          <w:szCs w:val="21"/>
          <w:highlight w:val="none"/>
        </w:rPr>
        <w:t>：</w:t>
      </w:r>
    </w:p>
    <w:p w14:paraId="2F3A32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2678A7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0EB438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183CCD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3081B6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1D82B6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00D825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65185CDB">
      <w:pPr>
        <w:spacing w:line="360" w:lineRule="auto"/>
        <w:ind w:left="1" w:firstLine="417" w:firstLineChars="199"/>
        <w:jc w:val="center"/>
        <w:rPr>
          <w:rFonts w:ascii="宋体" w:hAnsi="宋体" w:cs="宋体"/>
          <w:color w:val="auto"/>
          <w:highlight w:val="none"/>
        </w:rPr>
      </w:pPr>
      <w:bookmarkStart w:id="92" w:name="_Toc254970675"/>
      <w:bookmarkStart w:id="93" w:name="_Toc254970534"/>
    </w:p>
    <w:p w14:paraId="629960D9">
      <w:pPr>
        <w:spacing w:line="360" w:lineRule="auto"/>
        <w:jc w:val="center"/>
        <w:rPr>
          <w:rFonts w:ascii="宋体" w:hAnsi="宋体" w:cs="宋体"/>
          <w:b/>
          <w:color w:val="auto"/>
          <w:sz w:val="32"/>
          <w:szCs w:val="32"/>
          <w:highlight w:val="none"/>
        </w:rPr>
      </w:pPr>
    </w:p>
    <w:p w14:paraId="17BAFE1D">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二、谈判文件</w:t>
      </w:r>
      <w:bookmarkEnd w:id="92"/>
      <w:bookmarkEnd w:id="93"/>
    </w:p>
    <w:p w14:paraId="731A7F80">
      <w:pPr>
        <w:spacing w:line="360" w:lineRule="auto"/>
        <w:jc w:val="center"/>
        <w:rPr>
          <w:rFonts w:ascii="宋体" w:hAnsi="宋体" w:cs="宋体"/>
          <w:color w:val="auto"/>
          <w:szCs w:val="21"/>
          <w:highlight w:val="none"/>
        </w:rPr>
      </w:pPr>
    </w:p>
    <w:p w14:paraId="41B7F0B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8.谈判文件的构成</w:t>
      </w:r>
    </w:p>
    <w:p w14:paraId="0443D60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（1）竞争性谈判公告；</w:t>
      </w:r>
    </w:p>
    <w:p w14:paraId="623129DE">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（2）供应商须知；</w:t>
      </w:r>
    </w:p>
    <w:p w14:paraId="13A02DB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（3）采购需求；</w:t>
      </w:r>
    </w:p>
    <w:p w14:paraId="4586196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（4）响应文件格式</w:t>
      </w:r>
    </w:p>
    <w:p w14:paraId="31FB4E7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（5）合同文本；</w:t>
      </w:r>
    </w:p>
    <w:p w14:paraId="499F4D9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（6）评审程序和评定成交的标准；</w:t>
      </w:r>
    </w:p>
    <w:p w14:paraId="1AA1CCC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48BCA7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供应商应认真阅读谈判文件的采购需求，如供应商对谈判文件有疑问的，如要求采购人作出澄清或者修改的，供应商尽可能在提交首次响应文件截止之日前，以书面形式向采购人、采购代理机构提出。</w:t>
      </w:r>
    </w:p>
    <w:p w14:paraId="62E549C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10.谈判文件的澄清和修改</w:t>
      </w:r>
    </w:p>
    <w:p w14:paraId="7685B9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应当在提交首次响应文件截止之日3个工作日前，以书面形式通知所有接收谈判文件的供应商，不足3个工作日的，应当顺延提交首次响应文件截止之日。</w:t>
      </w:r>
    </w:p>
    <w:p w14:paraId="64FFFBF5">
      <w:pPr>
        <w:spacing w:line="360" w:lineRule="auto"/>
        <w:rPr>
          <w:rFonts w:ascii="宋体" w:hAnsi="宋体" w:cs="宋体"/>
          <w:color w:val="auto"/>
          <w:szCs w:val="21"/>
          <w:highlight w:val="none"/>
        </w:rPr>
      </w:pPr>
    </w:p>
    <w:p w14:paraId="4E0AFFB1">
      <w:pPr>
        <w:spacing w:line="360" w:lineRule="auto"/>
        <w:jc w:val="center"/>
        <w:rPr>
          <w:rFonts w:ascii="宋体" w:hAnsi="宋体" w:cs="宋体"/>
          <w:b/>
          <w:color w:val="auto"/>
          <w:szCs w:val="21"/>
          <w:highlight w:val="none"/>
        </w:rPr>
      </w:pPr>
      <w:r>
        <w:rPr>
          <w:rFonts w:hint="eastAsia" w:ascii="宋体" w:hAnsi="宋体" w:cs="宋体"/>
          <w:b/>
          <w:color w:val="auto"/>
          <w:sz w:val="32"/>
          <w:szCs w:val="32"/>
          <w:highlight w:val="none"/>
        </w:rPr>
        <w:t>三、响应文件的编制</w:t>
      </w:r>
    </w:p>
    <w:p w14:paraId="5F46D765">
      <w:pPr>
        <w:spacing w:line="360" w:lineRule="auto"/>
        <w:rPr>
          <w:rFonts w:ascii="宋体" w:hAnsi="宋体" w:cs="宋体"/>
          <w:color w:val="auto"/>
          <w:szCs w:val="21"/>
          <w:highlight w:val="none"/>
        </w:rPr>
      </w:pPr>
    </w:p>
    <w:p w14:paraId="598CDCC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2AECCE0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供应商必须按照谈判文件的要求编制响应文件，并对其提交的响应文件的真实性、合法性承担法律责任。响应文件必须对谈判文件作出实质性响应。</w:t>
      </w:r>
    </w:p>
    <w:p w14:paraId="4418C3B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08E3E61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12.1响应文件由资格证明文件、报价文件、商务技术文件三部分组成。</w:t>
      </w:r>
    </w:p>
    <w:p w14:paraId="11E28BB0">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12.1.1资格证明文件：详见“供应商须知前附表”</w:t>
      </w:r>
    </w:p>
    <w:p w14:paraId="411660F9">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12.1.2报价文件：详见“供应商须知前附表”</w:t>
      </w:r>
    </w:p>
    <w:p w14:paraId="16ACB5AC">
      <w:pPr>
        <w:spacing w:line="360" w:lineRule="auto"/>
        <w:ind w:left="840" w:leftChars="200" w:hanging="420" w:hangingChars="200"/>
        <w:rPr>
          <w:rFonts w:ascii="宋体" w:hAnsi="宋体" w:cs="宋体"/>
          <w:color w:val="auto"/>
          <w:szCs w:val="21"/>
          <w:highlight w:val="none"/>
        </w:rPr>
      </w:pPr>
      <w:r>
        <w:rPr>
          <w:rFonts w:hint="eastAsia" w:ascii="宋体" w:hAnsi="宋体" w:cs="宋体"/>
          <w:color w:val="auto"/>
          <w:szCs w:val="21"/>
          <w:highlight w:val="none"/>
        </w:rPr>
        <w:t>12.1.3商务技术文件：详见“供应商须知前附表”</w:t>
      </w:r>
    </w:p>
    <w:p w14:paraId="6D9F021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12E885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谈判文件已有明确规定的，使用谈判文件规定的计量单位；谈判文件没有规定的，应采用中华人民共和国法定计量单位，货币种类为人民币，否则视同未响应。</w:t>
      </w:r>
    </w:p>
    <w:p w14:paraId="4CC406E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4CB67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供应商没有按照谈判文件要求提供全部资料，或者供应商没有对谈判文件在各方面作出实质性响应可能导致其响应文件按无效处理，是供应商应当考虑的风险。</w:t>
      </w:r>
    </w:p>
    <w:p w14:paraId="7D8A42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15.竞标报价</w:t>
      </w:r>
    </w:p>
    <w:p w14:paraId="37AE46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15.1竞标报价应按谈判文件中“竞标报价表”格式填写。</w:t>
      </w:r>
    </w:p>
    <w:p w14:paraId="3FA16547">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15.2竞标报价的内容详见“供应商须知前附表”。</w:t>
      </w:r>
    </w:p>
    <w:p w14:paraId="2275B9BB">
      <w:pPr>
        <w:spacing w:line="360" w:lineRule="auto"/>
        <w:ind w:left="426" w:leftChars="203"/>
        <w:rPr>
          <w:rFonts w:ascii="宋体" w:hAnsi="宋体" w:cs="宋体"/>
          <w:color w:val="auto"/>
          <w:szCs w:val="21"/>
          <w:highlight w:val="none"/>
        </w:rPr>
      </w:pPr>
      <w:r>
        <w:rPr>
          <w:rFonts w:hint="eastAsia" w:ascii="宋体" w:hAnsi="宋体" w:cs="宋体"/>
          <w:color w:val="auto"/>
          <w:szCs w:val="21"/>
          <w:highlight w:val="none"/>
        </w:rPr>
        <w:t>15.3竞标报价要求</w:t>
      </w:r>
    </w:p>
    <w:p w14:paraId="3D3916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15.3.1供应商的竞标报价应符合以下要求，否则响应文件按无效响应处理：</w:t>
      </w:r>
    </w:p>
    <w:p w14:paraId="7BC74DAF">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w:t>
      </w:r>
    </w:p>
    <w:p w14:paraId="08A7E9AF">
      <w:pPr>
        <w:spacing w:line="360" w:lineRule="auto"/>
        <w:rPr>
          <w:rFonts w:ascii="宋体" w:hAnsi="宋体" w:cs="宋体"/>
          <w:color w:val="auto"/>
          <w:szCs w:val="21"/>
          <w:highlight w:val="none"/>
        </w:rPr>
      </w:pPr>
      <w:r>
        <w:rPr>
          <w:rFonts w:hint="eastAsia" w:ascii="宋体" w:hAnsi="宋体" w:cs="宋体"/>
          <w:color w:val="auto"/>
          <w:szCs w:val="21"/>
          <w:highlight w:val="none"/>
        </w:rPr>
        <w:t>不得存在漏项报价；</w:t>
      </w:r>
    </w:p>
    <w:p w14:paraId="49E3F2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57A1F0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15.3.2竞标报价（包含首次报价、最后报价）超过所竞标分标规定的采购预算金额或者最高限价的，其响应文件将按无效处理。</w:t>
      </w:r>
    </w:p>
    <w:p w14:paraId="5C4911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15.3.3竞标报价（包含首次报价、最后报价）超过分项采购预算金额或者最高限价的，其响应文件将按无效处理。</w:t>
      </w:r>
    </w:p>
    <w:p w14:paraId="06EF31F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35984D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AD4BA5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竞标有效期应由供应商按“供应商须知前附表”规定的期限作出响应。承诺的竞标有效期低于采购文件规定期限的，供应商的响应文件作无效处理。</w:t>
      </w:r>
    </w:p>
    <w:p w14:paraId="29C644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781070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17.竞标保证金</w:t>
      </w:r>
    </w:p>
    <w:p w14:paraId="58B4253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17.1供应商须按“供应商须知前附表”的规定提交竞标保证金。</w:t>
      </w:r>
    </w:p>
    <w:p w14:paraId="6104353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17.2竞标保证金的退还</w:t>
      </w:r>
    </w:p>
    <w:p w14:paraId="31E4907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未成交供应商的竞标保证金自成交通知书发出之日起5个工作日内退还；成交供应商的竞标保证金自签订合同之日起5个工作日内退还。 </w:t>
      </w:r>
    </w:p>
    <w:p w14:paraId="7B95301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17.3竞标保证金不计息。</w:t>
      </w:r>
    </w:p>
    <w:p w14:paraId="02087DAD">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17.4供应商有下列情形之一的，竞标保证金将不予退还： </w:t>
      </w:r>
    </w:p>
    <w:p w14:paraId="4A1359E3">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111CAC8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（2）未按规定提交履约保证金的；</w:t>
      </w:r>
    </w:p>
    <w:p w14:paraId="3AF7B462">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（3）供应商在响应文件中提供虚假材料的；</w:t>
      </w:r>
    </w:p>
    <w:p w14:paraId="5201DD4A">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（4）除因不可抗力或者谈判文件认可的情形以外，成交供应商不与采购人签订合同的；</w:t>
      </w:r>
    </w:p>
    <w:p w14:paraId="758950B5">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（5）供应商与采购人、其他供应商或者采购代理机构恶意串通的；</w:t>
      </w:r>
    </w:p>
    <w:p w14:paraId="63B17EB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（6）法律法规规定的其他情形。</w:t>
      </w:r>
    </w:p>
    <w:p w14:paraId="3CB1801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 响应文件编制的要求</w:t>
      </w:r>
    </w:p>
    <w:p w14:paraId="0E3898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供应商应按照本项目谈判文件规定的格式和顺序和广西政府采购云平台的要求编制并加密。响应文件内容不完整、编排混乱导致响应文件被误读、漏读或者查找不到相关内容的，由此引发的后果由供应商承担。</w:t>
      </w:r>
    </w:p>
    <w:p w14:paraId="3F189E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18.2为确保网上操作合法、有效和安全，供应商应当在提交响应文件截止时间前完成在广西政府采购云平台的身份认证，确保在电子竞标过程中能够对相关数据电文进行加密和使用电子签章。</w:t>
      </w:r>
    </w:p>
    <w:p w14:paraId="0EB8CF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18.3响应文件须由供应商在规定位置签字、盖章（具体以供应商须知前附表或响应文件格式规定为准），否则按无效响应处理。</w:t>
      </w:r>
    </w:p>
    <w:p w14:paraId="2B1886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523531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4DECFB29">
      <w:pPr>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19.电子</w:t>
      </w:r>
      <w:r>
        <w:rPr>
          <w:rFonts w:hint="eastAsia" w:ascii="宋体" w:hAnsi="宋体" w:cs="宋体"/>
          <w:b/>
          <w:color w:val="auto"/>
          <w:sz w:val="24"/>
          <w:highlight w:val="none"/>
        </w:rPr>
        <w:t>备份响应文件</w:t>
      </w:r>
    </w:p>
    <w:p w14:paraId="13C37D29">
      <w:pPr>
        <w:spacing w:line="360" w:lineRule="auto"/>
        <w:ind w:firstLine="420" w:firstLineChars="200"/>
        <w:rPr>
          <w:rFonts w:ascii="宋体" w:hAnsi="宋体" w:cs="宋体"/>
          <w:color w:val="auto"/>
          <w:sz w:val="24"/>
          <w:highlight w:val="none"/>
        </w:rPr>
      </w:pPr>
      <w:r>
        <w:rPr>
          <w:rFonts w:hint="eastAsia" w:ascii="宋体" w:hAnsi="宋体" w:cs="宋体"/>
          <w:color w:val="auto"/>
          <w:highlight w:val="none"/>
        </w:rPr>
        <w:t>电子备份响应文件是指通过在线编制生成且后缀名为“bfbs”的文件，是否接受电子备份响应文件详见</w:t>
      </w:r>
      <w:r>
        <w:rPr>
          <w:rFonts w:hint="eastAsia" w:ascii="宋体" w:hAnsi="宋体" w:cs="宋体"/>
          <w:bCs/>
          <w:color w:val="auto"/>
          <w:szCs w:val="21"/>
          <w:highlight w:val="none"/>
        </w:rPr>
        <w:t>“供应商须知前附表”。</w:t>
      </w:r>
    </w:p>
    <w:p w14:paraId="6734C1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4B62DC59">
      <w:pPr>
        <w:spacing w:line="360" w:lineRule="auto"/>
        <w:ind w:firstLine="420" w:firstLineChars="200"/>
        <w:rPr>
          <w:rFonts w:ascii="宋体" w:hAnsi="宋体" w:cs="宋体"/>
          <w:b/>
          <w:color w:val="auto"/>
          <w:highlight w:val="none"/>
        </w:rPr>
      </w:pPr>
      <w:r>
        <w:rPr>
          <w:rFonts w:hint="eastAsia" w:ascii="宋体" w:hAnsi="宋体" w:cs="宋体"/>
          <w:bCs/>
          <w:color w:val="auto"/>
          <w:szCs w:val="21"/>
          <w:highlight w:val="none"/>
        </w:rPr>
        <w:t>20.1供应商必须按“供应商须知前附表”规定的</w:t>
      </w:r>
      <w:r>
        <w:rPr>
          <w:rFonts w:hint="eastAsia" w:ascii="宋体" w:hAnsi="宋体" w:cs="宋体"/>
          <w:color w:val="auto"/>
          <w:szCs w:val="21"/>
          <w:highlight w:val="none"/>
        </w:rPr>
        <w:t>时间及</w:t>
      </w:r>
      <w:r>
        <w:rPr>
          <w:rFonts w:hint="eastAsia" w:ascii="宋体" w:hAnsi="宋体" w:cs="宋体"/>
          <w:bCs/>
          <w:color w:val="auto"/>
          <w:szCs w:val="21"/>
          <w:highlight w:val="none"/>
        </w:rPr>
        <w:t>地点提交响应文件。电子响应文件应在制作完成后，在提交响应文件截止时间前通过有效数字证书（CA认证锁）进行电子签章、加密，然后通过网络将加密的电子响应文件提交至</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 xml:space="preserve">。 </w:t>
      </w:r>
    </w:p>
    <w:p w14:paraId="61B2D585">
      <w:pPr>
        <w:spacing w:line="360" w:lineRule="auto"/>
        <w:ind w:firstLine="422" w:firstLineChars="200"/>
        <w:rPr>
          <w:rFonts w:ascii="宋体" w:hAnsi="宋体" w:cs="宋体"/>
          <w:b/>
          <w:color w:val="auto"/>
          <w:szCs w:val="20"/>
          <w:highlight w:val="none"/>
        </w:rPr>
      </w:pPr>
      <w:r>
        <w:rPr>
          <w:rFonts w:hint="eastAsia" w:ascii="宋体" w:hAnsi="宋体" w:cs="宋体"/>
          <w:b/>
          <w:color w:val="auto"/>
          <w:szCs w:val="21"/>
          <w:highlight w:val="none"/>
        </w:rPr>
        <w:t>20.2未在规定时间内提交或者未按照谈判文件要求加密的电子响应文件，广西政府采购云平台将拒收。</w:t>
      </w:r>
    </w:p>
    <w:p w14:paraId="03E545E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765ABD12">
      <w:pPr>
        <w:snapToGrid w:val="0"/>
        <w:spacing w:line="360" w:lineRule="auto"/>
        <w:ind w:firstLine="420"/>
        <w:jc w:val="left"/>
        <w:rPr>
          <w:rFonts w:ascii="宋体" w:hAnsi="宋体" w:cs="宋体"/>
          <w:color w:val="auto"/>
          <w:szCs w:val="21"/>
          <w:highlight w:val="none"/>
        </w:rPr>
      </w:pPr>
      <w:bookmarkStart w:id="94" w:name="_Toc254970543"/>
      <w:bookmarkStart w:id="95" w:name="_Toc254970684"/>
      <w:r>
        <w:rPr>
          <w:rFonts w:hint="eastAsia" w:ascii="宋体" w:hAnsi="宋体" w:cs="宋体"/>
          <w:color w:val="auto"/>
          <w:szCs w:val="21"/>
          <w:highlight w:val="none"/>
        </w:rPr>
        <w:t>21.1</w:t>
      </w:r>
      <w:r>
        <w:rPr>
          <w:rFonts w:hint="eastAsia" w:ascii="宋体" w:hAnsi="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进入“服务中心”中查看 “电子投标文件制作与投送教程”）。</w:t>
      </w:r>
    </w:p>
    <w:bookmarkEnd w:id="94"/>
    <w:bookmarkEnd w:id="95"/>
    <w:p w14:paraId="6DB05D4A">
      <w:pPr>
        <w:pStyle w:val="81"/>
        <w:spacing w:before="0"/>
        <w:ind w:firstLine="420"/>
        <w:rPr>
          <w:rFonts w:ascii="宋体" w:hAnsi="宋体" w:cs="宋体"/>
          <w:color w:val="auto"/>
          <w:sz w:val="21"/>
          <w:szCs w:val="21"/>
          <w:highlight w:val="none"/>
        </w:rPr>
      </w:pPr>
      <w:r>
        <w:rPr>
          <w:rFonts w:hint="eastAsia" w:ascii="宋体" w:hAnsi="宋体" w:cs="宋体"/>
          <w:color w:val="auto"/>
          <w:sz w:val="21"/>
          <w:szCs w:val="21"/>
          <w:highlight w:val="none"/>
        </w:rPr>
        <w:t>21.2在提交响应文件截止时间前，除供应商补充、修改或者撤回响应文件外，任何单位和个人不得解密或提取响应文件。</w:t>
      </w:r>
    </w:p>
    <w:p w14:paraId="0AD312B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22.响应文件的退回</w:t>
      </w:r>
    </w:p>
    <w:p w14:paraId="35E12B3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3C7F3D0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23.截止时间后的撤回</w:t>
      </w:r>
    </w:p>
    <w:p w14:paraId="4EBC967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供应商在响应文件提交截止时间后向采购人、采购代理机构书面申请撤回响应文件的，将根据本须知正文第17.4条的规定不予退还其竞标保证金。</w:t>
      </w:r>
    </w:p>
    <w:p w14:paraId="37B4CDA5">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四、评审及谈判</w:t>
      </w:r>
    </w:p>
    <w:p w14:paraId="1435295E">
      <w:pPr>
        <w:spacing w:line="360" w:lineRule="auto"/>
        <w:ind w:left="420" w:firstLine="420"/>
        <w:rPr>
          <w:rFonts w:ascii="宋体" w:hAnsi="宋体" w:cs="宋体"/>
          <w:color w:val="auto"/>
          <w:szCs w:val="21"/>
          <w:highlight w:val="none"/>
        </w:rPr>
      </w:pPr>
    </w:p>
    <w:p w14:paraId="61547B2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24.谈判小组成立</w:t>
      </w:r>
    </w:p>
    <w:p w14:paraId="039314D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谈判小组由采购人代表和评审专家共3人以上单数组成，具体人数详见“供应商须知前附表”，其中评审专家人数不得少于竞争性谈判小组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竞争性谈判小组应当由5人以上单数组成。</w:t>
      </w:r>
    </w:p>
    <w:p w14:paraId="7E38B64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技术复杂、专业性强的竞争性谈判采购项目，通过随机方式难以确定合适的评审专家的，经主管预算单位同意，可以自行选定评审专家。技术复杂、专业性强的竞争性谈判采购项目，评审专家中应当包含1名法律专家。</w:t>
      </w:r>
    </w:p>
    <w:p w14:paraId="7284591A">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24.3</w:t>
      </w:r>
      <w:r>
        <w:rPr>
          <w:rFonts w:hint="eastAsia" w:ascii="宋体" w:hAnsi="宋体" w:cs="宋体"/>
          <w:bCs/>
          <w:color w:val="auto"/>
          <w:szCs w:val="21"/>
          <w:highlight w:val="none"/>
        </w:rPr>
        <w:t>采购代理机构</w:t>
      </w:r>
      <w:r>
        <w:rPr>
          <w:rFonts w:hint="eastAsia" w:ascii="宋体" w:hAnsi="宋体" w:cs="宋体"/>
          <w:bCs/>
          <w:color w:val="auto"/>
          <w:highlight w:val="none"/>
        </w:rPr>
        <w:t>应当</w:t>
      </w:r>
      <w:r>
        <w:rPr>
          <w:rFonts w:hint="eastAsia" w:ascii="宋体" w:hAnsi="宋体" w:cs="宋体"/>
          <w:bCs/>
          <w:color w:val="auto"/>
          <w:szCs w:val="21"/>
          <w:highlight w:val="none"/>
        </w:rPr>
        <w:t>基于广西政府采购云平台</w:t>
      </w:r>
      <w:r>
        <w:rPr>
          <w:rFonts w:hint="eastAsia" w:ascii="宋体" w:hAnsi="宋体" w:cs="宋体"/>
          <w:bCs/>
          <w:color w:val="auto"/>
          <w:highlight w:val="none"/>
        </w:rPr>
        <w:t>抽（选）取</w:t>
      </w:r>
      <w:r>
        <w:rPr>
          <w:rFonts w:hint="eastAsia" w:ascii="宋体" w:hAnsi="宋体" w:cs="宋体"/>
          <w:bCs/>
          <w:color w:val="auto"/>
          <w:szCs w:val="21"/>
          <w:highlight w:val="none"/>
        </w:rPr>
        <w:t>评审专家。</w:t>
      </w:r>
    </w:p>
    <w:p w14:paraId="487A33A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24.4参加过采购项目前期咨询论证的专家，不得参加该采购项目的评审活动。</w:t>
      </w:r>
    </w:p>
    <w:p w14:paraId="623DB74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 首次响应文件的开启和解密</w:t>
      </w:r>
    </w:p>
    <w:p w14:paraId="55CE58CC">
      <w:pPr>
        <w:spacing w:line="360" w:lineRule="auto"/>
        <w:ind w:firstLine="420"/>
        <w:rPr>
          <w:rFonts w:ascii="宋体" w:hAnsi="宋体" w:cs="宋体"/>
          <w:b/>
          <w:bCs/>
          <w:color w:val="auto"/>
          <w:sz w:val="24"/>
          <w:highlight w:val="none"/>
        </w:rPr>
      </w:pPr>
      <w:r>
        <w:rPr>
          <w:rFonts w:hint="eastAsia" w:ascii="宋体" w:hAnsi="宋体" w:cs="宋体"/>
          <w:bCs/>
          <w:color w:val="auto"/>
          <w:highlight w:val="none"/>
        </w:rPr>
        <w:t>采购代理机构将在“供应商须知前附表”规定的时</w:t>
      </w:r>
      <w:r>
        <w:rPr>
          <w:rFonts w:hint="eastAsia" w:ascii="宋体" w:hAnsi="宋体" w:cs="宋体"/>
          <w:color w:val="auto"/>
          <w:highlight w:val="none"/>
        </w:rPr>
        <w:t>间通过电子交易平台组织响应文件开启，供应商的法定代表人或其委托代理人须携带加密时所用的CA锁，按平台提示和谈判文件的规定登录到广西政府采购云平台电子开标大厅签到，采购代理机构依托广西政府采购云平台向各供应商发出电子加密响应文件【开始解密】通知，由供应商按</w:t>
      </w:r>
      <w:r>
        <w:rPr>
          <w:rFonts w:hint="eastAsia" w:ascii="宋体" w:hAnsi="宋体" w:cs="宋体"/>
          <w:bCs/>
          <w:color w:val="auto"/>
          <w:szCs w:val="21"/>
          <w:highlight w:val="none"/>
        </w:rPr>
        <w:t>“供应商须知前附表”</w:t>
      </w:r>
      <w:r>
        <w:rPr>
          <w:rFonts w:hint="eastAsia" w:ascii="宋体" w:hAnsi="宋体" w:cs="宋体"/>
          <w:color w:val="auto"/>
          <w:highlight w:val="none"/>
        </w:rPr>
        <w:t>规定的时间内自行进行响应文件解密。</w:t>
      </w:r>
      <w:r>
        <w:rPr>
          <w:rFonts w:hint="eastAsia" w:ascii="宋体" w:hAnsi="宋体" w:cs="宋体"/>
          <w:b/>
          <w:color w:val="auto"/>
          <w:highlight w:val="none"/>
        </w:rPr>
        <w:t>供应商未在规定的时间内解密响应文件或者解密失败的，供应商</w:t>
      </w:r>
      <w:r>
        <w:rPr>
          <w:rFonts w:hint="eastAsia" w:ascii="宋体" w:hAnsi="宋体" w:cs="宋体"/>
          <w:b/>
          <w:color w:val="auto"/>
          <w:szCs w:val="21"/>
          <w:highlight w:val="none"/>
        </w:rPr>
        <w:t>的响应文件作无效处理</w:t>
      </w:r>
      <w:r>
        <w:rPr>
          <w:rFonts w:hint="eastAsia" w:ascii="宋体" w:hAnsi="宋体" w:cs="宋体"/>
          <w:b/>
          <w:color w:val="auto"/>
          <w:highlight w:val="none"/>
        </w:rPr>
        <w:t>。</w:t>
      </w:r>
    </w:p>
    <w:p w14:paraId="02AADEA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 评审程序和评定成交的标准</w:t>
      </w:r>
    </w:p>
    <w:p w14:paraId="747115C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26.1谈判小组按照“第四章评审程序和评定成交的标准”规定的评审程序对响应文件进行评审，并按照评定成交的标准推荐成交候选供应商。评审价相同时，成交候选供应商推荐顺序见</w:t>
      </w:r>
      <w:r>
        <w:rPr>
          <w:rFonts w:hint="eastAsia" w:ascii="宋体" w:hAnsi="宋体" w:cs="宋体"/>
          <w:color w:val="auto"/>
          <w:szCs w:val="21"/>
          <w:highlight w:val="none"/>
        </w:rPr>
        <w:t>“供应商须知前附表”。</w:t>
      </w:r>
    </w:p>
    <w:p w14:paraId="4A8EDE3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商务/技术要求允许负偏离的条款数详见“供应商须知前附表”。</w:t>
      </w:r>
    </w:p>
    <w:p w14:paraId="53FECCE8">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14:paraId="1EEA30E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5B9DA76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（1）电子交易平台发生故障而无法登录访问的；</w:t>
      </w:r>
    </w:p>
    <w:p w14:paraId="7144B5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9D968E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1D016DD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（4）病毒发作导致不能进行正常操作的；</w:t>
      </w:r>
    </w:p>
    <w:p w14:paraId="05A29BF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16D3AD7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91E9AB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0DC6B0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w:t>
      </w:r>
      <w:r>
        <w:rPr>
          <w:rFonts w:hint="eastAsia" w:ascii="宋体" w:hAnsi="宋体" w:cs="宋体"/>
          <w:color w:val="auto"/>
          <w:kern w:val="0"/>
          <w:szCs w:val="21"/>
          <w:highlight w:val="none"/>
        </w:rPr>
        <w:t>采购</w:t>
      </w:r>
      <w:r>
        <w:rPr>
          <w:rFonts w:hint="eastAsia" w:ascii="宋体" w:hAnsi="宋体" w:cs="宋体"/>
          <w:color w:val="auto"/>
          <w:szCs w:val="21"/>
          <w:highlight w:val="none"/>
        </w:rPr>
        <w:t>代理</w:t>
      </w:r>
      <w:r>
        <w:rPr>
          <w:rFonts w:hint="eastAsia" w:ascii="宋体" w:hAnsi="宋体" w:cs="宋体"/>
          <w:color w:val="auto"/>
          <w:kern w:val="0"/>
          <w:szCs w:val="21"/>
          <w:highlight w:val="none"/>
        </w:rPr>
        <w:t>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14:paraId="166CF3E4">
      <w:pPr>
        <w:pStyle w:val="1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27.2采购代理机构应当在成交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上信息查询记录及相关证据与谈判文件一并保存。</w:t>
      </w:r>
      <w:r>
        <w:rPr>
          <w:rFonts w:hint="eastAsia" w:ascii="宋体" w:hAnsi="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p>
    <w:p w14:paraId="24F97B09">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27.3出现下列情形之一的，采购人或者采购代理机构应当终止竞争性谈判采购活动，发布项目终止公告并说明原因，重新开展采购活动：</w:t>
      </w:r>
    </w:p>
    <w:p w14:paraId="3C17685B">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（1）因情况变化，不再符合规定的竞争性谈判采购方式适用情形的；</w:t>
      </w:r>
    </w:p>
    <w:p w14:paraId="625A380C">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（2）出现影响采购公正的违法、违规行为的；</w:t>
      </w:r>
    </w:p>
    <w:p w14:paraId="774054DF">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（3）在采购过程中符合竞争要求的供应商或者报价未超过采购预算的供应商不足3家的，但“第四章评审程序和评定成交的标准”第3.7条规定的情形除外。</w:t>
      </w:r>
    </w:p>
    <w:p w14:paraId="5498F83F">
      <w:pPr>
        <w:pStyle w:val="10"/>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27.4在采购活动中因重大变故，采购任务取消的，采购人或者采购代理机构应当终止采购活动，通知所有参加采购活动的供应商，并将项目实施情况和采购任务取消原因报送本级财政部门。</w:t>
      </w:r>
    </w:p>
    <w:p w14:paraId="7192C2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0A0C2AA">
      <w:pPr>
        <w:pStyle w:val="10"/>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28.1履约保证金的金额、提交方式、退付的时间和条件详见“供应商须知前附表”。成交供应商未按规定提交履约保证金的，视为拒绝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w:t>
      </w:r>
    </w:p>
    <w:p w14:paraId="16076CB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28.2在履约保证金退还日期前，若成交供应商的开户名称、开户银行、账号有变动的，请以书面形式通知履约保证金收取单位，否则由此产生的后果由成交供应商自负。</w:t>
      </w:r>
    </w:p>
    <w:p w14:paraId="3C45972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1DF8A1D2">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29.1签订电子采购合同：成交供应商领取电子成交通知书后，在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36D2F746">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7A13DEAD">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135959F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29.3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075FC859">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B0537BC">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29.5采购人或成交供应商不得单方面向合同另一方提出任何谈判文件没有约定的条件或不合理的要求，作为签订合同的条件；也不得协商另行订立背离谈判文件和合同实质性内容的协议。</w:t>
      </w:r>
    </w:p>
    <w:p w14:paraId="7BFC603B">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26ACBFE8">
      <w:pPr>
        <w:spacing w:line="360" w:lineRule="auto"/>
        <w:ind w:firstLine="424" w:firstLineChars="202"/>
        <w:rPr>
          <w:rFonts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2611EDF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6B0F50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5A25C3C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36B11B1D">
      <w:pPr>
        <w:pStyle w:val="6"/>
        <w:spacing w:after="120" w:line="360" w:lineRule="auto"/>
        <w:rPr>
          <w:rFonts w:ascii="宋体" w:hAnsi="宋体" w:cs="宋体"/>
          <w:color w:val="auto"/>
          <w:szCs w:val="21"/>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r>
        <w:rPr>
          <w:rFonts w:hint="eastAsia" w:ascii="宋体" w:hAnsi="宋体" w:cs="宋体"/>
          <w:color w:val="auto"/>
          <w:szCs w:val="21"/>
          <w:highlight w:val="none"/>
        </w:rPr>
        <w:t>但答复的内容不得涉及商业秘密。</w:t>
      </w:r>
    </w:p>
    <w:p w14:paraId="3C71F56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31.2供应商认为谈判文件、采购过程或者成交结果使自己的合法权益受到损害的，应当在知道或者应知其权益受到损害之日起7个工作日内，以书面形式向采购人、采购代理机构提出质疑，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w:t>
      </w:r>
      <w:r>
        <w:rPr>
          <w:rFonts w:hint="eastAsia" w:ascii="宋体" w:hAnsi="宋体" w:cs="宋体"/>
          <w:color w:val="auto"/>
          <w:szCs w:val="21"/>
          <w:highlight w:val="none"/>
        </w:rPr>
        <w:t>详见“供应商须知前附表”</w:t>
      </w:r>
      <w:r>
        <w:rPr>
          <w:rFonts w:hint="eastAsia" w:ascii="宋体" w:hAnsi="宋体" w:cs="宋体"/>
          <w:color w:val="auto"/>
          <w:highlight w:val="none"/>
        </w:rPr>
        <w:t>。具体质疑起算时间如下：</w:t>
      </w:r>
    </w:p>
    <w:p w14:paraId="55B4A4B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（1）对可以质疑的谈判文件提出质疑的，为获取谈判文件之日；</w:t>
      </w:r>
    </w:p>
    <w:p w14:paraId="76F386A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（2）对采购过程提出质疑的，为各采购程序环节结束之日；</w:t>
      </w:r>
    </w:p>
    <w:p w14:paraId="4B47492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（3）对成交结果提出质疑的，为成交结果公告期限届满之日。</w:t>
      </w:r>
    </w:p>
    <w:p w14:paraId="45196B7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C5202A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0991AF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64038E3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61B432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F6F0D3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0CBF770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BDEE4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7CE779C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32EAFCE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505CF68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3326CD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7646E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2F120E2">
      <w:pPr>
        <w:spacing w:line="360" w:lineRule="auto"/>
        <w:ind w:firstLine="420" w:firstLineChars="200"/>
        <w:rPr>
          <w:rFonts w:ascii="宋体" w:hAnsi="宋体" w:cs="宋体"/>
          <w:b/>
          <w:bCs/>
          <w:color w:val="auto"/>
          <w:szCs w:val="21"/>
          <w:highlight w:val="none"/>
        </w:rPr>
      </w:pPr>
      <w:r>
        <w:rPr>
          <w:rFonts w:hint="eastAsia" w:ascii="宋体" w:hAnsi="宋体" w:cs="宋体"/>
          <w:color w:val="auto"/>
          <w:highlight w:val="none"/>
        </w:rPr>
        <w:t>31.6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1ABFF44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32.其他内容</w:t>
      </w:r>
    </w:p>
    <w:p w14:paraId="6420E4E6">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32.1代理服务收取标准详见“供应商须知前附表”，供应商为联合体的，可以由联合体中的一方或者多方共同交纳代理服务费：</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5"/>
        <w:gridCol w:w="1807"/>
        <w:gridCol w:w="1669"/>
        <w:gridCol w:w="1685"/>
      </w:tblGrid>
      <w:tr w14:paraId="1CFD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tcBorders>
              <w:tl2br w:val="single" w:color="auto" w:sz="4" w:space="0"/>
            </w:tcBorders>
            <w:noWrap w:val="0"/>
            <w:vAlign w:val="top"/>
          </w:tcPr>
          <w:p w14:paraId="69FC66CD">
            <w:pPr>
              <w:spacing w:line="360" w:lineRule="auto"/>
              <w:ind w:firstLine="2100" w:firstLineChars="1000"/>
              <w:rPr>
                <w:rFonts w:ascii="宋体" w:hAnsi="宋体" w:cs="宋体"/>
                <w:color w:val="auto"/>
                <w:szCs w:val="21"/>
                <w:highlight w:val="none"/>
              </w:rPr>
            </w:pPr>
            <w:r>
              <w:rPr>
                <w:rFonts w:hint="eastAsia" w:ascii="宋体" w:hAnsi="宋体" w:cs="宋体"/>
                <w:color w:val="auto"/>
                <w:szCs w:val="21"/>
                <w:highlight w:val="none"/>
              </w:rPr>
              <w:t>费率</w:t>
            </w:r>
          </w:p>
          <w:p w14:paraId="6B52600C">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807" w:type="dxa"/>
            <w:noWrap w:val="0"/>
            <w:vAlign w:val="center"/>
          </w:tcPr>
          <w:p w14:paraId="1E38B423">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669" w:type="dxa"/>
            <w:noWrap w:val="0"/>
            <w:vAlign w:val="center"/>
          </w:tcPr>
          <w:p w14:paraId="5B75E9E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685" w:type="dxa"/>
            <w:noWrap w:val="0"/>
            <w:vAlign w:val="center"/>
          </w:tcPr>
          <w:p w14:paraId="14F570D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53CB7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16C725E4">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807" w:type="dxa"/>
            <w:noWrap w:val="0"/>
            <w:vAlign w:val="top"/>
          </w:tcPr>
          <w:p w14:paraId="5493609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669" w:type="dxa"/>
            <w:noWrap w:val="0"/>
            <w:vAlign w:val="top"/>
          </w:tcPr>
          <w:p w14:paraId="3481DAC4">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685" w:type="dxa"/>
            <w:noWrap w:val="0"/>
            <w:vAlign w:val="top"/>
          </w:tcPr>
          <w:p w14:paraId="11B8B3E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6B15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637CF14E">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807" w:type="dxa"/>
            <w:noWrap w:val="0"/>
            <w:vAlign w:val="top"/>
          </w:tcPr>
          <w:p w14:paraId="62523CD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669" w:type="dxa"/>
            <w:noWrap w:val="0"/>
            <w:vAlign w:val="top"/>
          </w:tcPr>
          <w:p w14:paraId="1BABFA4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685" w:type="dxa"/>
            <w:noWrap w:val="0"/>
            <w:vAlign w:val="top"/>
          </w:tcPr>
          <w:p w14:paraId="422BADA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29D7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1B20A8F0">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807" w:type="dxa"/>
            <w:noWrap w:val="0"/>
            <w:vAlign w:val="top"/>
          </w:tcPr>
          <w:p w14:paraId="6A965D16">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669" w:type="dxa"/>
            <w:noWrap w:val="0"/>
            <w:vAlign w:val="top"/>
          </w:tcPr>
          <w:p w14:paraId="0177C3D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685" w:type="dxa"/>
            <w:noWrap w:val="0"/>
            <w:vAlign w:val="top"/>
          </w:tcPr>
          <w:p w14:paraId="44C45B10">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6414A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5D88EE06">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807" w:type="dxa"/>
            <w:noWrap w:val="0"/>
            <w:vAlign w:val="top"/>
          </w:tcPr>
          <w:p w14:paraId="7C35BFF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669" w:type="dxa"/>
            <w:noWrap w:val="0"/>
            <w:vAlign w:val="top"/>
          </w:tcPr>
          <w:p w14:paraId="31D88C2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685" w:type="dxa"/>
            <w:noWrap w:val="0"/>
            <w:vAlign w:val="top"/>
          </w:tcPr>
          <w:p w14:paraId="1960881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0820B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0C6931CD">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807" w:type="dxa"/>
            <w:noWrap w:val="0"/>
            <w:vAlign w:val="top"/>
          </w:tcPr>
          <w:p w14:paraId="72C4E33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669" w:type="dxa"/>
            <w:noWrap w:val="0"/>
            <w:vAlign w:val="top"/>
          </w:tcPr>
          <w:p w14:paraId="68629337">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685" w:type="dxa"/>
            <w:noWrap w:val="0"/>
            <w:vAlign w:val="top"/>
          </w:tcPr>
          <w:p w14:paraId="3BF43FC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63295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1A170790">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807" w:type="dxa"/>
            <w:noWrap w:val="0"/>
            <w:vAlign w:val="top"/>
          </w:tcPr>
          <w:p w14:paraId="4BBC8A3F">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669" w:type="dxa"/>
            <w:noWrap w:val="0"/>
            <w:vAlign w:val="top"/>
          </w:tcPr>
          <w:p w14:paraId="40B353D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685" w:type="dxa"/>
            <w:noWrap w:val="0"/>
            <w:vAlign w:val="top"/>
          </w:tcPr>
          <w:p w14:paraId="7F72E660">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2B3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241BCFA3">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807" w:type="dxa"/>
            <w:noWrap w:val="0"/>
            <w:vAlign w:val="top"/>
          </w:tcPr>
          <w:p w14:paraId="18D8D876">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669" w:type="dxa"/>
            <w:noWrap w:val="0"/>
            <w:vAlign w:val="top"/>
          </w:tcPr>
          <w:p w14:paraId="4D207F7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685" w:type="dxa"/>
            <w:noWrap w:val="0"/>
            <w:vAlign w:val="top"/>
          </w:tcPr>
          <w:p w14:paraId="1246A11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1820C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44178486">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807" w:type="dxa"/>
            <w:noWrap w:val="0"/>
            <w:vAlign w:val="top"/>
          </w:tcPr>
          <w:p w14:paraId="03C9174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669" w:type="dxa"/>
            <w:noWrap w:val="0"/>
            <w:vAlign w:val="top"/>
          </w:tcPr>
          <w:p w14:paraId="3B76CA0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685" w:type="dxa"/>
            <w:noWrap w:val="0"/>
            <w:vAlign w:val="top"/>
          </w:tcPr>
          <w:p w14:paraId="38DA48B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0F1F6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16465BA3">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807" w:type="dxa"/>
            <w:noWrap w:val="0"/>
            <w:vAlign w:val="top"/>
          </w:tcPr>
          <w:p w14:paraId="6F30B48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669" w:type="dxa"/>
            <w:noWrap w:val="0"/>
            <w:vAlign w:val="top"/>
          </w:tcPr>
          <w:p w14:paraId="1AF94360">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685" w:type="dxa"/>
            <w:noWrap w:val="0"/>
            <w:vAlign w:val="top"/>
          </w:tcPr>
          <w:p w14:paraId="14FCD64F">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3548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5" w:type="dxa"/>
            <w:noWrap w:val="0"/>
            <w:vAlign w:val="top"/>
          </w:tcPr>
          <w:p w14:paraId="5F83BACD">
            <w:pPr>
              <w:spacing w:line="360" w:lineRule="auto"/>
              <w:rPr>
                <w:rFonts w:ascii="宋体" w:hAnsi="宋体" w:cs="宋体"/>
                <w:color w:val="auto"/>
                <w:szCs w:val="21"/>
                <w:highlight w:val="none"/>
              </w:rPr>
            </w:pPr>
            <w:r>
              <w:rPr>
                <w:rFonts w:hint="eastAsia" w:ascii="宋体" w:hAnsi="宋体" w:cs="宋体"/>
                <w:color w:val="auto"/>
                <w:szCs w:val="21"/>
                <w:highlight w:val="none"/>
              </w:rPr>
              <w:t>100亿以上</w:t>
            </w:r>
          </w:p>
        </w:tc>
        <w:tc>
          <w:tcPr>
            <w:tcW w:w="1807" w:type="dxa"/>
            <w:noWrap w:val="0"/>
            <w:vAlign w:val="top"/>
          </w:tcPr>
          <w:p w14:paraId="78CB9583">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669" w:type="dxa"/>
            <w:noWrap w:val="0"/>
            <w:vAlign w:val="top"/>
          </w:tcPr>
          <w:p w14:paraId="49A83691">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685" w:type="dxa"/>
            <w:noWrap w:val="0"/>
            <w:vAlign w:val="top"/>
          </w:tcPr>
          <w:p w14:paraId="4E2A5835">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2860C8F7">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注：</w:t>
      </w:r>
    </w:p>
    <w:p w14:paraId="17B8AC7E">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4BEE1F16">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（2）采购代理收费按差额定率累进法计算。</w:t>
      </w:r>
    </w:p>
    <w:p w14:paraId="0D43E41C">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例如：某货物采购代理业务成交金额或者暂定价为150万元，计算采购代理收费额如下：</w:t>
      </w:r>
    </w:p>
    <w:p w14:paraId="55FCB403">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100 万元 ×l.5 %＝ 1.5 万元</w:t>
      </w:r>
    </w:p>
    <w:p w14:paraId="3E439483">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 150 － 100 ）万元 ×1.1%＝ 0.55 万元</w:t>
      </w:r>
    </w:p>
    <w:p w14:paraId="3D25C738">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合计收费＝ 1.5 ＋ 0.55＝ 2.05 （万元）</w:t>
      </w:r>
    </w:p>
    <w:p w14:paraId="4DBDEAB6">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33. 需要补充的其他内容</w:t>
      </w:r>
    </w:p>
    <w:p w14:paraId="79FF9CF8">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33.1本谈判文件解释规则详见“供应商须知前附表”。</w:t>
      </w:r>
    </w:p>
    <w:p w14:paraId="627B03E5">
      <w:pPr>
        <w:spacing w:line="360" w:lineRule="auto"/>
        <w:ind w:firstLine="420" w:firstLineChars="200"/>
        <w:contextualSpacing/>
        <w:rPr>
          <w:rFonts w:ascii="宋体" w:hAnsi="宋体" w:cs="宋体"/>
          <w:color w:val="auto"/>
          <w:highlight w:val="none"/>
        </w:rPr>
      </w:pPr>
      <w:r>
        <w:rPr>
          <w:rFonts w:hint="eastAsia" w:ascii="宋体" w:hAnsi="宋体" w:cs="宋体"/>
          <w:color w:val="auto"/>
          <w:kern w:val="0"/>
          <w:szCs w:val="21"/>
          <w:highlight w:val="none"/>
        </w:rPr>
        <w:t>33.2其他事</w:t>
      </w:r>
      <w:r>
        <w:rPr>
          <w:rFonts w:hint="eastAsia" w:ascii="宋体" w:hAnsi="宋体" w:cs="宋体"/>
          <w:color w:val="auto"/>
          <w:highlight w:val="none"/>
        </w:rPr>
        <w:t>项详见“供应商须知前附表”。</w:t>
      </w:r>
    </w:p>
    <w:p w14:paraId="47CE924E">
      <w:pPr>
        <w:pStyle w:val="17"/>
        <w:spacing w:line="360" w:lineRule="auto"/>
        <w:ind w:firstLine="400" w:firstLineChars="200"/>
        <w:contextualSpacing/>
        <w:rPr>
          <w:rFonts w:hAnsi="宋体" w:cs="宋体"/>
          <w:color w:val="auto"/>
          <w:sz w:val="21"/>
          <w:highlight w:val="none"/>
        </w:rPr>
      </w:pPr>
      <w:r>
        <w:rPr>
          <w:rFonts w:hint="eastAsia" w:hAnsi="宋体" w:cs="宋体"/>
          <w:color w:val="auto"/>
          <w:highlight w:val="none"/>
        </w:rPr>
        <w:t>33.3</w:t>
      </w:r>
      <w:bookmarkStart w:id="96" w:name="_Hlk65857140"/>
      <w:r>
        <w:rPr>
          <w:rFonts w:hint="eastAsia" w:hAnsi="宋体" w:cs="宋体"/>
          <w:color w:val="auto"/>
          <w:sz w:val="21"/>
          <w:highlight w:val="none"/>
        </w:rPr>
        <w:t>本谈判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谈判文件规定的中小企业扶持政策：</w:t>
      </w:r>
    </w:p>
    <w:p w14:paraId="13CB6CAD">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（1）在货物采购项目中，货物由中小企业制造，即货物由中小企业生产且使用该中小企业商号或者注册商标，不对其中涉及的工程承建商和服务的承接商作出要求；</w:t>
      </w:r>
    </w:p>
    <w:p w14:paraId="172BE8D8">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（2）在工程采购项目中，工程由中小企业承建，即工程施工单位为中小企业，不对其中涉及的货物的制造商和服务的承接商作出要求；</w:t>
      </w:r>
    </w:p>
    <w:p w14:paraId="1DD8E683">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8C527AB">
      <w:pPr>
        <w:pStyle w:val="17"/>
        <w:spacing w:line="360" w:lineRule="auto"/>
        <w:ind w:firstLine="420" w:firstLineChars="200"/>
        <w:contextualSpacing/>
        <w:rPr>
          <w:rFonts w:hAnsi="宋体" w:cs="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谈判文件规定的中小企业扶持政策。以联合体形式参加政府采购活动，联合体各方均为中小企业的，联合体视同中小企业。其中，联合体各方均为小微企业的，联合体视同小微企业。</w:t>
      </w:r>
    </w:p>
    <w:p w14:paraId="576B0A94">
      <w:pPr>
        <w:spacing w:line="360" w:lineRule="auto"/>
        <w:ind w:firstLine="420" w:firstLineChars="200"/>
        <w:contextualSpacing/>
        <w:rPr>
          <w:rFonts w:hint="eastAsia" w:ascii="宋体" w:hAnsi="宋体" w:cs="宋体"/>
          <w:color w:val="auto"/>
          <w:highlight w:val="none"/>
        </w:rPr>
      </w:pPr>
      <w:r>
        <w:rPr>
          <w:rFonts w:hint="eastAsia" w:ascii="宋体" w:hAnsi="宋体" w:cs="宋体"/>
          <w:color w:val="auto"/>
          <w:highlight w:val="none"/>
        </w:rPr>
        <w:t>依据本谈判文件规定享受扶持政策获得政府采购合同的，小微企业不得将合同分包给大中型企业，中型企业不得将合同分包给大型企业。</w:t>
      </w:r>
      <w:bookmarkEnd w:id="96"/>
    </w:p>
    <w:p w14:paraId="1CFE3D5C">
      <w:pPr>
        <w:spacing w:line="360" w:lineRule="auto"/>
        <w:ind w:firstLine="420" w:firstLineChars="200"/>
        <w:contextualSpacing/>
        <w:rPr>
          <w:rFonts w:ascii="宋体" w:hAnsi="宋体" w:cs="宋体"/>
          <w:b/>
          <w:bCs/>
          <w:color w:val="auto"/>
          <w:sz w:val="18"/>
          <w:szCs w:val="18"/>
          <w:highlight w:val="none"/>
        </w:rPr>
      </w:pPr>
      <w:r>
        <w:rPr>
          <w:rFonts w:hint="eastAsia" w:ascii="宋体" w:hAnsi="宋体" w:cs="宋体"/>
          <w:color w:val="auto"/>
          <w:kern w:val="0"/>
          <w:szCs w:val="21"/>
          <w:highlight w:val="none"/>
        </w:rPr>
        <w:t>本项目货物不接受进口产品（即通过中国海关报关验放进入中国境内且产自关境外的产品）参与投标，如有此类产品参与投标的按无效标处理。</w:t>
      </w:r>
      <w:r>
        <w:rPr>
          <w:rFonts w:hint="eastAsia" w:ascii="宋体" w:hAnsi="宋体" w:cs="宋体"/>
          <w:bCs/>
          <w:color w:val="auto"/>
          <w:sz w:val="32"/>
          <w:szCs w:val="32"/>
          <w:highlight w:val="none"/>
        </w:rPr>
        <w:br w:type="page"/>
      </w:r>
    </w:p>
    <w:p w14:paraId="021DC1BC">
      <w:pPr>
        <w:pStyle w:val="2"/>
        <w:spacing w:line="240" w:lineRule="auto"/>
        <w:jc w:val="center"/>
        <w:rPr>
          <w:rFonts w:ascii="宋体" w:hAnsi="宋体" w:cs="宋体"/>
          <w:color w:val="auto"/>
          <w:highlight w:val="none"/>
        </w:rPr>
      </w:pPr>
      <w:bookmarkStart w:id="97" w:name="_Toc14190"/>
      <w:r>
        <w:rPr>
          <w:rFonts w:hint="eastAsia" w:ascii="宋体" w:hAnsi="宋体" w:cs="宋体"/>
          <w:color w:val="auto"/>
          <w:highlight w:val="none"/>
        </w:rPr>
        <w:t>第三章采购需求</w:t>
      </w:r>
      <w:bookmarkEnd w:id="97"/>
    </w:p>
    <w:p w14:paraId="52B93EED">
      <w:pPr>
        <w:spacing w:line="440" w:lineRule="exact"/>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采购项目技术规格、参数及要求</w:t>
      </w:r>
    </w:p>
    <w:p w14:paraId="02F8905D">
      <w:pPr>
        <w:spacing w:line="360" w:lineRule="auto"/>
        <w:jc w:val="left"/>
        <w:rPr>
          <w:rFonts w:ascii="宋体" w:hAnsi="宋体" w:cs="宋体"/>
          <w:color w:val="auto"/>
          <w:highlight w:val="none"/>
        </w:rPr>
      </w:pPr>
      <w:r>
        <w:rPr>
          <w:rFonts w:hint="eastAsia" w:ascii="宋体" w:hAnsi="宋体" w:cs="宋体"/>
          <w:color w:val="auto"/>
          <w:szCs w:val="21"/>
          <w:highlight w:val="none"/>
        </w:rPr>
        <w:t>说明：</w:t>
      </w:r>
    </w:p>
    <w:p w14:paraId="1F31B986">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1.为落实政府采购政策需满足的要求：</w:t>
      </w:r>
    </w:p>
    <w:p w14:paraId="171C31BF">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（1）本竞争性谈判采购文件所称中小企业必须符合《政府采购促进中小企业发展管理办法》（财库〔2020〕46号）的规定。</w:t>
      </w:r>
    </w:p>
    <w:p w14:paraId="4A6F48D0">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根据《财政部发展改革委生态环境部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电子签章），否则响应文件按无效处理。如本项目包含的货物属于品目清单内非标注“★”的产品时，应优先采购，具体详见“第四章评审程序和评定成交的标准”。</w:t>
      </w:r>
    </w:p>
    <w:p w14:paraId="06C67B91">
      <w:pPr>
        <w:spacing w:line="3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根据《关于调整网络安全专用产品安全管理有关事项的公告》（2023年1号）规定，本项目采购需求中的产品如果包括《网络关键设备和网络安全专用产品目录》的网络安全专用产品，供应商在响应文件中应主动列明供货范围中属于网络安全专用产品的响应产品，并在响应文件（商务及技术文件）中提供由中国网信网（http://www.cac.gov.cn/index.htm）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响应文件按无效处理。如属于《网络关键设备和网络安全专用产品目录》中“二、网络安全专用产品”内“产品类别”中的所描述的产品，但不属于所列“产品描述”情形的，应提供相应的说明及证明材料。</w:t>
      </w:r>
    </w:p>
    <w:p w14:paraId="3A52A046">
      <w:pPr>
        <w:spacing w:line="38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2. “实质性要求”是指采购需求中带“▲”的条款或者不能负偏离的条款或者已经指明不满足按响应文件按无效处理的条款。</w:t>
      </w:r>
    </w:p>
    <w:p w14:paraId="1EB1C12A">
      <w:pPr>
        <w:spacing w:line="38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3.采购需求中出现的品牌、型号或者生产供应商仅起参考作用，不属于指定品牌、型号或者生产供应商的情形。供应商可参照或者选用其他相当的品牌、型号或者生产供应商替代。</w:t>
      </w:r>
    </w:p>
    <w:p w14:paraId="6EBF7DDE">
      <w:pPr>
        <w:spacing w:line="380" w:lineRule="exact"/>
        <w:ind w:firstLine="424" w:firstLineChars="202"/>
        <w:jc w:val="left"/>
        <w:rPr>
          <w:rFonts w:ascii="宋体" w:hAnsi="宋体" w:cs="宋体"/>
          <w:color w:val="auto"/>
          <w:szCs w:val="21"/>
          <w:highlight w:val="none"/>
        </w:rPr>
      </w:pPr>
      <w:r>
        <w:rPr>
          <w:rFonts w:hint="eastAsia" w:ascii="宋体" w:hAnsi="宋体" w:cs="宋体"/>
          <w:color w:val="auto"/>
          <w:szCs w:val="21"/>
          <w:highlight w:val="none"/>
        </w:rPr>
        <w:t>4.供应商应根据自身实际情况如实响应谈判文件，对谈判文件提出的要求和条件作出明确响应，否则将作无效响应处理。对于重要技术条款或技术参数应当在响应文件中提供技术支持资料，技术支持资料以谈判文件中规定的形式为准，否则将视为无效技术支持资料。</w:t>
      </w:r>
    </w:p>
    <w:p w14:paraId="4382AFB5">
      <w:pPr>
        <w:spacing w:line="380" w:lineRule="exact"/>
        <w:ind w:firstLine="424" w:firstLineChars="202"/>
        <w:jc w:val="left"/>
        <w:rPr>
          <w:rFonts w:ascii="宋体" w:hAnsi="宋体" w:cs="宋体"/>
          <w:color w:val="auto"/>
          <w:highlight w:val="none"/>
        </w:rPr>
      </w:pPr>
      <w:r>
        <w:rPr>
          <w:rFonts w:hint="eastAsia" w:ascii="宋体" w:hAnsi="宋体" w:cs="宋体"/>
          <w:color w:val="auto"/>
          <w:szCs w:val="21"/>
          <w:highlight w:val="none"/>
        </w:rPr>
        <w:t>5.</w:t>
      </w:r>
      <w:r>
        <w:rPr>
          <w:rFonts w:hint="eastAsia" w:ascii="宋体" w:hAnsi="宋体" w:cs="宋体"/>
          <w:color w:val="auto"/>
          <w:highlight w:val="none"/>
        </w:rPr>
        <w:t>供应商必须自行为其竞标产品侵犯他人的知识产权或者专利成果的行为承担相应法律责任。</w:t>
      </w:r>
    </w:p>
    <w:p w14:paraId="3532F37B">
      <w:pPr>
        <w:spacing w:line="38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6.本项目所属行业：</w:t>
      </w:r>
      <w:r>
        <w:rPr>
          <w:rFonts w:hint="eastAsia" w:ascii="宋体" w:hAnsi="宋体" w:cs="宋体"/>
          <w:color w:val="auto"/>
          <w:highlight w:val="none"/>
          <w:u w:val="single"/>
        </w:rPr>
        <w:t xml:space="preserve"> 软件和信息技术服务业 </w:t>
      </w:r>
      <w:r>
        <w:rPr>
          <w:rFonts w:ascii="宋体" w:hAnsi="宋体" w:cs="宋体"/>
          <w:color w:val="auto"/>
          <w:highlight w:val="none"/>
          <w:u w:val="single"/>
        </w:rPr>
        <w:t xml:space="preserve">  </w:t>
      </w:r>
      <w:r>
        <w:rPr>
          <w:rFonts w:hint="eastAsia" w:ascii="宋体" w:hAnsi="宋体" w:cs="宋体"/>
          <w:color w:val="auto"/>
          <w:highlight w:val="none"/>
        </w:rPr>
        <w:t>。</w:t>
      </w:r>
    </w:p>
    <w:p w14:paraId="4E75F070">
      <w:pPr>
        <w:spacing w:line="38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7.整体项目概述：在广西自治区人民检察院分别建设以下内容：（1）对自治区检察院安防联动指挥系统改造：一是建设综合信访安防联动管理平台，满足原有设备的接入管理及视频的级联应用，实现综合安防管理平台的安全可控；二是建设智能人员管控系统，</w:t>
      </w:r>
      <w:r>
        <w:rPr>
          <w:rFonts w:ascii="宋体" w:hAnsi="宋体" w:cs="宋体"/>
          <w:color w:val="auto"/>
          <w:highlight w:val="none"/>
        </w:rPr>
        <w:t>在原有安防</w:t>
      </w:r>
      <w:r>
        <w:rPr>
          <w:rFonts w:hint="eastAsia" w:ascii="宋体" w:hAnsi="宋体" w:cs="宋体"/>
          <w:color w:val="auto"/>
          <w:highlight w:val="none"/>
        </w:rPr>
        <w:t>监控</w:t>
      </w:r>
      <w:r>
        <w:rPr>
          <w:rFonts w:ascii="宋体" w:hAnsi="宋体" w:cs="宋体"/>
          <w:color w:val="auto"/>
          <w:highlight w:val="none"/>
        </w:rPr>
        <w:t>基础上，建设</w:t>
      </w:r>
      <w:r>
        <w:rPr>
          <w:rFonts w:hint="eastAsia" w:ascii="宋体" w:hAnsi="宋体" w:cs="宋体"/>
          <w:color w:val="auto"/>
          <w:highlight w:val="none"/>
        </w:rPr>
        <w:t>人员抓拍智能分析应用系统，实现重点监测人员、</w:t>
      </w:r>
      <w:r>
        <w:rPr>
          <w:rFonts w:ascii="宋体" w:hAnsi="宋体" w:cs="宋体"/>
          <w:color w:val="auto"/>
          <w:highlight w:val="none"/>
        </w:rPr>
        <w:t>可疑人员及</w:t>
      </w:r>
      <w:r>
        <w:rPr>
          <w:rFonts w:hint="eastAsia" w:ascii="宋体" w:hAnsi="宋体" w:cs="宋体"/>
          <w:color w:val="auto"/>
          <w:highlight w:val="none"/>
        </w:rPr>
        <w:t>非法</w:t>
      </w:r>
      <w:r>
        <w:rPr>
          <w:rFonts w:ascii="宋体" w:hAnsi="宋体" w:cs="宋体"/>
          <w:color w:val="auto"/>
          <w:highlight w:val="none"/>
        </w:rPr>
        <w:t>闯入人员的分析告警</w:t>
      </w:r>
      <w:r>
        <w:rPr>
          <w:rFonts w:hint="eastAsia" w:ascii="宋体" w:hAnsi="宋体" w:cs="宋体"/>
          <w:color w:val="auto"/>
          <w:highlight w:val="none"/>
        </w:rPr>
        <w:t>，防范越级信访、非法组织信访、</w:t>
      </w:r>
      <w:r>
        <w:rPr>
          <w:rFonts w:ascii="宋体" w:hAnsi="宋体" w:cs="宋体"/>
          <w:color w:val="auto"/>
          <w:highlight w:val="none"/>
        </w:rPr>
        <w:t>非法闯入造成安全隐患</w:t>
      </w:r>
      <w:r>
        <w:rPr>
          <w:rFonts w:hint="eastAsia" w:ascii="宋体" w:hAnsi="宋体" w:cs="宋体"/>
          <w:color w:val="auto"/>
          <w:highlight w:val="none"/>
        </w:rPr>
        <w:t>等；三是对原有的安防系统进行升级改造，针对监控盲点区域进行对应的监控补点。（</w:t>
      </w:r>
      <w:r>
        <w:rPr>
          <w:rFonts w:ascii="宋体" w:hAnsi="宋体" w:cs="宋体"/>
          <w:color w:val="auto"/>
          <w:highlight w:val="none"/>
        </w:rPr>
        <w:t>2</w:t>
      </w:r>
      <w:r>
        <w:rPr>
          <w:rFonts w:hint="eastAsia" w:ascii="宋体" w:hAnsi="宋体" w:cs="宋体"/>
          <w:color w:val="auto"/>
          <w:highlight w:val="none"/>
        </w:rPr>
        <w:t>）建设全区检察机关一体化综合安防视频联网调度指挥平台，利用大数据局的资源，通过国产化的全区检察机关一体化综合信访安防视频联网调度指挥平台建设，实现对全区13</w:t>
      </w:r>
      <w:r>
        <w:rPr>
          <w:rFonts w:ascii="宋体" w:hAnsi="宋体" w:cs="宋体"/>
          <w:color w:val="auto"/>
          <w:highlight w:val="none"/>
        </w:rPr>
        <w:t>3</w:t>
      </w:r>
      <w:r>
        <w:rPr>
          <w:rFonts w:hint="eastAsia" w:ascii="宋体" w:hAnsi="宋体" w:cs="宋体"/>
          <w:color w:val="auto"/>
          <w:highlight w:val="none"/>
        </w:rPr>
        <w:t>个检察院和1个国家</w:t>
      </w:r>
      <w:r>
        <w:rPr>
          <w:rFonts w:ascii="宋体" w:hAnsi="宋体" w:cs="宋体"/>
          <w:color w:val="auto"/>
          <w:highlight w:val="none"/>
        </w:rPr>
        <w:t>检察官学院</w:t>
      </w:r>
      <w:r>
        <w:rPr>
          <w:rFonts w:hint="eastAsia" w:ascii="宋体" w:hAnsi="宋体" w:cs="宋体"/>
          <w:color w:val="auto"/>
          <w:highlight w:val="none"/>
        </w:rPr>
        <w:t>广西分院重要场所的视频资源的接入及汇聚管理及联动</w:t>
      </w:r>
      <w:r>
        <w:rPr>
          <w:rFonts w:ascii="宋体" w:hAnsi="宋体" w:cs="宋体"/>
          <w:color w:val="auto"/>
          <w:highlight w:val="none"/>
        </w:rPr>
        <w:t>指挥</w:t>
      </w:r>
      <w:r>
        <w:rPr>
          <w:rFonts w:hint="eastAsia" w:ascii="宋体" w:hAnsi="宋体" w:cs="宋体"/>
          <w:color w:val="auto"/>
          <w:highlight w:val="none"/>
        </w:rPr>
        <w:t>应用。（</w:t>
      </w:r>
      <w:r>
        <w:rPr>
          <w:rFonts w:ascii="宋体" w:hAnsi="宋体" w:cs="宋体"/>
          <w:color w:val="auto"/>
          <w:highlight w:val="none"/>
        </w:rPr>
        <w:t>3</w:t>
      </w:r>
      <w:r>
        <w:rPr>
          <w:rFonts w:hint="eastAsia" w:ascii="宋体" w:hAnsi="宋体" w:cs="宋体"/>
          <w:color w:val="auto"/>
          <w:highlight w:val="none"/>
        </w:rPr>
        <w:t>）购置网络</w:t>
      </w:r>
      <w:r>
        <w:rPr>
          <w:rFonts w:ascii="宋体" w:hAnsi="宋体" w:cs="宋体"/>
          <w:color w:val="auto"/>
          <w:highlight w:val="none"/>
        </w:rPr>
        <w:t>安全设备，</w:t>
      </w:r>
      <w:r>
        <w:rPr>
          <w:rFonts w:hint="eastAsia" w:ascii="宋体" w:hAnsi="宋体" w:cs="宋体"/>
          <w:color w:val="auto"/>
          <w:highlight w:val="none"/>
        </w:rPr>
        <w:t>将</w:t>
      </w:r>
      <w:r>
        <w:rPr>
          <w:rFonts w:ascii="宋体" w:hAnsi="宋体" w:cs="宋体"/>
          <w:color w:val="auto"/>
          <w:highlight w:val="none"/>
        </w:rPr>
        <w:t>安防监控网络</w:t>
      </w:r>
      <w:r>
        <w:rPr>
          <w:rFonts w:hint="eastAsia" w:ascii="宋体" w:hAnsi="宋体" w:cs="宋体"/>
          <w:color w:val="auto"/>
          <w:highlight w:val="none"/>
        </w:rPr>
        <w:t>安全</w:t>
      </w:r>
      <w:r>
        <w:rPr>
          <w:rFonts w:ascii="宋体" w:hAnsi="宋体" w:cs="宋体"/>
          <w:color w:val="auto"/>
          <w:highlight w:val="none"/>
        </w:rPr>
        <w:t>接入</w:t>
      </w:r>
      <w:r>
        <w:rPr>
          <w:rFonts w:hint="eastAsia" w:ascii="宋体" w:hAnsi="宋体" w:cs="宋体"/>
          <w:color w:val="auto"/>
          <w:highlight w:val="none"/>
        </w:rPr>
        <w:t>检察</w:t>
      </w:r>
      <w:r>
        <w:rPr>
          <w:rFonts w:ascii="宋体" w:hAnsi="宋体" w:cs="宋体"/>
          <w:color w:val="auto"/>
          <w:highlight w:val="none"/>
        </w:rPr>
        <w:t>工作网，实现</w:t>
      </w:r>
      <w:r>
        <w:rPr>
          <w:rFonts w:hint="eastAsia" w:ascii="宋体" w:hAnsi="宋体" w:cs="宋体"/>
          <w:color w:val="auto"/>
          <w:highlight w:val="none"/>
        </w:rPr>
        <w:t>统一</w:t>
      </w:r>
      <w:r>
        <w:rPr>
          <w:rFonts w:ascii="宋体" w:hAnsi="宋体" w:cs="宋体"/>
          <w:color w:val="auto"/>
          <w:highlight w:val="none"/>
        </w:rPr>
        <w:t>管理应用。</w:t>
      </w:r>
    </w:p>
    <w:p w14:paraId="185D0F6A">
      <w:pPr>
        <w:spacing w:line="380" w:lineRule="exact"/>
        <w:ind w:firstLine="424" w:firstLineChars="202"/>
        <w:jc w:val="left"/>
        <w:rPr>
          <w:rFonts w:hint="eastAsia" w:ascii="宋体" w:hAnsi="宋体" w:cs="宋体"/>
          <w:color w:val="auto"/>
          <w:highlight w:val="none"/>
        </w:rPr>
      </w:pPr>
      <w:r>
        <w:rPr>
          <w:rFonts w:hint="eastAsia" w:ascii="宋体" w:hAnsi="宋体" w:cs="宋体"/>
          <w:color w:val="auto"/>
          <w:highlight w:val="none"/>
        </w:rPr>
        <w:t>8、本项目的</w:t>
      </w:r>
      <w:r>
        <w:rPr>
          <w:rFonts w:hint="eastAsia" w:ascii="宋体" w:hAnsi="宋体" w:cs="宋体"/>
          <w:b/>
          <w:color w:val="auto"/>
          <w:highlight w:val="none"/>
        </w:rPr>
        <w:t>核心产品</w:t>
      </w:r>
      <w:r>
        <w:rPr>
          <w:rFonts w:hint="eastAsia" w:ascii="宋体" w:hAnsi="宋体" w:cs="宋体"/>
          <w:color w:val="auto"/>
          <w:highlight w:val="none"/>
        </w:rPr>
        <w:t>为下表的“1</w:t>
      </w:r>
      <w:r>
        <w:rPr>
          <w:rFonts w:ascii="宋体" w:hAnsi="宋体" w:cs="宋体"/>
          <w:color w:val="auto"/>
          <w:highlight w:val="none"/>
        </w:rPr>
        <w:t>.1</w:t>
      </w:r>
      <w:r>
        <w:rPr>
          <w:rFonts w:hint="eastAsia" w:ascii="宋体" w:hAnsi="宋体" w:cs="宋体"/>
          <w:color w:val="auto"/>
          <w:highlight w:val="none"/>
        </w:rPr>
        <w:t>综合安防联动管理平台”。</w:t>
      </w:r>
    </w:p>
    <w:tbl>
      <w:tblPr>
        <w:tblStyle w:val="29"/>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64"/>
        <w:gridCol w:w="1836"/>
        <w:gridCol w:w="762"/>
        <w:gridCol w:w="5284"/>
      </w:tblGrid>
      <w:tr w14:paraId="73B5F2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D77DE8F">
            <w:pPr>
              <w:widowControl/>
              <w:adjustRightInd w:val="0"/>
              <w:spacing w:line="360" w:lineRule="exact"/>
              <w:contextualSpacing/>
              <w:jc w:val="center"/>
              <w:rPr>
                <w:rFonts w:ascii="黑体" w:hAnsi="黑体" w:eastAsia="黑体" w:cs="宋体"/>
                <w:b/>
                <w:bCs/>
                <w:color w:val="auto"/>
                <w:kern w:val="0"/>
                <w:szCs w:val="21"/>
                <w:highlight w:val="none"/>
              </w:rPr>
            </w:pPr>
            <w:r>
              <w:rPr>
                <w:rFonts w:hint="eastAsia" w:ascii="黑体" w:hAnsi="黑体" w:eastAsia="黑体" w:cs="宋体"/>
                <w:b/>
                <w:bCs/>
                <w:color w:val="auto"/>
                <w:kern w:val="0"/>
                <w:szCs w:val="21"/>
                <w:highlight w:val="none"/>
              </w:rPr>
              <w:t>序号</w:t>
            </w:r>
          </w:p>
        </w:tc>
        <w:tc>
          <w:tcPr>
            <w:tcW w:w="1026" w:type="pct"/>
            <w:noWrap/>
            <w:vAlign w:val="center"/>
          </w:tcPr>
          <w:p w14:paraId="1DABF5AE">
            <w:pPr>
              <w:widowControl/>
              <w:adjustRightInd w:val="0"/>
              <w:spacing w:line="360" w:lineRule="exact"/>
              <w:contextualSpacing/>
              <w:jc w:val="center"/>
              <w:rPr>
                <w:rFonts w:ascii="黑体" w:hAnsi="黑体" w:eastAsia="黑体" w:cs="宋体"/>
                <w:b/>
                <w:bCs/>
                <w:color w:val="auto"/>
                <w:kern w:val="0"/>
                <w:szCs w:val="21"/>
                <w:highlight w:val="none"/>
              </w:rPr>
            </w:pPr>
            <w:r>
              <w:rPr>
                <w:rFonts w:hint="eastAsia" w:ascii="黑体" w:hAnsi="黑体" w:eastAsia="黑体" w:cs="宋体"/>
                <w:b/>
                <w:bCs/>
                <w:color w:val="auto"/>
                <w:kern w:val="0"/>
                <w:szCs w:val="21"/>
                <w:highlight w:val="none"/>
              </w:rPr>
              <w:t>设备名称</w:t>
            </w:r>
          </w:p>
        </w:tc>
        <w:tc>
          <w:tcPr>
            <w:tcW w:w="426" w:type="pct"/>
            <w:noWrap/>
            <w:vAlign w:val="center"/>
          </w:tcPr>
          <w:p w14:paraId="24C6DA99">
            <w:pPr>
              <w:widowControl/>
              <w:adjustRightInd w:val="0"/>
              <w:spacing w:line="360" w:lineRule="exact"/>
              <w:contextualSpacing/>
              <w:jc w:val="center"/>
              <w:rPr>
                <w:rFonts w:ascii="黑体" w:hAnsi="黑体" w:eastAsia="黑体" w:cs="宋体"/>
                <w:b/>
                <w:bCs/>
                <w:color w:val="auto"/>
                <w:kern w:val="0"/>
                <w:szCs w:val="21"/>
                <w:highlight w:val="none"/>
              </w:rPr>
            </w:pPr>
            <w:r>
              <w:rPr>
                <w:rFonts w:hint="eastAsia" w:ascii="黑体" w:hAnsi="黑体" w:eastAsia="黑体" w:cs="宋体"/>
                <w:b/>
                <w:bCs/>
                <w:color w:val="auto"/>
                <w:kern w:val="0"/>
                <w:szCs w:val="21"/>
                <w:highlight w:val="none"/>
              </w:rPr>
              <w:t>数量</w:t>
            </w:r>
          </w:p>
        </w:tc>
        <w:tc>
          <w:tcPr>
            <w:tcW w:w="2953" w:type="pct"/>
            <w:noWrap/>
            <w:vAlign w:val="center"/>
          </w:tcPr>
          <w:p w14:paraId="3DCBAFB1">
            <w:pPr>
              <w:widowControl/>
              <w:adjustRightInd w:val="0"/>
              <w:spacing w:line="360" w:lineRule="exact"/>
              <w:ind w:firstLine="200"/>
              <w:contextualSpacing/>
              <w:jc w:val="center"/>
              <w:rPr>
                <w:rFonts w:ascii="黑体" w:hAnsi="黑体" w:eastAsia="黑体" w:cs="宋体"/>
                <w:b/>
                <w:bCs/>
                <w:color w:val="auto"/>
                <w:kern w:val="0"/>
                <w:szCs w:val="21"/>
                <w:highlight w:val="none"/>
              </w:rPr>
            </w:pPr>
            <w:r>
              <w:rPr>
                <w:rFonts w:hint="eastAsia" w:ascii="黑体" w:hAnsi="黑体" w:eastAsia="黑体" w:cs="宋体"/>
                <w:b/>
                <w:bCs/>
                <w:color w:val="auto"/>
                <w:kern w:val="0"/>
                <w:szCs w:val="21"/>
                <w:highlight w:val="none"/>
              </w:rPr>
              <w:t>规格参数</w:t>
            </w:r>
          </w:p>
        </w:tc>
      </w:tr>
      <w:tr w14:paraId="5DFB11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000" w:type="pct"/>
            <w:gridSpan w:val="4"/>
            <w:noWrap/>
            <w:vAlign w:val="center"/>
          </w:tcPr>
          <w:p w14:paraId="7825A01E">
            <w:pPr>
              <w:widowControl/>
              <w:adjustRightInd w:val="0"/>
              <w:spacing w:line="360" w:lineRule="exact"/>
              <w:contextualSpacing/>
              <w:rPr>
                <w:rFonts w:ascii="宋体" w:hAnsi="宋体" w:cs="宋体"/>
                <w:b/>
                <w:bCs/>
                <w:color w:val="auto"/>
                <w:kern w:val="0"/>
                <w:szCs w:val="21"/>
                <w:highlight w:val="none"/>
              </w:rPr>
            </w:pPr>
            <w:r>
              <w:rPr>
                <w:rFonts w:hint="eastAsia" w:ascii="宋体" w:hAnsi="宋体" w:cs="宋体"/>
                <w:b/>
                <w:bCs/>
                <w:color w:val="auto"/>
                <w:kern w:val="0"/>
                <w:szCs w:val="21"/>
                <w:highlight w:val="none"/>
              </w:rPr>
              <w:t>（一）自治区检察院安防联动指挥系统改造</w:t>
            </w:r>
          </w:p>
        </w:tc>
      </w:tr>
      <w:tr w14:paraId="6BD2D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DC53918">
            <w:pPr>
              <w:widowControl/>
              <w:adjustRightInd w:val="0"/>
              <w:spacing w:line="360" w:lineRule="exact"/>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1.1 </w:t>
            </w:r>
          </w:p>
        </w:tc>
        <w:tc>
          <w:tcPr>
            <w:tcW w:w="4405" w:type="pct"/>
            <w:gridSpan w:val="3"/>
            <w:noWrap/>
            <w:vAlign w:val="center"/>
          </w:tcPr>
          <w:p w14:paraId="3453349F">
            <w:pPr>
              <w:widowControl/>
              <w:adjustRightInd w:val="0"/>
              <w:spacing w:line="360" w:lineRule="exact"/>
              <w:contextualSpacing/>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综合安防联动管理平台（国产化）</w:t>
            </w:r>
          </w:p>
        </w:tc>
      </w:tr>
      <w:tr w14:paraId="3E5DE0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56755FFF">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p>
        </w:tc>
        <w:tc>
          <w:tcPr>
            <w:tcW w:w="1026" w:type="pct"/>
            <w:noWrap w:val="0"/>
            <w:vAlign w:val="center"/>
          </w:tcPr>
          <w:p w14:paraId="0ECCBC52">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国产化综合安防管理平台</w:t>
            </w:r>
          </w:p>
        </w:tc>
        <w:tc>
          <w:tcPr>
            <w:tcW w:w="426" w:type="pct"/>
            <w:noWrap w:val="0"/>
            <w:vAlign w:val="center"/>
          </w:tcPr>
          <w:p w14:paraId="6ADFA8E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953" w:type="pct"/>
            <w:noWrap w:val="0"/>
            <w:vAlign w:val="center"/>
          </w:tcPr>
          <w:p w14:paraId="35DE5AF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含基础模块、门户工作台、事件中心、图上监控、视频监控、视频联网、视频联网汇聚、智能监控、人车智能档案、陌生人预警、访客管理、入侵报警、设备网络管理、国产化客户端等。</w:t>
            </w:r>
          </w:p>
          <w:p w14:paraId="13356EDC">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一、提供基础模块应用</w:t>
            </w:r>
          </w:p>
          <w:p w14:paraId="73430C5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1．提供门户首页内容自定义能力，支持自定义快捷入口、自定义菜单内容、自定义页面元素设置；支持门户展示元素自定义，包括页面logo图标、修改网站标题、设置并添加网站外部链接；</w:t>
            </w:r>
          </w:p>
          <w:p w14:paraId="357E98E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2．提供统一的认证、鉴权管理、应用管理、菜单管理、用户管理、角色管理、组织管理、资源管理等能力；</w:t>
            </w:r>
          </w:p>
          <w:p w14:paraId="5EE0849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3．提供用户权限管理能力，包括菜单权限、组织权限、区域权限、资源权限、功能控制权限；</w:t>
            </w:r>
          </w:p>
          <w:p w14:paraId="1E78885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4．软件平台支持不限</w:t>
            </w:r>
            <w:r>
              <w:rPr>
                <w:rFonts w:ascii="宋体" w:hAnsi="宋体" w:cs="宋体"/>
                <w:color w:val="auto"/>
                <w:kern w:val="0"/>
                <w:szCs w:val="21"/>
                <w:highlight w:val="none"/>
              </w:rPr>
              <w:t>数量的</w:t>
            </w:r>
            <w:r>
              <w:rPr>
                <w:rFonts w:hint="eastAsia" w:ascii="宋体" w:hAnsi="宋体" w:cs="宋体"/>
                <w:color w:val="auto"/>
                <w:kern w:val="0"/>
                <w:szCs w:val="21"/>
                <w:highlight w:val="none"/>
              </w:rPr>
              <w:t>组织、区域、设备、人员、卡片、车辆等资源统一管理。人员至少支持</w:t>
            </w:r>
            <w:r>
              <w:rPr>
                <w:rFonts w:ascii="宋体" w:hAnsi="宋体" w:cs="宋体"/>
                <w:color w:val="auto"/>
                <w:kern w:val="0"/>
                <w:szCs w:val="21"/>
                <w:highlight w:val="none"/>
              </w:rPr>
              <w:t>JPG、JPEG、PNG、BMP、TIF、WEBP</w:t>
            </w:r>
            <w:r>
              <w:rPr>
                <w:rFonts w:hint="eastAsia" w:ascii="宋体" w:hAnsi="宋体" w:cs="宋体"/>
                <w:color w:val="auto"/>
                <w:kern w:val="0"/>
                <w:szCs w:val="21"/>
                <w:highlight w:val="none"/>
              </w:rPr>
              <w:t>等</w:t>
            </w:r>
            <w:r>
              <w:rPr>
                <w:rFonts w:ascii="宋体" w:hAnsi="宋体" w:cs="宋体"/>
                <w:color w:val="auto"/>
                <w:kern w:val="0"/>
                <w:szCs w:val="21"/>
                <w:highlight w:val="none"/>
              </w:rPr>
              <w:t>格式</w:t>
            </w:r>
            <w:r>
              <w:rPr>
                <w:rFonts w:hint="eastAsia" w:ascii="宋体" w:hAnsi="宋体" w:cs="宋体"/>
                <w:color w:val="auto"/>
                <w:kern w:val="0"/>
                <w:szCs w:val="21"/>
                <w:highlight w:val="none"/>
              </w:rPr>
              <w:t>文件</w:t>
            </w:r>
            <w:r>
              <w:rPr>
                <w:rFonts w:ascii="宋体" w:hAnsi="宋体" w:cs="宋体"/>
                <w:color w:val="auto"/>
                <w:kern w:val="0"/>
                <w:szCs w:val="21"/>
                <w:highlight w:val="none"/>
              </w:rPr>
              <w:t>的图片</w:t>
            </w:r>
            <w:r>
              <w:rPr>
                <w:rFonts w:hint="eastAsia" w:ascii="宋体" w:hAnsi="宋体" w:cs="宋体"/>
                <w:color w:val="auto"/>
                <w:kern w:val="0"/>
                <w:szCs w:val="21"/>
                <w:highlight w:val="none"/>
              </w:rPr>
              <w:t>进行</w:t>
            </w:r>
            <w:r>
              <w:rPr>
                <w:rFonts w:ascii="宋体" w:hAnsi="宋体" w:cs="宋体"/>
                <w:color w:val="auto"/>
                <w:kern w:val="0"/>
                <w:szCs w:val="21"/>
                <w:highlight w:val="none"/>
              </w:rPr>
              <w:t>人脸入库功能</w:t>
            </w:r>
            <w:r>
              <w:rPr>
                <w:rFonts w:hint="eastAsia" w:ascii="宋体" w:hAnsi="宋体" w:cs="宋体"/>
                <w:color w:val="auto"/>
                <w:kern w:val="0"/>
                <w:szCs w:val="21"/>
                <w:highlight w:val="none"/>
              </w:rPr>
              <w:t>，如</w:t>
            </w:r>
            <w:r>
              <w:rPr>
                <w:rFonts w:ascii="宋体" w:hAnsi="宋体" w:cs="宋体"/>
                <w:color w:val="auto"/>
                <w:kern w:val="0"/>
                <w:szCs w:val="21"/>
                <w:highlight w:val="none"/>
              </w:rPr>
              <w:t>重复</w:t>
            </w:r>
            <w:r>
              <w:rPr>
                <w:rFonts w:hint="eastAsia" w:ascii="宋体" w:hAnsi="宋体" w:cs="宋体"/>
                <w:color w:val="auto"/>
                <w:kern w:val="0"/>
                <w:szCs w:val="21"/>
                <w:highlight w:val="none"/>
              </w:rPr>
              <w:t>录入</w:t>
            </w:r>
            <w:r>
              <w:rPr>
                <w:rFonts w:ascii="宋体" w:hAnsi="宋体" w:cs="宋体"/>
                <w:color w:val="auto"/>
                <w:kern w:val="0"/>
                <w:szCs w:val="21"/>
                <w:highlight w:val="none"/>
              </w:rPr>
              <w:t>人脸</w:t>
            </w:r>
            <w:r>
              <w:rPr>
                <w:rFonts w:hint="eastAsia" w:ascii="宋体" w:hAnsi="宋体" w:cs="宋体"/>
                <w:color w:val="auto"/>
                <w:kern w:val="0"/>
                <w:szCs w:val="21"/>
                <w:highlight w:val="none"/>
              </w:rPr>
              <w:t>图像或</w:t>
            </w:r>
            <w:r>
              <w:rPr>
                <w:rFonts w:ascii="宋体" w:hAnsi="宋体" w:cs="宋体"/>
                <w:color w:val="auto"/>
                <w:kern w:val="0"/>
                <w:szCs w:val="21"/>
                <w:highlight w:val="none"/>
              </w:rPr>
              <w:t>车辆信息</w:t>
            </w:r>
            <w:r>
              <w:rPr>
                <w:rFonts w:hint="eastAsia" w:ascii="宋体" w:hAnsi="宋体" w:cs="宋体"/>
                <w:color w:val="auto"/>
                <w:kern w:val="0"/>
                <w:szCs w:val="21"/>
                <w:highlight w:val="none"/>
              </w:rPr>
              <w:t>时具有</w:t>
            </w:r>
            <w:r>
              <w:rPr>
                <w:rFonts w:ascii="宋体" w:hAnsi="宋体" w:cs="宋体"/>
                <w:color w:val="auto"/>
                <w:kern w:val="0"/>
                <w:szCs w:val="21"/>
                <w:highlight w:val="none"/>
              </w:rPr>
              <w:t>过滤</w:t>
            </w:r>
            <w:r>
              <w:rPr>
                <w:rFonts w:hint="eastAsia" w:ascii="宋体" w:hAnsi="宋体" w:cs="宋体"/>
                <w:color w:val="auto"/>
                <w:kern w:val="0"/>
                <w:szCs w:val="21"/>
                <w:highlight w:val="none"/>
              </w:rPr>
              <w:t>和</w:t>
            </w:r>
            <w:r>
              <w:rPr>
                <w:rFonts w:ascii="宋体" w:hAnsi="宋体" w:cs="宋体"/>
                <w:color w:val="auto"/>
                <w:kern w:val="0"/>
                <w:szCs w:val="21"/>
                <w:highlight w:val="none"/>
              </w:rPr>
              <w:t>提示功能，页面可提示“已存在”</w:t>
            </w:r>
            <w:r>
              <w:rPr>
                <w:rFonts w:hint="eastAsia" w:ascii="宋体" w:hAnsi="宋体" w:cs="宋体"/>
                <w:color w:val="auto"/>
                <w:kern w:val="0"/>
                <w:szCs w:val="21"/>
                <w:highlight w:val="none"/>
              </w:rPr>
              <w:t>，并检索</w:t>
            </w:r>
            <w:r>
              <w:rPr>
                <w:rFonts w:ascii="宋体" w:hAnsi="宋体" w:cs="宋体"/>
                <w:color w:val="auto"/>
                <w:kern w:val="0"/>
                <w:szCs w:val="21"/>
                <w:highlight w:val="none"/>
              </w:rPr>
              <w:t>展示重复</w:t>
            </w:r>
            <w:r>
              <w:rPr>
                <w:rFonts w:hint="eastAsia" w:ascii="宋体" w:hAnsi="宋体" w:cs="宋体"/>
                <w:color w:val="auto"/>
                <w:kern w:val="0"/>
                <w:szCs w:val="21"/>
                <w:highlight w:val="none"/>
              </w:rPr>
              <w:t>信息记录</w:t>
            </w:r>
            <w:r>
              <w:rPr>
                <w:rFonts w:ascii="宋体" w:hAnsi="宋体" w:cs="宋体"/>
                <w:color w:val="auto"/>
                <w:kern w:val="0"/>
                <w:szCs w:val="21"/>
                <w:highlight w:val="none"/>
              </w:rPr>
              <w:t>项，</w:t>
            </w:r>
            <w:r>
              <w:rPr>
                <w:rFonts w:hint="eastAsia" w:ascii="宋体" w:hAnsi="宋体" w:cs="宋体"/>
                <w:color w:val="auto"/>
                <w:kern w:val="0"/>
                <w:szCs w:val="21"/>
                <w:highlight w:val="none"/>
              </w:rPr>
              <w:t>避免</w:t>
            </w:r>
            <w:r>
              <w:rPr>
                <w:rFonts w:ascii="宋体" w:hAnsi="宋体" w:cs="宋体"/>
                <w:color w:val="auto"/>
                <w:kern w:val="0"/>
                <w:szCs w:val="21"/>
                <w:highlight w:val="none"/>
              </w:rPr>
              <w:t>重复添加。</w:t>
            </w:r>
          </w:p>
          <w:p w14:paraId="7B7EB52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5．提供用户安全管理，支持账户绑定用户</w:t>
            </w:r>
            <w:r>
              <w:rPr>
                <w:rFonts w:ascii="宋体" w:hAnsi="宋体" w:cs="宋体"/>
                <w:color w:val="auto"/>
                <w:kern w:val="0"/>
                <w:szCs w:val="21"/>
                <w:highlight w:val="none"/>
              </w:rPr>
              <w:t>MAC</w:t>
            </w:r>
            <w:r>
              <w:rPr>
                <w:rFonts w:hint="eastAsia" w:ascii="宋体" w:hAnsi="宋体" w:cs="宋体"/>
                <w:color w:val="auto"/>
                <w:kern w:val="0"/>
                <w:szCs w:val="21"/>
                <w:highlight w:val="none"/>
              </w:rPr>
              <w:t>地址及IP地址能力，提供账户安全设置，支持账户密码有效期设置，支持登录类型（Web端、PC客户端、移动端）和认证方式（密码、PKI）的配置；</w:t>
            </w:r>
          </w:p>
          <w:p w14:paraId="39C1B61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6．提供NTP校时服务能力，支持对设备和服务器统一校时；</w:t>
            </w:r>
          </w:p>
          <w:p w14:paraId="1C7FB49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7．提供数据、服务等统一开放能力；</w:t>
            </w:r>
          </w:p>
          <w:p w14:paraId="6E78674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8．提供系统运行状态监测能力，包括运行服务监控、运行服务统计、运行数据报告和运行服务解析概览。</w:t>
            </w:r>
          </w:p>
          <w:p w14:paraId="451324A6">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二、提供门户工作台</w:t>
            </w:r>
          </w:p>
          <w:p w14:paraId="644E6F9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提供安保管理员、安保值班员、后勤管理员、行政管理员、运维管理员五类用户角色门户工作台；</w:t>
            </w:r>
          </w:p>
          <w:p w14:paraId="1DD03E4A">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三、提供事件中心应用</w:t>
            </w:r>
          </w:p>
          <w:p w14:paraId="76544F2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p>
          <w:p w14:paraId="63527CEA">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四、提供图上监控应用</w:t>
            </w:r>
          </w:p>
          <w:p w14:paraId="19360FE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提供各类资源图上展示及控制操作，在地图上可展示各类资源点的地理位置，通过接收资源点报警事件，实现报警信息可视化展示。</w:t>
            </w:r>
          </w:p>
          <w:p w14:paraId="0CB4737E">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五、提供视频监控应用</w:t>
            </w:r>
          </w:p>
          <w:p w14:paraId="7EBCD72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视频监控应用提供视频管理服务，支持编码设备通过设备网络SDK协议、GB28181协议、ONVIF协议等接入平台，实现视频预览、录像回放、视频上墙、视频事件监控服务能力。支持不低于1000路的监控接入授权管理，授权数不能绑定设备，单一设备维修替换后不占用新的授权数。</w:t>
            </w:r>
          </w:p>
          <w:p w14:paraId="00A84868">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六、提供视频联网应用</w:t>
            </w:r>
          </w:p>
          <w:p w14:paraId="7BC2BC8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视频点位联网服务能力，用于平台域间视频联网，基于视频通用标准协议（GB/T28181-2011,GB/T28181-2016）与外域平台互联互通，实现平台视频资源点位推送等操作控制。支持不低于1000路的视频联网汇聚授权管理，授权数不能绑定设备，单一设备维修替换后不占用新的授权数；</w:t>
            </w:r>
          </w:p>
          <w:p w14:paraId="6E1A09F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2．系统最大授权在线应用用户数（个）≥</w:t>
            </w:r>
            <w:r>
              <w:rPr>
                <w:rFonts w:ascii="宋体" w:hAnsi="宋体" w:cs="宋体"/>
                <w:color w:val="auto"/>
                <w:kern w:val="0"/>
                <w:szCs w:val="21"/>
                <w:highlight w:val="none"/>
              </w:rPr>
              <w:t>300</w:t>
            </w:r>
            <w:r>
              <w:rPr>
                <w:rFonts w:hint="eastAsia" w:ascii="宋体" w:hAnsi="宋体" w:cs="宋体"/>
                <w:color w:val="auto"/>
                <w:kern w:val="0"/>
                <w:szCs w:val="21"/>
                <w:highlight w:val="none"/>
              </w:rPr>
              <w:t>。</w:t>
            </w:r>
          </w:p>
          <w:p w14:paraId="135DFA5B">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七、提供智能监控应用</w:t>
            </w:r>
          </w:p>
          <w:p w14:paraId="22DED79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支持人员管控应用、智能检索应用、实时视频/录像文件结构化分析。</w:t>
            </w:r>
          </w:p>
          <w:p w14:paraId="7128F1A8">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八、提供人车智能档案应用</w:t>
            </w:r>
          </w:p>
          <w:p w14:paraId="7428B64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支持基于人、车的通行数据，提供人员人脸/比对数据一人一档查询、人员/车辆的院区完整通行数据及运行轨迹查询功能。</w:t>
            </w:r>
          </w:p>
          <w:p w14:paraId="4BF917DB">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九、支持陌生人或</w:t>
            </w:r>
            <w:r>
              <w:rPr>
                <w:rFonts w:ascii="宋体" w:hAnsi="宋体" w:cs="宋体"/>
                <w:b/>
                <w:color w:val="auto"/>
                <w:kern w:val="0"/>
                <w:szCs w:val="21"/>
                <w:highlight w:val="none"/>
              </w:rPr>
              <w:t>特定人员</w:t>
            </w:r>
            <w:r>
              <w:rPr>
                <w:rFonts w:hint="eastAsia" w:ascii="宋体" w:hAnsi="宋体" w:cs="宋体"/>
                <w:b/>
                <w:color w:val="auto"/>
                <w:kern w:val="0"/>
                <w:szCs w:val="21"/>
                <w:highlight w:val="none"/>
              </w:rPr>
              <w:t>预警应用</w:t>
            </w:r>
          </w:p>
          <w:p w14:paraId="30197D0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结合智能应用服务器等硬件，利用人像聚档、预警事件合并、AI二次分析等技术，满足对陌生人或特定人员出现时及时预警并能快速处理的诉求，相比常规方案可以有效提升对陌生人或特定人员预警的准确性和处理效率。支持预警策略设置、实时预警中心、预警记录、预警输出等。</w:t>
            </w:r>
          </w:p>
          <w:p w14:paraId="59B33DE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1．支持针对不同区域配置不同的预警策略。</w:t>
            </w:r>
          </w:p>
          <w:p w14:paraId="387B09A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2．可开启的基础预警策略包括：同一陌生人或特定人员相邻事件预警合并、抓拍图片质量低时是否预警、陌生人或特定人员预警标记不同身份标签时X天内不重复预警等。</w:t>
            </w:r>
          </w:p>
          <w:p w14:paraId="4F2D13F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多封面比对策略，针对人脸底图老旧、设备抓拍人脸有部分遮挡等场景，通过从重点目标识别事件、门禁人员出入事件中自动采集质量较好的抓拍照片形成一人有多张底图，结合智能应用服务器的比对能力实现人像识别率优化</w:t>
            </w:r>
          </w:p>
          <w:p w14:paraId="04369AC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陌生人或特定人员二次分析策略，支持自动或手动检索与当前陌生人或特定人员告警相似的历史抓拍图，通过查看相似历史抓拍图的人脸库对比信息，实现间接确认当前陌生人告警是否为人脸库中的人员，减少因低头、侧脸等低质量抓拍产生的告警误报。</w:t>
            </w:r>
          </w:p>
          <w:p w14:paraId="6444D95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至少</w:t>
            </w:r>
            <w:r>
              <w:rPr>
                <w:rFonts w:ascii="宋体" w:hAnsi="宋体" w:cs="宋体"/>
                <w:color w:val="auto"/>
                <w:kern w:val="0"/>
                <w:szCs w:val="21"/>
                <w:highlight w:val="none"/>
              </w:rPr>
              <w:t>提供</w:t>
            </w:r>
            <w:r>
              <w:rPr>
                <w:rFonts w:hint="eastAsia" w:ascii="宋体" w:hAnsi="宋体" w:cs="宋体"/>
                <w:color w:val="auto"/>
                <w:kern w:val="0"/>
                <w:szCs w:val="21"/>
                <w:highlight w:val="none"/>
              </w:rPr>
              <w:t>以下</w:t>
            </w:r>
            <w:r>
              <w:rPr>
                <w:rFonts w:ascii="宋体" w:hAnsi="宋体" w:cs="宋体"/>
                <w:color w:val="auto"/>
                <w:kern w:val="0"/>
                <w:szCs w:val="21"/>
                <w:highlight w:val="none"/>
              </w:rPr>
              <w:t>告警输出功能：</w:t>
            </w:r>
          </w:p>
          <w:p w14:paraId="1961429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支持输出展示设定时间</w:t>
            </w:r>
            <w:r>
              <w:rPr>
                <w:rFonts w:ascii="宋体" w:hAnsi="宋体" w:cs="宋体"/>
                <w:color w:val="auto"/>
                <w:kern w:val="0"/>
                <w:szCs w:val="21"/>
                <w:highlight w:val="none"/>
              </w:rPr>
              <w:t>段内</w:t>
            </w:r>
            <w:r>
              <w:rPr>
                <w:rFonts w:hint="eastAsia" w:ascii="宋体" w:hAnsi="宋体" w:cs="宋体"/>
                <w:color w:val="auto"/>
                <w:kern w:val="0"/>
                <w:szCs w:val="21"/>
                <w:highlight w:val="none"/>
              </w:rPr>
              <w:t>历史高频出现</w:t>
            </w:r>
            <w:r>
              <w:rPr>
                <w:rFonts w:ascii="宋体" w:hAnsi="宋体" w:cs="宋体"/>
                <w:color w:val="auto"/>
                <w:kern w:val="0"/>
                <w:szCs w:val="21"/>
                <w:highlight w:val="none"/>
              </w:rPr>
              <w:t>的</w:t>
            </w:r>
            <w:r>
              <w:rPr>
                <w:rFonts w:hint="eastAsia" w:ascii="宋体" w:hAnsi="宋体" w:cs="宋体"/>
                <w:color w:val="auto"/>
                <w:kern w:val="0"/>
                <w:szCs w:val="21"/>
                <w:highlight w:val="none"/>
              </w:rPr>
              <w:t>重点人员和陌生人统计数，且</w:t>
            </w:r>
            <w:r>
              <w:rPr>
                <w:rFonts w:ascii="宋体" w:hAnsi="宋体" w:cs="宋体"/>
                <w:color w:val="auto"/>
                <w:kern w:val="0"/>
                <w:szCs w:val="21"/>
                <w:highlight w:val="none"/>
              </w:rPr>
              <w:t>可</w:t>
            </w:r>
            <w:r>
              <w:rPr>
                <w:rFonts w:hint="eastAsia" w:ascii="宋体" w:hAnsi="宋体" w:cs="宋体"/>
                <w:color w:val="auto"/>
                <w:kern w:val="0"/>
                <w:szCs w:val="21"/>
                <w:highlight w:val="none"/>
              </w:rPr>
              <w:t>查看关注</w:t>
            </w:r>
            <w:r>
              <w:rPr>
                <w:rFonts w:ascii="宋体" w:hAnsi="宋体" w:cs="宋体"/>
                <w:color w:val="auto"/>
                <w:kern w:val="0"/>
                <w:szCs w:val="21"/>
                <w:highlight w:val="none"/>
              </w:rPr>
              <w:t>人员的出现场景</w:t>
            </w:r>
            <w:r>
              <w:rPr>
                <w:rFonts w:hint="eastAsia" w:ascii="宋体" w:hAnsi="宋体" w:cs="宋体"/>
                <w:color w:val="auto"/>
                <w:kern w:val="0"/>
                <w:szCs w:val="21"/>
                <w:highlight w:val="none"/>
              </w:rPr>
              <w:t>及</w:t>
            </w:r>
            <w:r>
              <w:rPr>
                <w:rFonts w:ascii="宋体" w:hAnsi="宋体" w:cs="宋体"/>
                <w:color w:val="auto"/>
                <w:kern w:val="0"/>
                <w:szCs w:val="21"/>
                <w:highlight w:val="none"/>
              </w:rPr>
              <w:t>人</w:t>
            </w:r>
            <w:r>
              <w:rPr>
                <w:rFonts w:hint="eastAsia" w:ascii="宋体" w:hAnsi="宋体" w:cs="宋体"/>
                <w:color w:val="auto"/>
                <w:kern w:val="0"/>
                <w:szCs w:val="21"/>
                <w:highlight w:val="none"/>
              </w:rPr>
              <w:t>脸</w:t>
            </w:r>
            <w:r>
              <w:rPr>
                <w:rFonts w:ascii="宋体" w:hAnsi="宋体" w:cs="宋体"/>
                <w:color w:val="auto"/>
                <w:kern w:val="0"/>
                <w:szCs w:val="21"/>
                <w:highlight w:val="none"/>
              </w:rPr>
              <w:t>比对</w:t>
            </w:r>
            <w:r>
              <w:rPr>
                <w:rFonts w:hint="eastAsia" w:ascii="宋体" w:hAnsi="宋体" w:cs="宋体"/>
                <w:color w:val="auto"/>
                <w:kern w:val="0"/>
                <w:szCs w:val="21"/>
                <w:highlight w:val="none"/>
              </w:rPr>
              <w:t>等</w:t>
            </w:r>
            <w:r>
              <w:rPr>
                <w:rFonts w:ascii="宋体" w:hAnsi="宋体" w:cs="宋体"/>
                <w:color w:val="auto"/>
                <w:kern w:val="0"/>
                <w:szCs w:val="21"/>
                <w:highlight w:val="none"/>
              </w:rPr>
              <w:t>信息</w:t>
            </w:r>
            <w:r>
              <w:rPr>
                <w:rFonts w:hint="eastAsia" w:ascii="宋体" w:hAnsi="宋体" w:cs="宋体"/>
                <w:color w:val="auto"/>
                <w:kern w:val="0"/>
                <w:szCs w:val="21"/>
                <w:highlight w:val="none"/>
              </w:rPr>
              <w:t>。</w:t>
            </w:r>
          </w:p>
          <w:p w14:paraId="60C0EAA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支持</w:t>
            </w:r>
            <w:r>
              <w:rPr>
                <w:rFonts w:ascii="宋体" w:hAnsi="宋体" w:cs="宋体"/>
                <w:color w:val="auto"/>
                <w:kern w:val="0"/>
                <w:szCs w:val="21"/>
                <w:highlight w:val="none"/>
              </w:rPr>
              <w:t>根据告警信息，输出告警现场图像、现场人脸图像和对应的监视名单中目标人人脸图像及关联信息。</w:t>
            </w:r>
          </w:p>
          <w:p w14:paraId="3A20E20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3</w:t>
            </w:r>
            <w:r>
              <w:rPr>
                <w:rFonts w:hint="eastAsia" w:ascii="宋体" w:hAnsi="宋体" w:cs="宋体"/>
                <w:color w:val="auto"/>
                <w:kern w:val="0"/>
                <w:szCs w:val="21"/>
                <w:highlight w:val="none"/>
              </w:rPr>
              <w:t>）支持</w:t>
            </w:r>
            <w:r>
              <w:rPr>
                <w:rFonts w:ascii="宋体" w:hAnsi="宋体" w:cs="宋体"/>
                <w:color w:val="auto"/>
                <w:kern w:val="0"/>
                <w:szCs w:val="21"/>
                <w:highlight w:val="none"/>
              </w:rPr>
              <w:t>输出现场人脸图像与监视名单中目标人人脸图像的相似度值。</w:t>
            </w:r>
          </w:p>
          <w:p w14:paraId="49E0A00B">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十、支持访客管理应用</w:t>
            </w:r>
          </w:p>
          <w:p w14:paraId="6C94157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访客管理提供访客预约、访客登记、人证比对、访客签离、访客权限管理、短信通知、来访记录查看等功能。针对不同的场景可自定义访客单内容、短信内容、访客信息字段等。</w:t>
            </w:r>
          </w:p>
          <w:p w14:paraId="1D575227">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十一、支持设防入侵告警应用</w:t>
            </w:r>
          </w:p>
          <w:p w14:paraId="512DC60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基于前端防区探测器进行设防区域范围内的入侵行为或意外事件的迅速感知和处理，实现针对设防区域内部的高效安全防范。</w:t>
            </w:r>
          </w:p>
          <w:p w14:paraId="32883F9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1．支持报警子系统管理能力，包含布防、撤防、消警控制操作；</w:t>
            </w:r>
          </w:p>
          <w:p w14:paraId="5DD6D5E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2．支持防区管理能力，包含旁路、旁路恢复操作；</w:t>
            </w:r>
          </w:p>
          <w:p w14:paraId="423BE17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3．支持实时设防报警能力，</w:t>
            </w:r>
            <w:r>
              <w:rPr>
                <w:rFonts w:ascii="宋体" w:hAnsi="宋体" w:cs="宋体"/>
                <w:color w:val="auto"/>
                <w:kern w:val="0"/>
                <w:szCs w:val="21"/>
                <w:highlight w:val="none"/>
              </w:rPr>
              <w:t>包括设</w:t>
            </w:r>
            <w:r>
              <w:rPr>
                <w:rFonts w:hint="eastAsia" w:ascii="宋体" w:hAnsi="宋体" w:cs="宋体"/>
                <w:color w:val="auto"/>
                <w:kern w:val="0"/>
                <w:szCs w:val="21"/>
                <w:highlight w:val="none"/>
              </w:rPr>
              <w:t>定时间段</w:t>
            </w:r>
            <w:r>
              <w:rPr>
                <w:rFonts w:ascii="宋体" w:hAnsi="宋体" w:cs="宋体"/>
                <w:color w:val="auto"/>
                <w:kern w:val="0"/>
                <w:szCs w:val="21"/>
                <w:highlight w:val="none"/>
              </w:rPr>
              <w:t>内的区域</w:t>
            </w:r>
            <w:r>
              <w:rPr>
                <w:rFonts w:hint="eastAsia" w:ascii="宋体" w:hAnsi="宋体" w:cs="宋体"/>
                <w:color w:val="auto"/>
                <w:kern w:val="0"/>
                <w:szCs w:val="21"/>
                <w:highlight w:val="none"/>
              </w:rPr>
              <w:t>的人体越线、人体翻墙、区域入侵、人体徘徊、人员值岗</w:t>
            </w:r>
            <w:r>
              <w:rPr>
                <w:rFonts w:ascii="宋体" w:hAnsi="宋体" w:cs="宋体"/>
                <w:color w:val="auto"/>
                <w:kern w:val="0"/>
                <w:szCs w:val="21"/>
                <w:highlight w:val="none"/>
              </w:rPr>
              <w:t>/离岗</w:t>
            </w:r>
            <w:r>
              <w:rPr>
                <w:rFonts w:hint="eastAsia" w:ascii="宋体" w:hAnsi="宋体" w:cs="宋体"/>
                <w:color w:val="auto"/>
                <w:kern w:val="0"/>
                <w:szCs w:val="21"/>
                <w:highlight w:val="none"/>
              </w:rPr>
              <w:t>、</w:t>
            </w:r>
            <w:r>
              <w:rPr>
                <w:rFonts w:ascii="宋体" w:hAnsi="宋体" w:cs="宋体"/>
                <w:color w:val="auto"/>
                <w:kern w:val="0"/>
                <w:szCs w:val="21"/>
                <w:highlight w:val="none"/>
              </w:rPr>
              <w:t>人员跌倒、人员打架</w:t>
            </w:r>
            <w:r>
              <w:rPr>
                <w:rFonts w:hint="eastAsia" w:ascii="宋体" w:hAnsi="宋体" w:cs="宋体"/>
                <w:color w:val="auto"/>
                <w:kern w:val="0"/>
                <w:szCs w:val="21"/>
                <w:highlight w:val="none"/>
              </w:rPr>
              <w:t>、</w:t>
            </w:r>
            <w:r>
              <w:rPr>
                <w:rFonts w:ascii="宋体" w:hAnsi="宋体" w:cs="宋体"/>
                <w:color w:val="auto"/>
                <w:kern w:val="0"/>
                <w:szCs w:val="21"/>
                <w:highlight w:val="none"/>
              </w:rPr>
              <w:t>人员抽烟、人员看手机</w:t>
            </w:r>
            <w:r>
              <w:rPr>
                <w:rFonts w:hint="eastAsia" w:ascii="宋体" w:hAnsi="宋体" w:cs="宋体"/>
                <w:color w:val="auto"/>
                <w:kern w:val="0"/>
                <w:szCs w:val="21"/>
                <w:highlight w:val="none"/>
              </w:rPr>
              <w:t>、</w:t>
            </w:r>
            <w:r>
              <w:rPr>
                <w:rFonts w:ascii="宋体" w:hAnsi="宋体" w:cs="宋体"/>
                <w:color w:val="auto"/>
                <w:kern w:val="0"/>
                <w:szCs w:val="21"/>
                <w:highlight w:val="none"/>
              </w:rPr>
              <w:t>人员聚集</w:t>
            </w:r>
            <w:r>
              <w:rPr>
                <w:rFonts w:hint="eastAsia" w:ascii="宋体" w:hAnsi="宋体" w:cs="宋体"/>
                <w:color w:val="auto"/>
                <w:kern w:val="0"/>
                <w:szCs w:val="21"/>
                <w:highlight w:val="none"/>
              </w:rPr>
              <w:t>等；</w:t>
            </w:r>
          </w:p>
          <w:p w14:paraId="2AF37B4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4．支持历史设防入侵报警事件查询、告警事件统计及导出能力。</w:t>
            </w:r>
          </w:p>
          <w:p w14:paraId="53C5495D">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十二、支持设备网络管理应用</w:t>
            </w:r>
          </w:p>
          <w:p w14:paraId="56C9209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设备网络管理应用，对接入平台的视频设备，门禁设备，梯控设备，可视对讲设备进行在线巡检，及时发现故障设备和掉线设备，使运维工作更加高效，便利。含不少于1000路设备不限时授权</w:t>
            </w:r>
            <w:r>
              <w:rPr>
                <w:rFonts w:ascii="宋体" w:hAnsi="宋体" w:cs="宋体"/>
                <w:color w:val="auto"/>
                <w:kern w:val="0"/>
                <w:szCs w:val="21"/>
                <w:highlight w:val="none"/>
              </w:rPr>
              <w:t>的</w:t>
            </w:r>
            <w:r>
              <w:rPr>
                <w:rFonts w:hint="eastAsia" w:ascii="宋体" w:hAnsi="宋体" w:cs="宋体"/>
                <w:color w:val="auto"/>
                <w:kern w:val="0"/>
                <w:szCs w:val="21"/>
                <w:highlight w:val="none"/>
              </w:rPr>
              <w:t>网络管理，授权数不能绑定</w:t>
            </w:r>
            <w:r>
              <w:rPr>
                <w:rFonts w:ascii="宋体" w:hAnsi="宋体" w:cs="宋体"/>
                <w:color w:val="auto"/>
                <w:kern w:val="0"/>
                <w:szCs w:val="21"/>
                <w:highlight w:val="none"/>
              </w:rPr>
              <w:t>设备，</w:t>
            </w:r>
            <w:r>
              <w:rPr>
                <w:rFonts w:hint="eastAsia" w:ascii="宋体" w:hAnsi="宋体" w:cs="宋体"/>
                <w:color w:val="auto"/>
                <w:kern w:val="0"/>
                <w:szCs w:val="21"/>
                <w:highlight w:val="none"/>
              </w:rPr>
              <w:t>单一设备维修替换后</w:t>
            </w:r>
            <w:r>
              <w:rPr>
                <w:rFonts w:ascii="宋体" w:hAnsi="宋体" w:cs="宋体"/>
                <w:color w:val="auto"/>
                <w:kern w:val="0"/>
                <w:szCs w:val="21"/>
                <w:highlight w:val="none"/>
              </w:rPr>
              <w:t>不</w:t>
            </w:r>
            <w:r>
              <w:rPr>
                <w:rFonts w:hint="eastAsia" w:ascii="宋体" w:hAnsi="宋体" w:cs="宋体"/>
                <w:color w:val="auto"/>
                <w:kern w:val="0"/>
                <w:szCs w:val="21"/>
                <w:highlight w:val="none"/>
              </w:rPr>
              <w:t>占用</w:t>
            </w:r>
            <w:r>
              <w:rPr>
                <w:rFonts w:ascii="宋体" w:hAnsi="宋体" w:cs="宋体"/>
                <w:color w:val="auto"/>
                <w:kern w:val="0"/>
                <w:szCs w:val="21"/>
                <w:highlight w:val="none"/>
              </w:rPr>
              <w:t>新的</w:t>
            </w:r>
            <w:r>
              <w:rPr>
                <w:rFonts w:hint="eastAsia" w:ascii="宋体" w:hAnsi="宋体" w:cs="宋体"/>
                <w:color w:val="auto"/>
                <w:kern w:val="0"/>
                <w:szCs w:val="21"/>
                <w:highlight w:val="none"/>
              </w:rPr>
              <w:t>授权</w:t>
            </w:r>
            <w:r>
              <w:rPr>
                <w:rFonts w:ascii="宋体" w:hAnsi="宋体" w:cs="宋体"/>
                <w:color w:val="auto"/>
                <w:kern w:val="0"/>
                <w:szCs w:val="21"/>
                <w:highlight w:val="none"/>
              </w:rPr>
              <w:t>数</w:t>
            </w:r>
            <w:r>
              <w:rPr>
                <w:rFonts w:hint="eastAsia" w:ascii="宋体" w:hAnsi="宋体" w:cs="宋体"/>
                <w:color w:val="auto"/>
                <w:kern w:val="0"/>
                <w:szCs w:val="21"/>
                <w:highlight w:val="none"/>
              </w:rPr>
              <w:t>。</w:t>
            </w:r>
          </w:p>
          <w:p w14:paraId="58647B79">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十三、提供多</w:t>
            </w:r>
            <w:r>
              <w:rPr>
                <w:rFonts w:ascii="宋体" w:hAnsi="宋体" w:cs="宋体"/>
                <w:b/>
                <w:color w:val="auto"/>
                <w:kern w:val="0"/>
                <w:szCs w:val="21"/>
                <w:highlight w:val="none"/>
              </w:rPr>
              <w:t>类型</w:t>
            </w:r>
            <w:r>
              <w:rPr>
                <w:rFonts w:hint="eastAsia" w:ascii="宋体" w:hAnsi="宋体" w:cs="宋体"/>
                <w:b/>
                <w:color w:val="auto"/>
                <w:kern w:val="0"/>
                <w:szCs w:val="21"/>
                <w:highlight w:val="none"/>
              </w:rPr>
              <w:t>客户终端应用</w:t>
            </w:r>
          </w:p>
          <w:p w14:paraId="6DD5747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1．ARM 信创客户端支持在ARM指令集的CPU（飞腾、鲲鹏）和麒麟、统信（UOS）等操作系统的国产化信创</w:t>
            </w:r>
            <w:r>
              <w:rPr>
                <w:rFonts w:ascii="宋体" w:hAnsi="宋体" w:cs="宋体"/>
                <w:color w:val="auto"/>
                <w:kern w:val="0"/>
                <w:szCs w:val="21"/>
                <w:highlight w:val="none"/>
              </w:rPr>
              <w:t>环境PC端</w:t>
            </w:r>
            <w:r>
              <w:rPr>
                <w:rFonts w:hint="eastAsia" w:ascii="宋体" w:hAnsi="宋体" w:cs="宋体"/>
                <w:color w:val="auto"/>
                <w:kern w:val="0"/>
                <w:szCs w:val="21"/>
                <w:highlight w:val="none"/>
              </w:rPr>
              <w:t>环境下运行，支持视频预览、录像回放、视频上墙、门禁、事件联动、入侵报警业务功能。</w:t>
            </w:r>
          </w:p>
          <w:p w14:paraId="641E655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x</w:t>
            </w:r>
            <w:r>
              <w:rPr>
                <w:rFonts w:hint="eastAsia" w:ascii="宋体" w:hAnsi="宋体" w:cs="宋体"/>
                <w:color w:val="auto"/>
                <w:kern w:val="0"/>
                <w:szCs w:val="21"/>
                <w:highlight w:val="none"/>
              </w:rPr>
              <w:t>86客户端软件（含国产化</w:t>
            </w:r>
            <w:r>
              <w:rPr>
                <w:rFonts w:ascii="宋体" w:hAnsi="宋体" w:cs="宋体"/>
                <w:color w:val="auto"/>
                <w:kern w:val="0"/>
                <w:szCs w:val="21"/>
                <w:highlight w:val="none"/>
              </w:rPr>
              <w:t>信创环境</w:t>
            </w:r>
            <w:r>
              <w:rPr>
                <w:rFonts w:hint="eastAsia" w:ascii="宋体" w:hAnsi="宋体" w:cs="宋体"/>
                <w:color w:val="auto"/>
                <w:kern w:val="0"/>
                <w:szCs w:val="21"/>
                <w:highlight w:val="none"/>
              </w:rPr>
              <w:t>和</w:t>
            </w:r>
            <w:r>
              <w:rPr>
                <w:rFonts w:ascii="宋体" w:hAnsi="宋体" w:cs="宋体"/>
                <w:color w:val="auto"/>
                <w:kern w:val="0"/>
                <w:szCs w:val="21"/>
                <w:highlight w:val="none"/>
              </w:rPr>
              <w:t>x86</w:t>
            </w:r>
            <w:r>
              <w:rPr>
                <w:rFonts w:hint="eastAsia" w:ascii="宋体" w:hAnsi="宋体" w:cs="宋体"/>
                <w:color w:val="auto"/>
                <w:kern w:val="0"/>
                <w:szCs w:val="21"/>
                <w:highlight w:val="none"/>
              </w:rPr>
              <w:t>非</w:t>
            </w:r>
            <w:r>
              <w:rPr>
                <w:rFonts w:ascii="宋体" w:hAnsi="宋体" w:cs="宋体"/>
                <w:color w:val="auto"/>
                <w:kern w:val="0"/>
                <w:szCs w:val="21"/>
                <w:highlight w:val="none"/>
              </w:rPr>
              <w:t>信创环境</w:t>
            </w:r>
            <w:r>
              <w:rPr>
                <w:rFonts w:hint="eastAsia" w:ascii="宋体" w:hAnsi="宋体" w:cs="宋体"/>
                <w:color w:val="auto"/>
                <w:kern w:val="0"/>
                <w:szCs w:val="21"/>
                <w:highlight w:val="none"/>
              </w:rPr>
              <w:t>等</w:t>
            </w:r>
            <w:r>
              <w:rPr>
                <w:rFonts w:ascii="宋体" w:hAnsi="宋体" w:cs="宋体"/>
                <w:color w:val="auto"/>
                <w:kern w:val="0"/>
                <w:szCs w:val="21"/>
                <w:highlight w:val="none"/>
              </w:rPr>
              <w:t>PC端）</w:t>
            </w:r>
            <w:r>
              <w:rPr>
                <w:rFonts w:hint="eastAsia" w:ascii="宋体" w:hAnsi="宋体" w:cs="宋体"/>
                <w:color w:val="auto"/>
                <w:kern w:val="0"/>
                <w:szCs w:val="21"/>
                <w:highlight w:val="none"/>
              </w:rPr>
              <w:t>支持在x86指令集CPU和</w:t>
            </w:r>
            <w:r>
              <w:rPr>
                <w:rFonts w:ascii="宋体" w:hAnsi="宋体" w:cs="宋体"/>
                <w:color w:val="auto"/>
                <w:kern w:val="0"/>
                <w:szCs w:val="21"/>
                <w:highlight w:val="none"/>
              </w:rPr>
              <w:t>W</w:t>
            </w:r>
            <w:r>
              <w:rPr>
                <w:rFonts w:hint="eastAsia" w:ascii="宋体" w:hAnsi="宋体" w:cs="宋体"/>
                <w:color w:val="auto"/>
                <w:kern w:val="0"/>
                <w:szCs w:val="21"/>
                <w:highlight w:val="none"/>
              </w:rPr>
              <w:t>indows</w:t>
            </w:r>
            <w:r>
              <w:rPr>
                <w:rFonts w:ascii="宋体" w:hAnsi="宋体" w:cs="宋体"/>
                <w:color w:val="auto"/>
                <w:kern w:val="0"/>
                <w:szCs w:val="21"/>
                <w:highlight w:val="none"/>
              </w:rPr>
              <w:t>或</w:t>
            </w:r>
            <w:r>
              <w:rPr>
                <w:rFonts w:hint="eastAsia" w:ascii="宋体" w:hAnsi="宋体" w:cs="宋体"/>
                <w:color w:val="auto"/>
                <w:kern w:val="0"/>
                <w:szCs w:val="21"/>
                <w:highlight w:val="none"/>
              </w:rPr>
              <w:t>内核为</w:t>
            </w:r>
            <w:r>
              <w:rPr>
                <w:rFonts w:ascii="宋体" w:hAnsi="宋体" w:cs="宋体"/>
                <w:color w:val="auto"/>
                <w:kern w:val="0"/>
                <w:szCs w:val="21"/>
                <w:highlight w:val="none"/>
              </w:rPr>
              <w:t>Linux</w:t>
            </w:r>
            <w:r>
              <w:rPr>
                <w:rFonts w:hint="eastAsia" w:ascii="宋体" w:hAnsi="宋体" w:cs="宋体"/>
                <w:color w:val="auto"/>
                <w:kern w:val="0"/>
                <w:szCs w:val="21"/>
                <w:highlight w:val="none"/>
              </w:rPr>
              <w:t>等市场上</w:t>
            </w:r>
            <w:r>
              <w:rPr>
                <w:rFonts w:ascii="宋体" w:hAnsi="宋体" w:cs="宋体"/>
                <w:color w:val="auto"/>
                <w:kern w:val="0"/>
                <w:szCs w:val="21"/>
                <w:highlight w:val="none"/>
              </w:rPr>
              <w:t>常见</w:t>
            </w:r>
            <w:r>
              <w:rPr>
                <w:rFonts w:hint="eastAsia" w:ascii="宋体" w:hAnsi="宋体" w:cs="宋体"/>
                <w:color w:val="auto"/>
                <w:kern w:val="0"/>
                <w:szCs w:val="21"/>
                <w:highlight w:val="none"/>
              </w:rPr>
              <w:t>操作系统的个人电脑</w:t>
            </w:r>
            <w:r>
              <w:rPr>
                <w:rFonts w:ascii="宋体" w:hAnsi="宋体" w:cs="宋体"/>
                <w:color w:val="auto"/>
                <w:kern w:val="0"/>
                <w:szCs w:val="21"/>
                <w:highlight w:val="none"/>
              </w:rPr>
              <w:t>终端</w:t>
            </w:r>
            <w:r>
              <w:rPr>
                <w:rFonts w:hint="eastAsia" w:ascii="宋体" w:hAnsi="宋体" w:cs="宋体"/>
                <w:color w:val="auto"/>
                <w:kern w:val="0"/>
                <w:szCs w:val="21"/>
                <w:highlight w:val="none"/>
              </w:rPr>
              <w:t>下运行，支持视频预览、录像回放、视频上墙、门禁、事件联动、入侵报警业务功能。</w:t>
            </w:r>
          </w:p>
          <w:p w14:paraId="44FCFFD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3．MIPS信创客户端支持在龙芯CPU（MIPS指令集）和麒麟、统信（UOS）操作系统的国产化信创</w:t>
            </w:r>
            <w:r>
              <w:rPr>
                <w:rFonts w:ascii="宋体" w:hAnsi="宋体" w:cs="宋体"/>
                <w:color w:val="auto"/>
                <w:kern w:val="0"/>
                <w:szCs w:val="21"/>
                <w:highlight w:val="none"/>
              </w:rPr>
              <w:t>环境PC端</w:t>
            </w:r>
            <w:r>
              <w:rPr>
                <w:rFonts w:hint="eastAsia" w:ascii="宋体" w:hAnsi="宋体" w:cs="宋体"/>
                <w:color w:val="auto"/>
                <w:kern w:val="0"/>
                <w:szCs w:val="21"/>
                <w:highlight w:val="none"/>
              </w:rPr>
              <w:t>下运行，支持视频预览、录像回放、视频上墙、门禁、事件联动、入侵报警业务功能。</w:t>
            </w:r>
          </w:p>
          <w:p w14:paraId="4F1BC274">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移动客户端至少支持在安卓10</w:t>
            </w:r>
            <w:r>
              <w:rPr>
                <w:rFonts w:ascii="宋体" w:hAnsi="宋体" w:cs="宋体"/>
                <w:color w:val="auto"/>
                <w:kern w:val="0"/>
                <w:szCs w:val="21"/>
                <w:highlight w:val="none"/>
              </w:rPr>
              <w:t>.</w:t>
            </w:r>
            <w:r>
              <w:rPr>
                <w:rFonts w:hint="eastAsia" w:ascii="宋体" w:hAnsi="宋体" w:cs="宋体"/>
                <w:color w:val="auto"/>
                <w:kern w:val="0"/>
                <w:szCs w:val="21"/>
                <w:highlight w:val="none"/>
              </w:rPr>
              <w:t>0及</w:t>
            </w:r>
            <w:r>
              <w:rPr>
                <w:rFonts w:ascii="宋体" w:hAnsi="宋体" w:cs="宋体"/>
                <w:color w:val="auto"/>
                <w:kern w:val="0"/>
                <w:szCs w:val="21"/>
                <w:highlight w:val="none"/>
              </w:rPr>
              <w:t>以上、鸿蒙</w:t>
            </w:r>
            <w:r>
              <w:rPr>
                <w:rFonts w:hint="eastAsia" w:ascii="宋体" w:hAnsi="宋体" w:cs="宋体"/>
                <w:color w:val="auto"/>
                <w:kern w:val="0"/>
                <w:szCs w:val="21"/>
                <w:highlight w:val="none"/>
              </w:rPr>
              <w:t>4</w:t>
            </w:r>
            <w:r>
              <w:rPr>
                <w:rFonts w:ascii="宋体" w:hAnsi="宋体" w:cs="宋体"/>
                <w:color w:val="auto"/>
                <w:kern w:val="0"/>
                <w:szCs w:val="21"/>
                <w:highlight w:val="none"/>
              </w:rPr>
              <w:t>.0</w:t>
            </w:r>
            <w:r>
              <w:rPr>
                <w:rFonts w:hint="eastAsia" w:ascii="宋体" w:hAnsi="宋体" w:cs="宋体"/>
                <w:color w:val="auto"/>
                <w:kern w:val="0"/>
                <w:szCs w:val="21"/>
                <w:highlight w:val="none"/>
              </w:rPr>
              <w:t>及</w:t>
            </w:r>
            <w:r>
              <w:rPr>
                <w:rFonts w:ascii="宋体" w:hAnsi="宋体" w:cs="宋体"/>
                <w:color w:val="auto"/>
                <w:kern w:val="0"/>
                <w:szCs w:val="21"/>
                <w:highlight w:val="none"/>
              </w:rPr>
              <w:t>以上</w:t>
            </w:r>
            <w:r>
              <w:rPr>
                <w:rFonts w:hint="eastAsia" w:ascii="宋体" w:hAnsi="宋体" w:cs="宋体"/>
                <w:color w:val="auto"/>
                <w:kern w:val="0"/>
                <w:szCs w:val="21"/>
                <w:highlight w:val="none"/>
              </w:rPr>
              <w:t>操作系统的移动</w:t>
            </w:r>
            <w:r>
              <w:rPr>
                <w:rFonts w:ascii="宋体" w:hAnsi="宋体" w:cs="宋体"/>
                <w:color w:val="auto"/>
                <w:kern w:val="0"/>
                <w:szCs w:val="21"/>
                <w:highlight w:val="none"/>
              </w:rPr>
              <w:t>端</w:t>
            </w:r>
            <w:r>
              <w:rPr>
                <w:rFonts w:hint="eastAsia" w:ascii="宋体" w:hAnsi="宋体" w:cs="宋体"/>
                <w:color w:val="auto"/>
                <w:kern w:val="0"/>
                <w:szCs w:val="21"/>
                <w:highlight w:val="none"/>
              </w:rPr>
              <w:t>下运行，支持视频预览、录像回放、门禁、事件联动、入侵报警业务功能。</w:t>
            </w:r>
          </w:p>
          <w:p w14:paraId="442AC0E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▲5．至少提供支持以上4种客户端已终身授权使用</w:t>
            </w:r>
            <w:r>
              <w:rPr>
                <w:rFonts w:ascii="宋体" w:hAnsi="宋体" w:cs="宋体"/>
                <w:color w:val="auto"/>
                <w:kern w:val="0"/>
                <w:szCs w:val="21"/>
                <w:highlight w:val="none"/>
              </w:rPr>
              <w:t>的正式版</w:t>
            </w:r>
            <w:r>
              <w:rPr>
                <w:rFonts w:hint="eastAsia" w:ascii="宋体" w:hAnsi="宋体" w:cs="宋体"/>
                <w:color w:val="auto"/>
                <w:kern w:val="0"/>
                <w:szCs w:val="21"/>
                <w:highlight w:val="none"/>
              </w:rPr>
              <w:t>软件，在</w:t>
            </w:r>
            <w:r>
              <w:rPr>
                <w:rFonts w:ascii="宋体" w:hAnsi="宋体" w:cs="宋体"/>
                <w:color w:val="auto"/>
                <w:kern w:val="0"/>
                <w:szCs w:val="21"/>
                <w:highlight w:val="none"/>
              </w:rPr>
              <w:t>采购人内部网络（</w:t>
            </w:r>
            <w:r>
              <w:rPr>
                <w:rFonts w:hint="eastAsia" w:ascii="宋体" w:hAnsi="宋体" w:cs="宋体"/>
                <w:color w:val="auto"/>
                <w:kern w:val="0"/>
                <w:szCs w:val="21"/>
                <w:highlight w:val="none"/>
              </w:rPr>
              <w:t>可利用</w:t>
            </w:r>
            <w:r>
              <w:rPr>
                <w:rFonts w:ascii="宋体" w:hAnsi="宋体" w:cs="宋体"/>
                <w:color w:val="auto"/>
                <w:kern w:val="0"/>
                <w:szCs w:val="21"/>
                <w:highlight w:val="none"/>
              </w:rPr>
              <w:t>本</w:t>
            </w:r>
            <w:r>
              <w:rPr>
                <w:rFonts w:hint="eastAsia" w:ascii="宋体" w:hAnsi="宋体" w:cs="宋体"/>
                <w:color w:val="auto"/>
                <w:kern w:val="0"/>
                <w:szCs w:val="21"/>
                <w:highlight w:val="none"/>
              </w:rPr>
              <w:t>项目</w:t>
            </w:r>
            <w:r>
              <w:rPr>
                <w:rFonts w:ascii="宋体" w:hAnsi="宋体" w:cs="宋体"/>
                <w:color w:val="auto"/>
                <w:kern w:val="0"/>
                <w:szCs w:val="21"/>
                <w:highlight w:val="none"/>
              </w:rPr>
              <w:t>服务器）</w:t>
            </w:r>
            <w:r>
              <w:rPr>
                <w:rFonts w:hint="eastAsia" w:ascii="宋体" w:hAnsi="宋体" w:cs="宋体"/>
                <w:color w:val="auto"/>
                <w:kern w:val="0"/>
                <w:szCs w:val="21"/>
                <w:highlight w:val="none"/>
              </w:rPr>
              <w:t>提供</w:t>
            </w:r>
            <w:r>
              <w:rPr>
                <w:rFonts w:ascii="宋体" w:hAnsi="宋体" w:cs="宋体"/>
                <w:color w:val="auto"/>
                <w:kern w:val="0"/>
                <w:szCs w:val="21"/>
                <w:highlight w:val="none"/>
              </w:rPr>
              <w:t>软件</w:t>
            </w:r>
            <w:r>
              <w:rPr>
                <w:rFonts w:hint="eastAsia" w:ascii="宋体" w:hAnsi="宋体" w:cs="宋体"/>
                <w:color w:val="auto"/>
                <w:kern w:val="0"/>
                <w:szCs w:val="21"/>
                <w:highlight w:val="none"/>
              </w:rPr>
              <w:t>安全下载环境</w:t>
            </w:r>
            <w:r>
              <w:rPr>
                <w:rFonts w:ascii="宋体" w:hAnsi="宋体" w:cs="宋体"/>
                <w:color w:val="auto"/>
                <w:kern w:val="0"/>
                <w:szCs w:val="21"/>
                <w:highlight w:val="none"/>
              </w:rPr>
              <w:t>，</w:t>
            </w:r>
            <w:r>
              <w:rPr>
                <w:rFonts w:hint="eastAsia" w:ascii="宋体" w:hAnsi="宋体" w:cs="宋体"/>
                <w:color w:val="auto"/>
                <w:kern w:val="0"/>
                <w:szCs w:val="21"/>
                <w:highlight w:val="none"/>
              </w:rPr>
              <w:t>并</w:t>
            </w:r>
            <w:r>
              <w:rPr>
                <w:rFonts w:ascii="宋体" w:hAnsi="宋体" w:cs="宋体"/>
                <w:color w:val="auto"/>
                <w:kern w:val="0"/>
                <w:szCs w:val="21"/>
                <w:highlight w:val="none"/>
              </w:rPr>
              <w:t>提供</w:t>
            </w:r>
            <w:r>
              <w:rPr>
                <w:rFonts w:hint="eastAsia" w:ascii="宋体" w:hAnsi="宋体" w:cs="宋体"/>
                <w:color w:val="auto"/>
                <w:kern w:val="0"/>
                <w:szCs w:val="21"/>
                <w:highlight w:val="none"/>
              </w:rPr>
              <w:t>部署安装使用</w:t>
            </w:r>
            <w:r>
              <w:rPr>
                <w:rFonts w:ascii="宋体" w:hAnsi="宋体" w:cs="宋体"/>
                <w:color w:val="auto"/>
                <w:kern w:val="0"/>
                <w:szCs w:val="21"/>
                <w:highlight w:val="none"/>
              </w:rPr>
              <w:t>的用户手册</w:t>
            </w:r>
            <w:r>
              <w:rPr>
                <w:rFonts w:hint="eastAsia" w:ascii="宋体" w:hAnsi="宋体" w:cs="宋体"/>
                <w:color w:val="auto"/>
                <w:kern w:val="0"/>
                <w:szCs w:val="21"/>
                <w:highlight w:val="none"/>
              </w:rPr>
              <w:t>给</w:t>
            </w:r>
            <w:r>
              <w:rPr>
                <w:rFonts w:ascii="宋体" w:hAnsi="宋体" w:cs="宋体"/>
                <w:color w:val="auto"/>
                <w:kern w:val="0"/>
                <w:szCs w:val="21"/>
                <w:highlight w:val="none"/>
              </w:rPr>
              <w:t>用户下载</w:t>
            </w:r>
            <w:r>
              <w:rPr>
                <w:rFonts w:hint="eastAsia" w:ascii="宋体" w:hAnsi="宋体" w:cs="宋体"/>
                <w:color w:val="auto"/>
                <w:kern w:val="0"/>
                <w:szCs w:val="21"/>
                <w:highlight w:val="none"/>
              </w:rPr>
              <w:t>。</w:t>
            </w:r>
          </w:p>
          <w:p w14:paraId="678FDCDE">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十四、服务端国产化环境适配</w:t>
            </w:r>
          </w:p>
          <w:p w14:paraId="130F603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1．国产化操作系统适配，支持适配麒麟、统信或中科方德等国产化操作系统，支持对操作系统磁盘剩余空间、</w:t>
            </w:r>
            <w:r>
              <w:rPr>
                <w:rFonts w:ascii="宋体" w:hAnsi="宋体" w:cs="宋体"/>
                <w:color w:val="auto"/>
                <w:kern w:val="0"/>
                <w:szCs w:val="21"/>
                <w:highlight w:val="none"/>
              </w:rPr>
              <w:t>CPU</w:t>
            </w:r>
            <w:r>
              <w:rPr>
                <w:rFonts w:hint="eastAsia" w:ascii="宋体" w:hAnsi="宋体" w:cs="宋体"/>
                <w:color w:val="auto"/>
                <w:kern w:val="0"/>
                <w:szCs w:val="21"/>
                <w:highlight w:val="none"/>
              </w:rPr>
              <w:t>、内存占用、句柄数、线程数等进行监测。支持适配国产化CPU，能</w:t>
            </w:r>
            <w:r>
              <w:rPr>
                <w:rFonts w:ascii="宋体" w:hAnsi="宋体" w:cs="宋体"/>
                <w:color w:val="auto"/>
                <w:kern w:val="0"/>
                <w:szCs w:val="21"/>
                <w:highlight w:val="none"/>
              </w:rPr>
              <w:t>配合采购人</w:t>
            </w:r>
            <w:r>
              <w:rPr>
                <w:rFonts w:hint="eastAsia" w:ascii="宋体" w:hAnsi="宋体" w:cs="宋体"/>
                <w:color w:val="auto"/>
                <w:kern w:val="0"/>
                <w:szCs w:val="21"/>
                <w:highlight w:val="none"/>
              </w:rPr>
              <w:t>安装环境</w:t>
            </w:r>
            <w:r>
              <w:rPr>
                <w:rFonts w:ascii="宋体" w:hAnsi="宋体" w:cs="宋体"/>
                <w:color w:val="auto"/>
                <w:kern w:val="0"/>
                <w:szCs w:val="21"/>
                <w:highlight w:val="none"/>
              </w:rPr>
              <w:t>的</w:t>
            </w:r>
            <w:r>
              <w:rPr>
                <w:rFonts w:hint="eastAsia" w:ascii="宋体" w:hAnsi="宋体" w:cs="宋体"/>
                <w:color w:val="auto"/>
                <w:kern w:val="0"/>
                <w:szCs w:val="21"/>
                <w:highlight w:val="none"/>
              </w:rPr>
              <w:t>国产CPU指令集，对所有组件、服务、客户端、工具、对外接口服务等进行适配改造</w:t>
            </w:r>
            <w:r>
              <w:rPr>
                <w:rFonts w:ascii="宋体" w:hAnsi="宋体" w:cs="宋体"/>
                <w:color w:val="auto"/>
                <w:kern w:val="0"/>
                <w:szCs w:val="21"/>
                <w:highlight w:val="none"/>
              </w:rPr>
              <w:t>操作</w:t>
            </w:r>
            <w:r>
              <w:rPr>
                <w:rFonts w:hint="eastAsia" w:ascii="宋体" w:hAnsi="宋体" w:cs="宋体"/>
                <w:color w:val="auto"/>
                <w:kern w:val="0"/>
                <w:szCs w:val="21"/>
                <w:highlight w:val="none"/>
              </w:rPr>
              <w:t>。可针对设备集成、控制等相关程序、视频播放器等客户端程序测试适配。</w:t>
            </w:r>
          </w:p>
          <w:p w14:paraId="74898CB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2．业务适配国产系统，业务代码中用到的公共库：设备 SDK、公共日志库、公共认证库、公共校时库、本地通知库等大量的公共库等进行适配。原子量通讯从汇编指令适配为互斥量。依赖操作系统API适配。对引用windows专用的头文件的逻辑调整，兼容非X86系统。shell脚本调整为bash。底层逻辑适配Debian系列系统。服务运维实现，硬编码来兼容适配。内存调优、系统库版本统一、指令兼容等适配。服务运维实现，硬编码来兼容适配。内存调优、系统库版本统一、指令兼容等适配。</w:t>
            </w:r>
          </w:p>
          <w:p w14:paraId="72E4331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3．国产化数据库适配，本项目需</w:t>
            </w:r>
            <w:r>
              <w:rPr>
                <w:rFonts w:ascii="宋体" w:hAnsi="宋体" w:cs="宋体"/>
                <w:color w:val="auto"/>
                <w:kern w:val="0"/>
                <w:szCs w:val="21"/>
                <w:highlight w:val="none"/>
              </w:rPr>
              <w:t>利旧</w:t>
            </w:r>
            <w:r>
              <w:rPr>
                <w:rFonts w:hint="eastAsia" w:ascii="宋体" w:hAnsi="宋体" w:cs="宋体"/>
                <w:color w:val="auto"/>
                <w:kern w:val="0"/>
                <w:szCs w:val="21"/>
                <w:highlight w:val="none"/>
              </w:rPr>
              <w:t>采购人国产化环境下</w:t>
            </w:r>
            <w:r>
              <w:rPr>
                <w:rFonts w:ascii="宋体" w:hAnsi="宋体" w:cs="宋体"/>
                <w:color w:val="auto"/>
                <w:kern w:val="0"/>
                <w:szCs w:val="21"/>
                <w:highlight w:val="none"/>
              </w:rPr>
              <w:t>的达梦</w:t>
            </w:r>
            <w:r>
              <w:rPr>
                <w:rFonts w:hint="eastAsia" w:ascii="宋体" w:hAnsi="宋体" w:cs="宋体"/>
                <w:color w:val="auto"/>
                <w:kern w:val="0"/>
                <w:szCs w:val="21"/>
                <w:highlight w:val="none"/>
              </w:rPr>
              <w:t>8</w:t>
            </w:r>
            <w:r>
              <w:rPr>
                <w:rFonts w:ascii="宋体" w:hAnsi="宋体" w:cs="宋体"/>
                <w:color w:val="auto"/>
                <w:kern w:val="0"/>
                <w:szCs w:val="21"/>
                <w:highlight w:val="none"/>
              </w:rPr>
              <w:t>.0</w:t>
            </w:r>
            <w:r>
              <w:rPr>
                <w:rFonts w:hint="eastAsia" w:ascii="宋体" w:hAnsi="宋体" w:cs="宋体"/>
                <w:color w:val="auto"/>
                <w:kern w:val="0"/>
                <w:szCs w:val="21"/>
                <w:highlight w:val="none"/>
              </w:rPr>
              <w:t>数据库软件，为本系统平台</w:t>
            </w:r>
            <w:r>
              <w:rPr>
                <w:rFonts w:ascii="宋体" w:hAnsi="宋体" w:cs="宋体"/>
                <w:color w:val="auto"/>
                <w:kern w:val="0"/>
                <w:szCs w:val="21"/>
                <w:highlight w:val="none"/>
              </w:rPr>
              <w:t>提供数据库</w:t>
            </w:r>
            <w:r>
              <w:rPr>
                <w:rFonts w:hint="eastAsia" w:ascii="宋体" w:hAnsi="宋体" w:cs="宋体"/>
                <w:color w:val="auto"/>
                <w:kern w:val="0"/>
                <w:szCs w:val="21"/>
                <w:highlight w:val="none"/>
              </w:rPr>
              <w:t>支撑，</w:t>
            </w:r>
            <w:r>
              <w:rPr>
                <w:rFonts w:ascii="宋体" w:hAnsi="宋体" w:cs="宋体"/>
                <w:color w:val="auto"/>
                <w:kern w:val="0"/>
                <w:szCs w:val="21"/>
                <w:highlight w:val="none"/>
              </w:rPr>
              <w:t>因此，本系统</w:t>
            </w:r>
            <w:r>
              <w:rPr>
                <w:rFonts w:hint="eastAsia" w:ascii="宋体" w:hAnsi="宋体" w:cs="宋体"/>
                <w:color w:val="auto"/>
                <w:kern w:val="0"/>
                <w:szCs w:val="21"/>
                <w:highlight w:val="none"/>
              </w:rPr>
              <w:t>及各类配置、</w:t>
            </w:r>
            <w:r>
              <w:rPr>
                <w:rFonts w:ascii="宋体" w:hAnsi="宋体" w:cs="宋体"/>
                <w:color w:val="auto"/>
                <w:kern w:val="0"/>
                <w:szCs w:val="21"/>
                <w:highlight w:val="none"/>
              </w:rPr>
              <w:t>各类指令</w:t>
            </w:r>
            <w:r>
              <w:rPr>
                <w:rFonts w:hint="eastAsia" w:ascii="宋体" w:hAnsi="宋体" w:cs="宋体"/>
                <w:color w:val="auto"/>
                <w:kern w:val="0"/>
                <w:szCs w:val="21"/>
                <w:highlight w:val="none"/>
              </w:rPr>
              <w:t>都</w:t>
            </w:r>
            <w:r>
              <w:rPr>
                <w:rFonts w:ascii="宋体" w:hAnsi="宋体" w:cs="宋体"/>
                <w:color w:val="auto"/>
                <w:kern w:val="0"/>
                <w:szCs w:val="21"/>
                <w:highlight w:val="none"/>
              </w:rPr>
              <w:t>必须</w:t>
            </w:r>
            <w:r>
              <w:rPr>
                <w:rFonts w:hint="eastAsia" w:ascii="宋体" w:hAnsi="宋体" w:cs="宋体"/>
                <w:color w:val="auto"/>
                <w:kern w:val="0"/>
                <w:szCs w:val="21"/>
                <w:highlight w:val="none"/>
              </w:rPr>
              <w:t>对采购人提供的国产化数据库软件进行兼容适配。如不</w:t>
            </w:r>
            <w:r>
              <w:rPr>
                <w:rFonts w:ascii="宋体" w:hAnsi="宋体" w:cs="宋体"/>
                <w:color w:val="auto"/>
                <w:kern w:val="0"/>
                <w:szCs w:val="21"/>
                <w:highlight w:val="none"/>
              </w:rPr>
              <w:t>能适配，必须</w:t>
            </w:r>
            <w:r>
              <w:rPr>
                <w:rFonts w:hint="eastAsia" w:ascii="宋体" w:hAnsi="宋体" w:cs="宋体"/>
                <w:color w:val="auto"/>
                <w:kern w:val="0"/>
                <w:szCs w:val="21"/>
                <w:highlight w:val="none"/>
              </w:rPr>
              <w:t>随</w:t>
            </w:r>
            <w:r>
              <w:rPr>
                <w:rFonts w:ascii="宋体" w:hAnsi="宋体" w:cs="宋体"/>
                <w:color w:val="auto"/>
                <w:kern w:val="0"/>
                <w:szCs w:val="21"/>
                <w:highlight w:val="none"/>
              </w:rPr>
              <w:t>项目提供</w:t>
            </w:r>
            <w:r>
              <w:rPr>
                <w:rFonts w:hint="eastAsia" w:ascii="宋体" w:hAnsi="宋体" w:cs="宋体"/>
                <w:color w:val="auto"/>
                <w:kern w:val="0"/>
                <w:szCs w:val="21"/>
                <w:highlight w:val="none"/>
              </w:rPr>
              <w:t>正式终身</w:t>
            </w:r>
            <w:r>
              <w:rPr>
                <w:rFonts w:ascii="宋体" w:hAnsi="宋体" w:cs="宋体"/>
                <w:color w:val="auto"/>
                <w:kern w:val="0"/>
                <w:szCs w:val="21"/>
                <w:highlight w:val="none"/>
              </w:rPr>
              <w:t>授权</w:t>
            </w:r>
            <w:r>
              <w:rPr>
                <w:rFonts w:hint="eastAsia" w:ascii="宋体" w:hAnsi="宋体" w:cs="宋体"/>
                <w:color w:val="auto"/>
                <w:kern w:val="0"/>
                <w:szCs w:val="21"/>
                <w:highlight w:val="none"/>
              </w:rPr>
              <w:t>使用</w:t>
            </w:r>
            <w:r>
              <w:rPr>
                <w:rFonts w:ascii="宋体" w:hAnsi="宋体" w:cs="宋体"/>
                <w:color w:val="auto"/>
                <w:kern w:val="0"/>
                <w:szCs w:val="21"/>
                <w:highlight w:val="none"/>
              </w:rPr>
              <w:t>且与本</w:t>
            </w:r>
            <w:r>
              <w:rPr>
                <w:rFonts w:hint="eastAsia" w:ascii="宋体" w:hAnsi="宋体" w:cs="宋体"/>
                <w:color w:val="auto"/>
                <w:kern w:val="0"/>
                <w:szCs w:val="21"/>
                <w:highlight w:val="none"/>
              </w:rPr>
              <w:t>项目</w:t>
            </w:r>
            <w:r>
              <w:rPr>
                <w:rFonts w:ascii="宋体" w:hAnsi="宋体" w:cs="宋体"/>
                <w:color w:val="auto"/>
                <w:kern w:val="0"/>
                <w:szCs w:val="21"/>
                <w:highlight w:val="none"/>
              </w:rPr>
              <w:t>系统平台</w:t>
            </w:r>
            <w:r>
              <w:rPr>
                <w:rFonts w:hint="eastAsia" w:ascii="宋体" w:hAnsi="宋体" w:cs="宋体"/>
                <w:color w:val="auto"/>
                <w:kern w:val="0"/>
                <w:szCs w:val="21"/>
                <w:highlight w:val="none"/>
              </w:rPr>
              <w:t>适配</w:t>
            </w:r>
            <w:r>
              <w:rPr>
                <w:rFonts w:ascii="宋体" w:hAnsi="宋体" w:cs="宋体"/>
                <w:color w:val="auto"/>
                <w:kern w:val="0"/>
                <w:szCs w:val="21"/>
                <w:highlight w:val="none"/>
              </w:rPr>
              <w:t>的</w:t>
            </w:r>
            <w:r>
              <w:rPr>
                <w:rFonts w:hint="eastAsia" w:ascii="宋体" w:hAnsi="宋体" w:cs="宋体"/>
                <w:color w:val="auto"/>
                <w:kern w:val="0"/>
                <w:szCs w:val="21"/>
                <w:highlight w:val="none"/>
              </w:rPr>
              <w:t>信创国产化数据库</w:t>
            </w:r>
            <w:r>
              <w:rPr>
                <w:rFonts w:ascii="宋体" w:hAnsi="宋体" w:cs="宋体"/>
                <w:color w:val="auto"/>
                <w:kern w:val="0"/>
                <w:szCs w:val="21"/>
                <w:highlight w:val="none"/>
              </w:rPr>
              <w:t>软件</w:t>
            </w:r>
            <w:r>
              <w:rPr>
                <w:rFonts w:hint="eastAsia" w:ascii="宋体" w:hAnsi="宋体" w:cs="宋体"/>
                <w:color w:val="auto"/>
                <w:kern w:val="0"/>
                <w:szCs w:val="21"/>
                <w:highlight w:val="none"/>
              </w:rPr>
              <w:t>，</w:t>
            </w:r>
            <w:r>
              <w:rPr>
                <w:rFonts w:ascii="宋体" w:hAnsi="宋体" w:cs="宋体"/>
                <w:color w:val="auto"/>
                <w:kern w:val="0"/>
                <w:szCs w:val="21"/>
                <w:highlight w:val="none"/>
              </w:rPr>
              <w:t>确保能在采购人提供</w:t>
            </w:r>
            <w:r>
              <w:rPr>
                <w:rFonts w:hint="eastAsia" w:ascii="宋体" w:hAnsi="宋体" w:cs="宋体"/>
                <w:color w:val="auto"/>
                <w:kern w:val="0"/>
                <w:szCs w:val="21"/>
                <w:highlight w:val="none"/>
              </w:rPr>
              <w:t>的</w:t>
            </w:r>
            <w:r>
              <w:rPr>
                <w:rFonts w:ascii="宋体" w:hAnsi="宋体" w:cs="宋体"/>
                <w:color w:val="auto"/>
                <w:kern w:val="0"/>
                <w:szCs w:val="21"/>
                <w:highlight w:val="none"/>
              </w:rPr>
              <w:t>信创国产化运行环境中运行</w:t>
            </w:r>
            <w:r>
              <w:rPr>
                <w:rFonts w:hint="eastAsia" w:ascii="宋体" w:hAnsi="宋体" w:cs="宋体"/>
                <w:color w:val="auto"/>
                <w:kern w:val="0"/>
                <w:szCs w:val="21"/>
                <w:highlight w:val="none"/>
              </w:rPr>
              <w:t>。针对系统功能应用组件服务用到国产化数据库的某些高级特性，比如事务、视图、外键索引、分区分表等进行适配工作。部分函数和存储过程需要进行兼容适配。支持对国产化数据库的连接数、内存占用、cpu占用、句柄数、线程数、授权是否到期等进行监测。</w:t>
            </w:r>
          </w:p>
          <w:p w14:paraId="1678E7A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4．国产化中间件适配，本项目必须与</w:t>
            </w:r>
            <w:r>
              <w:rPr>
                <w:rFonts w:ascii="宋体" w:hAnsi="宋体" w:cs="宋体"/>
                <w:color w:val="auto"/>
                <w:kern w:val="0"/>
                <w:szCs w:val="21"/>
                <w:highlight w:val="none"/>
              </w:rPr>
              <w:t>本项目采购的“</w:t>
            </w:r>
            <w:r>
              <w:rPr>
                <w:rFonts w:hint="eastAsia" w:ascii="宋体" w:hAnsi="宋体" w:cs="宋体"/>
                <w:color w:val="auto"/>
                <w:kern w:val="0"/>
                <w:szCs w:val="21"/>
                <w:highlight w:val="none"/>
              </w:rPr>
              <w:t>1.1.13</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国产化中间件</w:t>
            </w:r>
            <w:r>
              <w:rPr>
                <w:rFonts w:ascii="宋体" w:hAnsi="宋体" w:cs="宋体"/>
                <w:color w:val="auto"/>
                <w:kern w:val="0"/>
                <w:szCs w:val="21"/>
                <w:highlight w:val="none"/>
              </w:rPr>
              <w:t>”</w:t>
            </w:r>
            <w:r>
              <w:rPr>
                <w:rFonts w:hint="eastAsia" w:ascii="宋体" w:hAnsi="宋体" w:cs="宋体"/>
                <w:color w:val="auto"/>
                <w:kern w:val="0"/>
                <w:szCs w:val="21"/>
                <w:highlight w:val="none"/>
              </w:rPr>
              <w:t>适配：将内置容器的组件改造成依赖外部国产化中间件的容器。运管中心安装卸载组件时得改造将组件运行程序拷贝到国产中间件对应目录下。运管中心需对接中间件获取各组件运行状态。支持对国产化中间件的运行状态、cpu、内存占用、句柄数、线程数、授权是否到期等进行监测。</w:t>
            </w:r>
          </w:p>
          <w:p w14:paraId="6B823DA1">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十五、国产化适配改造</w:t>
            </w:r>
          </w:p>
          <w:p w14:paraId="06D25A6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采购人正在</w:t>
            </w:r>
            <w:r>
              <w:rPr>
                <w:rFonts w:ascii="宋体" w:hAnsi="宋体" w:cs="宋体"/>
                <w:color w:val="auto"/>
                <w:kern w:val="0"/>
                <w:szCs w:val="21"/>
                <w:highlight w:val="none"/>
              </w:rPr>
              <w:t>使用</w:t>
            </w:r>
            <w:r>
              <w:rPr>
                <w:rFonts w:hint="eastAsia" w:ascii="宋体" w:hAnsi="宋体" w:cs="宋体"/>
                <w:color w:val="auto"/>
                <w:kern w:val="0"/>
                <w:szCs w:val="21"/>
                <w:highlight w:val="none"/>
              </w:rPr>
              <w:t>x</w:t>
            </w:r>
            <w:r>
              <w:rPr>
                <w:rFonts w:ascii="宋体" w:hAnsi="宋体" w:cs="宋体"/>
                <w:color w:val="auto"/>
                <w:kern w:val="0"/>
                <w:szCs w:val="21"/>
                <w:highlight w:val="none"/>
              </w:rPr>
              <w:t>8</w:t>
            </w:r>
            <w:r>
              <w:rPr>
                <w:rFonts w:hint="eastAsia" w:ascii="宋体" w:hAnsi="宋体" w:cs="宋体"/>
                <w:color w:val="auto"/>
                <w:kern w:val="0"/>
                <w:szCs w:val="21"/>
                <w:highlight w:val="none"/>
              </w:rPr>
              <w:t>6非信创</w:t>
            </w:r>
            <w:r>
              <w:rPr>
                <w:rFonts w:ascii="宋体" w:hAnsi="宋体" w:cs="宋体"/>
                <w:color w:val="auto"/>
                <w:kern w:val="0"/>
                <w:szCs w:val="21"/>
                <w:highlight w:val="none"/>
              </w:rPr>
              <w:t>国产化</w:t>
            </w:r>
            <w:r>
              <w:rPr>
                <w:rFonts w:hint="eastAsia" w:ascii="宋体" w:hAnsi="宋体" w:cs="宋体"/>
                <w:color w:val="auto"/>
                <w:kern w:val="0"/>
                <w:szCs w:val="21"/>
                <w:highlight w:val="none"/>
              </w:rPr>
              <w:t>环境</w:t>
            </w:r>
            <w:r>
              <w:rPr>
                <w:rFonts w:ascii="宋体" w:hAnsi="宋体" w:cs="宋体"/>
                <w:color w:val="auto"/>
                <w:kern w:val="0"/>
                <w:szCs w:val="21"/>
                <w:highlight w:val="none"/>
              </w:rPr>
              <w:t>的</w:t>
            </w:r>
            <w:r>
              <w:rPr>
                <w:rFonts w:hint="eastAsia" w:ascii="宋体" w:hAnsi="宋体" w:cs="宋体"/>
                <w:color w:val="auto"/>
                <w:kern w:val="0"/>
                <w:szCs w:val="21"/>
                <w:highlight w:val="none"/>
              </w:rPr>
              <w:t>安防综合管理平台，</w:t>
            </w:r>
            <w:r>
              <w:rPr>
                <w:rFonts w:ascii="宋体" w:hAnsi="宋体" w:cs="宋体"/>
                <w:color w:val="auto"/>
                <w:kern w:val="0"/>
                <w:szCs w:val="21"/>
                <w:highlight w:val="none"/>
              </w:rPr>
              <w:t>本项</w:t>
            </w:r>
            <w:r>
              <w:rPr>
                <w:rFonts w:hint="eastAsia" w:ascii="宋体" w:hAnsi="宋体" w:cs="宋体"/>
                <w:color w:val="auto"/>
                <w:kern w:val="0"/>
                <w:szCs w:val="21"/>
                <w:highlight w:val="none"/>
              </w:rPr>
              <w:t>目</w:t>
            </w:r>
            <w:r>
              <w:rPr>
                <w:rFonts w:ascii="宋体" w:hAnsi="宋体" w:cs="宋体"/>
                <w:color w:val="auto"/>
                <w:kern w:val="0"/>
                <w:szCs w:val="21"/>
                <w:highlight w:val="none"/>
              </w:rPr>
              <w:t>需</w:t>
            </w:r>
            <w:r>
              <w:rPr>
                <w:rFonts w:hint="eastAsia" w:ascii="宋体" w:hAnsi="宋体" w:cs="宋体"/>
                <w:color w:val="auto"/>
                <w:kern w:val="0"/>
                <w:szCs w:val="21"/>
                <w:highlight w:val="none"/>
              </w:rPr>
              <w:t>针对</w:t>
            </w:r>
            <w:r>
              <w:rPr>
                <w:rFonts w:ascii="宋体" w:hAnsi="宋体" w:cs="宋体"/>
                <w:color w:val="auto"/>
                <w:kern w:val="0"/>
                <w:szCs w:val="21"/>
                <w:highlight w:val="none"/>
              </w:rPr>
              <w:t>该系统</w:t>
            </w:r>
            <w:r>
              <w:rPr>
                <w:rFonts w:hint="eastAsia" w:ascii="宋体" w:hAnsi="宋体" w:cs="宋体"/>
                <w:color w:val="auto"/>
                <w:kern w:val="0"/>
                <w:szCs w:val="21"/>
                <w:highlight w:val="none"/>
              </w:rPr>
              <w:t>进行国产化适配改造，</w:t>
            </w:r>
            <w:r>
              <w:rPr>
                <w:rFonts w:ascii="宋体" w:hAnsi="宋体" w:cs="宋体"/>
                <w:color w:val="auto"/>
                <w:kern w:val="0"/>
                <w:szCs w:val="21"/>
                <w:highlight w:val="none"/>
              </w:rPr>
              <w:t>系统</w:t>
            </w:r>
            <w:r>
              <w:rPr>
                <w:rFonts w:hint="eastAsia" w:ascii="宋体" w:hAnsi="宋体" w:cs="宋体"/>
                <w:color w:val="auto"/>
                <w:kern w:val="0"/>
                <w:szCs w:val="21"/>
                <w:highlight w:val="none"/>
              </w:rPr>
              <w:t>升级</w:t>
            </w:r>
            <w:r>
              <w:rPr>
                <w:rFonts w:ascii="宋体" w:hAnsi="宋体" w:cs="宋体"/>
                <w:color w:val="auto"/>
                <w:kern w:val="0"/>
                <w:szCs w:val="21"/>
                <w:highlight w:val="none"/>
              </w:rPr>
              <w:t>后</w:t>
            </w:r>
            <w:r>
              <w:rPr>
                <w:rFonts w:hint="eastAsia" w:ascii="宋体" w:hAnsi="宋体" w:cs="宋体"/>
                <w:color w:val="auto"/>
                <w:kern w:val="0"/>
                <w:szCs w:val="21"/>
                <w:highlight w:val="none"/>
              </w:rPr>
              <w:t>需保证原有平台的数据和业务的无缝迁移，升级过程中数据不丢失，业务平滑</w:t>
            </w:r>
            <w:r>
              <w:rPr>
                <w:rFonts w:ascii="宋体" w:hAnsi="宋体" w:cs="宋体"/>
                <w:color w:val="auto"/>
                <w:kern w:val="0"/>
                <w:szCs w:val="21"/>
                <w:highlight w:val="none"/>
              </w:rPr>
              <w:t>过渡</w:t>
            </w:r>
            <w:r>
              <w:rPr>
                <w:rFonts w:hint="eastAsia" w:ascii="宋体" w:hAnsi="宋体" w:cs="宋体"/>
                <w:color w:val="auto"/>
                <w:kern w:val="0"/>
                <w:szCs w:val="21"/>
                <w:highlight w:val="none"/>
              </w:rPr>
              <w:t>。</w:t>
            </w:r>
          </w:p>
          <w:p w14:paraId="6C33F32C">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十六、其他要求</w:t>
            </w:r>
          </w:p>
          <w:p w14:paraId="422E9F6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本</w:t>
            </w:r>
            <w:r>
              <w:rPr>
                <w:rFonts w:hint="eastAsia" w:ascii="宋体" w:hAnsi="宋体" w:cs="宋体"/>
                <w:color w:val="auto"/>
                <w:kern w:val="0"/>
                <w:szCs w:val="21"/>
                <w:highlight w:val="none"/>
              </w:rPr>
              <w:t>平台</w:t>
            </w:r>
            <w:r>
              <w:rPr>
                <w:rFonts w:ascii="宋体" w:hAnsi="宋体" w:cs="宋体"/>
                <w:color w:val="auto"/>
                <w:kern w:val="0"/>
                <w:szCs w:val="21"/>
                <w:highlight w:val="none"/>
              </w:rPr>
              <w:t>软件产品</w:t>
            </w:r>
            <w:r>
              <w:rPr>
                <w:rFonts w:hint="eastAsia" w:ascii="宋体" w:hAnsi="宋体" w:cs="宋体"/>
                <w:color w:val="auto"/>
                <w:kern w:val="0"/>
                <w:szCs w:val="21"/>
                <w:highlight w:val="none"/>
              </w:rPr>
              <w:t>必须具有自主知识产权，并取得</w:t>
            </w:r>
            <w:r>
              <w:rPr>
                <w:rFonts w:ascii="宋体" w:hAnsi="宋体" w:cs="宋体"/>
                <w:color w:val="auto"/>
                <w:kern w:val="0"/>
                <w:szCs w:val="21"/>
                <w:highlight w:val="none"/>
              </w:rPr>
              <w:t>本平台</w:t>
            </w:r>
            <w:r>
              <w:rPr>
                <w:rFonts w:hint="eastAsia" w:ascii="宋体" w:hAnsi="宋体" w:cs="宋体"/>
                <w:color w:val="auto"/>
                <w:kern w:val="0"/>
                <w:szCs w:val="21"/>
                <w:highlight w:val="none"/>
              </w:rPr>
              <w:t>软件的著作权证书；</w:t>
            </w:r>
          </w:p>
          <w:p w14:paraId="4E55A0FD">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2．供货时必须提供本</w:t>
            </w:r>
            <w:r>
              <w:rPr>
                <w:rFonts w:hint="eastAsia" w:ascii="宋体" w:hAnsi="宋体" w:cs="宋体"/>
                <w:color w:val="auto"/>
                <w:kern w:val="0"/>
                <w:szCs w:val="21"/>
                <w:highlight w:val="none"/>
              </w:rPr>
              <w:t>平台</w:t>
            </w:r>
            <w:r>
              <w:rPr>
                <w:rFonts w:ascii="宋体" w:hAnsi="宋体" w:cs="宋体"/>
                <w:color w:val="auto"/>
                <w:kern w:val="0"/>
                <w:szCs w:val="21"/>
                <w:highlight w:val="none"/>
              </w:rPr>
              <w:t>软件产品厂商出具的授权书或使用权人为采购人的相关证明，确保采购人使用方正式获得软件的终身使用授权</w:t>
            </w:r>
            <w:r>
              <w:rPr>
                <w:rFonts w:hint="eastAsia" w:ascii="宋体" w:hAnsi="宋体" w:cs="宋体"/>
                <w:color w:val="auto"/>
                <w:kern w:val="0"/>
                <w:szCs w:val="21"/>
                <w:highlight w:val="none"/>
              </w:rPr>
              <w:t>；</w:t>
            </w:r>
          </w:p>
          <w:p w14:paraId="0DA1C2A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3．提供现场部署调试技术支持服务和产品的</w:t>
            </w:r>
            <w:r>
              <w:rPr>
                <w:rFonts w:hint="eastAsia" w:ascii="宋体" w:hAnsi="宋体" w:cs="宋体"/>
                <w:color w:val="auto"/>
                <w:kern w:val="0"/>
                <w:szCs w:val="21"/>
                <w:highlight w:val="none"/>
              </w:rPr>
              <w:t>≥</w:t>
            </w:r>
            <w:r>
              <w:rPr>
                <w:rFonts w:ascii="宋体" w:hAnsi="宋体" w:cs="宋体"/>
                <w:color w:val="auto"/>
                <w:kern w:val="0"/>
                <w:szCs w:val="21"/>
                <w:highlight w:val="none"/>
              </w:rPr>
              <w:t>5年</w:t>
            </w:r>
            <w:r>
              <w:rPr>
                <w:rFonts w:hint="eastAsia" w:ascii="宋体" w:hAnsi="宋体" w:cs="宋体"/>
                <w:color w:val="auto"/>
                <w:kern w:val="0"/>
                <w:szCs w:val="21"/>
                <w:highlight w:val="none"/>
              </w:rPr>
              <w:t>升级及适配服务</w:t>
            </w:r>
            <w:r>
              <w:rPr>
                <w:rFonts w:ascii="宋体" w:hAnsi="宋体" w:cs="宋体"/>
                <w:color w:val="auto"/>
                <w:kern w:val="0"/>
                <w:szCs w:val="21"/>
                <w:highlight w:val="none"/>
              </w:rPr>
              <w:t>、调优指导服务及7*24小时电话支持服务</w:t>
            </w:r>
            <w:r>
              <w:rPr>
                <w:rFonts w:hint="eastAsia" w:ascii="宋体" w:hAnsi="宋体" w:cs="宋体"/>
                <w:color w:val="auto"/>
                <w:kern w:val="0"/>
                <w:szCs w:val="21"/>
                <w:highlight w:val="none"/>
              </w:rPr>
              <w:t>，不能</w:t>
            </w:r>
            <w:r>
              <w:rPr>
                <w:rFonts w:ascii="宋体" w:hAnsi="宋体" w:cs="宋体"/>
                <w:color w:val="auto"/>
                <w:kern w:val="0"/>
                <w:szCs w:val="21"/>
                <w:highlight w:val="none"/>
              </w:rPr>
              <w:t>另行收</w:t>
            </w:r>
            <w:r>
              <w:rPr>
                <w:rFonts w:hint="eastAsia" w:ascii="宋体" w:hAnsi="宋体" w:cs="宋体"/>
                <w:color w:val="auto"/>
                <w:kern w:val="0"/>
                <w:szCs w:val="21"/>
                <w:highlight w:val="none"/>
              </w:rPr>
              <w:t>费；</w:t>
            </w:r>
          </w:p>
          <w:p w14:paraId="572F5081">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提供</w:t>
            </w:r>
            <w:r>
              <w:rPr>
                <w:rFonts w:ascii="宋体" w:hAnsi="宋体" w:cs="宋体"/>
                <w:color w:val="auto"/>
                <w:kern w:val="0"/>
                <w:szCs w:val="21"/>
                <w:highlight w:val="none"/>
              </w:rPr>
              <w:t>系统</w:t>
            </w:r>
            <w:r>
              <w:rPr>
                <w:rFonts w:hint="eastAsia" w:ascii="宋体" w:hAnsi="宋体" w:cs="宋体"/>
                <w:color w:val="auto"/>
                <w:kern w:val="0"/>
                <w:szCs w:val="21"/>
                <w:highlight w:val="none"/>
              </w:rPr>
              <w:t>平台登录</w:t>
            </w:r>
            <w:r>
              <w:rPr>
                <w:rFonts w:ascii="宋体" w:hAnsi="宋体" w:cs="宋体"/>
                <w:color w:val="auto"/>
                <w:kern w:val="0"/>
                <w:szCs w:val="21"/>
                <w:highlight w:val="none"/>
              </w:rPr>
              <w:t>接口</w:t>
            </w:r>
            <w:r>
              <w:rPr>
                <w:rFonts w:hint="eastAsia" w:ascii="宋体" w:hAnsi="宋体" w:cs="宋体"/>
                <w:color w:val="auto"/>
                <w:kern w:val="0"/>
                <w:szCs w:val="21"/>
                <w:highlight w:val="none"/>
              </w:rPr>
              <w:t>，并</w:t>
            </w:r>
            <w:r>
              <w:rPr>
                <w:rFonts w:ascii="宋体" w:hAnsi="宋体" w:cs="宋体"/>
                <w:color w:val="auto"/>
                <w:kern w:val="0"/>
                <w:szCs w:val="21"/>
                <w:highlight w:val="none"/>
              </w:rPr>
              <w:t>配合用户</w:t>
            </w:r>
            <w:r>
              <w:rPr>
                <w:rFonts w:hint="eastAsia" w:ascii="宋体" w:hAnsi="宋体" w:cs="宋体"/>
                <w:color w:val="auto"/>
                <w:kern w:val="0"/>
                <w:szCs w:val="21"/>
                <w:highlight w:val="none"/>
              </w:rPr>
              <w:t>完成</w:t>
            </w:r>
            <w:r>
              <w:rPr>
                <w:rFonts w:ascii="宋体" w:hAnsi="宋体" w:cs="宋体"/>
                <w:color w:val="auto"/>
                <w:kern w:val="0"/>
                <w:szCs w:val="21"/>
                <w:highlight w:val="none"/>
              </w:rPr>
              <w:t>单点登录改造，实现从</w:t>
            </w:r>
            <w:r>
              <w:rPr>
                <w:rFonts w:hint="eastAsia" w:ascii="宋体" w:hAnsi="宋体" w:cs="宋体"/>
                <w:color w:val="auto"/>
                <w:kern w:val="0"/>
                <w:szCs w:val="21"/>
                <w:highlight w:val="none"/>
              </w:rPr>
              <w:t>用户</w:t>
            </w:r>
            <w:r>
              <w:rPr>
                <w:rFonts w:ascii="宋体" w:hAnsi="宋体" w:cs="宋体"/>
                <w:color w:val="auto"/>
                <w:kern w:val="0"/>
                <w:szCs w:val="21"/>
                <w:highlight w:val="none"/>
              </w:rPr>
              <w:t>定制</w:t>
            </w:r>
            <w:r>
              <w:rPr>
                <w:rFonts w:hint="eastAsia" w:ascii="宋体" w:hAnsi="宋体" w:cs="宋体"/>
                <w:color w:val="auto"/>
                <w:kern w:val="0"/>
                <w:szCs w:val="21"/>
                <w:highlight w:val="none"/>
              </w:rPr>
              <w:t>的统一门户</w:t>
            </w:r>
            <w:r>
              <w:rPr>
                <w:rFonts w:ascii="宋体" w:hAnsi="宋体" w:cs="宋体"/>
                <w:color w:val="auto"/>
                <w:kern w:val="0"/>
                <w:szCs w:val="21"/>
                <w:highlight w:val="none"/>
              </w:rPr>
              <w:t>系统</w:t>
            </w:r>
            <w:r>
              <w:rPr>
                <w:rFonts w:hint="eastAsia" w:ascii="宋体" w:hAnsi="宋体" w:cs="宋体"/>
                <w:color w:val="auto"/>
                <w:kern w:val="0"/>
                <w:szCs w:val="21"/>
                <w:highlight w:val="none"/>
              </w:rPr>
              <w:t>中能利用</w:t>
            </w:r>
            <w:r>
              <w:rPr>
                <w:rFonts w:ascii="宋体" w:hAnsi="宋体" w:cs="宋体"/>
                <w:color w:val="auto"/>
                <w:kern w:val="0"/>
                <w:szCs w:val="21"/>
                <w:highlight w:val="none"/>
              </w:rPr>
              <w:t>系统</w:t>
            </w:r>
            <w:r>
              <w:rPr>
                <w:rFonts w:hint="eastAsia" w:ascii="宋体" w:hAnsi="宋体" w:cs="宋体"/>
                <w:color w:val="auto"/>
                <w:kern w:val="0"/>
                <w:szCs w:val="21"/>
                <w:highlight w:val="none"/>
              </w:rPr>
              <w:t>平台登录信息，</w:t>
            </w:r>
            <w:r>
              <w:rPr>
                <w:rFonts w:ascii="宋体" w:hAnsi="宋体" w:cs="宋体"/>
                <w:color w:val="auto"/>
                <w:kern w:val="0"/>
                <w:szCs w:val="21"/>
                <w:highlight w:val="none"/>
              </w:rPr>
              <w:t>通过接口</w:t>
            </w:r>
            <w:r>
              <w:rPr>
                <w:rFonts w:hint="eastAsia" w:ascii="宋体" w:hAnsi="宋体" w:cs="宋体"/>
                <w:color w:val="auto"/>
                <w:kern w:val="0"/>
                <w:szCs w:val="21"/>
                <w:highlight w:val="none"/>
              </w:rPr>
              <w:t>验证身份</w:t>
            </w:r>
            <w:r>
              <w:rPr>
                <w:rFonts w:ascii="宋体" w:hAnsi="宋体" w:cs="宋体"/>
                <w:color w:val="auto"/>
                <w:kern w:val="0"/>
                <w:szCs w:val="21"/>
                <w:highlight w:val="none"/>
              </w:rPr>
              <w:t>信息后</w:t>
            </w:r>
            <w:r>
              <w:rPr>
                <w:rFonts w:hint="eastAsia" w:ascii="宋体" w:hAnsi="宋体" w:cs="宋体"/>
                <w:color w:val="auto"/>
                <w:kern w:val="0"/>
                <w:szCs w:val="21"/>
                <w:highlight w:val="none"/>
              </w:rPr>
              <w:t>，</w:t>
            </w:r>
            <w:r>
              <w:rPr>
                <w:rFonts w:ascii="宋体" w:hAnsi="宋体" w:cs="宋体"/>
                <w:color w:val="auto"/>
                <w:kern w:val="0"/>
                <w:szCs w:val="21"/>
                <w:highlight w:val="none"/>
              </w:rPr>
              <w:t>跳转到</w:t>
            </w:r>
            <w:r>
              <w:rPr>
                <w:rFonts w:hint="eastAsia" w:ascii="宋体" w:hAnsi="宋体" w:cs="宋体"/>
                <w:color w:val="auto"/>
                <w:kern w:val="0"/>
                <w:szCs w:val="21"/>
                <w:highlight w:val="none"/>
              </w:rPr>
              <w:t>本项目</w:t>
            </w:r>
            <w:r>
              <w:rPr>
                <w:rFonts w:ascii="宋体" w:hAnsi="宋体" w:cs="宋体"/>
                <w:color w:val="auto"/>
                <w:kern w:val="0"/>
                <w:szCs w:val="21"/>
                <w:highlight w:val="none"/>
              </w:rPr>
              <w:t>系统</w:t>
            </w:r>
            <w:r>
              <w:rPr>
                <w:rFonts w:hint="eastAsia" w:ascii="宋体" w:hAnsi="宋体" w:cs="宋体"/>
                <w:color w:val="auto"/>
                <w:kern w:val="0"/>
                <w:szCs w:val="21"/>
                <w:highlight w:val="none"/>
              </w:rPr>
              <w:t>平台</w:t>
            </w:r>
            <w:r>
              <w:rPr>
                <w:rFonts w:ascii="宋体" w:hAnsi="宋体" w:cs="宋体"/>
                <w:color w:val="auto"/>
                <w:kern w:val="0"/>
                <w:szCs w:val="21"/>
                <w:highlight w:val="none"/>
              </w:rPr>
              <w:t>中开展应用。</w:t>
            </w:r>
          </w:p>
        </w:tc>
      </w:tr>
      <w:tr w14:paraId="1D8E5FF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FE0FD8C">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1.1.2</w:t>
            </w:r>
          </w:p>
        </w:tc>
        <w:tc>
          <w:tcPr>
            <w:tcW w:w="1026" w:type="pct"/>
            <w:noWrap w:val="0"/>
            <w:vAlign w:val="center"/>
          </w:tcPr>
          <w:p w14:paraId="58678A3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安防数据看板</w:t>
            </w:r>
          </w:p>
        </w:tc>
        <w:tc>
          <w:tcPr>
            <w:tcW w:w="426" w:type="pct"/>
            <w:noWrap w:val="0"/>
            <w:vAlign w:val="center"/>
          </w:tcPr>
          <w:p w14:paraId="7D472CB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953" w:type="pct"/>
            <w:noWrap w:val="0"/>
            <w:vAlign w:val="center"/>
          </w:tcPr>
          <w:p w14:paraId="7F07C89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在本项目</w:t>
            </w:r>
            <w:r>
              <w:rPr>
                <w:rFonts w:ascii="宋体" w:hAnsi="宋体" w:cs="宋体"/>
                <w:color w:val="auto"/>
                <w:kern w:val="0"/>
                <w:szCs w:val="21"/>
                <w:highlight w:val="none"/>
              </w:rPr>
              <w:t>“1.1.1国产化综合安防管理平台”</w:t>
            </w:r>
            <w:r>
              <w:rPr>
                <w:rFonts w:hint="eastAsia" w:ascii="宋体" w:hAnsi="宋体" w:cs="宋体"/>
                <w:color w:val="auto"/>
                <w:kern w:val="0"/>
                <w:szCs w:val="21"/>
                <w:highlight w:val="none"/>
              </w:rPr>
              <w:t>中</w:t>
            </w:r>
            <w:r>
              <w:rPr>
                <w:rFonts w:ascii="宋体" w:hAnsi="宋体" w:cs="宋体"/>
                <w:color w:val="auto"/>
                <w:kern w:val="0"/>
                <w:szCs w:val="21"/>
                <w:highlight w:val="none"/>
              </w:rPr>
              <w:t>，</w:t>
            </w:r>
            <w:r>
              <w:rPr>
                <w:rFonts w:hint="eastAsia" w:ascii="宋体" w:hAnsi="宋体" w:cs="宋体"/>
                <w:color w:val="auto"/>
                <w:kern w:val="0"/>
                <w:szCs w:val="21"/>
                <w:highlight w:val="none"/>
              </w:rPr>
              <w:t>为用户提供安防数据看板，主要展示内容包括但</w:t>
            </w:r>
            <w:r>
              <w:rPr>
                <w:rFonts w:ascii="宋体" w:hAnsi="宋体" w:cs="宋体"/>
                <w:color w:val="auto"/>
                <w:kern w:val="0"/>
                <w:szCs w:val="21"/>
                <w:highlight w:val="none"/>
              </w:rPr>
              <w:t>不限于以下内容</w:t>
            </w:r>
            <w:r>
              <w:rPr>
                <w:rFonts w:hint="eastAsia" w:ascii="宋体" w:hAnsi="宋体" w:cs="宋体"/>
                <w:color w:val="auto"/>
                <w:kern w:val="0"/>
                <w:szCs w:val="21"/>
                <w:highlight w:val="none"/>
              </w:rPr>
              <w:t>：</w:t>
            </w:r>
          </w:p>
          <w:p w14:paraId="2C9A71E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1．支持全域</w:t>
            </w:r>
            <w:r>
              <w:rPr>
                <w:rFonts w:ascii="宋体" w:hAnsi="宋体" w:cs="宋体"/>
                <w:color w:val="auto"/>
                <w:kern w:val="0"/>
                <w:szCs w:val="21"/>
                <w:highlight w:val="none"/>
              </w:rPr>
              <w:t>摄像头的</w:t>
            </w:r>
            <w:r>
              <w:rPr>
                <w:rFonts w:hint="eastAsia" w:ascii="宋体" w:hAnsi="宋体" w:cs="宋体"/>
                <w:color w:val="auto"/>
                <w:kern w:val="0"/>
                <w:szCs w:val="21"/>
                <w:highlight w:val="none"/>
              </w:rPr>
              <w:t>视频实时监控，</w:t>
            </w:r>
            <w:r>
              <w:rPr>
                <w:rFonts w:ascii="宋体" w:hAnsi="宋体" w:cs="宋体"/>
                <w:color w:val="auto"/>
                <w:kern w:val="0"/>
                <w:szCs w:val="21"/>
                <w:highlight w:val="none"/>
              </w:rPr>
              <w:t>并能设置</w:t>
            </w:r>
            <w:r>
              <w:rPr>
                <w:rFonts w:hint="eastAsia" w:ascii="宋体" w:hAnsi="宋体" w:cs="宋体"/>
                <w:color w:val="auto"/>
                <w:kern w:val="0"/>
                <w:szCs w:val="21"/>
                <w:highlight w:val="none"/>
              </w:rPr>
              <w:t>重点区域点位，按</w:t>
            </w:r>
            <w:r>
              <w:rPr>
                <w:rFonts w:ascii="宋体" w:hAnsi="宋体" w:cs="宋体"/>
                <w:color w:val="auto"/>
                <w:kern w:val="0"/>
                <w:szCs w:val="21"/>
                <w:highlight w:val="none"/>
              </w:rPr>
              <w:t>优先级进行</w:t>
            </w:r>
            <w:r>
              <w:rPr>
                <w:rFonts w:hint="eastAsia" w:ascii="宋体" w:hAnsi="宋体" w:cs="宋体"/>
                <w:color w:val="auto"/>
                <w:kern w:val="0"/>
                <w:szCs w:val="21"/>
                <w:highlight w:val="none"/>
              </w:rPr>
              <w:t>视频实时监控；</w:t>
            </w:r>
          </w:p>
          <w:p w14:paraId="2C995BD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2．今日、近一周、近一个月告警统计：总事件量、已处置事件量、未处置事件量、处置率；近一周、近一个月告警事件数量趋势；</w:t>
            </w:r>
          </w:p>
          <w:p w14:paraId="1774239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3．实时告警展示列表（图片形式）：展示内容包括告警类型、事件源、所属区域、发生时间；</w:t>
            </w:r>
          </w:p>
          <w:p w14:paraId="6C9D0FA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4．今日、近一周、近一个月告警事件类型统计，事件类型包括入侵报警、紧急报警、视频报警、陌生人告警、重点人员识别告警、安检告警；</w:t>
            </w:r>
          </w:p>
          <w:p w14:paraId="7A9D027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5．今日、近七天、近一个月告警事件数量区域TOP5排名；</w:t>
            </w:r>
          </w:p>
          <w:p w14:paraId="4D499CA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6．今日巡更情况展示：展示内容包括已巡数量、未巡数量、巡更异常数量；</w:t>
            </w:r>
          </w:p>
          <w:p w14:paraId="5D1F0FF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7．今日设备运维：全量设备运维统计（数量、在离线状态）。</w:t>
            </w:r>
          </w:p>
          <w:p w14:paraId="4E9BFC0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8．看板包括国产化终端上的适配和呈现优化服务。</w:t>
            </w:r>
          </w:p>
        </w:tc>
      </w:tr>
      <w:tr w14:paraId="491C76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5535F05">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1.1.3</w:t>
            </w:r>
          </w:p>
        </w:tc>
        <w:tc>
          <w:tcPr>
            <w:tcW w:w="1026" w:type="pct"/>
            <w:noWrap w:val="0"/>
            <w:vAlign w:val="center"/>
          </w:tcPr>
          <w:p w14:paraId="74A0283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人员态势看板</w:t>
            </w:r>
          </w:p>
        </w:tc>
        <w:tc>
          <w:tcPr>
            <w:tcW w:w="426" w:type="pct"/>
            <w:noWrap w:val="0"/>
            <w:vAlign w:val="center"/>
          </w:tcPr>
          <w:p w14:paraId="226A3DDF">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953" w:type="pct"/>
            <w:noWrap w:val="0"/>
            <w:vAlign w:val="center"/>
          </w:tcPr>
          <w:p w14:paraId="6F4DC46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在本项目“</w:t>
            </w:r>
            <w:r>
              <w:rPr>
                <w:rFonts w:ascii="宋体" w:hAnsi="宋体" w:cs="宋体"/>
                <w:color w:val="auto"/>
                <w:kern w:val="0"/>
                <w:szCs w:val="21"/>
                <w:highlight w:val="none"/>
              </w:rPr>
              <w:t>1.1.1国产化综合安防管理平台”中，为用户提供</w:t>
            </w:r>
            <w:r>
              <w:rPr>
                <w:rFonts w:hint="eastAsia" w:ascii="宋体" w:hAnsi="宋体" w:cs="宋体"/>
                <w:color w:val="auto"/>
                <w:kern w:val="0"/>
                <w:szCs w:val="21"/>
                <w:highlight w:val="none"/>
              </w:rPr>
              <w:t>人员态势数据可视化看板</w:t>
            </w:r>
            <w:r>
              <w:rPr>
                <w:rFonts w:ascii="宋体" w:hAnsi="宋体" w:cs="宋体"/>
                <w:color w:val="auto"/>
                <w:kern w:val="0"/>
                <w:szCs w:val="21"/>
                <w:highlight w:val="none"/>
              </w:rPr>
              <w:t>，主要展示内容包括但不限于以下内容：</w:t>
            </w:r>
          </w:p>
          <w:p w14:paraId="10E3E46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1．人员信息统计（总人数、卡片数、人脸数、男女比例）；</w:t>
            </w:r>
          </w:p>
          <w:p w14:paraId="431F8F0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2．部门人员数量TOP5统计；</w:t>
            </w:r>
          </w:p>
          <w:p w14:paraId="78BBA9D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3．今日访客数量统计、今日、近一周、近一月访客来访趋势；</w:t>
            </w:r>
          </w:p>
          <w:p w14:paraId="7F0C990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4．重点通行点位视频、人员通行实时记录展示；</w:t>
            </w:r>
          </w:p>
          <w:p w14:paraId="68B10A4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5．今日人员告警事件统计；</w:t>
            </w:r>
          </w:p>
          <w:p w14:paraId="089A0EC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6．今日、近一周、近一月人员通行趋势；</w:t>
            </w:r>
          </w:p>
          <w:p w14:paraId="26B5483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7．今日通行TOP10的门禁通道统计；</w:t>
            </w:r>
          </w:p>
          <w:p w14:paraId="2639CCB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8．人员考勤统计。</w:t>
            </w:r>
          </w:p>
          <w:p w14:paraId="7D26BA8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9．看板包括国产化终端上的适配和呈现优化服务。</w:t>
            </w:r>
          </w:p>
        </w:tc>
      </w:tr>
      <w:tr w14:paraId="63F6C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266BE0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1.1.4</w:t>
            </w:r>
          </w:p>
        </w:tc>
        <w:tc>
          <w:tcPr>
            <w:tcW w:w="1026" w:type="pct"/>
            <w:noWrap w:val="0"/>
            <w:vAlign w:val="center"/>
          </w:tcPr>
          <w:p w14:paraId="6665B7A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三维引擎基础</w:t>
            </w:r>
          </w:p>
        </w:tc>
        <w:tc>
          <w:tcPr>
            <w:tcW w:w="426" w:type="pct"/>
            <w:noWrap w:val="0"/>
            <w:vAlign w:val="center"/>
          </w:tcPr>
          <w:p w14:paraId="2E721C8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953" w:type="pct"/>
            <w:noWrap w:val="0"/>
            <w:vAlign w:val="center"/>
          </w:tcPr>
          <w:p w14:paraId="3D860EA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在本项目“</w:t>
            </w:r>
            <w:r>
              <w:rPr>
                <w:rFonts w:ascii="宋体" w:hAnsi="宋体" w:cs="宋体"/>
                <w:color w:val="auto"/>
                <w:kern w:val="0"/>
                <w:szCs w:val="21"/>
                <w:highlight w:val="none"/>
              </w:rPr>
              <w:t>1.1.1国产化综合安防管理平台”中，为用户提供</w:t>
            </w:r>
            <w:r>
              <w:rPr>
                <w:rFonts w:hint="eastAsia" w:ascii="宋体" w:hAnsi="宋体" w:cs="宋体"/>
                <w:color w:val="auto"/>
                <w:kern w:val="0"/>
                <w:szCs w:val="21"/>
                <w:highlight w:val="none"/>
              </w:rPr>
              <w:t>三维引擎基础模块及</w:t>
            </w:r>
            <w:r>
              <w:rPr>
                <w:rFonts w:ascii="宋体" w:hAnsi="宋体" w:cs="宋体"/>
                <w:color w:val="auto"/>
                <w:kern w:val="0"/>
                <w:szCs w:val="21"/>
                <w:highlight w:val="none"/>
              </w:rPr>
              <w:t>相关服务：</w:t>
            </w:r>
          </w:p>
          <w:p w14:paraId="14519DF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1．提供三维引擎基础服务模块，支持</w:t>
            </w:r>
            <w:r>
              <w:rPr>
                <w:rFonts w:ascii="宋体" w:hAnsi="宋体" w:cs="宋体"/>
                <w:color w:val="auto"/>
                <w:kern w:val="0"/>
                <w:szCs w:val="21"/>
                <w:highlight w:val="none"/>
              </w:rPr>
              <w:t>AutoCAD</w:t>
            </w:r>
            <w:r>
              <w:rPr>
                <w:rFonts w:hint="eastAsia" w:ascii="宋体" w:hAnsi="宋体" w:cs="宋体"/>
                <w:color w:val="auto"/>
                <w:kern w:val="0"/>
                <w:szCs w:val="21"/>
                <w:highlight w:val="none"/>
              </w:rPr>
              <w:t>等软件通用的</w:t>
            </w:r>
            <w:r>
              <w:rPr>
                <w:rFonts w:ascii="宋体" w:hAnsi="宋体" w:cs="宋体"/>
                <w:color w:val="auto"/>
                <w:kern w:val="0"/>
                <w:szCs w:val="21"/>
                <w:highlight w:val="none"/>
              </w:rPr>
              <w:t>三维数据交换</w:t>
            </w:r>
            <w:r>
              <w:rPr>
                <w:rFonts w:hint="eastAsia" w:ascii="宋体" w:hAnsi="宋体" w:cs="宋体"/>
                <w:color w:val="auto"/>
                <w:kern w:val="0"/>
                <w:szCs w:val="21"/>
                <w:highlight w:val="none"/>
              </w:rPr>
              <w:t>.fbx</w:t>
            </w:r>
            <w:r>
              <w:rPr>
                <w:rFonts w:ascii="宋体" w:hAnsi="宋体" w:cs="宋体"/>
                <w:color w:val="auto"/>
                <w:kern w:val="0"/>
                <w:szCs w:val="21"/>
                <w:highlight w:val="none"/>
              </w:rPr>
              <w:t>格式</w:t>
            </w:r>
            <w:r>
              <w:rPr>
                <w:rFonts w:hint="eastAsia" w:ascii="宋体" w:hAnsi="宋体" w:cs="宋体"/>
                <w:color w:val="auto"/>
                <w:kern w:val="0"/>
                <w:szCs w:val="21"/>
                <w:highlight w:val="none"/>
              </w:rPr>
              <w:t>文件</w:t>
            </w:r>
            <w:r>
              <w:rPr>
                <w:rFonts w:ascii="宋体" w:hAnsi="宋体" w:cs="宋体"/>
                <w:color w:val="auto"/>
                <w:kern w:val="0"/>
                <w:szCs w:val="21"/>
                <w:highlight w:val="none"/>
              </w:rPr>
              <w:t>进行</w:t>
            </w:r>
            <w:r>
              <w:rPr>
                <w:rFonts w:hint="eastAsia" w:ascii="宋体" w:hAnsi="宋体" w:cs="宋体"/>
                <w:color w:val="auto"/>
                <w:kern w:val="0"/>
                <w:szCs w:val="21"/>
                <w:highlight w:val="none"/>
              </w:rPr>
              <w:t>三维模型渲染呈现：支持政区图、卫星影像、DLG、DEM、DOM、房屋轮廓面等多种数据源混合叠加综合展示；支持抽象单色模型及三维实景模型一体化无痕切换展示，能够解析业务数据模型并进行图层叠加展示。</w:t>
            </w:r>
          </w:p>
          <w:p w14:paraId="607E1B1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2．提供三维建模服务：构建</w:t>
            </w:r>
            <w:r>
              <w:rPr>
                <w:rFonts w:ascii="宋体" w:hAnsi="宋体" w:cs="宋体"/>
                <w:color w:val="auto"/>
                <w:kern w:val="0"/>
                <w:szCs w:val="21"/>
                <w:highlight w:val="none"/>
              </w:rPr>
              <w:t>的</w:t>
            </w:r>
            <w:r>
              <w:rPr>
                <w:rFonts w:hint="eastAsia" w:ascii="宋体" w:hAnsi="宋体" w:cs="宋体"/>
                <w:color w:val="auto"/>
                <w:kern w:val="0"/>
                <w:szCs w:val="21"/>
                <w:highlight w:val="none"/>
              </w:rPr>
              <w:t>模型风格支持仿真实景或科技虚拟</w:t>
            </w:r>
            <w:r>
              <w:rPr>
                <w:rFonts w:ascii="宋体" w:hAnsi="宋体" w:cs="宋体"/>
                <w:color w:val="auto"/>
                <w:kern w:val="0"/>
                <w:szCs w:val="21"/>
                <w:highlight w:val="none"/>
              </w:rPr>
              <w:t>环境</w:t>
            </w:r>
            <w:r>
              <w:rPr>
                <w:rFonts w:hint="eastAsia" w:ascii="宋体" w:hAnsi="宋体" w:cs="宋体"/>
                <w:color w:val="auto"/>
                <w:kern w:val="0"/>
                <w:szCs w:val="21"/>
                <w:highlight w:val="none"/>
              </w:rPr>
              <w:t>风格</w:t>
            </w:r>
            <w:r>
              <w:rPr>
                <w:rFonts w:ascii="宋体" w:hAnsi="宋体" w:cs="宋体"/>
                <w:color w:val="auto"/>
                <w:kern w:val="0"/>
                <w:szCs w:val="21"/>
                <w:highlight w:val="none"/>
              </w:rPr>
              <w:t>等</w:t>
            </w:r>
            <w:r>
              <w:rPr>
                <w:rFonts w:hint="eastAsia" w:ascii="宋体" w:hAnsi="宋体" w:cs="宋体"/>
                <w:color w:val="auto"/>
                <w:kern w:val="0"/>
                <w:szCs w:val="21"/>
                <w:highlight w:val="none"/>
              </w:rPr>
              <w:t>，模型的精度根据</w:t>
            </w:r>
            <w:r>
              <w:rPr>
                <w:rFonts w:ascii="宋体" w:hAnsi="宋体" w:cs="宋体"/>
                <w:color w:val="auto"/>
                <w:kern w:val="0"/>
                <w:szCs w:val="21"/>
                <w:highlight w:val="none"/>
              </w:rPr>
              <w:t>场景需要</w:t>
            </w:r>
            <w:r>
              <w:rPr>
                <w:rFonts w:hint="eastAsia" w:ascii="宋体" w:hAnsi="宋体" w:cs="宋体"/>
                <w:color w:val="auto"/>
                <w:kern w:val="0"/>
                <w:szCs w:val="21"/>
                <w:highlight w:val="none"/>
              </w:rPr>
              <w:t>支持以下L1～L5层级（</w:t>
            </w:r>
            <w:r>
              <w:rPr>
                <w:rFonts w:hint="eastAsia" w:ascii="宋体" w:hAnsi="宋体" w:cs="宋体"/>
                <w:b/>
                <w:color w:val="auto"/>
                <w:kern w:val="0"/>
                <w:szCs w:val="21"/>
                <w:highlight w:val="none"/>
              </w:rPr>
              <w:t>本层级属于本项目模型精度层级</w:t>
            </w:r>
            <w:r>
              <w:rPr>
                <w:rFonts w:ascii="宋体" w:hAnsi="宋体" w:cs="宋体"/>
                <w:b/>
                <w:color w:val="auto"/>
                <w:kern w:val="0"/>
                <w:szCs w:val="21"/>
                <w:highlight w:val="none"/>
              </w:rPr>
              <w:t>标准，</w:t>
            </w:r>
            <w:r>
              <w:rPr>
                <w:rFonts w:hint="eastAsia" w:ascii="宋体" w:hAnsi="宋体" w:cs="宋体"/>
                <w:b/>
                <w:color w:val="auto"/>
                <w:kern w:val="0"/>
                <w:szCs w:val="21"/>
                <w:highlight w:val="none"/>
              </w:rPr>
              <w:t>供本项目</w:t>
            </w:r>
            <w:r>
              <w:rPr>
                <w:rFonts w:ascii="宋体" w:hAnsi="宋体" w:cs="宋体"/>
                <w:b/>
                <w:color w:val="auto"/>
                <w:kern w:val="0"/>
                <w:szCs w:val="21"/>
                <w:highlight w:val="none"/>
              </w:rPr>
              <w:t>其他内容项</w:t>
            </w:r>
            <w:r>
              <w:rPr>
                <w:rFonts w:hint="eastAsia" w:ascii="宋体" w:hAnsi="宋体" w:cs="宋体"/>
                <w:b/>
                <w:color w:val="auto"/>
                <w:kern w:val="0"/>
                <w:szCs w:val="21"/>
                <w:highlight w:val="none"/>
              </w:rPr>
              <w:t>引用</w:t>
            </w:r>
            <w:r>
              <w:rPr>
                <w:rFonts w:ascii="宋体" w:hAnsi="宋体" w:cs="宋体"/>
                <w:color w:val="auto"/>
                <w:kern w:val="0"/>
                <w:szCs w:val="21"/>
                <w:highlight w:val="none"/>
              </w:rPr>
              <w:t>）</w:t>
            </w:r>
            <w:r>
              <w:rPr>
                <w:rFonts w:hint="eastAsia" w:ascii="宋体" w:hAnsi="宋体" w:cs="宋体"/>
                <w:color w:val="auto"/>
                <w:kern w:val="0"/>
                <w:szCs w:val="21"/>
                <w:highlight w:val="none"/>
              </w:rPr>
              <w:t>：</w:t>
            </w:r>
          </w:p>
          <w:p w14:paraId="293B84D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L1：实体对象的基本轮廓和高度，体现空间框架结构；</w:t>
            </w:r>
          </w:p>
          <w:p w14:paraId="7A19B7F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w:t>
            </w:r>
            <w:r>
              <w:rPr>
                <w:rFonts w:hint="eastAsia" w:ascii="宋体" w:hAnsi="宋体" w:cs="宋体"/>
                <w:color w:val="auto"/>
                <w:kern w:val="0"/>
                <w:szCs w:val="21"/>
                <w:highlight w:val="none"/>
              </w:rPr>
              <w:t>L2：实体对象框架和基础表面形态，表达建筑单体，展现重要区域周边场景效果。</w:t>
            </w:r>
          </w:p>
          <w:p w14:paraId="211D71E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L3：实体对象内外面的标准模型，表面凹凸结构边长大于0.5m（含0.5m）的细化建模，有统一纹理，用于展现重要区域场景效果。</w:t>
            </w:r>
          </w:p>
          <w:p w14:paraId="73C0CD0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L4：实体对象内外面细节的精细模型，表面凹凸结构边长大于0.2m（含0.2m）的细化建模，与实际纹理相符的“精模”，用于展现场景中重要的要素或者标志建筑物等。</w:t>
            </w:r>
          </w:p>
          <w:p w14:paraId="52313D9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L5：满足实体对象主要空间占位、功能分区等需求的超精细模型（功能级），对应建筑信息模型至少满足《建筑信息模型设计交付标准》（</w:t>
            </w:r>
            <w:r>
              <w:rPr>
                <w:rFonts w:ascii="宋体" w:hAnsi="宋体" w:cs="宋体"/>
                <w:color w:val="auto"/>
                <w:kern w:val="0"/>
                <w:szCs w:val="21"/>
                <w:highlight w:val="none"/>
              </w:rPr>
              <w:t>GB/T 51301-2018）</w:t>
            </w:r>
            <w:r>
              <w:rPr>
                <w:rFonts w:hint="eastAsia" w:ascii="宋体" w:hAnsi="宋体" w:cs="宋体"/>
                <w:color w:val="auto"/>
                <w:kern w:val="0"/>
                <w:szCs w:val="21"/>
                <w:highlight w:val="none"/>
              </w:rPr>
              <w:t>中</w:t>
            </w:r>
            <w:r>
              <w:rPr>
                <w:rFonts w:ascii="宋体" w:hAnsi="宋体" w:cs="宋体"/>
                <w:color w:val="auto"/>
                <w:kern w:val="0"/>
                <w:szCs w:val="21"/>
                <w:highlight w:val="none"/>
              </w:rPr>
              <w:t>规定的</w:t>
            </w:r>
            <w:r>
              <w:rPr>
                <w:rFonts w:hint="eastAsia" w:ascii="宋体" w:hAnsi="宋体" w:cs="宋体"/>
                <w:color w:val="auto"/>
                <w:kern w:val="0"/>
                <w:szCs w:val="21"/>
                <w:highlight w:val="none"/>
              </w:rPr>
              <w:t>几何精度G1～G2级、属性深度 N1～N2级，可表达建筑分层分户（房屋套），表面凸凹结构边长大于0.05m（含0.05m）的超精细模型，用于模拟仿真推演。</w:t>
            </w:r>
          </w:p>
          <w:p w14:paraId="0210728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3．提供数据接入服务，支持三维模型数据接入、设备数据接入、业务数据接入、事件数据接入、三维模型标签管理、数据存储服务等。</w:t>
            </w:r>
          </w:p>
          <w:p w14:paraId="2C1B33F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提供数据分析服务，支持常用的空间数据分析、处理：几何中心计算、缓冲区分析、几何图形之间的空间关系判定等；支持对点位数据进行空间聚合，包括设施设备空间聚合、感知数据空间聚合，满足园区设施设备点位数据的显示要求，可根据地图比例尺进行相应的聚合范围自动调整。</w:t>
            </w:r>
          </w:p>
          <w:p w14:paraId="1B629BD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5．提供数据渲染服务，支持三维场景渲染、图层渲染管理、动效渲染管理、视点管理、天气系统管理、三维引擎渲染组件等服务。</w:t>
            </w:r>
          </w:p>
          <w:p w14:paraId="2CCDFF4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提供数据发布服务，支持将搭建的以三维孪生为底座，汇聚设备数据、事件数据、业务数据的可视化页面保存和发布为三维场景应用方案，支持对三维场景应用方案进行新增、修改、删除、导出等管理；支持云渲染服务。</w:t>
            </w:r>
          </w:p>
          <w:p w14:paraId="0FFEE4F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7．三维</w:t>
            </w:r>
            <w:r>
              <w:rPr>
                <w:rFonts w:ascii="宋体" w:hAnsi="宋体" w:cs="宋体"/>
                <w:color w:val="auto"/>
                <w:kern w:val="0"/>
                <w:szCs w:val="21"/>
                <w:highlight w:val="none"/>
              </w:rPr>
              <w:t>引擎</w:t>
            </w:r>
            <w:r>
              <w:rPr>
                <w:rFonts w:hint="eastAsia" w:ascii="宋体" w:hAnsi="宋体" w:cs="宋体"/>
                <w:color w:val="auto"/>
                <w:kern w:val="0"/>
                <w:szCs w:val="21"/>
                <w:highlight w:val="none"/>
              </w:rPr>
              <w:t>基础支持服务端国产化环境适配改造</w:t>
            </w:r>
            <w:r>
              <w:rPr>
                <w:rFonts w:ascii="宋体" w:hAnsi="宋体" w:cs="宋体"/>
                <w:color w:val="auto"/>
                <w:kern w:val="0"/>
                <w:szCs w:val="21"/>
                <w:highlight w:val="none"/>
              </w:rPr>
              <w:t>，满足用户</w:t>
            </w:r>
            <w:r>
              <w:rPr>
                <w:rFonts w:hint="eastAsia" w:ascii="宋体" w:hAnsi="宋体" w:cs="宋体"/>
                <w:color w:val="auto"/>
                <w:kern w:val="0"/>
                <w:szCs w:val="21"/>
                <w:highlight w:val="none"/>
              </w:rPr>
              <w:t>以下部署环境</w:t>
            </w:r>
            <w:r>
              <w:rPr>
                <w:rFonts w:ascii="宋体" w:hAnsi="宋体" w:cs="宋体"/>
                <w:color w:val="auto"/>
                <w:kern w:val="0"/>
                <w:szCs w:val="21"/>
                <w:highlight w:val="none"/>
              </w:rPr>
              <w:t>要求</w:t>
            </w:r>
            <w:r>
              <w:rPr>
                <w:rFonts w:hint="eastAsia" w:ascii="宋体" w:hAnsi="宋体" w:cs="宋体"/>
                <w:color w:val="auto"/>
                <w:kern w:val="0"/>
                <w:szCs w:val="21"/>
                <w:highlight w:val="none"/>
              </w:rPr>
              <w:t>：</w:t>
            </w:r>
          </w:p>
          <w:p w14:paraId="7F844FC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w:t>
            </w:r>
            <w:r>
              <w:rPr>
                <w:rFonts w:hint="eastAsia" w:ascii="宋体" w:hAnsi="宋体" w:cs="宋体"/>
                <w:color w:val="auto"/>
                <w:kern w:val="0"/>
                <w:szCs w:val="21"/>
                <w:highlight w:val="none"/>
              </w:rPr>
              <w:t>支持龙芯、兆芯、华为鲲鹏、飞腾等主流国产化CPU的</w:t>
            </w:r>
            <w:r>
              <w:rPr>
                <w:rFonts w:ascii="宋体" w:hAnsi="宋体" w:cs="宋体"/>
                <w:color w:val="auto"/>
                <w:kern w:val="0"/>
                <w:szCs w:val="21"/>
                <w:highlight w:val="none"/>
              </w:rPr>
              <w:t>服务器部署</w:t>
            </w:r>
            <w:r>
              <w:rPr>
                <w:rFonts w:hint="eastAsia" w:ascii="宋体" w:hAnsi="宋体" w:cs="宋体"/>
                <w:color w:val="auto"/>
                <w:kern w:val="0"/>
                <w:szCs w:val="21"/>
                <w:highlight w:val="none"/>
              </w:rPr>
              <w:t>；</w:t>
            </w:r>
          </w:p>
          <w:p w14:paraId="74702C4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（2）支持银河麒麟V10 SP2、统信UOS V20等主流国产化操作系统；</w:t>
            </w:r>
          </w:p>
          <w:p w14:paraId="3E11164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w:t>
            </w:r>
            <w:r>
              <w:rPr>
                <w:rFonts w:hint="eastAsia" w:ascii="宋体" w:hAnsi="宋体" w:cs="宋体"/>
                <w:color w:val="auto"/>
                <w:kern w:val="0"/>
                <w:szCs w:val="21"/>
                <w:highlight w:val="none"/>
              </w:rPr>
              <w:t>支持东方通7.04及以上</w:t>
            </w:r>
            <w:r>
              <w:rPr>
                <w:rFonts w:ascii="宋体" w:hAnsi="宋体" w:cs="宋体"/>
                <w:color w:val="auto"/>
                <w:kern w:val="0"/>
                <w:szCs w:val="21"/>
                <w:highlight w:val="none"/>
              </w:rPr>
              <w:t>、金蝶等</w:t>
            </w:r>
            <w:r>
              <w:rPr>
                <w:rFonts w:hint="eastAsia" w:ascii="宋体" w:hAnsi="宋体" w:cs="宋体"/>
                <w:color w:val="auto"/>
                <w:kern w:val="0"/>
                <w:szCs w:val="21"/>
                <w:highlight w:val="none"/>
              </w:rPr>
              <w:t>主流国产化web中间件；</w:t>
            </w:r>
          </w:p>
          <w:p w14:paraId="6DEA0B3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（4）支持RabbitMQ等主流国产化消息中间件；</w:t>
            </w:r>
          </w:p>
          <w:p w14:paraId="54B3769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（5）支持人大金仓、达梦8及以上</w:t>
            </w:r>
            <w:r>
              <w:rPr>
                <w:rFonts w:ascii="宋体" w:hAnsi="宋体" w:cs="宋体"/>
                <w:color w:val="auto"/>
                <w:kern w:val="0"/>
                <w:szCs w:val="21"/>
                <w:highlight w:val="none"/>
              </w:rPr>
              <w:t>版本</w:t>
            </w:r>
            <w:r>
              <w:rPr>
                <w:rFonts w:hint="eastAsia" w:ascii="宋体" w:hAnsi="宋体" w:cs="宋体"/>
                <w:color w:val="auto"/>
                <w:kern w:val="0"/>
                <w:szCs w:val="21"/>
                <w:highlight w:val="none"/>
              </w:rPr>
              <w:t>主流国产化数据库。</w:t>
            </w:r>
          </w:p>
          <w:p w14:paraId="06C906B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8．提供接口开放服务：</w:t>
            </w:r>
          </w:p>
          <w:p w14:paraId="19617E1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（1）提供支持web端和客户端sdk接口；</w:t>
            </w:r>
          </w:p>
          <w:p w14:paraId="2CD04D1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（2）通过接口可以控制视点的切换，对模型物体、设备进行定位，实现三维场景的切换、锁定到某个设备等功能；</w:t>
            </w:r>
          </w:p>
          <w:p w14:paraId="587090E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（3）通过接口可以实现区域的绘制，用于周界防区、业务相关区域的表现。</w:t>
            </w:r>
          </w:p>
        </w:tc>
      </w:tr>
      <w:tr w14:paraId="4E3189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EF932B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1.1.5</w:t>
            </w:r>
          </w:p>
        </w:tc>
        <w:tc>
          <w:tcPr>
            <w:tcW w:w="1026" w:type="pct"/>
            <w:noWrap w:val="0"/>
            <w:vAlign w:val="center"/>
          </w:tcPr>
          <w:p w14:paraId="143DF74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总览态势看板（三维）</w:t>
            </w:r>
          </w:p>
        </w:tc>
        <w:tc>
          <w:tcPr>
            <w:tcW w:w="426" w:type="pct"/>
            <w:noWrap w:val="0"/>
            <w:vAlign w:val="center"/>
          </w:tcPr>
          <w:p w14:paraId="3C6D4CFD">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953" w:type="pct"/>
            <w:noWrap w:val="0"/>
            <w:vAlign w:val="center"/>
          </w:tcPr>
          <w:p w14:paraId="6F55E0B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在本项目“</w:t>
            </w:r>
            <w:r>
              <w:rPr>
                <w:rFonts w:ascii="宋体" w:hAnsi="宋体" w:cs="宋体"/>
                <w:color w:val="auto"/>
                <w:kern w:val="0"/>
                <w:szCs w:val="21"/>
                <w:highlight w:val="none"/>
              </w:rPr>
              <w:t>1.1.1国产化综合安防管理平台”中，为用户提供</w:t>
            </w:r>
            <w:r>
              <w:rPr>
                <w:rFonts w:hint="eastAsia" w:ascii="宋体" w:hAnsi="宋体" w:cs="宋体"/>
                <w:color w:val="auto"/>
                <w:kern w:val="0"/>
                <w:szCs w:val="21"/>
                <w:highlight w:val="none"/>
              </w:rPr>
              <w:t>三维总览态势看板，结合三维模型，支持设备点位上图，设备异常点位标红，支持通过区域、场所类型、场所名称进行搜索</w:t>
            </w:r>
            <w:r>
              <w:rPr>
                <w:rFonts w:ascii="宋体" w:hAnsi="宋体" w:cs="宋体"/>
                <w:color w:val="auto"/>
                <w:kern w:val="0"/>
                <w:szCs w:val="21"/>
                <w:highlight w:val="none"/>
              </w:rPr>
              <w:t>，主要展示</w:t>
            </w:r>
            <w:r>
              <w:rPr>
                <w:rFonts w:hint="eastAsia" w:ascii="宋体" w:hAnsi="宋体" w:cs="宋体"/>
                <w:color w:val="auto"/>
                <w:kern w:val="0"/>
                <w:szCs w:val="21"/>
                <w:highlight w:val="none"/>
              </w:rPr>
              <w:t>用户安防</w:t>
            </w:r>
            <w:r>
              <w:rPr>
                <w:rFonts w:ascii="宋体" w:hAnsi="宋体" w:cs="宋体"/>
                <w:color w:val="auto"/>
                <w:kern w:val="0"/>
                <w:szCs w:val="21"/>
                <w:highlight w:val="none"/>
              </w:rPr>
              <w:t>监控场景的</w:t>
            </w:r>
            <w:r>
              <w:rPr>
                <w:rFonts w:hint="eastAsia" w:ascii="宋体" w:hAnsi="宋体" w:cs="宋体"/>
                <w:color w:val="auto"/>
                <w:kern w:val="0"/>
                <w:szCs w:val="21"/>
                <w:highlight w:val="none"/>
              </w:rPr>
              <w:t>信息，</w:t>
            </w:r>
            <w:r>
              <w:rPr>
                <w:rFonts w:ascii="宋体" w:hAnsi="宋体" w:cs="宋体"/>
                <w:color w:val="auto"/>
                <w:kern w:val="0"/>
                <w:szCs w:val="21"/>
                <w:highlight w:val="none"/>
              </w:rPr>
              <w:t>包括但不限于以下内容：</w:t>
            </w:r>
          </w:p>
          <w:p w14:paraId="22F911E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1．楼栋概况统计：占地面积、楼栋数量。</w:t>
            </w:r>
          </w:p>
          <w:p w14:paraId="54C2C0A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2．人车数据统计：员工总数、车辆总数、车位总数、固定车位总数</w:t>
            </w:r>
          </w:p>
          <w:p w14:paraId="1FC4B79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3．设备数据统计:设备资源总数、视频、门禁、可视对讲、梯控、停车场、消防、其他设备数量</w:t>
            </w:r>
          </w:p>
          <w:p w14:paraId="00AE71B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4．告警事件处理：发生告警消息弹窗提醒，可点击进入告警详情，并可以对事件进行处置。</w:t>
            </w:r>
          </w:p>
          <w:p w14:paraId="28066A2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5．看板包括国产化终端上的适配和呈现优化服务。支持在国产化web端引擎，且</w:t>
            </w:r>
            <w:r>
              <w:rPr>
                <w:rFonts w:ascii="宋体" w:hAnsi="宋体" w:cs="宋体"/>
                <w:color w:val="auto"/>
                <w:kern w:val="0"/>
                <w:szCs w:val="21"/>
                <w:highlight w:val="none"/>
              </w:rPr>
              <w:t>兼容适配在</w:t>
            </w:r>
            <w:r>
              <w:rPr>
                <w:rFonts w:hint="eastAsia" w:ascii="宋体" w:hAnsi="宋体" w:cs="宋体"/>
                <w:color w:val="auto"/>
                <w:kern w:val="0"/>
                <w:szCs w:val="21"/>
                <w:highlight w:val="none"/>
              </w:rPr>
              <w:t>用户</w:t>
            </w:r>
            <w:r>
              <w:rPr>
                <w:rFonts w:ascii="宋体" w:hAnsi="宋体" w:cs="宋体"/>
                <w:color w:val="auto"/>
                <w:kern w:val="0"/>
                <w:szCs w:val="21"/>
                <w:highlight w:val="none"/>
              </w:rPr>
              <w:t>专用</w:t>
            </w:r>
            <w:r>
              <w:rPr>
                <w:rFonts w:hint="eastAsia" w:ascii="宋体" w:hAnsi="宋体" w:cs="宋体"/>
                <w:color w:val="auto"/>
                <w:kern w:val="0"/>
                <w:szCs w:val="21"/>
                <w:highlight w:val="none"/>
              </w:rPr>
              <w:t>奇安信可信专业版浏览器（v</w:t>
            </w:r>
            <w:r>
              <w:rPr>
                <w:rFonts w:ascii="宋体" w:hAnsi="宋体" w:cs="宋体"/>
                <w:color w:val="auto"/>
                <w:kern w:val="0"/>
                <w:szCs w:val="21"/>
                <w:highlight w:val="none"/>
              </w:rPr>
              <w:t>1.0.41702.7）</w:t>
            </w:r>
            <w:r>
              <w:rPr>
                <w:rFonts w:hint="eastAsia" w:ascii="宋体" w:hAnsi="宋体" w:cs="宋体"/>
                <w:color w:val="auto"/>
                <w:kern w:val="0"/>
                <w:szCs w:val="21"/>
                <w:highlight w:val="none"/>
              </w:rPr>
              <w:t>中加载使用</w:t>
            </w:r>
            <w:r>
              <w:rPr>
                <w:rFonts w:ascii="宋体" w:hAnsi="宋体" w:cs="宋体"/>
                <w:color w:val="auto"/>
                <w:kern w:val="0"/>
                <w:szCs w:val="21"/>
                <w:highlight w:val="none"/>
              </w:rPr>
              <w:t>，并</w:t>
            </w:r>
            <w:r>
              <w:rPr>
                <w:rFonts w:hint="eastAsia" w:ascii="宋体" w:hAnsi="宋体" w:cs="宋体"/>
                <w:color w:val="auto"/>
                <w:kern w:val="0"/>
                <w:szCs w:val="21"/>
                <w:highlight w:val="none"/>
              </w:rPr>
              <w:t>支持优化及</w:t>
            </w:r>
            <w:r>
              <w:rPr>
                <w:rFonts w:ascii="宋体" w:hAnsi="宋体" w:cs="宋体"/>
                <w:color w:val="auto"/>
                <w:kern w:val="0"/>
                <w:szCs w:val="21"/>
                <w:highlight w:val="none"/>
              </w:rPr>
              <w:t>适配改造，确保最佳显示效果</w:t>
            </w:r>
            <w:r>
              <w:rPr>
                <w:rFonts w:hint="eastAsia" w:ascii="宋体" w:hAnsi="宋体" w:cs="宋体"/>
                <w:color w:val="auto"/>
                <w:kern w:val="0"/>
                <w:szCs w:val="21"/>
                <w:highlight w:val="none"/>
              </w:rPr>
              <w:t>和</w:t>
            </w:r>
            <w:r>
              <w:rPr>
                <w:rFonts w:ascii="宋体" w:hAnsi="宋体" w:cs="宋体"/>
                <w:color w:val="auto"/>
                <w:kern w:val="0"/>
                <w:szCs w:val="21"/>
                <w:highlight w:val="none"/>
              </w:rPr>
              <w:t>显示速度</w:t>
            </w:r>
            <w:r>
              <w:rPr>
                <w:rFonts w:hint="eastAsia" w:ascii="宋体" w:hAnsi="宋体" w:cs="宋体"/>
                <w:color w:val="auto"/>
                <w:kern w:val="0"/>
                <w:szCs w:val="21"/>
                <w:highlight w:val="none"/>
              </w:rPr>
              <w:t>。</w:t>
            </w:r>
          </w:p>
        </w:tc>
      </w:tr>
      <w:tr w14:paraId="6019795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37F5A7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1.1.6</w:t>
            </w:r>
          </w:p>
        </w:tc>
        <w:tc>
          <w:tcPr>
            <w:tcW w:w="1026" w:type="pct"/>
            <w:noWrap w:val="0"/>
            <w:vAlign w:val="center"/>
          </w:tcPr>
          <w:p w14:paraId="1EEDD82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三维建模服务（室外）</w:t>
            </w:r>
          </w:p>
        </w:tc>
        <w:tc>
          <w:tcPr>
            <w:tcW w:w="426" w:type="pct"/>
            <w:noWrap w:val="0"/>
            <w:vAlign w:val="center"/>
          </w:tcPr>
          <w:p w14:paraId="38AF116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2953" w:type="pct"/>
            <w:noWrap w:val="0"/>
            <w:vAlign w:val="center"/>
          </w:tcPr>
          <w:p w14:paraId="65C8462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在本项目“</w:t>
            </w:r>
            <w:r>
              <w:rPr>
                <w:rFonts w:ascii="宋体" w:hAnsi="宋体" w:cs="宋体"/>
                <w:color w:val="auto"/>
                <w:kern w:val="0"/>
                <w:szCs w:val="21"/>
                <w:highlight w:val="none"/>
              </w:rPr>
              <w:t>1.1.1国产化综合安防管理平台”中，为用户提供</w:t>
            </w:r>
            <w:r>
              <w:rPr>
                <w:rFonts w:hint="eastAsia" w:ascii="宋体" w:hAnsi="宋体" w:cs="宋体"/>
                <w:color w:val="auto"/>
                <w:kern w:val="0"/>
                <w:szCs w:val="21"/>
                <w:highlight w:val="none"/>
              </w:rPr>
              <w:t>室外</w:t>
            </w:r>
            <w:r>
              <w:rPr>
                <w:rFonts w:ascii="宋体" w:hAnsi="宋体" w:cs="宋体"/>
                <w:color w:val="auto"/>
                <w:kern w:val="0"/>
                <w:szCs w:val="21"/>
                <w:highlight w:val="none"/>
              </w:rPr>
              <w:t>场景的</w:t>
            </w:r>
            <w:r>
              <w:rPr>
                <w:rFonts w:hint="eastAsia" w:ascii="宋体" w:hAnsi="宋体" w:cs="宋体"/>
                <w:color w:val="auto"/>
                <w:kern w:val="0"/>
                <w:szCs w:val="21"/>
                <w:highlight w:val="none"/>
              </w:rPr>
              <w:t>三维建模服务</w:t>
            </w:r>
            <w:r>
              <w:rPr>
                <w:rFonts w:ascii="宋体" w:hAnsi="宋体" w:cs="宋体"/>
                <w:color w:val="auto"/>
                <w:kern w:val="0"/>
                <w:szCs w:val="21"/>
                <w:highlight w:val="none"/>
              </w:rPr>
              <w:t>，主要展示内容包括但不限于以下内容：</w:t>
            </w:r>
          </w:p>
          <w:p w14:paraId="4489F4B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1．针对用户</w:t>
            </w:r>
            <w:r>
              <w:rPr>
                <w:rFonts w:ascii="宋体" w:hAnsi="宋体" w:cs="宋体"/>
                <w:color w:val="auto"/>
                <w:kern w:val="0"/>
                <w:szCs w:val="21"/>
                <w:highlight w:val="none"/>
              </w:rPr>
              <w:t>安防监控</w:t>
            </w:r>
            <w:r>
              <w:rPr>
                <w:rFonts w:hint="eastAsia" w:ascii="宋体" w:hAnsi="宋体" w:cs="宋体"/>
                <w:color w:val="auto"/>
                <w:kern w:val="0"/>
                <w:szCs w:val="21"/>
                <w:highlight w:val="none"/>
              </w:rPr>
              <w:t>区域的场景提供室外场景的三维建模服务，</w:t>
            </w:r>
            <w:r>
              <w:rPr>
                <w:rFonts w:ascii="宋体" w:hAnsi="宋体" w:cs="宋体"/>
                <w:color w:val="auto"/>
                <w:kern w:val="0"/>
                <w:szCs w:val="21"/>
                <w:highlight w:val="none"/>
              </w:rPr>
              <w:t>提供</w:t>
            </w:r>
            <w:r>
              <w:rPr>
                <w:rFonts w:hint="eastAsia" w:ascii="宋体" w:hAnsi="宋体" w:cs="宋体"/>
                <w:color w:val="auto"/>
                <w:kern w:val="0"/>
                <w:szCs w:val="21"/>
                <w:highlight w:val="none"/>
              </w:rPr>
              <w:t>室外</w:t>
            </w:r>
            <w:r>
              <w:rPr>
                <w:rFonts w:ascii="宋体" w:hAnsi="宋体" w:cs="宋体"/>
                <w:color w:val="auto"/>
                <w:kern w:val="0"/>
                <w:szCs w:val="21"/>
                <w:highlight w:val="none"/>
              </w:rPr>
              <w:t>场景的</w:t>
            </w:r>
            <w:r>
              <w:rPr>
                <w:rFonts w:hint="eastAsia" w:ascii="宋体" w:hAnsi="宋体" w:cs="宋体"/>
                <w:color w:val="auto"/>
                <w:kern w:val="0"/>
                <w:szCs w:val="21"/>
                <w:highlight w:val="none"/>
              </w:rPr>
              <w:t>三维建模服务面积约</w:t>
            </w:r>
            <w:r>
              <w:rPr>
                <w:rFonts w:ascii="宋体" w:hAnsi="宋体" w:cs="宋体"/>
                <w:color w:val="auto"/>
                <w:kern w:val="0"/>
                <w:szCs w:val="21"/>
                <w:highlight w:val="none"/>
              </w:rPr>
              <w:t>0.5</w:t>
            </w:r>
            <w:r>
              <w:rPr>
                <w:rFonts w:hint="eastAsia" w:ascii="宋体" w:hAnsi="宋体" w:cs="宋体"/>
                <w:color w:val="auto"/>
                <w:kern w:val="0"/>
                <w:szCs w:val="21"/>
                <w:highlight w:val="none"/>
              </w:rPr>
              <w:t>平方公里，建筑物</w:t>
            </w:r>
            <w:r>
              <w:rPr>
                <w:rFonts w:ascii="宋体" w:hAnsi="宋体" w:cs="宋体"/>
                <w:color w:val="auto"/>
                <w:kern w:val="0"/>
                <w:szCs w:val="21"/>
                <w:highlight w:val="none"/>
              </w:rPr>
              <w:t>要</w:t>
            </w:r>
            <w:r>
              <w:rPr>
                <w:rFonts w:hint="eastAsia" w:ascii="宋体" w:hAnsi="宋体" w:cs="宋体"/>
                <w:color w:val="auto"/>
                <w:kern w:val="0"/>
                <w:szCs w:val="21"/>
                <w:highlight w:val="none"/>
              </w:rPr>
              <w:t>与</w:t>
            </w:r>
            <w:r>
              <w:rPr>
                <w:rFonts w:ascii="宋体" w:hAnsi="宋体" w:cs="宋体"/>
                <w:color w:val="auto"/>
                <w:kern w:val="0"/>
                <w:szCs w:val="21"/>
                <w:highlight w:val="none"/>
              </w:rPr>
              <w:t>用户场景</w:t>
            </w:r>
            <w:r>
              <w:rPr>
                <w:rFonts w:hint="eastAsia" w:ascii="宋体" w:hAnsi="宋体" w:cs="宋体"/>
                <w:color w:val="auto"/>
                <w:kern w:val="0"/>
                <w:szCs w:val="21"/>
                <w:highlight w:val="none"/>
              </w:rPr>
              <w:t>建筑物基本一致；</w:t>
            </w:r>
          </w:p>
          <w:p w14:paraId="0FB0142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建筑物基底应以设计资料1:500、1:1000、1:2000等大比例尺的地形图建筑轮廓线为依据,建筑高度可根据建筑性质通过现场照片对应的平均层高间接获得。建筑模型要求准确反映建筑主体结构，模型一般不超过30000-50000个面，表现大于0.2米-0.5米的凹凸结构及附属设施。</w:t>
            </w:r>
          </w:p>
          <w:p w14:paraId="7BC33FD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3．按照本项目模型精度层级标准L3级别（见</w:t>
            </w:r>
            <w:r>
              <w:rPr>
                <w:rFonts w:ascii="宋体" w:hAnsi="宋体" w:cs="宋体"/>
                <w:color w:val="auto"/>
                <w:kern w:val="0"/>
                <w:szCs w:val="21"/>
                <w:highlight w:val="none"/>
              </w:rPr>
              <w:t>“1.1.4</w:t>
            </w:r>
            <w:r>
              <w:rPr>
                <w:rFonts w:ascii="宋体" w:hAnsi="宋体" w:cs="宋体"/>
                <w:color w:val="auto"/>
                <w:kern w:val="0"/>
                <w:szCs w:val="21"/>
                <w:highlight w:val="none"/>
              </w:rPr>
              <w:tab/>
            </w:r>
            <w:r>
              <w:rPr>
                <w:rFonts w:ascii="宋体" w:hAnsi="宋体" w:cs="宋体"/>
                <w:color w:val="auto"/>
                <w:kern w:val="0"/>
                <w:szCs w:val="21"/>
                <w:highlight w:val="none"/>
              </w:rPr>
              <w:t>三维引擎基础”</w:t>
            </w:r>
            <w:r>
              <w:rPr>
                <w:rFonts w:hint="eastAsia" w:ascii="宋体" w:hAnsi="宋体" w:cs="宋体"/>
                <w:color w:val="auto"/>
                <w:kern w:val="0"/>
                <w:szCs w:val="21"/>
                <w:highlight w:val="none"/>
              </w:rPr>
              <w:t>第2点</w:t>
            </w:r>
            <w:r>
              <w:rPr>
                <w:rFonts w:ascii="宋体" w:hAnsi="宋体" w:cs="宋体"/>
                <w:color w:val="auto"/>
                <w:kern w:val="0"/>
                <w:szCs w:val="21"/>
                <w:highlight w:val="none"/>
              </w:rPr>
              <w:t>技术参数要求）</w:t>
            </w:r>
            <w:r>
              <w:rPr>
                <w:rFonts w:hint="eastAsia" w:ascii="宋体" w:hAnsi="宋体" w:cs="宋体"/>
                <w:color w:val="auto"/>
                <w:kern w:val="0"/>
                <w:szCs w:val="21"/>
                <w:highlight w:val="none"/>
              </w:rPr>
              <w:t>进行建模，L3模型支持表达实体三维框架、内外表面的标准模型，表现为统一纹理的“标模”，可采用激光雷达、倾斜摄影等方式组合建模。</w:t>
            </w:r>
          </w:p>
          <w:p w14:paraId="36233B2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4．室外场景</w:t>
            </w:r>
            <w:r>
              <w:rPr>
                <w:rFonts w:ascii="宋体" w:hAnsi="宋体" w:cs="宋体"/>
                <w:color w:val="auto"/>
                <w:kern w:val="0"/>
                <w:szCs w:val="21"/>
                <w:highlight w:val="none"/>
              </w:rPr>
              <w:t>可</w:t>
            </w:r>
            <w:r>
              <w:rPr>
                <w:rFonts w:hint="eastAsia" w:ascii="宋体" w:hAnsi="宋体" w:cs="宋体"/>
                <w:color w:val="auto"/>
                <w:kern w:val="0"/>
                <w:szCs w:val="21"/>
                <w:highlight w:val="none"/>
              </w:rPr>
              <w:t>通过无人机搭载的高分辨率航拍相机等，从多个角度拍摄全景图用于</w:t>
            </w:r>
            <w:r>
              <w:rPr>
                <w:rFonts w:ascii="宋体" w:hAnsi="宋体" w:cs="宋体"/>
                <w:color w:val="auto"/>
                <w:kern w:val="0"/>
                <w:szCs w:val="21"/>
                <w:highlight w:val="none"/>
              </w:rPr>
              <w:t>建模引用</w:t>
            </w:r>
            <w:r>
              <w:rPr>
                <w:rFonts w:hint="eastAsia" w:ascii="宋体" w:hAnsi="宋体" w:cs="宋体"/>
                <w:color w:val="auto"/>
                <w:kern w:val="0"/>
                <w:szCs w:val="21"/>
                <w:highlight w:val="none"/>
              </w:rPr>
              <w:t>。</w:t>
            </w:r>
          </w:p>
          <w:p w14:paraId="3F51660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5．结合从全景图中提取物体要素，搭建三维模型仿真场景。</w:t>
            </w:r>
          </w:p>
          <w:p w14:paraId="19BC786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6．结合楼层现场采集照片，制作三维模型进行摆模，形成完整的三维模型能够在平台中直接使用。</w:t>
            </w:r>
          </w:p>
        </w:tc>
      </w:tr>
      <w:tr w14:paraId="52EA48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770F2C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1.1.7</w:t>
            </w:r>
          </w:p>
        </w:tc>
        <w:tc>
          <w:tcPr>
            <w:tcW w:w="1026" w:type="pct"/>
            <w:noWrap w:val="0"/>
            <w:vAlign w:val="center"/>
          </w:tcPr>
          <w:p w14:paraId="7414CB5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三维建模服务（室内）</w:t>
            </w:r>
          </w:p>
        </w:tc>
        <w:tc>
          <w:tcPr>
            <w:tcW w:w="426" w:type="pct"/>
            <w:noWrap w:val="0"/>
            <w:vAlign w:val="center"/>
          </w:tcPr>
          <w:p w14:paraId="2DF2937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1项</w:t>
            </w:r>
          </w:p>
        </w:tc>
        <w:tc>
          <w:tcPr>
            <w:tcW w:w="2953" w:type="pct"/>
            <w:noWrap w:val="0"/>
            <w:vAlign w:val="center"/>
          </w:tcPr>
          <w:p w14:paraId="6069D58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在本项目“</w:t>
            </w:r>
            <w:r>
              <w:rPr>
                <w:rFonts w:ascii="宋体" w:hAnsi="宋体" w:cs="宋体"/>
                <w:color w:val="auto"/>
                <w:kern w:val="0"/>
                <w:szCs w:val="21"/>
                <w:highlight w:val="none"/>
              </w:rPr>
              <w:t>1.1.1国产化综合安防管理平台”中，为用户提供</w:t>
            </w:r>
            <w:r>
              <w:rPr>
                <w:rFonts w:hint="eastAsia" w:ascii="宋体" w:hAnsi="宋体" w:cs="宋体"/>
                <w:color w:val="auto"/>
                <w:kern w:val="0"/>
                <w:szCs w:val="21"/>
                <w:highlight w:val="none"/>
              </w:rPr>
              <w:t>≥</w:t>
            </w:r>
            <w:r>
              <w:rPr>
                <w:rFonts w:ascii="宋体" w:hAnsi="宋体" w:cs="宋体"/>
                <w:color w:val="auto"/>
                <w:kern w:val="0"/>
                <w:szCs w:val="21"/>
                <w:highlight w:val="none"/>
              </w:rPr>
              <w:t>4万平方米</w:t>
            </w:r>
            <w:r>
              <w:rPr>
                <w:rFonts w:hint="eastAsia" w:ascii="宋体" w:hAnsi="宋体" w:cs="宋体"/>
                <w:color w:val="auto"/>
                <w:kern w:val="0"/>
                <w:szCs w:val="21"/>
                <w:highlight w:val="none"/>
              </w:rPr>
              <w:t>室内</w:t>
            </w:r>
            <w:r>
              <w:rPr>
                <w:rFonts w:ascii="宋体" w:hAnsi="宋体" w:cs="宋体"/>
                <w:color w:val="auto"/>
                <w:kern w:val="0"/>
                <w:szCs w:val="21"/>
                <w:highlight w:val="none"/>
              </w:rPr>
              <w:t>场景的</w:t>
            </w:r>
            <w:r>
              <w:rPr>
                <w:rFonts w:hint="eastAsia" w:ascii="宋体" w:hAnsi="宋体" w:cs="宋体"/>
                <w:color w:val="auto"/>
                <w:kern w:val="0"/>
                <w:szCs w:val="21"/>
                <w:highlight w:val="none"/>
              </w:rPr>
              <w:t>三维建模服务</w:t>
            </w:r>
            <w:r>
              <w:rPr>
                <w:rFonts w:ascii="宋体" w:hAnsi="宋体" w:cs="宋体"/>
                <w:color w:val="auto"/>
                <w:kern w:val="0"/>
                <w:szCs w:val="21"/>
                <w:highlight w:val="none"/>
              </w:rPr>
              <w:t>，主要展示内容包括但不限于以下内容：</w:t>
            </w:r>
          </w:p>
          <w:p w14:paraId="4C66D12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1．根据用户真实</w:t>
            </w:r>
            <w:r>
              <w:rPr>
                <w:rFonts w:ascii="宋体" w:hAnsi="宋体" w:cs="宋体"/>
                <w:color w:val="auto"/>
                <w:kern w:val="0"/>
                <w:szCs w:val="21"/>
                <w:highlight w:val="none"/>
              </w:rPr>
              <w:t>场景</w:t>
            </w:r>
            <w:r>
              <w:rPr>
                <w:rFonts w:hint="eastAsia" w:ascii="宋体" w:hAnsi="宋体" w:cs="宋体"/>
                <w:color w:val="auto"/>
                <w:kern w:val="0"/>
                <w:szCs w:val="21"/>
                <w:highlight w:val="none"/>
              </w:rPr>
              <w:t>及</w:t>
            </w:r>
            <w:r>
              <w:rPr>
                <w:rFonts w:ascii="宋体" w:hAnsi="宋体" w:cs="宋体"/>
                <w:color w:val="auto"/>
                <w:kern w:val="0"/>
                <w:szCs w:val="21"/>
                <w:highlight w:val="none"/>
              </w:rPr>
              <w:t>相关</w:t>
            </w:r>
            <w:r>
              <w:rPr>
                <w:rFonts w:hint="eastAsia" w:ascii="宋体" w:hAnsi="宋体" w:cs="宋体"/>
                <w:color w:val="auto"/>
                <w:kern w:val="0"/>
                <w:szCs w:val="21"/>
                <w:highlight w:val="none"/>
              </w:rPr>
              <w:t>建筑资料，按照</w:t>
            </w:r>
            <w:r>
              <w:rPr>
                <w:rFonts w:ascii="宋体" w:hAnsi="宋体" w:cs="宋体"/>
                <w:color w:val="auto"/>
                <w:kern w:val="0"/>
                <w:szCs w:val="21"/>
                <w:highlight w:val="none"/>
              </w:rPr>
              <w:t>用户使用场景</w:t>
            </w:r>
            <w:r>
              <w:rPr>
                <w:rFonts w:hint="eastAsia" w:ascii="宋体" w:hAnsi="宋体" w:cs="宋体"/>
                <w:color w:val="auto"/>
                <w:kern w:val="0"/>
                <w:szCs w:val="21"/>
                <w:highlight w:val="none"/>
              </w:rPr>
              <w:t>建筑物的</w:t>
            </w:r>
            <w:r>
              <w:rPr>
                <w:rFonts w:ascii="宋体" w:hAnsi="宋体" w:cs="宋体"/>
                <w:color w:val="auto"/>
                <w:kern w:val="0"/>
                <w:szCs w:val="21"/>
                <w:highlight w:val="none"/>
              </w:rPr>
              <w:t>内部结构</w:t>
            </w:r>
            <w:r>
              <w:rPr>
                <w:rFonts w:hint="eastAsia" w:ascii="宋体" w:hAnsi="宋体" w:cs="宋体"/>
                <w:color w:val="auto"/>
                <w:kern w:val="0"/>
                <w:szCs w:val="21"/>
                <w:highlight w:val="none"/>
              </w:rPr>
              <w:t>及室内</w:t>
            </w:r>
            <w:r>
              <w:rPr>
                <w:rFonts w:ascii="宋体" w:hAnsi="宋体" w:cs="宋体"/>
                <w:color w:val="auto"/>
                <w:kern w:val="0"/>
                <w:szCs w:val="21"/>
                <w:highlight w:val="none"/>
              </w:rPr>
              <w:t>物品（比如</w:t>
            </w:r>
            <w:r>
              <w:rPr>
                <w:rFonts w:hint="eastAsia" w:ascii="宋体" w:hAnsi="宋体" w:cs="宋体"/>
                <w:color w:val="auto"/>
                <w:kern w:val="0"/>
                <w:szCs w:val="21"/>
                <w:highlight w:val="none"/>
              </w:rPr>
              <w:t>家具、</w:t>
            </w:r>
            <w:r>
              <w:rPr>
                <w:rFonts w:ascii="宋体" w:hAnsi="宋体" w:cs="宋体"/>
                <w:color w:val="auto"/>
                <w:kern w:val="0"/>
                <w:szCs w:val="21"/>
                <w:highlight w:val="none"/>
              </w:rPr>
              <w:t>装饰设施</w:t>
            </w:r>
            <w:r>
              <w:rPr>
                <w:rFonts w:hint="eastAsia" w:ascii="宋体" w:hAnsi="宋体" w:cs="宋体"/>
                <w:color w:val="auto"/>
                <w:kern w:val="0"/>
                <w:szCs w:val="21"/>
                <w:highlight w:val="none"/>
              </w:rPr>
              <w:t>等</w:t>
            </w:r>
            <w:r>
              <w:rPr>
                <w:rFonts w:ascii="宋体" w:hAnsi="宋体" w:cs="宋体"/>
                <w:color w:val="auto"/>
                <w:kern w:val="0"/>
                <w:szCs w:val="21"/>
                <w:highlight w:val="none"/>
              </w:rPr>
              <w:t>）</w:t>
            </w:r>
            <w:r>
              <w:rPr>
                <w:rFonts w:hint="eastAsia" w:ascii="宋体" w:hAnsi="宋体" w:cs="宋体"/>
                <w:color w:val="auto"/>
                <w:kern w:val="0"/>
                <w:szCs w:val="21"/>
                <w:highlight w:val="none"/>
              </w:rPr>
              <w:t>陈设进行</w:t>
            </w:r>
            <w:r>
              <w:rPr>
                <w:rFonts w:ascii="宋体" w:hAnsi="宋体" w:cs="宋体"/>
                <w:color w:val="auto"/>
                <w:kern w:val="0"/>
                <w:szCs w:val="21"/>
                <w:highlight w:val="none"/>
              </w:rPr>
              <w:t>室内</w:t>
            </w:r>
            <w:r>
              <w:rPr>
                <w:rFonts w:hint="eastAsia" w:ascii="宋体" w:hAnsi="宋体" w:cs="宋体"/>
                <w:color w:val="auto"/>
                <w:kern w:val="0"/>
                <w:szCs w:val="21"/>
                <w:highlight w:val="none"/>
              </w:rPr>
              <w:t>模型</w:t>
            </w:r>
            <w:r>
              <w:rPr>
                <w:rFonts w:ascii="宋体" w:hAnsi="宋体" w:cs="宋体"/>
                <w:color w:val="auto"/>
                <w:kern w:val="0"/>
                <w:szCs w:val="21"/>
                <w:highlight w:val="none"/>
              </w:rPr>
              <w:t>设计</w:t>
            </w:r>
            <w:r>
              <w:rPr>
                <w:rFonts w:hint="eastAsia" w:ascii="宋体" w:hAnsi="宋体" w:cs="宋体"/>
                <w:color w:val="auto"/>
                <w:kern w:val="0"/>
                <w:szCs w:val="21"/>
                <w:highlight w:val="none"/>
              </w:rPr>
              <w:t>，室内</w:t>
            </w:r>
            <w:r>
              <w:rPr>
                <w:rFonts w:ascii="宋体" w:hAnsi="宋体" w:cs="宋体"/>
                <w:color w:val="auto"/>
                <w:kern w:val="0"/>
                <w:szCs w:val="21"/>
                <w:highlight w:val="none"/>
              </w:rPr>
              <w:t>设施</w:t>
            </w:r>
            <w:r>
              <w:rPr>
                <w:rFonts w:hint="eastAsia" w:ascii="宋体" w:hAnsi="宋体" w:cs="宋体"/>
                <w:color w:val="auto"/>
                <w:kern w:val="0"/>
                <w:szCs w:val="21"/>
                <w:highlight w:val="none"/>
              </w:rPr>
              <w:t>及</w:t>
            </w:r>
            <w:r>
              <w:rPr>
                <w:rFonts w:ascii="宋体" w:hAnsi="宋体" w:cs="宋体"/>
                <w:color w:val="auto"/>
                <w:kern w:val="0"/>
                <w:szCs w:val="21"/>
                <w:highlight w:val="none"/>
              </w:rPr>
              <w:t>物品</w:t>
            </w:r>
            <w:r>
              <w:rPr>
                <w:rFonts w:hint="eastAsia" w:ascii="宋体" w:hAnsi="宋体" w:cs="宋体"/>
                <w:color w:val="auto"/>
                <w:kern w:val="0"/>
                <w:szCs w:val="21"/>
                <w:highlight w:val="none"/>
              </w:rPr>
              <w:t>模型大小比例关系符合设计学参数，模型可根据实际情况进行取舍，结构面数控制到每层15万～20万面片数。纹理采用现状纹理，能反映实际图像、颜色、透明度等，区别出布艺、木头、玻璃、地砖等不同材质。单物体材质球数量控制到40个以内。</w:t>
            </w:r>
          </w:p>
          <w:p w14:paraId="2117739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2．按照本项目模型精度层级标准</w:t>
            </w:r>
            <w:r>
              <w:rPr>
                <w:rFonts w:ascii="宋体" w:hAnsi="宋体" w:cs="宋体"/>
                <w:color w:val="auto"/>
                <w:kern w:val="0"/>
                <w:szCs w:val="21"/>
                <w:highlight w:val="none"/>
              </w:rPr>
              <w:t>L3级别（见“1.1.4</w:t>
            </w:r>
            <w:r>
              <w:rPr>
                <w:rFonts w:ascii="宋体" w:hAnsi="宋体" w:cs="宋体"/>
                <w:color w:val="auto"/>
                <w:kern w:val="0"/>
                <w:szCs w:val="21"/>
                <w:highlight w:val="none"/>
              </w:rPr>
              <w:tab/>
            </w:r>
            <w:r>
              <w:rPr>
                <w:rFonts w:ascii="宋体" w:hAnsi="宋体" w:cs="宋体"/>
                <w:color w:val="auto"/>
                <w:kern w:val="0"/>
                <w:szCs w:val="21"/>
                <w:highlight w:val="none"/>
              </w:rPr>
              <w:t>三维引擎基础”第2点技术参数要求）</w:t>
            </w:r>
            <w:r>
              <w:rPr>
                <w:rFonts w:hint="eastAsia" w:ascii="宋体" w:hAnsi="宋体" w:cs="宋体"/>
                <w:color w:val="auto"/>
                <w:kern w:val="0"/>
                <w:szCs w:val="21"/>
                <w:highlight w:val="none"/>
              </w:rPr>
              <w:t>进行建模，L3级模型支持表达实体三维框架、内外表面的标准模型，表面凸凹结构边长大于0.5m（含0.5m）应细化建模，表现为统一纹理的“标模”，可采用激光雷达、倾斜摄影等方式组合建模。</w:t>
            </w:r>
          </w:p>
          <w:p w14:paraId="429132C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3．从全景图中提取物体要素，搭建三维模型仿真场景。</w:t>
            </w:r>
          </w:p>
          <w:p w14:paraId="2FC8D51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4．室内通过CAD图纸，绘制建筑物内部三维模型的整体轮廓。</w:t>
            </w:r>
          </w:p>
          <w:p w14:paraId="4F45FEC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5．结合楼层现场采集照片，制作三维模型进行摆模，形成完整的三维模型能够在平台中直接使用。</w:t>
            </w:r>
          </w:p>
        </w:tc>
      </w:tr>
      <w:tr w14:paraId="16813D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B62085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1.1.8</w:t>
            </w:r>
          </w:p>
        </w:tc>
        <w:tc>
          <w:tcPr>
            <w:tcW w:w="1026" w:type="pct"/>
            <w:noWrap w:val="0"/>
            <w:vAlign w:val="center"/>
          </w:tcPr>
          <w:p w14:paraId="209AFEC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国产化管理服务器</w:t>
            </w:r>
          </w:p>
        </w:tc>
        <w:tc>
          <w:tcPr>
            <w:tcW w:w="426" w:type="pct"/>
            <w:noWrap w:val="0"/>
            <w:vAlign w:val="center"/>
          </w:tcPr>
          <w:p w14:paraId="0A3DA49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137824A4">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1．配置≥2颗 C86架构国产化处理器，单处理器物理核心数≥16核，主频≥2.5 GHz，末级缓存容量≥32 MB，线程数≥32线程，热设计功耗≥135 W，支持内存通道数≥4，位宽≥64；</w:t>
            </w:r>
          </w:p>
          <w:p w14:paraId="5AA0709E">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2．内存插槽≥8根</w:t>
            </w:r>
            <w:r>
              <w:rPr>
                <w:rFonts w:hint="eastAsia" w:ascii="宋体" w:hAnsi="宋体" w:cs="宋体"/>
                <w:color w:val="auto"/>
                <w:kern w:val="0"/>
                <w:szCs w:val="21"/>
                <w:highlight w:val="none"/>
              </w:rPr>
              <w:t>，</w:t>
            </w:r>
            <w:r>
              <w:rPr>
                <w:rFonts w:ascii="宋体" w:hAnsi="宋体" w:cs="宋体"/>
                <w:color w:val="auto"/>
                <w:kern w:val="0"/>
                <w:szCs w:val="21"/>
                <w:highlight w:val="none"/>
              </w:rPr>
              <w:t>本次配置≥128GB DDR4</w:t>
            </w:r>
            <w:r>
              <w:rPr>
                <w:rFonts w:hint="eastAsia" w:ascii="宋体" w:hAnsi="宋体" w:cs="宋体"/>
                <w:color w:val="auto"/>
                <w:kern w:val="0"/>
                <w:szCs w:val="21"/>
                <w:highlight w:val="none"/>
              </w:rPr>
              <w:t>及</w:t>
            </w:r>
            <w:r>
              <w:rPr>
                <w:rFonts w:ascii="宋体" w:hAnsi="宋体" w:cs="宋体"/>
                <w:color w:val="auto"/>
                <w:kern w:val="0"/>
                <w:szCs w:val="21"/>
                <w:highlight w:val="none"/>
              </w:rPr>
              <w:t>以上内存</w:t>
            </w:r>
            <w:r>
              <w:rPr>
                <w:rFonts w:hint="eastAsia" w:ascii="宋体" w:hAnsi="宋体" w:cs="宋体"/>
                <w:color w:val="auto"/>
                <w:kern w:val="0"/>
                <w:szCs w:val="21"/>
                <w:highlight w:val="none"/>
              </w:rPr>
              <w:t>；</w:t>
            </w:r>
          </w:p>
          <w:p w14:paraId="4F8F041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配置≥4</w:t>
            </w:r>
            <w:r>
              <w:rPr>
                <w:rFonts w:hint="eastAsia" w:ascii="宋体" w:hAnsi="宋体" w:cs="宋体"/>
                <w:color w:val="auto"/>
                <w:kern w:val="0"/>
                <w:szCs w:val="21"/>
                <w:highlight w:val="none"/>
              </w:rPr>
              <w:t>，单块容量</w:t>
            </w:r>
            <w:r>
              <w:rPr>
                <w:rFonts w:ascii="宋体" w:hAnsi="宋体" w:cs="宋体"/>
                <w:color w:val="auto"/>
                <w:kern w:val="0"/>
                <w:szCs w:val="21"/>
                <w:highlight w:val="none"/>
              </w:rPr>
              <w:t>≥4TB 7.2KRPM</w:t>
            </w:r>
            <w:r>
              <w:rPr>
                <w:rFonts w:hint="eastAsia" w:ascii="宋体" w:hAnsi="宋体" w:cs="宋体"/>
                <w:color w:val="auto"/>
                <w:kern w:val="0"/>
                <w:szCs w:val="21"/>
                <w:highlight w:val="none"/>
              </w:rPr>
              <w:t>及</w:t>
            </w:r>
            <w:r>
              <w:rPr>
                <w:rFonts w:ascii="宋体" w:hAnsi="宋体" w:cs="宋体"/>
                <w:color w:val="auto"/>
                <w:kern w:val="0"/>
                <w:szCs w:val="21"/>
                <w:highlight w:val="none"/>
              </w:rPr>
              <w:t>以上 SAS硬盘</w:t>
            </w:r>
            <w:r>
              <w:rPr>
                <w:rFonts w:hint="eastAsia" w:ascii="宋体" w:hAnsi="宋体" w:cs="宋体"/>
                <w:color w:val="auto"/>
                <w:kern w:val="0"/>
                <w:szCs w:val="21"/>
                <w:highlight w:val="none"/>
              </w:rPr>
              <w:t>，</w:t>
            </w:r>
            <w:r>
              <w:rPr>
                <w:rFonts w:ascii="宋体" w:hAnsi="宋体" w:cs="宋体"/>
                <w:color w:val="auto"/>
                <w:kern w:val="0"/>
                <w:szCs w:val="21"/>
                <w:highlight w:val="none"/>
              </w:rPr>
              <w:t>按照Raid5</w:t>
            </w:r>
            <w:r>
              <w:rPr>
                <w:rFonts w:hint="eastAsia" w:ascii="宋体" w:hAnsi="宋体" w:cs="宋体"/>
                <w:color w:val="auto"/>
                <w:kern w:val="0"/>
                <w:szCs w:val="21"/>
                <w:highlight w:val="none"/>
              </w:rPr>
              <w:t>组成</w:t>
            </w:r>
            <w:r>
              <w:rPr>
                <w:rFonts w:ascii="宋体" w:hAnsi="宋体" w:cs="宋体"/>
                <w:color w:val="auto"/>
                <w:kern w:val="0"/>
                <w:szCs w:val="21"/>
                <w:highlight w:val="none"/>
              </w:rPr>
              <w:t>磁盘阵列使用；</w:t>
            </w:r>
          </w:p>
          <w:p w14:paraId="732CE3C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4．前置支持≥12块3.5寸(兼容2.5寸)热插拔SATA/SAS硬盘</w:t>
            </w:r>
            <w:r>
              <w:rPr>
                <w:rFonts w:hint="eastAsia" w:ascii="宋体" w:hAnsi="宋体" w:cs="宋体"/>
                <w:color w:val="auto"/>
                <w:kern w:val="0"/>
                <w:szCs w:val="21"/>
                <w:highlight w:val="none"/>
              </w:rPr>
              <w:t>；后</w:t>
            </w:r>
            <w:r>
              <w:rPr>
                <w:rFonts w:ascii="宋体" w:hAnsi="宋体" w:cs="宋体"/>
                <w:color w:val="auto"/>
                <w:kern w:val="0"/>
                <w:szCs w:val="21"/>
                <w:highlight w:val="none"/>
              </w:rPr>
              <w:t>置</w:t>
            </w:r>
            <w:r>
              <w:rPr>
                <w:rFonts w:hint="eastAsia" w:ascii="宋体" w:hAnsi="宋体" w:cs="宋体"/>
                <w:color w:val="auto"/>
                <w:kern w:val="0"/>
                <w:szCs w:val="21"/>
                <w:highlight w:val="none"/>
              </w:rPr>
              <w:t>支持</w:t>
            </w:r>
            <w:r>
              <w:rPr>
                <w:rFonts w:ascii="宋体" w:hAnsi="宋体" w:cs="宋体"/>
                <w:color w:val="auto"/>
                <w:kern w:val="0"/>
                <w:szCs w:val="21"/>
                <w:highlight w:val="none"/>
              </w:rPr>
              <w:t>≥2块</w:t>
            </w:r>
            <w:r>
              <w:rPr>
                <w:rFonts w:hint="eastAsia" w:ascii="宋体" w:hAnsi="宋体" w:cs="宋体"/>
                <w:color w:val="auto"/>
                <w:kern w:val="0"/>
                <w:szCs w:val="21"/>
                <w:highlight w:val="none"/>
              </w:rPr>
              <w:t>，</w:t>
            </w:r>
            <w:r>
              <w:rPr>
                <w:rFonts w:ascii="宋体" w:hAnsi="宋体" w:cs="宋体"/>
                <w:color w:val="auto"/>
                <w:kern w:val="0"/>
                <w:szCs w:val="21"/>
                <w:highlight w:val="none"/>
              </w:rPr>
              <w:t>2.5寸热插拔SATA/SAS硬盘</w:t>
            </w:r>
            <w:r>
              <w:rPr>
                <w:rFonts w:hint="eastAsia" w:ascii="宋体" w:hAnsi="宋体" w:cs="宋体"/>
                <w:color w:val="auto"/>
                <w:kern w:val="0"/>
                <w:szCs w:val="21"/>
                <w:highlight w:val="none"/>
              </w:rPr>
              <w:t>；</w:t>
            </w:r>
            <w:r>
              <w:rPr>
                <w:rFonts w:ascii="宋体" w:hAnsi="宋体" w:cs="宋体"/>
                <w:color w:val="auto"/>
                <w:kern w:val="0"/>
                <w:szCs w:val="21"/>
                <w:highlight w:val="none"/>
              </w:rPr>
              <w:t>内置</w:t>
            </w:r>
            <w:r>
              <w:rPr>
                <w:rFonts w:hint="eastAsia" w:ascii="宋体" w:hAnsi="宋体" w:cs="宋体"/>
                <w:color w:val="auto"/>
                <w:kern w:val="0"/>
                <w:szCs w:val="21"/>
                <w:highlight w:val="none"/>
              </w:rPr>
              <w:t>支持</w:t>
            </w:r>
            <w:r>
              <w:rPr>
                <w:rFonts w:ascii="宋体" w:hAnsi="宋体" w:cs="宋体"/>
                <w:color w:val="auto"/>
                <w:kern w:val="0"/>
                <w:szCs w:val="21"/>
                <w:highlight w:val="none"/>
              </w:rPr>
              <w:t>≥2块</w:t>
            </w:r>
            <w:r>
              <w:rPr>
                <w:rFonts w:hint="eastAsia" w:ascii="宋体" w:hAnsi="宋体" w:cs="宋体"/>
                <w:color w:val="auto"/>
                <w:kern w:val="0"/>
                <w:szCs w:val="21"/>
                <w:highlight w:val="none"/>
              </w:rPr>
              <w:t>，</w:t>
            </w:r>
            <w:r>
              <w:rPr>
                <w:rFonts w:ascii="宋体" w:hAnsi="宋体" w:cs="宋体"/>
                <w:color w:val="auto"/>
                <w:kern w:val="0"/>
                <w:szCs w:val="21"/>
                <w:highlight w:val="none"/>
              </w:rPr>
              <w:t>2.5寸非热插拔SATA SSD硬盘</w:t>
            </w:r>
            <w:r>
              <w:rPr>
                <w:rFonts w:hint="eastAsia" w:ascii="宋体" w:hAnsi="宋体" w:cs="宋体"/>
                <w:color w:val="auto"/>
                <w:kern w:val="0"/>
                <w:szCs w:val="21"/>
                <w:highlight w:val="none"/>
              </w:rPr>
              <w:t>；</w:t>
            </w:r>
            <w:r>
              <w:rPr>
                <w:rFonts w:ascii="宋体" w:hAnsi="宋体" w:cs="宋体"/>
                <w:color w:val="auto"/>
                <w:kern w:val="0"/>
                <w:szCs w:val="21"/>
                <w:highlight w:val="none"/>
              </w:rPr>
              <w:t>板载</w:t>
            </w:r>
            <w:r>
              <w:rPr>
                <w:rFonts w:hint="eastAsia" w:ascii="宋体" w:hAnsi="宋体" w:cs="宋体"/>
                <w:color w:val="auto"/>
                <w:kern w:val="0"/>
                <w:szCs w:val="21"/>
                <w:highlight w:val="none"/>
              </w:rPr>
              <w:t>支持</w:t>
            </w:r>
            <w:r>
              <w:rPr>
                <w:rFonts w:ascii="宋体" w:hAnsi="宋体" w:cs="宋体"/>
                <w:color w:val="auto"/>
                <w:kern w:val="0"/>
                <w:szCs w:val="21"/>
                <w:highlight w:val="none"/>
              </w:rPr>
              <w:t>≥1个SATA M.2硬盘</w:t>
            </w:r>
            <w:r>
              <w:rPr>
                <w:rFonts w:hint="eastAsia" w:ascii="宋体" w:hAnsi="宋体" w:cs="宋体"/>
                <w:color w:val="auto"/>
                <w:kern w:val="0"/>
                <w:szCs w:val="21"/>
                <w:highlight w:val="none"/>
              </w:rPr>
              <w:t>；可</w:t>
            </w:r>
            <w:r>
              <w:rPr>
                <w:rFonts w:ascii="宋体" w:hAnsi="宋体" w:cs="宋体"/>
                <w:color w:val="auto"/>
                <w:kern w:val="0"/>
                <w:szCs w:val="21"/>
                <w:highlight w:val="none"/>
              </w:rPr>
              <w:t>外接12盘位扩展背板和25盘位扩展背板；</w:t>
            </w:r>
          </w:p>
          <w:p w14:paraId="113D72DB">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5．配置</w:t>
            </w:r>
            <w:r>
              <w:rPr>
                <w:rFonts w:hint="eastAsia" w:ascii="宋体" w:hAnsi="宋体" w:cs="宋体"/>
                <w:color w:val="auto"/>
                <w:kern w:val="0"/>
                <w:szCs w:val="21"/>
                <w:highlight w:val="none"/>
              </w:rPr>
              <w:t>至少</w:t>
            </w:r>
            <w:r>
              <w:rPr>
                <w:rFonts w:ascii="宋体" w:hAnsi="宋体" w:cs="宋体"/>
                <w:color w:val="auto"/>
                <w:kern w:val="0"/>
                <w:szCs w:val="21"/>
                <w:highlight w:val="none"/>
              </w:rPr>
              <w:t>支持RAID 0/1/5/10</w:t>
            </w:r>
            <w:r>
              <w:rPr>
                <w:rFonts w:hint="eastAsia" w:ascii="宋体" w:hAnsi="宋体" w:cs="宋体"/>
                <w:color w:val="auto"/>
                <w:kern w:val="0"/>
                <w:szCs w:val="21"/>
                <w:highlight w:val="none"/>
              </w:rPr>
              <w:t>的</w:t>
            </w:r>
            <w:r>
              <w:rPr>
                <w:rFonts w:ascii="宋体" w:hAnsi="宋体" w:cs="宋体"/>
                <w:color w:val="auto"/>
                <w:kern w:val="0"/>
                <w:szCs w:val="21"/>
                <w:highlight w:val="none"/>
              </w:rPr>
              <w:t>Raid阵列卡</w:t>
            </w:r>
            <w:r>
              <w:rPr>
                <w:rFonts w:hint="eastAsia" w:ascii="宋体" w:hAnsi="宋体" w:cs="宋体"/>
                <w:color w:val="auto"/>
                <w:kern w:val="0"/>
                <w:szCs w:val="21"/>
                <w:highlight w:val="none"/>
              </w:rPr>
              <w:t>，满足</w:t>
            </w:r>
            <w:r>
              <w:rPr>
                <w:rFonts w:ascii="宋体" w:hAnsi="宋体" w:cs="宋体"/>
                <w:color w:val="auto"/>
                <w:kern w:val="0"/>
                <w:szCs w:val="21"/>
                <w:highlight w:val="none"/>
              </w:rPr>
              <w:t>对主机</w:t>
            </w:r>
            <w:r>
              <w:rPr>
                <w:rFonts w:hint="eastAsia" w:ascii="宋体" w:hAnsi="宋体" w:cs="宋体"/>
                <w:color w:val="auto"/>
                <w:kern w:val="0"/>
                <w:szCs w:val="21"/>
                <w:highlight w:val="none"/>
              </w:rPr>
              <w:t>所有</w:t>
            </w:r>
            <w:r>
              <w:rPr>
                <w:rFonts w:ascii="宋体" w:hAnsi="宋体" w:cs="宋体"/>
                <w:color w:val="auto"/>
                <w:kern w:val="0"/>
                <w:szCs w:val="21"/>
                <w:highlight w:val="none"/>
              </w:rPr>
              <w:t>硬盘</w:t>
            </w:r>
            <w:r>
              <w:rPr>
                <w:rFonts w:hint="eastAsia" w:ascii="宋体" w:hAnsi="宋体" w:cs="宋体"/>
                <w:color w:val="auto"/>
                <w:kern w:val="0"/>
                <w:szCs w:val="21"/>
                <w:highlight w:val="none"/>
              </w:rPr>
              <w:t>槽位</w:t>
            </w:r>
            <w:r>
              <w:rPr>
                <w:rFonts w:ascii="宋体" w:hAnsi="宋体" w:cs="宋体"/>
                <w:color w:val="auto"/>
                <w:kern w:val="0"/>
                <w:szCs w:val="21"/>
                <w:highlight w:val="none"/>
              </w:rPr>
              <w:t>进行</w:t>
            </w:r>
            <w:r>
              <w:rPr>
                <w:rFonts w:hint="eastAsia" w:ascii="宋体" w:hAnsi="宋体" w:cs="宋体"/>
                <w:color w:val="auto"/>
                <w:kern w:val="0"/>
                <w:szCs w:val="21"/>
                <w:highlight w:val="none"/>
              </w:rPr>
              <w:t>管理配置</w:t>
            </w:r>
            <w:r>
              <w:rPr>
                <w:rFonts w:ascii="宋体" w:hAnsi="宋体" w:cs="宋体"/>
                <w:color w:val="auto"/>
                <w:kern w:val="0"/>
                <w:szCs w:val="21"/>
                <w:highlight w:val="none"/>
              </w:rPr>
              <w:t>；</w:t>
            </w:r>
          </w:p>
          <w:p w14:paraId="66F97CB7">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6．支持≥4个标准PCIE4.0</w:t>
            </w:r>
            <w:r>
              <w:rPr>
                <w:rFonts w:hint="eastAsia" w:ascii="宋体" w:hAnsi="宋体" w:cs="宋体"/>
                <w:color w:val="auto"/>
                <w:kern w:val="0"/>
                <w:szCs w:val="21"/>
                <w:highlight w:val="none"/>
              </w:rPr>
              <w:t>及</w:t>
            </w:r>
            <w:r>
              <w:rPr>
                <w:rFonts w:ascii="宋体" w:hAnsi="宋体" w:cs="宋体"/>
                <w:color w:val="auto"/>
                <w:kern w:val="0"/>
                <w:szCs w:val="21"/>
                <w:highlight w:val="none"/>
              </w:rPr>
              <w:t>以上插槽；</w:t>
            </w:r>
          </w:p>
          <w:p w14:paraId="67521336">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7．标配≥2个千兆电口和≥2个万兆网口，支持选配10GbE SFP+等多种网络接口；</w:t>
            </w:r>
          </w:p>
          <w:p w14:paraId="0E9699A1">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8．其他接口</w:t>
            </w:r>
            <w:r>
              <w:rPr>
                <w:rFonts w:hint="eastAsia" w:ascii="宋体" w:hAnsi="宋体" w:cs="宋体"/>
                <w:color w:val="auto"/>
                <w:kern w:val="0"/>
                <w:szCs w:val="21"/>
                <w:highlight w:val="none"/>
              </w:rPr>
              <w:t>：</w:t>
            </w:r>
            <w:r>
              <w:rPr>
                <w:rFonts w:ascii="宋体" w:hAnsi="宋体" w:cs="宋体"/>
                <w:color w:val="auto"/>
                <w:kern w:val="0"/>
                <w:szCs w:val="21"/>
                <w:highlight w:val="none"/>
              </w:rPr>
              <w:t>标配≥1个</w:t>
            </w:r>
            <w:r>
              <w:rPr>
                <w:rFonts w:hint="eastAsia" w:ascii="宋体" w:hAnsi="宋体" w:cs="宋体"/>
                <w:color w:val="auto"/>
                <w:kern w:val="0"/>
                <w:szCs w:val="21"/>
                <w:highlight w:val="none"/>
              </w:rPr>
              <w:t>符合</w:t>
            </w:r>
            <w:r>
              <w:rPr>
                <w:rFonts w:ascii="宋体" w:hAnsi="宋体" w:cs="宋体"/>
                <w:color w:val="auto"/>
                <w:kern w:val="0"/>
                <w:szCs w:val="21"/>
                <w:highlight w:val="none"/>
              </w:rPr>
              <w:t>IPMI</w:t>
            </w:r>
            <w:r>
              <w:rPr>
                <w:rFonts w:hint="eastAsia" w:ascii="宋体" w:hAnsi="宋体" w:cs="宋体"/>
                <w:color w:val="auto"/>
                <w:kern w:val="0"/>
                <w:szCs w:val="21"/>
                <w:highlight w:val="none"/>
              </w:rPr>
              <w:t>协议</w:t>
            </w:r>
            <w:r>
              <w:rPr>
                <w:rFonts w:ascii="宋体" w:hAnsi="宋体" w:cs="宋体"/>
                <w:color w:val="auto"/>
                <w:kern w:val="0"/>
                <w:szCs w:val="21"/>
                <w:highlight w:val="none"/>
              </w:rPr>
              <w:t>的RJ-45管理接口；标配≥7个USB 3.0接口</w:t>
            </w:r>
            <w:r>
              <w:rPr>
                <w:rFonts w:hint="eastAsia" w:ascii="宋体" w:hAnsi="宋体" w:cs="宋体"/>
                <w:color w:val="auto"/>
                <w:kern w:val="0"/>
                <w:szCs w:val="21"/>
                <w:highlight w:val="none"/>
              </w:rPr>
              <w:t>，其中</w:t>
            </w:r>
            <w:r>
              <w:rPr>
                <w:rFonts w:ascii="宋体" w:hAnsi="宋体" w:cs="宋体"/>
                <w:color w:val="auto"/>
                <w:kern w:val="0"/>
                <w:szCs w:val="21"/>
                <w:highlight w:val="none"/>
              </w:rPr>
              <w:t>机箱后部≥4个，机箱前部≥2个位于；标配≥2个VGA</w:t>
            </w:r>
            <w:r>
              <w:rPr>
                <w:rFonts w:hint="eastAsia" w:ascii="宋体" w:hAnsi="宋体" w:cs="宋体"/>
                <w:color w:val="auto"/>
                <w:kern w:val="0"/>
                <w:szCs w:val="21"/>
                <w:highlight w:val="none"/>
              </w:rPr>
              <w:t>或</w:t>
            </w:r>
            <w:r>
              <w:rPr>
                <w:rFonts w:ascii="宋体" w:hAnsi="宋体" w:cs="宋体"/>
                <w:color w:val="auto"/>
                <w:kern w:val="0"/>
                <w:szCs w:val="21"/>
                <w:highlight w:val="none"/>
              </w:rPr>
              <w:t>HDMI接口</w:t>
            </w:r>
            <w:r>
              <w:rPr>
                <w:rFonts w:hint="eastAsia" w:ascii="宋体" w:hAnsi="宋体" w:cs="宋体"/>
                <w:color w:val="auto"/>
                <w:kern w:val="0"/>
                <w:szCs w:val="21"/>
                <w:highlight w:val="none"/>
              </w:rPr>
              <w:t>，分别</w:t>
            </w:r>
            <w:r>
              <w:rPr>
                <w:rFonts w:ascii="宋体" w:hAnsi="宋体" w:cs="宋体"/>
                <w:color w:val="auto"/>
                <w:kern w:val="0"/>
                <w:szCs w:val="21"/>
                <w:highlight w:val="none"/>
              </w:rPr>
              <w:t>位于机箱前部</w:t>
            </w:r>
            <w:r>
              <w:rPr>
                <w:rFonts w:hint="eastAsia" w:ascii="宋体" w:hAnsi="宋体" w:cs="宋体"/>
                <w:color w:val="auto"/>
                <w:kern w:val="0"/>
                <w:szCs w:val="21"/>
                <w:highlight w:val="none"/>
              </w:rPr>
              <w:t>和</w:t>
            </w:r>
            <w:r>
              <w:rPr>
                <w:rFonts w:ascii="宋体" w:hAnsi="宋体" w:cs="宋体"/>
                <w:color w:val="auto"/>
                <w:kern w:val="0"/>
                <w:szCs w:val="21"/>
                <w:highlight w:val="none"/>
              </w:rPr>
              <w:t>后部；</w:t>
            </w:r>
          </w:p>
          <w:p w14:paraId="5D081630">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9．配置1+1</w:t>
            </w:r>
            <w:r>
              <w:rPr>
                <w:rFonts w:hint="eastAsia" w:ascii="宋体" w:hAnsi="宋体" w:cs="宋体"/>
                <w:color w:val="auto"/>
                <w:kern w:val="0"/>
                <w:szCs w:val="21"/>
                <w:highlight w:val="none"/>
              </w:rPr>
              <w:t>冗余电源</w:t>
            </w:r>
            <w:r>
              <w:rPr>
                <w:rFonts w:ascii="宋体" w:hAnsi="宋体" w:cs="宋体"/>
                <w:color w:val="auto"/>
                <w:kern w:val="0"/>
                <w:szCs w:val="21"/>
                <w:highlight w:val="none"/>
              </w:rPr>
              <w:t>模块和风扇模块，其中电源</w:t>
            </w:r>
            <w:r>
              <w:rPr>
                <w:rFonts w:hint="eastAsia" w:ascii="宋体" w:hAnsi="宋体" w:cs="宋体"/>
                <w:color w:val="auto"/>
                <w:kern w:val="0"/>
                <w:szCs w:val="21"/>
                <w:highlight w:val="none"/>
              </w:rPr>
              <w:t>模块性能为</w:t>
            </w:r>
            <w:r>
              <w:rPr>
                <w:rFonts w:ascii="宋体" w:hAnsi="宋体" w:cs="宋体"/>
                <w:color w:val="auto"/>
                <w:kern w:val="0"/>
                <w:szCs w:val="21"/>
                <w:highlight w:val="none"/>
              </w:rPr>
              <w:t>≥800W</w:t>
            </w:r>
            <w:r>
              <w:rPr>
                <w:rFonts w:hint="eastAsia" w:ascii="宋体" w:hAnsi="宋体" w:cs="宋体"/>
                <w:color w:val="auto"/>
                <w:kern w:val="0"/>
                <w:szCs w:val="21"/>
                <w:highlight w:val="none"/>
              </w:rPr>
              <w:t>的</w:t>
            </w:r>
            <w:r>
              <w:rPr>
                <w:rFonts w:ascii="宋体" w:hAnsi="宋体" w:cs="宋体"/>
                <w:color w:val="auto"/>
                <w:kern w:val="0"/>
                <w:szCs w:val="21"/>
                <w:highlight w:val="none"/>
              </w:rPr>
              <w:t>高效铂金CRPS电源</w:t>
            </w:r>
            <w:r>
              <w:rPr>
                <w:rFonts w:hint="eastAsia" w:ascii="宋体" w:hAnsi="宋体" w:cs="宋体"/>
                <w:color w:val="auto"/>
                <w:kern w:val="0"/>
                <w:szCs w:val="21"/>
                <w:highlight w:val="none"/>
              </w:rPr>
              <w:t>模块或性能</w:t>
            </w:r>
            <w:r>
              <w:rPr>
                <w:rFonts w:ascii="宋体" w:hAnsi="宋体" w:cs="宋体"/>
                <w:color w:val="auto"/>
                <w:kern w:val="0"/>
                <w:szCs w:val="21"/>
                <w:highlight w:val="none"/>
              </w:rPr>
              <w:t>更优的电源模块</w:t>
            </w:r>
            <w:r>
              <w:rPr>
                <w:rFonts w:hint="eastAsia" w:ascii="宋体" w:hAnsi="宋体" w:cs="宋体"/>
                <w:color w:val="auto"/>
                <w:kern w:val="0"/>
                <w:szCs w:val="21"/>
                <w:highlight w:val="none"/>
              </w:rPr>
              <w:t>。</w:t>
            </w:r>
          </w:p>
        </w:tc>
      </w:tr>
      <w:tr w14:paraId="74934A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63FA171">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1.1.9</w:t>
            </w:r>
          </w:p>
        </w:tc>
        <w:tc>
          <w:tcPr>
            <w:tcW w:w="1026" w:type="pct"/>
            <w:noWrap w:val="0"/>
            <w:vAlign w:val="center"/>
          </w:tcPr>
          <w:p w14:paraId="1AA7F14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国产化接入服务器</w:t>
            </w:r>
          </w:p>
        </w:tc>
        <w:tc>
          <w:tcPr>
            <w:tcW w:w="426" w:type="pct"/>
            <w:noWrap w:val="0"/>
            <w:vAlign w:val="center"/>
          </w:tcPr>
          <w:p w14:paraId="24DECEF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4E318CE6">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配置≥</w:t>
            </w:r>
            <w:r>
              <w:rPr>
                <w:rFonts w:ascii="宋体" w:hAnsi="宋体" w:cs="宋体"/>
                <w:color w:val="auto"/>
                <w:kern w:val="0"/>
                <w:szCs w:val="21"/>
                <w:highlight w:val="none"/>
              </w:rPr>
              <w:t>2颗C86国产化处理器，单处理器物理核心数≥8核，主频≥3.0 GHz，末级缓存容量≥16 MB，线程数≥16线程，支持内存的最高速率≥3200 MHz，通道数≥2，位宽≥64；</w:t>
            </w:r>
          </w:p>
          <w:p w14:paraId="3597E19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2．内存插槽≥8根</w:t>
            </w:r>
            <w:r>
              <w:rPr>
                <w:rFonts w:hint="eastAsia" w:ascii="宋体" w:hAnsi="宋体" w:cs="宋体"/>
                <w:color w:val="auto"/>
                <w:kern w:val="0"/>
                <w:szCs w:val="21"/>
                <w:highlight w:val="none"/>
              </w:rPr>
              <w:t>，</w:t>
            </w:r>
            <w:r>
              <w:rPr>
                <w:rFonts w:ascii="宋体" w:hAnsi="宋体" w:cs="宋体"/>
                <w:color w:val="auto"/>
                <w:kern w:val="0"/>
                <w:szCs w:val="21"/>
                <w:highlight w:val="none"/>
              </w:rPr>
              <w:t>本次配置≥64GB DDR4</w:t>
            </w:r>
            <w:r>
              <w:rPr>
                <w:rFonts w:hint="eastAsia" w:ascii="宋体" w:hAnsi="宋体" w:cs="宋体"/>
                <w:color w:val="auto"/>
                <w:kern w:val="0"/>
                <w:szCs w:val="21"/>
                <w:highlight w:val="none"/>
              </w:rPr>
              <w:t>及</w:t>
            </w:r>
            <w:r>
              <w:rPr>
                <w:rFonts w:ascii="宋体" w:hAnsi="宋体" w:cs="宋体"/>
                <w:color w:val="auto"/>
                <w:kern w:val="0"/>
                <w:szCs w:val="21"/>
                <w:highlight w:val="none"/>
              </w:rPr>
              <w:t>以上内存</w:t>
            </w:r>
            <w:r>
              <w:rPr>
                <w:rFonts w:hint="eastAsia" w:ascii="宋体" w:hAnsi="宋体" w:cs="宋体"/>
                <w:color w:val="auto"/>
                <w:kern w:val="0"/>
                <w:szCs w:val="21"/>
                <w:highlight w:val="none"/>
              </w:rPr>
              <w:t>；</w:t>
            </w:r>
          </w:p>
          <w:p w14:paraId="3C150E3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配置≥2块</w:t>
            </w:r>
            <w:r>
              <w:rPr>
                <w:rFonts w:hint="eastAsia" w:ascii="宋体" w:hAnsi="宋体" w:cs="宋体"/>
                <w:color w:val="auto"/>
                <w:kern w:val="0"/>
                <w:szCs w:val="21"/>
                <w:highlight w:val="none"/>
              </w:rPr>
              <w:t>容量</w:t>
            </w:r>
            <w:r>
              <w:rPr>
                <w:rFonts w:ascii="宋体" w:hAnsi="宋体" w:cs="宋体"/>
                <w:color w:val="auto"/>
                <w:kern w:val="0"/>
                <w:szCs w:val="21"/>
                <w:highlight w:val="none"/>
              </w:rPr>
              <w:t>≥1.2TB 10K RPM</w:t>
            </w:r>
            <w:r>
              <w:rPr>
                <w:rFonts w:hint="eastAsia" w:ascii="宋体" w:hAnsi="宋体" w:cs="宋体"/>
                <w:color w:val="auto"/>
                <w:kern w:val="0"/>
                <w:szCs w:val="21"/>
                <w:highlight w:val="none"/>
              </w:rPr>
              <w:t>及</w:t>
            </w:r>
            <w:r>
              <w:rPr>
                <w:rFonts w:ascii="宋体" w:hAnsi="宋体" w:cs="宋体"/>
                <w:color w:val="auto"/>
                <w:kern w:val="0"/>
                <w:szCs w:val="21"/>
                <w:highlight w:val="none"/>
              </w:rPr>
              <w:t>以上 SAS硬盘</w:t>
            </w:r>
            <w:r>
              <w:rPr>
                <w:rFonts w:hint="eastAsia" w:ascii="宋体" w:hAnsi="宋体" w:cs="宋体"/>
                <w:color w:val="auto"/>
                <w:kern w:val="0"/>
                <w:szCs w:val="21"/>
                <w:highlight w:val="none"/>
              </w:rPr>
              <w:t>，</w:t>
            </w:r>
            <w:r>
              <w:rPr>
                <w:rFonts w:ascii="宋体" w:hAnsi="宋体" w:cs="宋体"/>
                <w:color w:val="auto"/>
                <w:kern w:val="0"/>
                <w:szCs w:val="21"/>
                <w:highlight w:val="none"/>
              </w:rPr>
              <w:t>按照Raid1</w:t>
            </w:r>
            <w:r>
              <w:rPr>
                <w:rFonts w:hint="eastAsia" w:ascii="宋体" w:hAnsi="宋体" w:cs="宋体"/>
                <w:color w:val="auto"/>
                <w:kern w:val="0"/>
                <w:szCs w:val="21"/>
                <w:highlight w:val="none"/>
              </w:rPr>
              <w:t>组成</w:t>
            </w:r>
            <w:r>
              <w:rPr>
                <w:rFonts w:ascii="宋体" w:hAnsi="宋体" w:cs="宋体"/>
                <w:color w:val="auto"/>
                <w:kern w:val="0"/>
                <w:szCs w:val="21"/>
                <w:highlight w:val="none"/>
              </w:rPr>
              <w:t>磁盘阵列使用；</w:t>
            </w:r>
          </w:p>
          <w:p w14:paraId="22F14D6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主</w:t>
            </w:r>
            <w:r>
              <w:rPr>
                <w:rFonts w:hint="eastAsia" w:ascii="宋体" w:hAnsi="宋体" w:cs="宋体"/>
                <w:color w:val="auto"/>
                <w:kern w:val="0"/>
                <w:szCs w:val="21"/>
                <w:highlight w:val="none"/>
              </w:rPr>
              <w:t>机；</w:t>
            </w:r>
            <w:r>
              <w:rPr>
                <w:rFonts w:ascii="宋体" w:hAnsi="宋体" w:cs="宋体"/>
                <w:color w:val="auto"/>
                <w:kern w:val="0"/>
                <w:szCs w:val="21"/>
                <w:highlight w:val="none"/>
              </w:rPr>
              <w:t>前置支持≥12块3.5寸(兼容2.5寸)热插拔SATA/SAS硬盘</w:t>
            </w:r>
            <w:r>
              <w:rPr>
                <w:rFonts w:hint="eastAsia" w:ascii="宋体" w:hAnsi="宋体" w:cs="宋体"/>
                <w:color w:val="auto"/>
                <w:kern w:val="0"/>
                <w:szCs w:val="21"/>
                <w:highlight w:val="none"/>
              </w:rPr>
              <w:t>；</w:t>
            </w:r>
            <w:r>
              <w:rPr>
                <w:rFonts w:ascii="宋体" w:hAnsi="宋体" w:cs="宋体"/>
                <w:color w:val="auto"/>
                <w:kern w:val="0"/>
                <w:szCs w:val="21"/>
                <w:highlight w:val="none"/>
              </w:rPr>
              <w:t>板载</w:t>
            </w:r>
            <w:r>
              <w:rPr>
                <w:rFonts w:hint="eastAsia" w:ascii="宋体" w:hAnsi="宋体" w:cs="宋体"/>
                <w:color w:val="auto"/>
                <w:kern w:val="0"/>
                <w:szCs w:val="21"/>
                <w:highlight w:val="none"/>
              </w:rPr>
              <w:t>支持</w:t>
            </w:r>
            <w:r>
              <w:rPr>
                <w:rFonts w:ascii="宋体" w:hAnsi="宋体" w:cs="宋体"/>
                <w:color w:val="auto"/>
                <w:kern w:val="0"/>
                <w:szCs w:val="21"/>
                <w:highlight w:val="none"/>
              </w:rPr>
              <w:t>≥1个SATA M.2硬盘；</w:t>
            </w:r>
          </w:p>
          <w:p w14:paraId="6F177AD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支持≥4个标准PCIE4.0</w:t>
            </w:r>
            <w:r>
              <w:rPr>
                <w:rFonts w:hint="eastAsia" w:ascii="宋体" w:hAnsi="宋体" w:cs="宋体"/>
                <w:color w:val="auto"/>
                <w:kern w:val="0"/>
                <w:szCs w:val="21"/>
                <w:highlight w:val="none"/>
              </w:rPr>
              <w:t>及</w:t>
            </w:r>
            <w:r>
              <w:rPr>
                <w:rFonts w:ascii="宋体" w:hAnsi="宋体" w:cs="宋体"/>
                <w:color w:val="auto"/>
                <w:kern w:val="0"/>
                <w:szCs w:val="21"/>
                <w:highlight w:val="none"/>
              </w:rPr>
              <w:t>以上插槽；</w:t>
            </w:r>
          </w:p>
          <w:p w14:paraId="099F425E">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6．配置</w:t>
            </w:r>
            <w:r>
              <w:rPr>
                <w:rFonts w:hint="eastAsia" w:ascii="宋体" w:hAnsi="宋体" w:cs="宋体"/>
                <w:color w:val="auto"/>
                <w:kern w:val="0"/>
                <w:szCs w:val="21"/>
                <w:highlight w:val="none"/>
              </w:rPr>
              <w:t>至少</w:t>
            </w:r>
            <w:r>
              <w:rPr>
                <w:rFonts w:ascii="宋体" w:hAnsi="宋体" w:cs="宋体"/>
                <w:color w:val="auto"/>
                <w:kern w:val="0"/>
                <w:szCs w:val="21"/>
                <w:highlight w:val="none"/>
              </w:rPr>
              <w:t>支持RAID 0/1/10</w:t>
            </w:r>
            <w:r>
              <w:rPr>
                <w:rFonts w:hint="eastAsia" w:ascii="宋体" w:hAnsi="宋体" w:cs="宋体"/>
                <w:color w:val="auto"/>
                <w:kern w:val="0"/>
                <w:szCs w:val="21"/>
                <w:highlight w:val="none"/>
              </w:rPr>
              <w:t>的</w:t>
            </w:r>
            <w:r>
              <w:rPr>
                <w:rFonts w:ascii="宋体" w:hAnsi="宋体" w:cs="宋体"/>
                <w:color w:val="auto"/>
                <w:kern w:val="0"/>
                <w:szCs w:val="21"/>
                <w:highlight w:val="none"/>
              </w:rPr>
              <w:t>SAS_HBA卡</w:t>
            </w:r>
            <w:r>
              <w:rPr>
                <w:rFonts w:hint="eastAsia" w:ascii="宋体" w:hAnsi="宋体" w:cs="宋体"/>
                <w:color w:val="auto"/>
                <w:kern w:val="0"/>
                <w:szCs w:val="21"/>
                <w:highlight w:val="none"/>
              </w:rPr>
              <w:t>；</w:t>
            </w:r>
          </w:p>
          <w:p w14:paraId="30FC4989">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7．标配≥2个千兆电口和≥2个万兆网口，支持选配10GbE SFP+等多种网络接口；</w:t>
            </w:r>
          </w:p>
          <w:p w14:paraId="1C1E2459">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8．其他接口</w:t>
            </w:r>
            <w:r>
              <w:rPr>
                <w:rFonts w:hint="eastAsia" w:ascii="宋体" w:hAnsi="宋体" w:cs="宋体"/>
                <w:color w:val="auto"/>
                <w:kern w:val="0"/>
                <w:szCs w:val="21"/>
                <w:highlight w:val="none"/>
              </w:rPr>
              <w:t>：</w:t>
            </w:r>
            <w:r>
              <w:rPr>
                <w:rFonts w:ascii="宋体" w:hAnsi="宋体" w:cs="宋体"/>
                <w:color w:val="auto"/>
                <w:kern w:val="0"/>
                <w:szCs w:val="21"/>
                <w:highlight w:val="none"/>
              </w:rPr>
              <w:t>标配≥1个</w:t>
            </w:r>
            <w:r>
              <w:rPr>
                <w:rFonts w:hint="eastAsia" w:ascii="宋体" w:hAnsi="宋体" w:cs="宋体"/>
                <w:color w:val="auto"/>
                <w:kern w:val="0"/>
                <w:szCs w:val="21"/>
                <w:highlight w:val="none"/>
              </w:rPr>
              <w:t>符合</w:t>
            </w:r>
            <w:r>
              <w:rPr>
                <w:rFonts w:ascii="宋体" w:hAnsi="宋体" w:cs="宋体"/>
                <w:color w:val="auto"/>
                <w:kern w:val="0"/>
                <w:szCs w:val="21"/>
                <w:highlight w:val="none"/>
              </w:rPr>
              <w:t>IPMI</w:t>
            </w:r>
            <w:r>
              <w:rPr>
                <w:rFonts w:hint="eastAsia" w:ascii="宋体" w:hAnsi="宋体" w:cs="宋体"/>
                <w:color w:val="auto"/>
                <w:kern w:val="0"/>
                <w:szCs w:val="21"/>
                <w:highlight w:val="none"/>
              </w:rPr>
              <w:t>协议</w:t>
            </w:r>
            <w:r>
              <w:rPr>
                <w:rFonts w:ascii="宋体" w:hAnsi="宋体" w:cs="宋体"/>
                <w:color w:val="auto"/>
                <w:kern w:val="0"/>
                <w:szCs w:val="21"/>
                <w:highlight w:val="none"/>
              </w:rPr>
              <w:t>的RJ-45管理接口；标配≥7个USB 3.0接口</w:t>
            </w:r>
            <w:r>
              <w:rPr>
                <w:rFonts w:hint="eastAsia" w:ascii="宋体" w:hAnsi="宋体" w:cs="宋体"/>
                <w:color w:val="auto"/>
                <w:kern w:val="0"/>
                <w:szCs w:val="21"/>
                <w:highlight w:val="none"/>
              </w:rPr>
              <w:t>，其中</w:t>
            </w:r>
            <w:r>
              <w:rPr>
                <w:rFonts w:ascii="宋体" w:hAnsi="宋体" w:cs="宋体"/>
                <w:color w:val="auto"/>
                <w:kern w:val="0"/>
                <w:szCs w:val="21"/>
                <w:highlight w:val="none"/>
              </w:rPr>
              <w:t>机箱后部≥4个，机箱前部≥2个位于；标配≥2个VGA</w:t>
            </w:r>
            <w:r>
              <w:rPr>
                <w:rFonts w:hint="eastAsia" w:ascii="宋体" w:hAnsi="宋体" w:cs="宋体"/>
                <w:color w:val="auto"/>
                <w:kern w:val="0"/>
                <w:szCs w:val="21"/>
                <w:highlight w:val="none"/>
              </w:rPr>
              <w:t>或</w:t>
            </w:r>
            <w:r>
              <w:rPr>
                <w:rFonts w:ascii="宋体" w:hAnsi="宋体" w:cs="宋体"/>
                <w:color w:val="auto"/>
                <w:kern w:val="0"/>
                <w:szCs w:val="21"/>
                <w:highlight w:val="none"/>
              </w:rPr>
              <w:t>HDMI</w:t>
            </w:r>
            <w:r>
              <w:rPr>
                <w:rFonts w:hint="eastAsia" w:ascii="宋体" w:hAnsi="宋体" w:cs="宋体"/>
                <w:color w:val="auto"/>
                <w:kern w:val="0"/>
                <w:szCs w:val="21"/>
                <w:highlight w:val="none"/>
              </w:rPr>
              <w:t>显示</w:t>
            </w:r>
            <w:r>
              <w:rPr>
                <w:rFonts w:ascii="宋体" w:hAnsi="宋体" w:cs="宋体"/>
                <w:color w:val="auto"/>
                <w:kern w:val="0"/>
                <w:szCs w:val="21"/>
                <w:highlight w:val="none"/>
              </w:rPr>
              <w:t>器接口</w:t>
            </w:r>
            <w:r>
              <w:rPr>
                <w:rFonts w:hint="eastAsia" w:ascii="宋体" w:hAnsi="宋体" w:cs="宋体"/>
                <w:color w:val="auto"/>
                <w:kern w:val="0"/>
                <w:szCs w:val="21"/>
                <w:highlight w:val="none"/>
              </w:rPr>
              <w:t>，分别</w:t>
            </w:r>
            <w:r>
              <w:rPr>
                <w:rFonts w:ascii="宋体" w:hAnsi="宋体" w:cs="宋体"/>
                <w:color w:val="auto"/>
                <w:kern w:val="0"/>
                <w:szCs w:val="21"/>
                <w:highlight w:val="none"/>
              </w:rPr>
              <w:t>位于机箱前部</w:t>
            </w:r>
            <w:r>
              <w:rPr>
                <w:rFonts w:hint="eastAsia" w:ascii="宋体" w:hAnsi="宋体" w:cs="宋体"/>
                <w:color w:val="auto"/>
                <w:kern w:val="0"/>
                <w:szCs w:val="21"/>
                <w:highlight w:val="none"/>
              </w:rPr>
              <w:t>和</w:t>
            </w:r>
            <w:r>
              <w:rPr>
                <w:rFonts w:ascii="宋体" w:hAnsi="宋体" w:cs="宋体"/>
                <w:color w:val="auto"/>
                <w:kern w:val="0"/>
                <w:szCs w:val="21"/>
                <w:highlight w:val="none"/>
              </w:rPr>
              <w:t>后部；</w:t>
            </w:r>
          </w:p>
          <w:p w14:paraId="2C59DE9F">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9．配置1+1</w:t>
            </w:r>
            <w:r>
              <w:rPr>
                <w:rFonts w:hint="eastAsia" w:ascii="宋体" w:hAnsi="宋体" w:cs="宋体"/>
                <w:color w:val="auto"/>
                <w:kern w:val="0"/>
                <w:szCs w:val="21"/>
                <w:highlight w:val="none"/>
              </w:rPr>
              <w:t>冗余电源</w:t>
            </w:r>
            <w:r>
              <w:rPr>
                <w:rFonts w:ascii="宋体" w:hAnsi="宋体" w:cs="宋体"/>
                <w:color w:val="auto"/>
                <w:kern w:val="0"/>
                <w:szCs w:val="21"/>
                <w:highlight w:val="none"/>
              </w:rPr>
              <w:t>模块和风扇模块，其中电源</w:t>
            </w:r>
            <w:r>
              <w:rPr>
                <w:rFonts w:hint="eastAsia" w:ascii="宋体" w:hAnsi="宋体" w:cs="宋体"/>
                <w:color w:val="auto"/>
                <w:kern w:val="0"/>
                <w:szCs w:val="21"/>
                <w:highlight w:val="none"/>
              </w:rPr>
              <w:t>模块性能为</w:t>
            </w:r>
            <w:r>
              <w:rPr>
                <w:rFonts w:ascii="宋体" w:hAnsi="宋体" w:cs="宋体"/>
                <w:color w:val="auto"/>
                <w:kern w:val="0"/>
                <w:szCs w:val="21"/>
                <w:highlight w:val="none"/>
              </w:rPr>
              <w:t>≥550W</w:t>
            </w:r>
            <w:r>
              <w:rPr>
                <w:rFonts w:hint="eastAsia" w:ascii="宋体" w:hAnsi="宋体" w:cs="宋体"/>
                <w:color w:val="auto"/>
                <w:kern w:val="0"/>
                <w:szCs w:val="21"/>
                <w:highlight w:val="none"/>
              </w:rPr>
              <w:t>的</w:t>
            </w:r>
            <w:r>
              <w:rPr>
                <w:rFonts w:ascii="宋体" w:hAnsi="宋体" w:cs="宋体"/>
                <w:color w:val="auto"/>
                <w:kern w:val="0"/>
                <w:szCs w:val="21"/>
                <w:highlight w:val="none"/>
              </w:rPr>
              <w:t>高效铂金CRPS电源</w:t>
            </w:r>
            <w:r>
              <w:rPr>
                <w:rFonts w:hint="eastAsia" w:ascii="宋体" w:hAnsi="宋体" w:cs="宋体"/>
                <w:color w:val="auto"/>
                <w:kern w:val="0"/>
                <w:szCs w:val="21"/>
                <w:highlight w:val="none"/>
              </w:rPr>
              <w:t>模块或性能</w:t>
            </w:r>
            <w:r>
              <w:rPr>
                <w:rFonts w:ascii="宋体" w:hAnsi="宋体" w:cs="宋体"/>
                <w:color w:val="auto"/>
                <w:kern w:val="0"/>
                <w:szCs w:val="21"/>
                <w:highlight w:val="none"/>
              </w:rPr>
              <w:t>更优的电源模块</w:t>
            </w:r>
            <w:r>
              <w:rPr>
                <w:rFonts w:hint="eastAsia" w:ascii="宋体" w:hAnsi="宋体" w:cs="宋体"/>
                <w:color w:val="auto"/>
                <w:kern w:val="0"/>
                <w:szCs w:val="21"/>
                <w:highlight w:val="none"/>
              </w:rPr>
              <w:t>。</w:t>
            </w:r>
          </w:p>
          <w:p w14:paraId="4E81F972">
            <w:pPr>
              <w:widowControl/>
              <w:spacing w:line="360" w:lineRule="exact"/>
              <w:ind w:firstLine="400"/>
              <w:contextualSpacing/>
              <w:rPr>
                <w:rFonts w:ascii="宋体" w:hAnsi="宋体" w:cs="宋体"/>
                <w:color w:val="auto"/>
                <w:kern w:val="0"/>
                <w:szCs w:val="21"/>
                <w:highlight w:val="none"/>
              </w:rPr>
            </w:pPr>
          </w:p>
        </w:tc>
      </w:tr>
      <w:tr w14:paraId="65C3B6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BA9020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1.1.10</w:t>
            </w:r>
          </w:p>
        </w:tc>
        <w:tc>
          <w:tcPr>
            <w:tcW w:w="1026" w:type="pct"/>
            <w:noWrap w:val="0"/>
            <w:vAlign w:val="center"/>
          </w:tcPr>
          <w:p w14:paraId="45F98A3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国产化三维管理服务器</w:t>
            </w:r>
          </w:p>
        </w:tc>
        <w:tc>
          <w:tcPr>
            <w:tcW w:w="426" w:type="pct"/>
            <w:noWrap w:val="0"/>
            <w:vAlign w:val="center"/>
          </w:tcPr>
          <w:p w14:paraId="001A01D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657BDBE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1．配置≥2颗C86国产化处理器，单处理器物理核心数≥8核，主频≥3.0 GHz，末级缓存容量≥16 MB，线程数≥16线程，支持内存的最高速率≥3200 MHz，通道数≥2，位宽≥64；</w:t>
            </w:r>
          </w:p>
          <w:p w14:paraId="02EF2C1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内存插槽≥8根</w:t>
            </w:r>
            <w:r>
              <w:rPr>
                <w:rFonts w:hint="eastAsia" w:ascii="宋体" w:hAnsi="宋体" w:cs="宋体"/>
                <w:color w:val="auto"/>
                <w:kern w:val="0"/>
                <w:szCs w:val="21"/>
                <w:highlight w:val="none"/>
              </w:rPr>
              <w:t>，</w:t>
            </w:r>
            <w:r>
              <w:rPr>
                <w:rFonts w:ascii="宋体" w:hAnsi="宋体" w:cs="宋体"/>
                <w:color w:val="auto"/>
                <w:kern w:val="0"/>
                <w:szCs w:val="21"/>
                <w:highlight w:val="none"/>
              </w:rPr>
              <w:t>本次配置≥64GB DDR4</w:t>
            </w:r>
            <w:r>
              <w:rPr>
                <w:rFonts w:hint="eastAsia" w:ascii="宋体" w:hAnsi="宋体" w:cs="宋体"/>
                <w:color w:val="auto"/>
                <w:kern w:val="0"/>
                <w:szCs w:val="21"/>
                <w:highlight w:val="none"/>
              </w:rPr>
              <w:t>及</w:t>
            </w:r>
            <w:r>
              <w:rPr>
                <w:rFonts w:ascii="宋体" w:hAnsi="宋体" w:cs="宋体"/>
                <w:color w:val="auto"/>
                <w:kern w:val="0"/>
                <w:szCs w:val="21"/>
                <w:highlight w:val="none"/>
              </w:rPr>
              <w:t>以上内存</w:t>
            </w:r>
            <w:r>
              <w:rPr>
                <w:rFonts w:hint="eastAsia" w:ascii="宋体" w:hAnsi="宋体" w:cs="宋体"/>
                <w:color w:val="auto"/>
                <w:kern w:val="0"/>
                <w:szCs w:val="21"/>
                <w:highlight w:val="none"/>
              </w:rPr>
              <w:t>；</w:t>
            </w:r>
          </w:p>
          <w:p w14:paraId="46B4523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3．配置≥2块容量≥1.2TB 10K RPM及以上 SAS硬盘，按照Raid1组成磁盘阵列使用；</w:t>
            </w:r>
          </w:p>
          <w:p w14:paraId="2299C3CC">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4．主机；前置支持≥12块3.5寸(兼容2.5寸)热插拔SATA/SAS硬盘；板载支持≥1个SATA M.2硬盘；</w:t>
            </w:r>
          </w:p>
          <w:p w14:paraId="5BC6CB1B">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5．支持≥4个标准PCIE4.0及以上插槽；</w:t>
            </w:r>
          </w:p>
          <w:p w14:paraId="47890A37">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6．配置至少支持RAID 0/1/10的SAS_HBA卡；</w:t>
            </w:r>
          </w:p>
          <w:p w14:paraId="35751941">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7．标配≥2个千兆电口和≥2个万兆网口，支持选配10GbE SFP+等多种网络接口；</w:t>
            </w:r>
          </w:p>
          <w:p w14:paraId="46367BCF">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8．其他接口：标配≥1个符合IPMI协议的RJ-45管理接口；标配≥7个USB 3.0接口，其中机箱后部≥4个，机箱前部≥2个位于；标配≥2个VGA或HDMI显示器接口，分别位于机箱前部和后部；</w:t>
            </w:r>
          </w:p>
          <w:p w14:paraId="4869313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9．配置1+1冗余电源模块和风扇模块，其中电源模块性能为≥550W的高效铂金CRPS电源模块或性能更优的电源模块。</w:t>
            </w:r>
          </w:p>
          <w:p w14:paraId="648F2596">
            <w:pPr>
              <w:widowControl/>
              <w:spacing w:line="360" w:lineRule="exact"/>
              <w:ind w:firstLine="400"/>
              <w:contextualSpacing/>
              <w:rPr>
                <w:rFonts w:ascii="宋体" w:hAnsi="宋体" w:cs="宋体"/>
                <w:color w:val="auto"/>
                <w:kern w:val="0"/>
                <w:szCs w:val="21"/>
                <w:highlight w:val="none"/>
              </w:rPr>
            </w:pPr>
          </w:p>
        </w:tc>
      </w:tr>
      <w:tr w14:paraId="6724AC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45BEFBF">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r>
              <w:rPr>
                <w:rFonts w:ascii="宋体" w:hAnsi="宋体" w:cs="宋体"/>
                <w:color w:val="auto"/>
                <w:kern w:val="0"/>
                <w:szCs w:val="21"/>
                <w:highlight w:val="none"/>
              </w:rPr>
              <w:t>1</w:t>
            </w:r>
          </w:p>
        </w:tc>
        <w:tc>
          <w:tcPr>
            <w:tcW w:w="1026" w:type="pct"/>
            <w:noWrap w:val="0"/>
            <w:vAlign w:val="center"/>
          </w:tcPr>
          <w:p w14:paraId="42266CC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国产化数据库管理服务器</w:t>
            </w:r>
          </w:p>
        </w:tc>
        <w:tc>
          <w:tcPr>
            <w:tcW w:w="426" w:type="pct"/>
            <w:noWrap w:val="0"/>
            <w:vAlign w:val="center"/>
          </w:tcPr>
          <w:p w14:paraId="565A516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798999C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1．配置≥2颗C86国产化处理器，单处理器物理核心数≥8核，主频≥3.0 GHz，末级缓存容量≥16 MB，线程数≥16线程，支持内存的最高速率≥3200 MHz，通道数≥2，位宽≥64；</w:t>
            </w:r>
          </w:p>
          <w:p w14:paraId="22AF049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内存插槽≥8根</w:t>
            </w:r>
            <w:r>
              <w:rPr>
                <w:rFonts w:hint="eastAsia" w:ascii="宋体" w:hAnsi="宋体" w:cs="宋体"/>
                <w:color w:val="auto"/>
                <w:kern w:val="0"/>
                <w:szCs w:val="21"/>
                <w:highlight w:val="none"/>
              </w:rPr>
              <w:t>，</w:t>
            </w:r>
            <w:r>
              <w:rPr>
                <w:rFonts w:ascii="宋体" w:hAnsi="宋体" w:cs="宋体"/>
                <w:color w:val="auto"/>
                <w:kern w:val="0"/>
                <w:szCs w:val="21"/>
                <w:highlight w:val="none"/>
              </w:rPr>
              <w:t>本次配置≥64GB DDR4</w:t>
            </w:r>
            <w:r>
              <w:rPr>
                <w:rFonts w:hint="eastAsia" w:ascii="宋体" w:hAnsi="宋体" w:cs="宋体"/>
                <w:color w:val="auto"/>
                <w:kern w:val="0"/>
                <w:szCs w:val="21"/>
                <w:highlight w:val="none"/>
              </w:rPr>
              <w:t>及</w:t>
            </w:r>
            <w:r>
              <w:rPr>
                <w:rFonts w:ascii="宋体" w:hAnsi="宋体" w:cs="宋体"/>
                <w:color w:val="auto"/>
                <w:kern w:val="0"/>
                <w:szCs w:val="21"/>
                <w:highlight w:val="none"/>
              </w:rPr>
              <w:t>以上内存</w:t>
            </w:r>
            <w:r>
              <w:rPr>
                <w:rFonts w:hint="eastAsia" w:ascii="宋体" w:hAnsi="宋体" w:cs="宋体"/>
                <w:color w:val="auto"/>
                <w:kern w:val="0"/>
                <w:szCs w:val="21"/>
                <w:highlight w:val="none"/>
              </w:rPr>
              <w:t>；</w:t>
            </w:r>
          </w:p>
          <w:p w14:paraId="1832CBF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3．配置≥2块容量≥1.2TB 10K RPM及以上 SAS硬盘，按照Raid1组成磁盘阵列使用；</w:t>
            </w:r>
          </w:p>
          <w:p w14:paraId="79ECEE5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4．主机；前置支持≥12块3.5寸(兼容2.5寸)热插拔SATA/SAS硬盘；板载支持≥1个SATA M.2硬盘；</w:t>
            </w:r>
          </w:p>
          <w:p w14:paraId="540F250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5．支持≥4个标准PCIE4.0及以上插槽；</w:t>
            </w:r>
          </w:p>
          <w:p w14:paraId="07A9636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6．配置至少支持RAID 0/1/10的SAS_HBA卡；</w:t>
            </w:r>
          </w:p>
          <w:p w14:paraId="443820E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7．标配≥2个千兆电口和≥2个万兆网口，支持选配10GbE SFP+等多种网络接口；</w:t>
            </w:r>
          </w:p>
          <w:p w14:paraId="23B24CDE">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8．其他接口：标配≥1个符合IPMI协议的RJ-45管理接口；标配≥7个USB 3.0接口，其中机箱后部≥4个，机箱前部≥2个位于；标配≥2个VGA或HDMI显示器接口，分别位于机箱前部和后部；</w:t>
            </w:r>
          </w:p>
          <w:p w14:paraId="0FF11448">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9．配置1+1冗余电源模块和风扇模块，其中电源模块性能为≥550W的高效铂金CRPS电源模块或性能更优的电源模块。</w:t>
            </w:r>
          </w:p>
          <w:p w14:paraId="0E09630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w:t>
            </w:r>
            <w:r>
              <w:rPr>
                <w:rFonts w:ascii="宋体" w:hAnsi="宋体" w:cs="宋体"/>
                <w:color w:val="auto"/>
                <w:kern w:val="0"/>
                <w:szCs w:val="21"/>
                <w:highlight w:val="none"/>
              </w:rPr>
              <w:t>配合做好</w:t>
            </w:r>
            <w:r>
              <w:rPr>
                <w:rFonts w:hint="eastAsia" w:ascii="宋体" w:hAnsi="宋体" w:cs="宋体"/>
                <w:color w:val="auto"/>
                <w:kern w:val="0"/>
                <w:szCs w:val="21"/>
                <w:highlight w:val="none"/>
              </w:rPr>
              <w:t>采购人自行</w:t>
            </w:r>
            <w:r>
              <w:rPr>
                <w:rFonts w:ascii="宋体" w:hAnsi="宋体" w:cs="宋体"/>
                <w:color w:val="auto"/>
                <w:kern w:val="0"/>
                <w:szCs w:val="21"/>
                <w:highlight w:val="none"/>
              </w:rPr>
              <w:t>提供的</w:t>
            </w:r>
            <w:r>
              <w:rPr>
                <w:rFonts w:hint="eastAsia" w:ascii="宋体" w:hAnsi="宋体" w:cs="宋体"/>
                <w:color w:val="auto"/>
                <w:kern w:val="0"/>
                <w:szCs w:val="21"/>
                <w:highlight w:val="none"/>
              </w:rPr>
              <w:t>达梦8</w:t>
            </w:r>
            <w:r>
              <w:rPr>
                <w:rFonts w:ascii="宋体" w:hAnsi="宋体" w:cs="宋体"/>
                <w:color w:val="auto"/>
                <w:kern w:val="0"/>
                <w:szCs w:val="21"/>
                <w:highlight w:val="none"/>
              </w:rPr>
              <w:t>.0数据库</w:t>
            </w:r>
            <w:r>
              <w:rPr>
                <w:rFonts w:hint="eastAsia" w:ascii="宋体" w:hAnsi="宋体" w:cs="宋体"/>
                <w:color w:val="auto"/>
                <w:kern w:val="0"/>
                <w:szCs w:val="21"/>
                <w:highlight w:val="none"/>
              </w:rPr>
              <w:t>安装</w:t>
            </w:r>
            <w:r>
              <w:rPr>
                <w:rFonts w:ascii="宋体" w:hAnsi="宋体" w:cs="宋体"/>
                <w:color w:val="auto"/>
                <w:kern w:val="0"/>
                <w:szCs w:val="21"/>
                <w:highlight w:val="none"/>
              </w:rPr>
              <w:t>部署服务，确保数据库能满足本项目使用需求。</w:t>
            </w:r>
          </w:p>
        </w:tc>
      </w:tr>
      <w:tr w14:paraId="19BAFC0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D43569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1.1.1</w:t>
            </w:r>
            <w:r>
              <w:rPr>
                <w:rFonts w:ascii="宋体" w:hAnsi="宋体" w:cs="宋体"/>
                <w:color w:val="auto"/>
                <w:kern w:val="0"/>
                <w:szCs w:val="21"/>
                <w:highlight w:val="none"/>
              </w:rPr>
              <w:t>2</w:t>
            </w:r>
          </w:p>
        </w:tc>
        <w:tc>
          <w:tcPr>
            <w:tcW w:w="1026" w:type="pct"/>
            <w:noWrap w:val="0"/>
            <w:vAlign w:val="center"/>
          </w:tcPr>
          <w:p w14:paraId="33ACAC4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国产化操作系统</w:t>
            </w:r>
          </w:p>
        </w:tc>
        <w:tc>
          <w:tcPr>
            <w:tcW w:w="426" w:type="pct"/>
            <w:noWrap w:val="0"/>
            <w:vAlign w:val="center"/>
          </w:tcPr>
          <w:p w14:paraId="11B41C1C">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4套</w:t>
            </w:r>
          </w:p>
        </w:tc>
        <w:tc>
          <w:tcPr>
            <w:tcW w:w="2953" w:type="pct"/>
            <w:noWrap w:val="0"/>
            <w:vAlign w:val="center"/>
          </w:tcPr>
          <w:p w14:paraId="107A4E5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提供64位专业版服务器操作系统软件，产品必须符合财政部、工业和信息化部印发的最新版《操作系统政府采购需求标准》文件要求，且符合本项目应用软件安装部署需求。</w:t>
            </w:r>
          </w:p>
          <w:p w14:paraId="4E5098C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产品属于Linux Kernel 4.19 及以上操作系统的内核产品，系统支持Linux Kernel 4.19及5.10或更高版本的双内核。</w:t>
            </w:r>
          </w:p>
          <w:p w14:paraId="2773667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产品支持Ext3、Ext4、GFS2、XFS、NTFS、FAT32文件等系统。</w:t>
            </w:r>
          </w:p>
          <w:p w14:paraId="3C8C762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操作系统同源兼容 ARM、LoongArch、 MIPS、SW64、x86 等平台架构的CPU，对鲲鹏、</w:t>
            </w:r>
            <w:r>
              <w:rPr>
                <w:rFonts w:hint="eastAsia" w:ascii="宋体" w:hAnsi="宋体" w:cs="宋体"/>
                <w:color w:val="auto"/>
                <w:kern w:val="0"/>
                <w:szCs w:val="21"/>
                <w:highlight w:val="none"/>
              </w:rPr>
              <w:t>飞腾、海光、兆芯、龙芯、申威等</w:t>
            </w:r>
            <w:r>
              <w:rPr>
                <w:rFonts w:ascii="宋体" w:hAnsi="宋体" w:cs="宋体"/>
                <w:color w:val="auto"/>
                <w:kern w:val="0"/>
                <w:szCs w:val="21"/>
                <w:highlight w:val="none"/>
              </w:rPr>
              <w:t xml:space="preserve">CPU芯片具有良好的支持兼容性。 </w:t>
            </w:r>
          </w:p>
          <w:p w14:paraId="2EE1B02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采用 i18n（国际化）技术和标准</w:t>
            </w:r>
            <w:r>
              <w:rPr>
                <w:rFonts w:hint="eastAsia" w:ascii="宋体" w:hAnsi="宋体" w:cs="宋体"/>
                <w:color w:val="auto"/>
                <w:kern w:val="0"/>
                <w:szCs w:val="21"/>
                <w:highlight w:val="none"/>
              </w:rPr>
              <w:t>。</w:t>
            </w:r>
          </w:p>
          <w:p w14:paraId="65351CC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w:t>
            </w:r>
            <w:r>
              <w:rPr>
                <w:rFonts w:ascii="宋体" w:hAnsi="宋体" w:cs="宋体"/>
                <w:color w:val="auto"/>
                <w:kern w:val="0"/>
                <w:szCs w:val="21"/>
                <w:highlight w:val="none"/>
              </w:rPr>
              <w:t xml:space="preserve">具有产品厂家自主研发的中文图形窗口桌面，主要由设备管理器、启动盘制作工具、窗口管理器、安全中心等组成；提供标准的开发者组合工具套件和桌面运行环境接口。系统自带正版授权使用的浏览器软件。  </w:t>
            </w:r>
          </w:p>
          <w:p w14:paraId="4BA5B3F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7．操作</w:t>
            </w:r>
            <w:r>
              <w:rPr>
                <w:rFonts w:ascii="宋体" w:hAnsi="宋体" w:cs="宋体"/>
                <w:color w:val="auto"/>
                <w:kern w:val="0"/>
                <w:szCs w:val="21"/>
                <w:highlight w:val="none"/>
              </w:rPr>
              <w:t>系统支持TCP/IP、IPv4/IPv6、HTTP、DNS、DHCP、FTP、SMTP、POP3、IMAP等多种网络协议。</w:t>
            </w:r>
          </w:p>
          <w:p w14:paraId="3BE8183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w:t>
            </w:r>
            <w:r>
              <w:rPr>
                <w:rFonts w:ascii="宋体" w:hAnsi="宋体" w:cs="宋体"/>
                <w:color w:val="auto"/>
                <w:kern w:val="0"/>
                <w:szCs w:val="21"/>
                <w:highlight w:val="none"/>
              </w:rPr>
              <w:t>系统内置国密算法，支持GM/T 0002、GM/T 0003和GM/T 0004</w:t>
            </w:r>
            <w:r>
              <w:rPr>
                <w:rFonts w:hint="eastAsia" w:ascii="宋体" w:hAnsi="宋体" w:cs="宋体"/>
                <w:color w:val="auto"/>
                <w:kern w:val="0"/>
                <w:szCs w:val="21"/>
                <w:highlight w:val="none"/>
              </w:rPr>
              <w:t>规定的密码算法的加解密应用；</w:t>
            </w:r>
          </w:p>
          <w:p w14:paraId="67654D9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w:t>
            </w:r>
            <w:r>
              <w:rPr>
                <w:rFonts w:ascii="宋体" w:hAnsi="宋体" w:cs="宋体"/>
                <w:color w:val="auto"/>
                <w:kern w:val="0"/>
                <w:szCs w:val="21"/>
                <w:highlight w:val="none"/>
              </w:rPr>
              <w:t>提供丰富的开发工具和完整的linux开发环境，支持Java（包括OpenJDK/JVM、Oracle JDK/JVM、IBM JDK/JVM）、C/C++、Python、Perl、Shell脚本、Ruby、PHP等编程语言。</w:t>
            </w:r>
          </w:p>
          <w:p w14:paraId="08610DA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0</w:t>
            </w:r>
            <w:r>
              <w:rPr>
                <w:rFonts w:hint="eastAsia" w:ascii="宋体" w:hAnsi="宋体" w:cs="宋体"/>
                <w:color w:val="auto"/>
                <w:kern w:val="0"/>
                <w:szCs w:val="21"/>
                <w:highlight w:val="none"/>
              </w:rPr>
              <w:t>．</w:t>
            </w:r>
            <w:r>
              <w:rPr>
                <w:rFonts w:ascii="宋体" w:hAnsi="宋体" w:cs="宋体"/>
                <w:color w:val="auto"/>
                <w:kern w:val="0"/>
                <w:szCs w:val="21"/>
                <w:highlight w:val="none"/>
              </w:rPr>
              <w:t>系统自带正版授权使用的API网关软件。</w:t>
            </w:r>
          </w:p>
          <w:p w14:paraId="4FF2887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1</w:t>
            </w:r>
            <w:r>
              <w:rPr>
                <w:rFonts w:hint="eastAsia" w:ascii="宋体" w:hAnsi="宋体" w:cs="宋体"/>
                <w:color w:val="auto"/>
                <w:kern w:val="0"/>
                <w:szCs w:val="21"/>
                <w:highlight w:val="none"/>
              </w:rPr>
              <w:t>．</w:t>
            </w:r>
            <w:r>
              <w:rPr>
                <w:rFonts w:ascii="宋体" w:hAnsi="宋体" w:cs="宋体"/>
                <w:color w:val="auto"/>
                <w:kern w:val="0"/>
                <w:szCs w:val="21"/>
                <w:highlight w:val="none"/>
              </w:rPr>
              <w:t>提供正版授权使用的CentOS迁移工具，支持CentOS 7/8版本向国产化服务器操作系统迁移，支持系统原地迁移，工具支持自动化兼容性分析、支持兼容性评估报告、支持图形化操作并具备可配置的白名单功能。</w:t>
            </w:r>
          </w:p>
          <w:p w14:paraId="53D2A2E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ascii="宋体" w:hAnsi="宋体" w:cs="宋体"/>
                <w:color w:val="auto"/>
                <w:kern w:val="0"/>
                <w:szCs w:val="21"/>
                <w:highlight w:val="none"/>
              </w:rPr>
              <w:t>可在用户内部网络中部署系统补丁及软件更新应用市场或软件仓库，实现主动提示服务器进行更新操作。</w:t>
            </w:r>
          </w:p>
          <w:p w14:paraId="535620F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．符合中国信息安全测评中心安全可靠测评要求，供货时必须提供本系统软件产品厂商出具的授权书，确保采购人使用正式获得软件的终身使用授权。</w:t>
            </w:r>
          </w:p>
          <w:p w14:paraId="6CFCEB5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4</w:t>
            </w:r>
            <w:r>
              <w:rPr>
                <w:rFonts w:hint="eastAsia" w:ascii="宋体" w:hAnsi="宋体" w:cs="宋体"/>
                <w:color w:val="auto"/>
                <w:kern w:val="0"/>
                <w:szCs w:val="21"/>
                <w:highlight w:val="none"/>
              </w:rPr>
              <w:t>．</w:t>
            </w:r>
            <w:r>
              <w:rPr>
                <w:rFonts w:ascii="宋体" w:hAnsi="宋体" w:cs="宋体"/>
                <w:color w:val="auto"/>
                <w:kern w:val="0"/>
                <w:szCs w:val="21"/>
                <w:highlight w:val="none"/>
              </w:rPr>
              <w:t>系统软件产品必须</w:t>
            </w:r>
            <w:r>
              <w:rPr>
                <w:rFonts w:hint="eastAsia" w:ascii="宋体" w:hAnsi="宋体" w:cs="宋体"/>
                <w:color w:val="auto"/>
                <w:kern w:val="0"/>
                <w:szCs w:val="21"/>
                <w:highlight w:val="none"/>
              </w:rPr>
              <w:t>在</w:t>
            </w:r>
            <w:r>
              <w:rPr>
                <w:rFonts w:ascii="宋体" w:hAnsi="宋体" w:cs="宋体"/>
                <w:color w:val="auto"/>
                <w:kern w:val="0"/>
                <w:szCs w:val="21"/>
                <w:highlight w:val="none"/>
              </w:rPr>
              <w:t>本项</w:t>
            </w:r>
            <w:r>
              <w:rPr>
                <w:rFonts w:hint="eastAsia" w:ascii="宋体" w:hAnsi="宋体" w:cs="宋体"/>
                <w:color w:val="auto"/>
                <w:kern w:val="0"/>
                <w:szCs w:val="21"/>
                <w:highlight w:val="none"/>
              </w:rPr>
              <w:t>采购的“</w:t>
            </w:r>
            <w:r>
              <w:rPr>
                <w:rFonts w:ascii="宋体" w:hAnsi="宋体" w:cs="宋体"/>
                <w:color w:val="auto"/>
                <w:kern w:val="0"/>
                <w:szCs w:val="21"/>
                <w:highlight w:val="none"/>
              </w:rPr>
              <w:t>1.1.8 国产化管理服务器</w:t>
            </w:r>
            <w:r>
              <w:rPr>
                <w:rFonts w:hint="eastAsia" w:ascii="宋体" w:hAnsi="宋体" w:cs="宋体"/>
                <w:color w:val="auto"/>
                <w:kern w:val="0"/>
                <w:szCs w:val="21"/>
                <w:highlight w:val="none"/>
              </w:rPr>
              <w:t>”、</w:t>
            </w:r>
            <w:r>
              <w:rPr>
                <w:rFonts w:ascii="宋体" w:hAnsi="宋体" w:cs="宋体"/>
                <w:color w:val="auto"/>
                <w:kern w:val="0"/>
                <w:szCs w:val="21"/>
                <w:highlight w:val="none"/>
              </w:rPr>
              <w:t>“1.1.9 国产化接入服务器”</w:t>
            </w:r>
            <w:r>
              <w:rPr>
                <w:rFonts w:hint="eastAsia" w:ascii="宋体" w:hAnsi="宋体" w:cs="宋体"/>
                <w:color w:val="auto"/>
                <w:kern w:val="0"/>
                <w:szCs w:val="21"/>
                <w:highlight w:val="none"/>
              </w:rPr>
              <w:t>、</w:t>
            </w:r>
            <w:r>
              <w:rPr>
                <w:rFonts w:ascii="宋体" w:hAnsi="宋体" w:cs="宋体"/>
                <w:color w:val="auto"/>
                <w:kern w:val="0"/>
                <w:szCs w:val="21"/>
                <w:highlight w:val="none"/>
              </w:rPr>
              <w:t>“1.1.10 国产化三维管理服务器”</w:t>
            </w:r>
            <w:r>
              <w:rPr>
                <w:rFonts w:hint="eastAsia" w:ascii="宋体" w:hAnsi="宋体" w:cs="宋体"/>
                <w:color w:val="auto"/>
                <w:kern w:val="0"/>
                <w:szCs w:val="21"/>
                <w:highlight w:val="none"/>
              </w:rPr>
              <w:t>和</w:t>
            </w:r>
            <w:r>
              <w:rPr>
                <w:rFonts w:ascii="宋体" w:hAnsi="宋体" w:cs="宋体"/>
                <w:color w:val="auto"/>
                <w:kern w:val="0"/>
                <w:szCs w:val="21"/>
                <w:highlight w:val="none"/>
              </w:rPr>
              <w:t>“1.1.11 国产化数据库管理服务器”安装</w:t>
            </w:r>
            <w:r>
              <w:rPr>
                <w:rFonts w:hint="eastAsia" w:ascii="宋体" w:hAnsi="宋体" w:cs="宋体"/>
                <w:color w:val="auto"/>
                <w:kern w:val="0"/>
                <w:szCs w:val="21"/>
                <w:highlight w:val="none"/>
              </w:rPr>
              <w:t>应用，</w:t>
            </w:r>
            <w:r>
              <w:rPr>
                <w:rFonts w:ascii="宋体" w:hAnsi="宋体" w:cs="宋体"/>
                <w:color w:val="auto"/>
                <w:kern w:val="0"/>
                <w:szCs w:val="21"/>
                <w:highlight w:val="none"/>
              </w:rPr>
              <w:t>满足本项目</w:t>
            </w:r>
            <w:r>
              <w:rPr>
                <w:rFonts w:hint="eastAsia" w:ascii="宋体" w:hAnsi="宋体" w:cs="宋体"/>
                <w:color w:val="auto"/>
                <w:kern w:val="0"/>
                <w:szCs w:val="21"/>
                <w:highlight w:val="none"/>
              </w:rPr>
              <w:t>“</w:t>
            </w:r>
            <w:r>
              <w:rPr>
                <w:rFonts w:ascii="宋体" w:hAnsi="宋体" w:cs="宋体"/>
                <w:color w:val="auto"/>
                <w:kern w:val="0"/>
                <w:szCs w:val="21"/>
                <w:highlight w:val="none"/>
              </w:rPr>
              <w:t>1.1 综合信访安防联动管理平台（国产化）”软件</w:t>
            </w:r>
            <w:r>
              <w:rPr>
                <w:rFonts w:hint="eastAsia" w:ascii="宋体" w:hAnsi="宋体" w:cs="宋体"/>
                <w:color w:val="auto"/>
                <w:kern w:val="0"/>
                <w:szCs w:val="21"/>
                <w:highlight w:val="none"/>
              </w:rPr>
              <w:t>及</w:t>
            </w:r>
            <w:r>
              <w:rPr>
                <w:rFonts w:ascii="宋体" w:hAnsi="宋体" w:cs="宋体"/>
                <w:color w:val="auto"/>
                <w:kern w:val="0"/>
                <w:szCs w:val="21"/>
                <w:highlight w:val="none"/>
              </w:rPr>
              <w:t>数据库等</w:t>
            </w:r>
            <w:r>
              <w:rPr>
                <w:rFonts w:hint="eastAsia" w:ascii="宋体" w:hAnsi="宋体" w:cs="宋体"/>
                <w:color w:val="auto"/>
                <w:kern w:val="0"/>
                <w:szCs w:val="21"/>
                <w:highlight w:val="none"/>
              </w:rPr>
              <w:t>安装部署</w:t>
            </w:r>
            <w:r>
              <w:rPr>
                <w:rFonts w:ascii="宋体" w:hAnsi="宋体" w:cs="宋体"/>
                <w:color w:val="auto"/>
                <w:kern w:val="0"/>
                <w:szCs w:val="21"/>
                <w:highlight w:val="none"/>
              </w:rPr>
              <w:t>要求。</w:t>
            </w:r>
          </w:p>
          <w:p w14:paraId="7F343DF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5</w:t>
            </w:r>
            <w:r>
              <w:rPr>
                <w:rFonts w:hint="eastAsia" w:ascii="宋体" w:hAnsi="宋体" w:cs="宋体"/>
                <w:color w:val="auto"/>
                <w:kern w:val="0"/>
                <w:szCs w:val="21"/>
                <w:highlight w:val="none"/>
              </w:rPr>
              <w:t>．</w:t>
            </w:r>
            <w:r>
              <w:rPr>
                <w:rFonts w:ascii="宋体" w:hAnsi="宋体" w:cs="宋体"/>
                <w:color w:val="auto"/>
                <w:kern w:val="0"/>
                <w:szCs w:val="21"/>
                <w:highlight w:val="none"/>
              </w:rPr>
              <w:t>提供现场部署调试技术支持服务和产品的3年免费升级服务、调优指导服务及7*24小时电话支持服务；</w:t>
            </w:r>
          </w:p>
          <w:p w14:paraId="33312D25">
            <w:pPr>
              <w:widowControl/>
              <w:spacing w:line="360" w:lineRule="exact"/>
              <w:ind w:firstLine="400"/>
              <w:contextualSpacing/>
              <w:rPr>
                <w:rFonts w:ascii="宋体" w:hAnsi="宋体" w:cs="宋体"/>
                <w:color w:val="auto"/>
                <w:kern w:val="0"/>
                <w:szCs w:val="21"/>
                <w:highlight w:val="none"/>
              </w:rPr>
            </w:pPr>
          </w:p>
        </w:tc>
      </w:tr>
      <w:tr w14:paraId="62758F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85D93F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1.1.13</w:t>
            </w:r>
          </w:p>
        </w:tc>
        <w:tc>
          <w:tcPr>
            <w:tcW w:w="1026" w:type="pct"/>
            <w:noWrap w:val="0"/>
            <w:vAlign w:val="center"/>
          </w:tcPr>
          <w:p w14:paraId="6E1A18B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国产化中间件</w:t>
            </w:r>
          </w:p>
        </w:tc>
        <w:tc>
          <w:tcPr>
            <w:tcW w:w="426" w:type="pct"/>
            <w:noWrap w:val="0"/>
            <w:vAlign w:val="center"/>
          </w:tcPr>
          <w:p w14:paraId="165D0B1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3套</w:t>
            </w:r>
          </w:p>
        </w:tc>
        <w:tc>
          <w:tcPr>
            <w:tcW w:w="2953" w:type="pct"/>
            <w:noWrap w:val="0"/>
            <w:vAlign w:val="center"/>
          </w:tcPr>
          <w:p w14:paraId="404974C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向用户提供64位</w:t>
            </w:r>
            <w:r>
              <w:rPr>
                <w:rFonts w:hint="eastAsia" w:ascii="宋体" w:hAnsi="宋体" w:cs="宋体"/>
                <w:color w:val="auto"/>
                <w:kern w:val="0"/>
                <w:szCs w:val="21"/>
                <w:highlight w:val="none"/>
              </w:rPr>
              <w:t>国产</w:t>
            </w:r>
            <w:r>
              <w:rPr>
                <w:rFonts w:ascii="宋体" w:hAnsi="宋体" w:cs="宋体"/>
                <w:color w:val="auto"/>
                <w:kern w:val="0"/>
                <w:szCs w:val="21"/>
                <w:highlight w:val="none"/>
              </w:rPr>
              <w:t>信创环境</w:t>
            </w:r>
            <w:r>
              <w:rPr>
                <w:rFonts w:hint="eastAsia" w:ascii="宋体" w:hAnsi="宋体" w:cs="宋体"/>
                <w:color w:val="auto"/>
                <w:kern w:val="0"/>
                <w:szCs w:val="21"/>
                <w:highlight w:val="none"/>
              </w:rPr>
              <w:t>的</w:t>
            </w:r>
            <w:r>
              <w:rPr>
                <w:rFonts w:ascii="宋体" w:hAnsi="宋体" w:cs="宋体"/>
                <w:color w:val="auto"/>
                <w:kern w:val="0"/>
                <w:szCs w:val="21"/>
                <w:highlight w:val="none"/>
              </w:rPr>
              <w:t>中间件软件产品，产品</w:t>
            </w:r>
            <w:r>
              <w:rPr>
                <w:rFonts w:hint="eastAsia" w:ascii="宋体" w:hAnsi="宋体" w:cs="宋体"/>
                <w:color w:val="auto"/>
                <w:kern w:val="0"/>
                <w:szCs w:val="21"/>
                <w:highlight w:val="none"/>
              </w:rPr>
              <w:t>满足</w:t>
            </w:r>
            <w:r>
              <w:rPr>
                <w:rFonts w:ascii="宋体" w:hAnsi="宋体" w:cs="宋体"/>
                <w:color w:val="auto"/>
                <w:kern w:val="0"/>
                <w:szCs w:val="21"/>
                <w:highlight w:val="none"/>
              </w:rPr>
              <w:t>本项目</w:t>
            </w:r>
            <w:r>
              <w:rPr>
                <w:rFonts w:hint="eastAsia" w:ascii="宋体" w:hAnsi="宋体" w:cs="宋体"/>
                <w:color w:val="auto"/>
                <w:kern w:val="0"/>
                <w:szCs w:val="21"/>
                <w:highlight w:val="none"/>
              </w:rPr>
              <w:t>建设</w:t>
            </w:r>
            <w:r>
              <w:rPr>
                <w:rFonts w:ascii="宋体" w:hAnsi="宋体" w:cs="宋体"/>
                <w:color w:val="auto"/>
                <w:kern w:val="0"/>
                <w:szCs w:val="21"/>
                <w:highlight w:val="none"/>
              </w:rPr>
              <w:t>应用需求。</w:t>
            </w:r>
          </w:p>
          <w:p w14:paraId="6D7CA9D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本</w:t>
            </w:r>
            <w:r>
              <w:rPr>
                <w:rFonts w:ascii="宋体" w:hAnsi="宋体" w:cs="宋体"/>
                <w:color w:val="auto"/>
                <w:kern w:val="0"/>
                <w:szCs w:val="21"/>
                <w:highlight w:val="none"/>
              </w:rPr>
              <w:t>产品必须在本项采购的服务器</w:t>
            </w:r>
            <w:r>
              <w:rPr>
                <w:rFonts w:hint="eastAsia" w:ascii="宋体" w:hAnsi="宋体" w:cs="宋体"/>
                <w:color w:val="auto"/>
                <w:kern w:val="0"/>
                <w:szCs w:val="21"/>
                <w:highlight w:val="none"/>
              </w:rPr>
              <w:t>上</w:t>
            </w:r>
            <w:r>
              <w:rPr>
                <w:rFonts w:ascii="宋体" w:hAnsi="宋体" w:cs="宋体"/>
                <w:color w:val="auto"/>
                <w:kern w:val="0"/>
                <w:szCs w:val="21"/>
                <w:highlight w:val="none"/>
              </w:rPr>
              <w:t>安装应用，满足本项目“1.1 综合信访安防联动管理平台（国产化）”软件安装部署要求。</w:t>
            </w:r>
          </w:p>
          <w:p w14:paraId="07AFDAAA">
            <w:pPr>
              <w:widowControl/>
              <w:spacing w:line="360" w:lineRule="exact"/>
              <w:ind w:firstLine="4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3．本产品必须符合知识版权授权使用要求，确保采购人使用正式获得软件的终身使用授权。</w:t>
            </w:r>
          </w:p>
          <w:p w14:paraId="5A3B9E0D">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w:t>
            </w:r>
            <w:r>
              <w:rPr>
                <w:rFonts w:ascii="宋体" w:hAnsi="宋体" w:cs="宋体"/>
                <w:color w:val="auto"/>
                <w:kern w:val="0"/>
                <w:szCs w:val="21"/>
                <w:highlight w:val="none"/>
              </w:rPr>
              <w:t>提供现场部署调试技术支持服务和产品的3年免费升级服务、调优指导服务及7*24小时电话支持服务；</w:t>
            </w:r>
          </w:p>
          <w:p w14:paraId="72F8BFAC">
            <w:pPr>
              <w:widowControl/>
              <w:spacing w:line="360" w:lineRule="exact"/>
              <w:ind w:firstLine="400"/>
              <w:contextualSpacing/>
              <w:rPr>
                <w:rFonts w:ascii="宋体" w:hAnsi="宋体" w:cs="宋体"/>
                <w:color w:val="auto"/>
                <w:kern w:val="0"/>
                <w:szCs w:val="21"/>
                <w:highlight w:val="none"/>
              </w:rPr>
            </w:pPr>
          </w:p>
        </w:tc>
      </w:tr>
      <w:tr w14:paraId="648DE9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ACEFE8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1.1.14</w:t>
            </w:r>
          </w:p>
        </w:tc>
        <w:tc>
          <w:tcPr>
            <w:tcW w:w="1026" w:type="pct"/>
            <w:noWrap w:val="0"/>
            <w:vAlign w:val="center"/>
          </w:tcPr>
          <w:p w14:paraId="05C53A8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指挥展示屏</w:t>
            </w:r>
          </w:p>
        </w:tc>
        <w:tc>
          <w:tcPr>
            <w:tcW w:w="426" w:type="pct"/>
            <w:noWrap w:val="0"/>
            <w:vAlign w:val="center"/>
          </w:tcPr>
          <w:p w14:paraId="7CB7C56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10套</w:t>
            </w:r>
          </w:p>
        </w:tc>
        <w:tc>
          <w:tcPr>
            <w:tcW w:w="2953" w:type="pct"/>
            <w:noWrap w:val="0"/>
            <w:vAlign w:val="center"/>
          </w:tcPr>
          <w:p w14:paraId="4EE02E3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1．在采购人内设</w:t>
            </w:r>
            <w:r>
              <w:rPr>
                <w:rFonts w:ascii="宋体" w:hAnsi="宋体" w:cs="宋体"/>
                <w:color w:val="auto"/>
                <w:kern w:val="0"/>
                <w:szCs w:val="21"/>
                <w:highlight w:val="none"/>
              </w:rPr>
              <w:t>机构</w:t>
            </w:r>
            <w:r>
              <w:rPr>
                <w:rFonts w:hint="eastAsia" w:ascii="宋体" w:hAnsi="宋体" w:cs="宋体"/>
                <w:color w:val="auto"/>
                <w:kern w:val="0"/>
                <w:szCs w:val="21"/>
                <w:highlight w:val="none"/>
              </w:rPr>
              <w:t>指定</w:t>
            </w:r>
            <w:r>
              <w:rPr>
                <w:rFonts w:ascii="宋体" w:hAnsi="宋体" w:cs="宋体"/>
                <w:color w:val="auto"/>
                <w:kern w:val="0"/>
                <w:szCs w:val="21"/>
                <w:highlight w:val="none"/>
              </w:rPr>
              <w:t>办公室</w:t>
            </w:r>
            <w:r>
              <w:rPr>
                <w:rFonts w:hint="eastAsia" w:ascii="宋体" w:hAnsi="宋体" w:cs="宋体"/>
                <w:color w:val="auto"/>
                <w:kern w:val="0"/>
                <w:szCs w:val="21"/>
                <w:highlight w:val="none"/>
              </w:rPr>
              <w:t>、</w:t>
            </w:r>
            <w:r>
              <w:rPr>
                <w:rFonts w:ascii="宋体" w:hAnsi="宋体" w:cs="宋体"/>
                <w:color w:val="auto"/>
                <w:kern w:val="0"/>
                <w:szCs w:val="21"/>
                <w:highlight w:val="none"/>
              </w:rPr>
              <w:t>会议室</w:t>
            </w:r>
            <w:r>
              <w:rPr>
                <w:rFonts w:hint="eastAsia" w:ascii="宋体" w:hAnsi="宋体" w:cs="宋体"/>
                <w:color w:val="auto"/>
                <w:kern w:val="0"/>
                <w:szCs w:val="21"/>
                <w:highlight w:val="none"/>
              </w:rPr>
              <w:t>或</w:t>
            </w:r>
            <w:r>
              <w:rPr>
                <w:rFonts w:ascii="宋体" w:hAnsi="宋体" w:cs="宋体"/>
                <w:color w:val="auto"/>
                <w:kern w:val="0"/>
                <w:szCs w:val="21"/>
                <w:highlight w:val="none"/>
              </w:rPr>
              <w:t>指挥中心等场地安装，</w:t>
            </w:r>
            <w:r>
              <w:rPr>
                <w:rFonts w:hint="eastAsia" w:ascii="宋体" w:hAnsi="宋体" w:cs="宋体"/>
                <w:color w:val="auto"/>
                <w:kern w:val="0"/>
                <w:szCs w:val="21"/>
                <w:highlight w:val="none"/>
              </w:rPr>
              <w:t>将</w:t>
            </w:r>
            <w:r>
              <w:rPr>
                <w:rFonts w:ascii="宋体" w:hAnsi="宋体" w:cs="宋体"/>
                <w:color w:val="auto"/>
                <w:kern w:val="0"/>
                <w:szCs w:val="21"/>
                <w:highlight w:val="none"/>
              </w:rPr>
              <w:t>显示屏与</w:t>
            </w:r>
            <w:r>
              <w:rPr>
                <w:rFonts w:hint="eastAsia" w:ascii="宋体" w:hAnsi="宋体" w:cs="宋体"/>
                <w:color w:val="auto"/>
                <w:kern w:val="0"/>
                <w:szCs w:val="21"/>
                <w:highlight w:val="none"/>
              </w:rPr>
              <w:t>软件终端电脑连接，</w:t>
            </w:r>
            <w:r>
              <w:rPr>
                <w:rFonts w:ascii="宋体" w:hAnsi="宋体" w:cs="宋体"/>
                <w:color w:val="auto"/>
                <w:kern w:val="0"/>
                <w:szCs w:val="21"/>
                <w:highlight w:val="none"/>
              </w:rPr>
              <w:t>满足</w:t>
            </w:r>
            <w:r>
              <w:rPr>
                <w:rFonts w:hint="eastAsia" w:ascii="宋体" w:hAnsi="宋体" w:cs="宋体"/>
                <w:color w:val="auto"/>
                <w:kern w:val="0"/>
                <w:szCs w:val="21"/>
                <w:highlight w:val="none"/>
              </w:rPr>
              <w:t>采购人对管理区域监控实时监视管理要求，提高应急响应和处置指挥能力。</w:t>
            </w:r>
          </w:p>
          <w:p w14:paraId="65A7E04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▲2．展示屏有效显示画面不低于98英寸，长宽比为16：9或16：10；</w:t>
            </w:r>
          </w:p>
          <w:p w14:paraId="07303FE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3．展示屏显示像素等于或大于3840 × 2160 像素，自带兼容HDMI 2.0、HDMI 2.1等信号的输入端口支持4K、2K、1080P等高清信号无需转换输入；</w:t>
            </w:r>
          </w:p>
          <w:p w14:paraId="053D98C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4．展示屏亮度≥750 nits，对比度≥1000000:1，刷新率≥120 HZ；色域≥795% DCI-P3；</w:t>
            </w:r>
          </w:p>
          <w:p w14:paraId="031DDED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5．含≤</w:t>
            </w:r>
            <w:r>
              <w:rPr>
                <w:rFonts w:ascii="宋体" w:hAnsi="宋体" w:cs="宋体"/>
                <w:color w:val="auto"/>
                <w:kern w:val="0"/>
                <w:szCs w:val="21"/>
                <w:highlight w:val="none"/>
              </w:rPr>
              <w:t>30米（如环境安装所需用到的超长线材由用户自行提供）支持HDMI2.1高品质高传输率的</w:t>
            </w:r>
            <w:r>
              <w:rPr>
                <w:rFonts w:hint="eastAsia" w:ascii="宋体" w:hAnsi="宋体" w:cs="宋体"/>
                <w:color w:val="auto"/>
                <w:kern w:val="0"/>
                <w:szCs w:val="21"/>
                <w:highlight w:val="none"/>
              </w:rPr>
              <w:t>视频信号传输线缆和原厂配套的电源电缆（如需应当含AC220V电源适配器）；</w:t>
            </w:r>
          </w:p>
          <w:p w14:paraId="51A4733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6．提供1套设备厂家原配的挂墙安装支架，1套无线</w:t>
            </w:r>
            <w:r>
              <w:rPr>
                <w:rFonts w:ascii="宋体" w:hAnsi="宋体" w:cs="宋体"/>
                <w:color w:val="auto"/>
                <w:kern w:val="0"/>
                <w:szCs w:val="21"/>
                <w:highlight w:val="none"/>
              </w:rPr>
              <w:t>键鼠</w:t>
            </w:r>
            <w:r>
              <w:rPr>
                <w:rFonts w:hint="eastAsia" w:ascii="宋体" w:hAnsi="宋体" w:cs="宋体"/>
                <w:color w:val="auto"/>
                <w:kern w:val="0"/>
                <w:szCs w:val="21"/>
                <w:highlight w:val="none"/>
              </w:rPr>
              <w:t>（含全尺寸无线键盘，键盘</w:t>
            </w:r>
            <w:r>
              <w:rPr>
                <w:rFonts w:ascii="宋体" w:hAnsi="宋体" w:cs="宋体"/>
                <w:color w:val="auto"/>
                <w:kern w:val="0"/>
                <w:szCs w:val="21"/>
                <w:highlight w:val="none"/>
              </w:rPr>
              <w:t>至少配置8个多媒体快捷键</w:t>
            </w:r>
            <w:r>
              <w:rPr>
                <w:rFonts w:hint="eastAsia" w:ascii="宋体" w:hAnsi="宋体" w:cs="宋体"/>
                <w:color w:val="auto"/>
                <w:kern w:val="0"/>
                <w:szCs w:val="21"/>
                <w:highlight w:val="none"/>
              </w:rPr>
              <w:t>；采用2</w:t>
            </w:r>
            <w:r>
              <w:rPr>
                <w:rFonts w:ascii="宋体" w:hAnsi="宋体" w:cs="宋体"/>
                <w:color w:val="auto"/>
                <w:kern w:val="0"/>
                <w:szCs w:val="21"/>
                <w:highlight w:val="none"/>
              </w:rPr>
              <w:t>.4GHz无线技术</w:t>
            </w:r>
            <w:r>
              <w:rPr>
                <w:rFonts w:hint="eastAsia" w:ascii="宋体" w:hAnsi="宋体" w:cs="宋体"/>
                <w:color w:val="auto"/>
                <w:kern w:val="0"/>
                <w:szCs w:val="21"/>
                <w:highlight w:val="none"/>
              </w:rPr>
              <w:t>即插即用</w:t>
            </w:r>
            <w:r>
              <w:rPr>
                <w:rFonts w:ascii="宋体" w:hAnsi="宋体" w:cs="宋体"/>
                <w:color w:val="auto"/>
                <w:kern w:val="0"/>
                <w:szCs w:val="21"/>
                <w:highlight w:val="none"/>
              </w:rPr>
              <w:t>的</w:t>
            </w:r>
            <w:r>
              <w:rPr>
                <w:rFonts w:hint="eastAsia" w:ascii="宋体" w:hAnsi="宋体" w:cs="宋体"/>
                <w:color w:val="auto"/>
                <w:kern w:val="0"/>
                <w:szCs w:val="21"/>
                <w:highlight w:val="none"/>
              </w:rPr>
              <w:t>微型接收器，</w:t>
            </w:r>
            <w:r>
              <w:rPr>
                <w:rFonts w:ascii="宋体" w:hAnsi="宋体" w:cs="宋体"/>
                <w:color w:val="auto"/>
                <w:kern w:val="0"/>
                <w:szCs w:val="21"/>
                <w:highlight w:val="none"/>
              </w:rPr>
              <w:t>支持</w:t>
            </w:r>
            <w:r>
              <w:rPr>
                <w:rFonts w:hint="eastAsia" w:ascii="宋体" w:hAnsi="宋体" w:cs="宋体"/>
                <w:color w:val="auto"/>
                <w:kern w:val="0"/>
                <w:szCs w:val="21"/>
                <w:highlight w:val="none"/>
              </w:rPr>
              <w:t>≥10米</w:t>
            </w:r>
            <w:r>
              <w:rPr>
                <w:rFonts w:ascii="宋体" w:hAnsi="宋体" w:cs="宋体"/>
                <w:color w:val="auto"/>
                <w:kern w:val="0"/>
                <w:szCs w:val="21"/>
                <w:highlight w:val="none"/>
              </w:rPr>
              <w:t>超远距离稳定的连接接收；</w:t>
            </w:r>
            <w:r>
              <w:rPr>
                <w:rFonts w:hint="eastAsia" w:ascii="宋体" w:hAnsi="宋体" w:cs="宋体"/>
                <w:color w:val="auto"/>
                <w:kern w:val="0"/>
                <w:szCs w:val="21"/>
                <w:highlight w:val="none"/>
              </w:rPr>
              <w:t>无线便捷舒适型的带滚轮三</w:t>
            </w:r>
            <w:r>
              <w:rPr>
                <w:rFonts w:ascii="宋体" w:hAnsi="宋体" w:cs="宋体"/>
                <w:color w:val="auto"/>
                <w:kern w:val="0"/>
                <w:szCs w:val="21"/>
                <w:highlight w:val="none"/>
              </w:rPr>
              <w:t>触键</w:t>
            </w:r>
            <w:r>
              <w:rPr>
                <w:rFonts w:hint="eastAsia" w:ascii="宋体" w:hAnsi="宋体" w:cs="宋体"/>
                <w:color w:val="auto"/>
                <w:kern w:val="0"/>
                <w:szCs w:val="21"/>
                <w:highlight w:val="none"/>
              </w:rPr>
              <w:t>光电鼠标，鼠标采用不可见光技术，不仅</w:t>
            </w:r>
            <w:r>
              <w:rPr>
                <w:rFonts w:ascii="宋体" w:hAnsi="宋体" w:cs="宋体"/>
                <w:color w:val="auto"/>
                <w:kern w:val="0"/>
                <w:szCs w:val="21"/>
                <w:highlight w:val="none"/>
              </w:rPr>
              <w:t>节能不伤眼</w:t>
            </w:r>
            <w:r>
              <w:rPr>
                <w:rFonts w:hint="eastAsia" w:ascii="宋体" w:hAnsi="宋体" w:cs="宋体"/>
                <w:color w:val="auto"/>
                <w:kern w:val="0"/>
                <w:szCs w:val="21"/>
                <w:highlight w:val="none"/>
              </w:rPr>
              <w:t>还</w:t>
            </w:r>
            <w:r>
              <w:rPr>
                <w:rFonts w:ascii="宋体" w:hAnsi="宋体" w:cs="宋体"/>
                <w:color w:val="auto"/>
                <w:kern w:val="0"/>
                <w:szCs w:val="21"/>
                <w:highlight w:val="none"/>
              </w:rPr>
              <w:t>能</w:t>
            </w:r>
            <w:r>
              <w:rPr>
                <w:rFonts w:hint="eastAsia" w:ascii="宋体" w:hAnsi="宋体" w:cs="宋体"/>
                <w:color w:val="auto"/>
                <w:kern w:val="0"/>
                <w:szCs w:val="21"/>
                <w:highlight w:val="none"/>
              </w:rPr>
              <w:t>满足高精度高稳定性</w:t>
            </w:r>
            <w:r>
              <w:rPr>
                <w:rFonts w:ascii="宋体" w:hAnsi="宋体" w:cs="宋体"/>
                <w:color w:val="auto"/>
                <w:kern w:val="0"/>
                <w:szCs w:val="21"/>
                <w:highlight w:val="none"/>
              </w:rPr>
              <w:t>鼠标移动</w:t>
            </w:r>
            <w:r>
              <w:rPr>
                <w:rFonts w:hint="eastAsia" w:ascii="宋体" w:hAnsi="宋体" w:cs="宋体"/>
                <w:color w:val="auto"/>
                <w:kern w:val="0"/>
                <w:szCs w:val="21"/>
                <w:highlight w:val="none"/>
              </w:rPr>
              <w:t>需求</w:t>
            </w:r>
            <w:r>
              <w:rPr>
                <w:rFonts w:ascii="宋体" w:hAnsi="宋体" w:cs="宋体"/>
                <w:color w:val="auto"/>
                <w:kern w:val="0"/>
                <w:szCs w:val="21"/>
                <w:highlight w:val="none"/>
              </w:rPr>
              <w:t>），</w:t>
            </w:r>
            <w:r>
              <w:rPr>
                <w:rFonts w:hint="eastAsia" w:ascii="宋体" w:hAnsi="宋体" w:cs="宋体"/>
                <w:color w:val="auto"/>
                <w:kern w:val="0"/>
                <w:szCs w:val="21"/>
                <w:highlight w:val="none"/>
              </w:rPr>
              <w:t>提供安装集成服务和本项目软件终端安装服务，在采购人提供的信创国产化电脑终端（</w:t>
            </w:r>
            <w:r>
              <w:rPr>
                <w:rFonts w:ascii="宋体" w:hAnsi="宋体" w:cs="宋体"/>
                <w:color w:val="auto"/>
                <w:kern w:val="0"/>
                <w:szCs w:val="21"/>
                <w:highlight w:val="none"/>
              </w:rPr>
              <w:t>ARM架构CPU+银河麒麟或统信UOS系统+奇安信可信专业版浏览器）上安装部署</w:t>
            </w:r>
            <w:r>
              <w:rPr>
                <w:rFonts w:hint="eastAsia" w:ascii="宋体" w:hAnsi="宋体" w:cs="宋体"/>
                <w:color w:val="auto"/>
                <w:kern w:val="0"/>
                <w:szCs w:val="21"/>
                <w:highlight w:val="none"/>
              </w:rPr>
              <w:t>调试，确保设备上墙并能显示本项目建设系统内容；</w:t>
            </w:r>
          </w:p>
          <w:p w14:paraId="7B1AAD8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7．本项</w:t>
            </w:r>
            <w:r>
              <w:rPr>
                <w:rFonts w:ascii="宋体" w:hAnsi="宋体" w:cs="宋体"/>
                <w:color w:val="auto"/>
                <w:kern w:val="0"/>
                <w:szCs w:val="21"/>
                <w:highlight w:val="none"/>
              </w:rPr>
              <w:t>设备及线材</w:t>
            </w:r>
            <w:r>
              <w:rPr>
                <w:rFonts w:hint="eastAsia" w:ascii="宋体" w:hAnsi="宋体" w:cs="宋体"/>
                <w:color w:val="auto"/>
                <w:kern w:val="0"/>
                <w:szCs w:val="21"/>
                <w:highlight w:val="none"/>
              </w:rPr>
              <w:t>提供厂家三包服务，</w:t>
            </w:r>
            <w:r>
              <w:rPr>
                <w:rFonts w:ascii="宋体" w:hAnsi="宋体" w:cs="宋体"/>
                <w:color w:val="auto"/>
                <w:kern w:val="0"/>
                <w:szCs w:val="21"/>
                <w:highlight w:val="none"/>
              </w:rPr>
              <w:t>设备提供</w:t>
            </w:r>
            <w:r>
              <w:rPr>
                <w:rFonts w:hint="eastAsia" w:ascii="宋体" w:hAnsi="宋体" w:cs="宋体"/>
                <w:color w:val="auto"/>
                <w:kern w:val="0"/>
                <w:szCs w:val="21"/>
                <w:highlight w:val="none"/>
              </w:rPr>
              <w:t>原厂≥3年免费联保维修服务。</w:t>
            </w:r>
          </w:p>
        </w:tc>
      </w:tr>
      <w:tr w14:paraId="447693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A9F541E">
            <w:pPr>
              <w:widowControl/>
              <w:adjustRightInd w:val="0"/>
              <w:spacing w:line="360" w:lineRule="exact"/>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1.2 </w:t>
            </w:r>
          </w:p>
        </w:tc>
        <w:tc>
          <w:tcPr>
            <w:tcW w:w="4405" w:type="pct"/>
            <w:gridSpan w:val="3"/>
            <w:noWrap w:val="0"/>
            <w:vAlign w:val="center"/>
          </w:tcPr>
          <w:p w14:paraId="0529658A">
            <w:pPr>
              <w:widowControl/>
              <w:spacing w:line="360" w:lineRule="exact"/>
              <w:contextualSpacing/>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智能人员管控系统</w:t>
            </w:r>
          </w:p>
        </w:tc>
      </w:tr>
      <w:tr w14:paraId="367FE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5F8942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1.2.1</w:t>
            </w:r>
          </w:p>
        </w:tc>
        <w:tc>
          <w:tcPr>
            <w:tcW w:w="1026" w:type="pct"/>
            <w:noWrap/>
            <w:vAlign w:val="center"/>
          </w:tcPr>
          <w:p w14:paraId="2191DF3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人脸抓拍半球摄像机</w:t>
            </w:r>
          </w:p>
        </w:tc>
        <w:tc>
          <w:tcPr>
            <w:tcW w:w="426" w:type="pct"/>
            <w:noWrap/>
            <w:vAlign w:val="center"/>
          </w:tcPr>
          <w:p w14:paraId="580DB80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38台</w:t>
            </w:r>
          </w:p>
        </w:tc>
        <w:tc>
          <w:tcPr>
            <w:tcW w:w="2953" w:type="pct"/>
            <w:noWrap w:val="0"/>
            <w:vAlign w:val="center"/>
          </w:tcPr>
          <w:p w14:paraId="15E0754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1．≥400万像素，具有不小于1/1.8英寸靶面尺寸，内置高性能芯片，宽动态能力不小于120dB。</w:t>
            </w:r>
          </w:p>
          <w:p w14:paraId="201AA5C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2．内置≥2个麦克风，≥1个扬声器，具有≥1路音频输入，≥1路音频输出，≥2路报警输入，≥2路报警输出，最低照度彩色≤0.0002 lx，黑白≤0.0001 lx，最大亮度鉴别等级不低于11级。</w:t>
            </w:r>
          </w:p>
          <w:p w14:paraId="1E85FB2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3．分辨率设置≥2560×1440@25fps，分辨力不小于1400TVL，支持H.264、H.265、MJPEG视频编码格式，且具有High Profile编码能力。</w:t>
            </w:r>
          </w:p>
          <w:p w14:paraId="3B6DB56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可同时支持≥10路客户端和≥5路web端事件布防，设备在布防时间段内主动上传感知数据，断网重连后，报警信息与报警图片可继续上传，同时支持≥3路web监听通道，设备响应web端发送的查询请求，并返回对应的感知数据，断网重连后，报警信息可继续上传。</w:t>
            </w:r>
          </w:p>
          <w:p w14:paraId="001DC0C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5．支持同时检测并且抓拍≥30张人脸，支持对运动人脸进行检测、跟踪、抓拍、评分、筛选输出最优的人脸抓图，支持最佳抓拍、快速抓拍。</w:t>
            </w:r>
          </w:p>
          <w:p w14:paraId="5ADA43D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6．支持区域入侵、越界侦测、进入区域、离开区域功能，支持基于具体的目标类型（人或车辆）触发的报警。</w:t>
            </w:r>
          </w:p>
          <w:p w14:paraId="584113D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▲7．可通过客户端浏览器设置登录超时时间，当登录后无操作时长达到设置阈值后，设备自动退出并重新进入登录界面，同时</w:t>
            </w:r>
            <w:r>
              <w:rPr>
                <w:rFonts w:ascii="宋体" w:hAnsi="宋体" w:cs="宋体"/>
                <w:color w:val="auto"/>
                <w:kern w:val="0"/>
                <w:szCs w:val="21"/>
                <w:highlight w:val="none"/>
              </w:rPr>
              <w:t>还</w:t>
            </w:r>
            <w:r>
              <w:rPr>
                <w:rFonts w:hint="eastAsia" w:ascii="宋体" w:hAnsi="宋体" w:cs="宋体"/>
                <w:color w:val="auto"/>
                <w:kern w:val="0"/>
                <w:szCs w:val="21"/>
                <w:highlight w:val="none"/>
              </w:rPr>
              <w:t>可通过客户端浏览器设置设备重启和布防动态报警数据感知与记录等。</w:t>
            </w:r>
          </w:p>
          <w:p w14:paraId="5333E09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8．支持背向行驶车辆抓拍，支持识别车牌、子品牌、车身颜色、车辆类型，支持行人、非机动车、机动车的混行检测。</w:t>
            </w:r>
          </w:p>
          <w:p w14:paraId="4D6373F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9．支持防补光过曝开启和关闭，开启下支持自动和手动，手动支持根据距离等级控制补光灯亮度。</w:t>
            </w:r>
          </w:p>
          <w:p w14:paraId="20B38BF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▲10．设备具有耀光抑制功能，耀光区域≤1%，设备支持重瞳检测抓拍功能，可通过客户端浏览器或客户端开启/关闭重瞳检测抓拍功能。</w:t>
            </w:r>
          </w:p>
          <w:p w14:paraId="793854D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11．支持侧脸过滤功能，可过滤上下、左右角度达到预设值的人脸，人脸检出率不小于99%，支持检出两眼瞳距40像素点以上的人脸图片。</w:t>
            </w:r>
          </w:p>
          <w:p w14:paraId="0DE7838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12．支持识别≥11种车身颜色，支持车型、车辆行驶方向、车牌颜色、车牌类型等车辆属性的识别。</w:t>
            </w:r>
          </w:p>
          <w:p w14:paraId="34C4F1F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▲13．设备引导加载程序（</w:t>
            </w:r>
            <w:r>
              <w:rPr>
                <w:rFonts w:ascii="宋体" w:hAnsi="宋体" w:cs="宋体"/>
                <w:color w:val="auto"/>
                <w:kern w:val="0"/>
                <w:szCs w:val="21"/>
                <w:highlight w:val="none"/>
              </w:rPr>
              <w:t>UB</w:t>
            </w:r>
            <w:r>
              <w:rPr>
                <w:rFonts w:hint="eastAsia" w:ascii="宋体" w:hAnsi="宋体" w:cs="宋体"/>
                <w:color w:val="auto"/>
                <w:kern w:val="0"/>
                <w:szCs w:val="21"/>
                <w:highlight w:val="none"/>
              </w:rPr>
              <w:t>oot）采用加密存储，支持硬件微引导程序、</w:t>
            </w:r>
            <w:r>
              <w:rPr>
                <w:rFonts w:ascii="宋体" w:hAnsi="宋体" w:cs="宋体"/>
                <w:color w:val="auto"/>
                <w:kern w:val="0"/>
                <w:szCs w:val="21"/>
                <w:highlight w:val="none"/>
              </w:rPr>
              <w:t>UB</w:t>
            </w:r>
            <w:r>
              <w:rPr>
                <w:rFonts w:hint="eastAsia" w:ascii="宋体" w:hAnsi="宋体" w:cs="宋体"/>
                <w:color w:val="auto"/>
                <w:kern w:val="0"/>
                <w:szCs w:val="21"/>
                <w:highlight w:val="none"/>
              </w:rPr>
              <w:t>oot、OS、应用软件逐级校验功能，非法篡改的</w:t>
            </w:r>
            <w:r>
              <w:rPr>
                <w:rFonts w:ascii="宋体" w:hAnsi="宋体" w:cs="宋体"/>
                <w:color w:val="auto"/>
                <w:kern w:val="0"/>
                <w:szCs w:val="21"/>
                <w:highlight w:val="none"/>
              </w:rPr>
              <w:t>UB</w:t>
            </w:r>
            <w:r>
              <w:rPr>
                <w:rFonts w:hint="eastAsia" w:ascii="宋体" w:hAnsi="宋体" w:cs="宋体"/>
                <w:color w:val="auto"/>
                <w:kern w:val="0"/>
                <w:szCs w:val="21"/>
                <w:highlight w:val="none"/>
              </w:rPr>
              <w:t>oot、OS、应用软件固件包，不能通过命令行、浏览器、客户端方式进行升级，通过离线烧写存储器方式写入的</w:t>
            </w:r>
            <w:r>
              <w:rPr>
                <w:rFonts w:ascii="宋体" w:hAnsi="宋体" w:cs="宋体"/>
                <w:color w:val="auto"/>
                <w:kern w:val="0"/>
                <w:szCs w:val="21"/>
                <w:highlight w:val="none"/>
              </w:rPr>
              <w:t>UB</w:t>
            </w:r>
            <w:r>
              <w:rPr>
                <w:rFonts w:hint="eastAsia" w:ascii="宋体" w:hAnsi="宋体" w:cs="宋体"/>
                <w:color w:val="auto"/>
                <w:kern w:val="0"/>
                <w:szCs w:val="21"/>
                <w:highlight w:val="none"/>
              </w:rPr>
              <w:t>oot执行程序，不能被硬件微引导程序加载执行。</w:t>
            </w:r>
          </w:p>
          <w:p w14:paraId="57D75B4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14．支持人脸区域自动曝光功能，可根据外部不同场景和光照变化自动调节人脸区域曝光参数。</w:t>
            </w:r>
          </w:p>
          <w:p w14:paraId="30DE4A1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15．同一静止场景相同图像质量下，设备在H.265编码方式时，开启智能编码功能和不开启智能编码相比，码率节约≥80%。</w:t>
            </w:r>
          </w:p>
          <w:p w14:paraId="25301B0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16．具有周界防范功能，当区域入侵、越界侦测、进入区域、离开区域报警布防开启后，出现行人、非机动车、机动车目标时能触发报警，当检测区域中篮球滚动、小狗移动、树叶晃动及光线明暗变化时不会触发报警。</w:t>
            </w:r>
          </w:p>
          <w:p w14:paraId="313BCBC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17．补光距离≥30米，不低于IP67防护等级，具有良好的环境适应性，可在-30℃~+60 ℃环境下正常工作。</w:t>
            </w:r>
          </w:p>
          <w:p w14:paraId="2FFAE56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18．设备支持直流DC和POE供电，</w:t>
            </w:r>
            <w:r>
              <w:rPr>
                <w:rFonts w:ascii="宋体" w:hAnsi="宋体" w:cs="宋体"/>
                <w:color w:val="auto"/>
                <w:kern w:val="0"/>
                <w:szCs w:val="21"/>
                <w:highlight w:val="none"/>
              </w:rPr>
              <w:t>并</w:t>
            </w:r>
            <w:r>
              <w:rPr>
                <w:rFonts w:hint="eastAsia" w:ascii="宋体" w:hAnsi="宋体" w:cs="宋体"/>
                <w:color w:val="auto"/>
                <w:kern w:val="0"/>
                <w:szCs w:val="21"/>
                <w:highlight w:val="none"/>
              </w:rPr>
              <w:t>提供原厂配置</w:t>
            </w:r>
            <w:r>
              <w:rPr>
                <w:rFonts w:ascii="宋体" w:hAnsi="宋体" w:cs="宋体"/>
                <w:color w:val="auto"/>
                <w:kern w:val="0"/>
                <w:szCs w:val="21"/>
                <w:highlight w:val="none"/>
              </w:rPr>
              <w:t>的</w:t>
            </w:r>
            <w:r>
              <w:rPr>
                <w:rFonts w:hint="eastAsia" w:ascii="宋体" w:hAnsi="宋体" w:cs="宋体"/>
                <w:color w:val="auto"/>
                <w:kern w:val="0"/>
                <w:szCs w:val="21"/>
                <w:highlight w:val="none"/>
              </w:rPr>
              <w:t>AC</w:t>
            </w:r>
            <w:r>
              <w:rPr>
                <w:rFonts w:ascii="宋体" w:hAnsi="宋体" w:cs="宋体"/>
                <w:color w:val="auto"/>
                <w:kern w:val="0"/>
                <w:szCs w:val="21"/>
                <w:highlight w:val="none"/>
              </w:rPr>
              <w:t>220V</w:t>
            </w:r>
            <w:r>
              <w:rPr>
                <w:rFonts w:hint="eastAsia" w:ascii="宋体" w:hAnsi="宋体" w:cs="宋体"/>
                <w:color w:val="auto"/>
                <w:kern w:val="0"/>
                <w:szCs w:val="21"/>
                <w:highlight w:val="none"/>
              </w:rPr>
              <w:t>转直流DC电源</w:t>
            </w:r>
            <w:r>
              <w:rPr>
                <w:rFonts w:ascii="宋体" w:hAnsi="宋体" w:cs="宋体"/>
                <w:color w:val="auto"/>
                <w:kern w:val="0"/>
                <w:szCs w:val="21"/>
                <w:highlight w:val="none"/>
              </w:rPr>
              <w:t>适配器，满足摄像头安装</w:t>
            </w:r>
            <w:r>
              <w:rPr>
                <w:rFonts w:hint="eastAsia" w:ascii="宋体" w:hAnsi="宋体" w:cs="宋体"/>
                <w:color w:val="auto"/>
                <w:kern w:val="0"/>
                <w:szCs w:val="21"/>
                <w:highlight w:val="none"/>
              </w:rPr>
              <w:t>使用需求。</w:t>
            </w:r>
          </w:p>
        </w:tc>
      </w:tr>
      <w:tr w14:paraId="156A92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3664C0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1.2.2</w:t>
            </w:r>
          </w:p>
        </w:tc>
        <w:tc>
          <w:tcPr>
            <w:tcW w:w="1026" w:type="pct"/>
            <w:noWrap/>
            <w:vAlign w:val="center"/>
          </w:tcPr>
          <w:p w14:paraId="6F81C34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室外人脸抓拍枪机</w:t>
            </w:r>
          </w:p>
        </w:tc>
        <w:tc>
          <w:tcPr>
            <w:tcW w:w="426" w:type="pct"/>
            <w:noWrap/>
            <w:vAlign w:val="center"/>
          </w:tcPr>
          <w:p w14:paraId="54626ED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20台</w:t>
            </w:r>
          </w:p>
        </w:tc>
        <w:tc>
          <w:tcPr>
            <w:tcW w:w="2953" w:type="pct"/>
            <w:noWrap w:val="0"/>
            <w:vAlign w:val="center"/>
          </w:tcPr>
          <w:p w14:paraId="4EFECF9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1．支持上下双通道镜头，通道1靶面尺寸不低于1/1.8英寸，像素≥800万，通道2靶面尺寸不低于1/1.8英寸，像素≥400万。</w:t>
            </w:r>
          </w:p>
          <w:p w14:paraId="07DD332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2．通道1最低照度彩色≤0.0005 lux，黑白≤0.0001 lux，通道2最低照度彩色≤0.0005 lux，黑白≤0.0001 lux。</w:t>
            </w:r>
          </w:p>
          <w:p w14:paraId="419C974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3．支持前端人脸比对，支持≥10个人脸库的管理，人脸库的存储空间≥3GB，单张人脸不超过300KB情况</w:t>
            </w:r>
            <w:r>
              <w:rPr>
                <w:rFonts w:ascii="宋体" w:hAnsi="宋体" w:cs="宋体"/>
                <w:color w:val="auto"/>
                <w:kern w:val="0"/>
                <w:szCs w:val="21"/>
                <w:highlight w:val="none"/>
              </w:rPr>
              <w:t>下，</w:t>
            </w:r>
            <w:r>
              <w:rPr>
                <w:rFonts w:hint="eastAsia" w:ascii="宋体" w:hAnsi="宋体" w:cs="宋体"/>
                <w:color w:val="auto"/>
                <w:kern w:val="0"/>
                <w:szCs w:val="21"/>
                <w:highlight w:val="none"/>
              </w:rPr>
              <w:t>支持≥15万张人脸的导入，实现离线人脸</w:t>
            </w:r>
            <w:r>
              <w:rPr>
                <w:rFonts w:ascii="宋体" w:hAnsi="宋体" w:cs="宋体"/>
                <w:color w:val="auto"/>
                <w:kern w:val="0"/>
                <w:szCs w:val="21"/>
                <w:highlight w:val="none"/>
              </w:rPr>
              <w:t>对比应用</w:t>
            </w:r>
            <w:r>
              <w:rPr>
                <w:rFonts w:hint="eastAsia" w:ascii="宋体" w:hAnsi="宋体" w:cs="宋体"/>
                <w:color w:val="auto"/>
                <w:kern w:val="0"/>
                <w:szCs w:val="21"/>
                <w:highlight w:val="none"/>
              </w:rPr>
              <w:t>。</w:t>
            </w:r>
          </w:p>
          <w:p w14:paraId="5BBB7B5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内置至少4颗混合补光灯，每颗灯由红外灯、白光灯组成，在开启白光灯或混合补光灯时，可输出彩色视频图像。设备具有耀光抑制功能，耀光区域≤1%，在客户端浏览器下，同一场景相同图像质量下，设备在H.264或H.265编码方式时，开启智能编码功能和不开启智能编码相比，码率节约≥90%，所有通道均支持。</w:t>
            </w:r>
          </w:p>
          <w:p w14:paraId="3C2AE37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5．内置高性能芯片，内置≥2个麦克风、≥1个扬声器，支持双向语音对讲。</w:t>
            </w:r>
          </w:p>
          <w:p w14:paraId="5A686D3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6．支持对镜头前盖玻璃加热，去除玻璃上的冰状和水状附着物。</w:t>
            </w:r>
          </w:p>
          <w:p w14:paraId="760DE8C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可同时支持≥10路客户端和≥5路web端事件布防，设备在布防时间段内主动上传感知数据，断网重连后，报警信息与报警图片可继续上传，同时支持≥3路web监听通道，设备响应web端发送的查询请求，并返回对应的感知数据，断网重连后，报警信息可继续上传。</w:t>
            </w:r>
          </w:p>
          <w:p w14:paraId="61D6C32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8．可通过客户端浏览器或客户端软件开启、关闭</w:t>
            </w:r>
            <w:r>
              <w:rPr>
                <w:rFonts w:ascii="宋体" w:hAnsi="宋体" w:cs="宋体"/>
                <w:color w:val="auto"/>
                <w:kern w:val="0"/>
                <w:szCs w:val="21"/>
                <w:highlight w:val="none"/>
              </w:rPr>
              <w:t>eMMC（嵌入式多媒体卡）</w:t>
            </w:r>
            <w:r>
              <w:rPr>
                <w:rFonts w:hint="eastAsia" w:ascii="宋体" w:hAnsi="宋体" w:cs="宋体"/>
                <w:color w:val="auto"/>
                <w:kern w:val="0"/>
                <w:szCs w:val="21"/>
                <w:highlight w:val="none"/>
              </w:rPr>
              <w:t>保护功能，在客户端浏览器下，具有RTSP、WEB认证模式及MD5、SHA256、MD5/ SHA256加密算法设置选项，在RTSP、WEB认证模式下均可选择digest或digest/basic自适应认证模式。</w:t>
            </w:r>
          </w:p>
          <w:p w14:paraId="78B8087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9．支持亮度异常、清晰度异常、花屏、雪花、偏色、画面冻结、增益失衡、画面抖动、条纹干扰、信号丢失、视频遮挡、光晕、紫边等故障报警功能。</w:t>
            </w:r>
          </w:p>
          <w:p w14:paraId="64141C7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可通过客户端浏览器设置登录超时时间，当登录后无操作时长达到设置阈值后，设备自动退出并重新进入登录界面，在客户端浏览器下，具有设备重启和布防动态报警数据感知与记录功能，在客户端浏览器下，布防动态报警数据包括异常掉线、历史布防、实时布防≥3种类型，可记录报警的开始时间、结束时间、布防类型、报警链路地址、端口、链路续传。</w:t>
            </w:r>
          </w:p>
          <w:p w14:paraId="70AD2B6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11．支持检测区域内不低于60个移动目标（机动车、非机动车及行人）检测、框选跟踪、筛选、抓拍，可将人脸人体、车辆与车牌关联显示。</w:t>
            </w:r>
          </w:p>
          <w:p w14:paraId="026F28C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12．支持侧脸过滤功能，可过滤上下、左右角度达到预设值的人脸。</w:t>
            </w:r>
          </w:p>
          <w:p w14:paraId="36E9DFB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▲13．可在客户端浏览器或客户端软件下将人脸和人体图片、人脸和非机动车图片、车牌和车辆图片进行关联显示；</w:t>
            </w:r>
          </w:p>
          <w:p w14:paraId="4398CA4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14．引导加载程序（</w:t>
            </w:r>
            <w:r>
              <w:rPr>
                <w:rFonts w:ascii="宋体" w:hAnsi="宋体" w:cs="宋体"/>
                <w:color w:val="auto"/>
                <w:kern w:val="0"/>
                <w:szCs w:val="21"/>
                <w:highlight w:val="none"/>
              </w:rPr>
              <w:t>UBoot）</w:t>
            </w:r>
            <w:r>
              <w:rPr>
                <w:rFonts w:hint="eastAsia" w:ascii="宋体" w:hAnsi="宋体" w:cs="宋体"/>
                <w:color w:val="auto"/>
                <w:kern w:val="0"/>
                <w:szCs w:val="21"/>
                <w:highlight w:val="none"/>
              </w:rPr>
              <w:t>应采用加密存储，支持硬件微引导程序、</w:t>
            </w:r>
            <w:r>
              <w:rPr>
                <w:rFonts w:ascii="宋体" w:hAnsi="宋体" w:cs="宋体"/>
                <w:color w:val="auto"/>
                <w:kern w:val="0"/>
                <w:szCs w:val="21"/>
                <w:highlight w:val="none"/>
              </w:rPr>
              <w:t>UB</w:t>
            </w:r>
            <w:r>
              <w:rPr>
                <w:rFonts w:hint="eastAsia" w:ascii="宋体" w:hAnsi="宋体" w:cs="宋体"/>
                <w:color w:val="auto"/>
                <w:kern w:val="0"/>
                <w:szCs w:val="21"/>
                <w:highlight w:val="none"/>
              </w:rPr>
              <w:t>oot、OS、应用软件逐级校验功能，非法篡改的</w:t>
            </w:r>
            <w:r>
              <w:rPr>
                <w:rFonts w:ascii="宋体" w:hAnsi="宋体" w:cs="宋体"/>
                <w:color w:val="auto"/>
                <w:kern w:val="0"/>
                <w:szCs w:val="21"/>
                <w:highlight w:val="none"/>
              </w:rPr>
              <w:t>UB</w:t>
            </w:r>
            <w:r>
              <w:rPr>
                <w:rFonts w:hint="eastAsia" w:ascii="宋体" w:hAnsi="宋体" w:cs="宋体"/>
                <w:color w:val="auto"/>
                <w:kern w:val="0"/>
                <w:szCs w:val="21"/>
                <w:highlight w:val="none"/>
              </w:rPr>
              <w:t>oot、OS、应用软件固件包，不能通过命令行、浏览器、客户端方式进行升级，通过离线烧写存储器方式写入的</w:t>
            </w:r>
            <w:r>
              <w:rPr>
                <w:rFonts w:ascii="宋体" w:hAnsi="宋体" w:cs="宋体"/>
                <w:color w:val="auto"/>
                <w:kern w:val="0"/>
                <w:szCs w:val="21"/>
                <w:highlight w:val="none"/>
              </w:rPr>
              <w:t>UB</w:t>
            </w:r>
            <w:r>
              <w:rPr>
                <w:rFonts w:hint="eastAsia" w:ascii="宋体" w:hAnsi="宋体" w:cs="宋体"/>
                <w:color w:val="auto"/>
                <w:kern w:val="0"/>
                <w:szCs w:val="21"/>
                <w:highlight w:val="none"/>
              </w:rPr>
              <w:t>oot执行程序，不能被硬件微引导程序加载执行。</w:t>
            </w:r>
          </w:p>
          <w:p w14:paraId="57E53A60">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15．</w:t>
            </w:r>
            <w:r>
              <w:rPr>
                <w:rFonts w:hint="eastAsia" w:ascii="宋体" w:hAnsi="宋体" w:cs="宋体"/>
                <w:color w:val="auto"/>
                <w:kern w:val="0"/>
                <w:szCs w:val="21"/>
                <w:highlight w:val="none"/>
              </w:rPr>
              <w:t>可对出现在监控场景内的两眼瞳距不小于13像素的人脸进行检测，同时叠加目标提示框，当区域入侵、越界侦测、进入区域、离开区域报警布防开启后，出现行人、非机动车、机动车目标时能触发报警，当检测区域中篮球滚动、小狗移动、树叶晃动及光线明暗变化时不会触发报警。</w:t>
            </w:r>
          </w:p>
          <w:p w14:paraId="4C78781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6</w:t>
            </w:r>
            <w:r>
              <w:rPr>
                <w:rFonts w:hint="eastAsia" w:ascii="宋体" w:hAnsi="宋体" w:cs="宋体"/>
                <w:color w:val="auto"/>
                <w:kern w:val="0"/>
                <w:szCs w:val="21"/>
                <w:highlight w:val="none"/>
              </w:rPr>
              <w:t>．不低于IP67防护等级，具有良好的环境适应性，可在-30℃~+60 ℃环境下正常工作。</w:t>
            </w:r>
          </w:p>
          <w:p w14:paraId="65694F0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7</w:t>
            </w:r>
            <w:r>
              <w:rPr>
                <w:rFonts w:hint="eastAsia" w:ascii="宋体" w:hAnsi="宋体" w:cs="宋体"/>
                <w:color w:val="auto"/>
                <w:kern w:val="0"/>
                <w:szCs w:val="21"/>
                <w:highlight w:val="none"/>
              </w:rPr>
              <w:t>．设备支持直流DC和POE供电，</w:t>
            </w:r>
            <w:r>
              <w:rPr>
                <w:rFonts w:ascii="宋体" w:hAnsi="宋体" w:cs="宋体"/>
                <w:color w:val="auto"/>
                <w:kern w:val="0"/>
                <w:szCs w:val="21"/>
                <w:highlight w:val="none"/>
              </w:rPr>
              <w:t>并</w:t>
            </w:r>
            <w:r>
              <w:rPr>
                <w:rFonts w:hint="eastAsia" w:ascii="宋体" w:hAnsi="宋体" w:cs="宋体"/>
                <w:color w:val="auto"/>
                <w:kern w:val="0"/>
                <w:szCs w:val="21"/>
                <w:highlight w:val="none"/>
              </w:rPr>
              <w:t>提供原厂配置</w:t>
            </w:r>
            <w:r>
              <w:rPr>
                <w:rFonts w:ascii="宋体" w:hAnsi="宋体" w:cs="宋体"/>
                <w:color w:val="auto"/>
                <w:kern w:val="0"/>
                <w:szCs w:val="21"/>
                <w:highlight w:val="none"/>
              </w:rPr>
              <w:t>的</w:t>
            </w:r>
            <w:r>
              <w:rPr>
                <w:rFonts w:hint="eastAsia" w:ascii="宋体" w:hAnsi="宋体" w:cs="宋体"/>
                <w:color w:val="auto"/>
                <w:kern w:val="0"/>
                <w:szCs w:val="21"/>
                <w:highlight w:val="none"/>
              </w:rPr>
              <w:t>AC</w:t>
            </w:r>
            <w:r>
              <w:rPr>
                <w:rFonts w:ascii="宋体" w:hAnsi="宋体" w:cs="宋体"/>
                <w:color w:val="auto"/>
                <w:kern w:val="0"/>
                <w:szCs w:val="21"/>
                <w:highlight w:val="none"/>
              </w:rPr>
              <w:t>220V</w:t>
            </w:r>
            <w:r>
              <w:rPr>
                <w:rFonts w:hint="eastAsia" w:ascii="宋体" w:hAnsi="宋体" w:cs="宋体"/>
                <w:color w:val="auto"/>
                <w:kern w:val="0"/>
                <w:szCs w:val="21"/>
                <w:highlight w:val="none"/>
              </w:rPr>
              <w:t>转直流DC电源</w:t>
            </w:r>
            <w:r>
              <w:rPr>
                <w:rFonts w:ascii="宋体" w:hAnsi="宋体" w:cs="宋体"/>
                <w:color w:val="auto"/>
                <w:kern w:val="0"/>
                <w:szCs w:val="21"/>
                <w:highlight w:val="none"/>
              </w:rPr>
              <w:t>适配器，满足摄像头安装</w:t>
            </w:r>
            <w:r>
              <w:rPr>
                <w:rFonts w:hint="eastAsia" w:ascii="宋体" w:hAnsi="宋体" w:cs="宋体"/>
                <w:color w:val="auto"/>
                <w:kern w:val="0"/>
                <w:szCs w:val="21"/>
                <w:highlight w:val="none"/>
              </w:rPr>
              <w:t>使用需求。</w:t>
            </w:r>
          </w:p>
        </w:tc>
      </w:tr>
      <w:tr w14:paraId="6DD73F1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6F7913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1.2.3</w:t>
            </w:r>
          </w:p>
        </w:tc>
        <w:tc>
          <w:tcPr>
            <w:tcW w:w="1026" w:type="pct"/>
            <w:noWrap/>
            <w:vAlign w:val="center"/>
          </w:tcPr>
          <w:p w14:paraId="39435B22">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筒机壁装支架</w:t>
            </w:r>
          </w:p>
        </w:tc>
        <w:tc>
          <w:tcPr>
            <w:tcW w:w="426" w:type="pct"/>
            <w:noWrap/>
            <w:vAlign w:val="center"/>
          </w:tcPr>
          <w:p w14:paraId="44ED115D">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20台</w:t>
            </w:r>
          </w:p>
        </w:tc>
        <w:tc>
          <w:tcPr>
            <w:tcW w:w="2953" w:type="pct"/>
            <w:noWrap w:val="0"/>
            <w:vAlign w:val="center"/>
          </w:tcPr>
          <w:p w14:paraId="4C14BDC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1．枪机壁挂支架，铝合金材质，</w:t>
            </w:r>
            <w:r>
              <w:rPr>
                <w:rFonts w:ascii="宋体" w:hAnsi="宋体" w:cs="宋体"/>
                <w:color w:val="auto"/>
                <w:kern w:val="0"/>
                <w:szCs w:val="21"/>
                <w:highlight w:val="none"/>
              </w:rPr>
              <w:t>满足</w:t>
            </w:r>
            <w:r>
              <w:rPr>
                <w:rFonts w:hint="eastAsia" w:ascii="宋体" w:hAnsi="宋体" w:cs="宋体"/>
                <w:color w:val="auto"/>
                <w:kern w:val="0"/>
                <w:szCs w:val="21"/>
                <w:highlight w:val="none"/>
              </w:rPr>
              <w:t>本项目</w:t>
            </w:r>
            <w:r>
              <w:rPr>
                <w:rFonts w:ascii="宋体" w:hAnsi="宋体" w:cs="宋体"/>
                <w:color w:val="auto"/>
                <w:kern w:val="0"/>
                <w:szCs w:val="21"/>
                <w:highlight w:val="none"/>
              </w:rPr>
              <w:t>的“1.2.2 室外人脸抓拍枪机”设备</w:t>
            </w:r>
            <w:r>
              <w:rPr>
                <w:rFonts w:hint="eastAsia" w:ascii="宋体" w:hAnsi="宋体" w:cs="宋体"/>
                <w:color w:val="auto"/>
                <w:kern w:val="0"/>
                <w:szCs w:val="21"/>
                <w:highlight w:val="none"/>
              </w:rPr>
              <w:t>安全</w:t>
            </w:r>
            <w:r>
              <w:rPr>
                <w:rFonts w:ascii="宋体" w:hAnsi="宋体" w:cs="宋体"/>
                <w:color w:val="auto"/>
                <w:kern w:val="0"/>
                <w:szCs w:val="21"/>
                <w:highlight w:val="none"/>
              </w:rPr>
              <w:t>可靠安装</w:t>
            </w:r>
            <w:r>
              <w:rPr>
                <w:rFonts w:hint="eastAsia" w:ascii="宋体" w:hAnsi="宋体" w:cs="宋体"/>
                <w:color w:val="auto"/>
                <w:kern w:val="0"/>
                <w:szCs w:val="21"/>
                <w:highlight w:val="none"/>
              </w:rPr>
              <w:t>要求；</w:t>
            </w:r>
          </w:p>
          <w:p w14:paraId="3DE08B5F">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按照</w:t>
            </w:r>
            <w:r>
              <w:rPr>
                <w:rFonts w:ascii="宋体" w:hAnsi="宋体" w:cs="宋体"/>
                <w:color w:val="auto"/>
                <w:kern w:val="0"/>
                <w:szCs w:val="21"/>
                <w:highlight w:val="none"/>
              </w:rPr>
              <w:t>采购人要求，提供“1.2.2 室外人脸抓拍枪机”设备安装</w:t>
            </w:r>
            <w:r>
              <w:rPr>
                <w:rFonts w:hint="eastAsia" w:ascii="宋体" w:hAnsi="宋体" w:cs="宋体"/>
                <w:color w:val="auto"/>
                <w:kern w:val="0"/>
                <w:szCs w:val="21"/>
                <w:highlight w:val="none"/>
              </w:rPr>
              <w:t>调试服务。</w:t>
            </w:r>
          </w:p>
        </w:tc>
      </w:tr>
      <w:tr w14:paraId="746A75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4CB59C5">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1.2.4</w:t>
            </w:r>
          </w:p>
        </w:tc>
        <w:tc>
          <w:tcPr>
            <w:tcW w:w="1026" w:type="pct"/>
            <w:noWrap/>
            <w:vAlign w:val="center"/>
          </w:tcPr>
          <w:p w14:paraId="0170B52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远距离抓拍球机</w:t>
            </w:r>
          </w:p>
        </w:tc>
        <w:tc>
          <w:tcPr>
            <w:tcW w:w="426" w:type="pct"/>
            <w:noWrap/>
            <w:vAlign w:val="center"/>
          </w:tcPr>
          <w:p w14:paraId="1F5B59E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2台</w:t>
            </w:r>
          </w:p>
        </w:tc>
        <w:tc>
          <w:tcPr>
            <w:tcW w:w="2953" w:type="pct"/>
            <w:noWrap w:val="0"/>
            <w:vAlign w:val="center"/>
          </w:tcPr>
          <w:p w14:paraId="5F96AC8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1．全景路视频图像像素≥400万，细节路视频图像像素≥400万，支持≥32倍光学变倍。</w:t>
            </w:r>
          </w:p>
          <w:p w14:paraId="16321C6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2．支持最低照度彩色≤0.0005 lx，黑白≤0.0001 lx，补光灯距离：全景通道≥30米，细节通道≥200米。</w:t>
            </w:r>
          </w:p>
          <w:p w14:paraId="2EAEC7F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▲3．全景画面水平视场角≥90°，垂直视场角≥50°，全景通道可进行垂直旋转，旋转范围≥10°可调。</w:t>
            </w:r>
          </w:p>
          <w:p w14:paraId="7F2C68C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4．内置≥2个GPU芯片，内置≥2个镜头，可输出至少一路全景视频和一路细节视频。</w:t>
            </w:r>
          </w:p>
          <w:p w14:paraId="1A50ED4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5．全景通道内置镜头，光圈不小于F1.0，具有≥1/1.8英寸靶面尺寸，内置≥4颗补光灯。</w:t>
            </w:r>
          </w:p>
          <w:p w14:paraId="0A6C097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6．细节通道内置镜头，具备≥1/1.8英寸靶面尺寸，内置≥10颗红外补光灯及≥1颗白光灯。</w:t>
            </w:r>
          </w:p>
          <w:p w14:paraId="12E7986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▲7．设备可在预览画面及抓拍图片中叠加人员和车辆的移动轨迹，轨迹颜色至少支持红色、黄色、蓝色、绿色、及紫色，轨迹末尾具有一个方向箭头，指向目标离开的方向，细节通道抓拍图片大小不大于500KB。</w:t>
            </w:r>
          </w:p>
          <w:p w14:paraId="1FB682A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8．具备AR标签（</w:t>
            </w:r>
            <w:r>
              <w:rPr>
                <w:rFonts w:ascii="宋体" w:hAnsi="宋体" w:cs="宋体"/>
                <w:color w:val="auto"/>
                <w:kern w:val="0"/>
                <w:szCs w:val="21"/>
                <w:highlight w:val="none"/>
              </w:rPr>
              <w:t>即</w:t>
            </w:r>
            <w:r>
              <w:rPr>
                <w:rFonts w:hint="eastAsia" w:ascii="宋体" w:hAnsi="宋体" w:cs="宋体"/>
                <w:color w:val="auto"/>
                <w:kern w:val="0"/>
                <w:szCs w:val="21"/>
                <w:highlight w:val="none"/>
              </w:rPr>
              <w:t>摄像头识别的特定视觉标记，也称基准标记，</w:t>
            </w:r>
            <w:r>
              <w:rPr>
                <w:rFonts w:ascii="宋体" w:hAnsi="宋体" w:cs="宋体"/>
                <w:color w:val="auto"/>
                <w:kern w:val="0"/>
                <w:szCs w:val="21"/>
                <w:highlight w:val="none"/>
              </w:rPr>
              <w:t>下同</w:t>
            </w:r>
            <w:r>
              <w:rPr>
                <w:rFonts w:hint="eastAsia" w:ascii="宋体" w:hAnsi="宋体" w:cs="宋体"/>
                <w:color w:val="auto"/>
                <w:kern w:val="0"/>
                <w:szCs w:val="21"/>
                <w:highlight w:val="none"/>
              </w:rPr>
              <w:t>）管理功能，可对监控区域的常规点位、人脸点位、重点道路等进行标签标注，可添加≥500个标签。</w:t>
            </w:r>
          </w:p>
          <w:p w14:paraId="43D20E5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9．支持点击全景画面联动特写镜头，手动跟踪运动目标，支持同时抓拍≥30张人脸，支持对运动人脸进行检测、跟踪、抓拍、评分、筛选，输出最优的人脸抓图。</w:t>
            </w:r>
          </w:p>
          <w:p w14:paraId="628D549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10．设备正常工作时，断开网络，设备可将抓拍图片和录像文件存储在内置存储卡中，当网络恢复后，再将这些图片和录像文件上传至指定的FTP服务器。</w:t>
            </w:r>
          </w:p>
          <w:p w14:paraId="5713E11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可通过客户端浏览器添加≥20个物体标签，可开启或关闭标签显示功能，显示透明度可配置，具备AR标签抖动漂移功能，当设备云台明显抖动、转动、或进行镜头变倍时，标签应跟随标定的目标物移动，并在画面中与目标物保持相对静止。</w:t>
            </w:r>
          </w:p>
          <w:p w14:paraId="04FCD49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12．具备AR标签联动查看功能，选中标签并将标签置于屏幕中心位置进行显示，可通过点击视频画面中的标签查看标签内容并对标签关联的摄像机视频进行预览，并可通过点击摄像机预览窗口进行放大窗口操作。</w:t>
            </w:r>
          </w:p>
          <w:p w14:paraId="24A16AF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13．可设置闪光灯闪烁时间，闪烁频率，亮度，当监控画面中有目标触发区域入侵侦测、越界侦测、进入区域侦测、离开区域侦测等报警事件时，可联动白光灯闪烁进行报警。</w:t>
            </w:r>
          </w:p>
          <w:p w14:paraId="0E569C7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14．支持车辆检测和混行检测，车牌捕获及检索、多场景巡航检测等功能。</w:t>
            </w:r>
          </w:p>
          <w:p w14:paraId="3940C9A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具有声音报警输出功能，可通过客户端浏览器设置音频类型为≥11种警戒音、提示音、自定义语音，其中自定义语音可上传本地语音文件以及命名，报警次数1～50次可设，可通过区域入侵侦测、越界侦测、进入区域侦测、离开区域侦测等报警事件，联动闪光报警、声音报警，当篮球、小狗、树叶等非人或车辆目标经过检测区域时不会触发报警。</w:t>
            </w:r>
          </w:p>
          <w:p w14:paraId="2C7CC74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16．支持数据感知功能，可同时支持≥3路web监听通道，设备响应web端发送的查询请求，并返回对应的感知数据，断网重连后，报警信息可继续上传。</w:t>
            </w:r>
          </w:p>
          <w:p w14:paraId="48B570A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17．支持硬件微引导程序、uboot、OS、应用软件逐级校验功能，非法篡改的uboot、OS、应用软件固件包，不能通过命令行、浏览器、客户端方式进行升级。</w:t>
            </w:r>
          </w:p>
          <w:p w14:paraId="7A07BB2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18．支持防护等级≥IP67，支持在-40 ℃～70 ℃温度变化范围内正常稳定的工作。</w:t>
            </w:r>
          </w:p>
          <w:p w14:paraId="5E0264D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9</w:t>
            </w:r>
            <w:r>
              <w:rPr>
                <w:rFonts w:hint="eastAsia" w:ascii="宋体" w:hAnsi="宋体" w:cs="宋体"/>
                <w:color w:val="auto"/>
                <w:kern w:val="0"/>
                <w:szCs w:val="21"/>
                <w:highlight w:val="none"/>
              </w:rPr>
              <w:t>．提供原厂配置</w:t>
            </w:r>
            <w:r>
              <w:rPr>
                <w:rFonts w:ascii="宋体" w:hAnsi="宋体" w:cs="宋体"/>
                <w:color w:val="auto"/>
                <w:kern w:val="0"/>
                <w:szCs w:val="21"/>
                <w:highlight w:val="none"/>
              </w:rPr>
              <w:t>的</w:t>
            </w:r>
            <w:r>
              <w:rPr>
                <w:rFonts w:hint="eastAsia" w:ascii="宋体" w:hAnsi="宋体" w:cs="宋体"/>
                <w:color w:val="auto"/>
                <w:kern w:val="0"/>
                <w:szCs w:val="21"/>
                <w:highlight w:val="none"/>
              </w:rPr>
              <w:t>AC</w:t>
            </w:r>
            <w:r>
              <w:rPr>
                <w:rFonts w:ascii="宋体" w:hAnsi="宋体" w:cs="宋体"/>
                <w:color w:val="auto"/>
                <w:kern w:val="0"/>
                <w:szCs w:val="21"/>
                <w:highlight w:val="none"/>
              </w:rPr>
              <w:t>220V</w:t>
            </w:r>
            <w:r>
              <w:rPr>
                <w:rFonts w:hint="eastAsia" w:ascii="宋体" w:hAnsi="宋体" w:cs="宋体"/>
                <w:color w:val="auto"/>
                <w:kern w:val="0"/>
                <w:szCs w:val="21"/>
                <w:highlight w:val="none"/>
              </w:rPr>
              <w:t>电源</w:t>
            </w:r>
            <w:r>
              <w:rPr>
                <w:rFonts w:ascii="宋体" w:hAnsi="宋体" w:cs="宋体"/>
                <w:color w:val="auto"/>
                <w:kern w:val="0"/>
                <w:szCs w:val="21"/>
                <w:highlight w:val="none"/>
              </w:rPr>
              <w:t>适配器，满足摄像头安装</w:t>
            </w:r>
            <w:r>
              <w:rPr>
                <w:rFonts w:hint="eastAsia" w:ascii="宋体" w:hAnsi="宋体" w:cs="宋体"/>
                <w:color w:val="auto"/>
                <w:kern w:val="0"/>
                <w:szCs w:val="21"/>
                <w:highlight w:val="none"/>
              </w:rPr>
              <w:t>使用需求。</w:t>
            </w:r>
          </w:p>
        </w:tc>
      </w:tr>
      <w:tr w14:paraId="43A4FE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DE6E3E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1.2.5</w:t>
            </w:r>
          </w:p>
        </w:tc>
        <w:tc>
          <w:tcPr>
            <w:tcW w:w="1026" w:type="pct"/>
            <w:noWrap/>
            <w:vAlign w:val="center"/>
          </w:tcPr>
          <w:p w14:paraId="51F41F0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球机壁挂支架</w:t>
            </w:r>
          </w:p>
        </w:tc>
        <w:tc>
          <w:tcPr>
            <w:tcW w:w="426" w:type="pct"/>
            <w:noWrap/>
            <w:vAlign w:val="center"/>
          </w:tcPr>
          <w:p w14:paraId="4E5F994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2个</w:t>
            </w:r>
          </w:p>
        </w:tc>
        <w:tc>
          <w:tcPr>
            <w:tcW w:w="2953" w:type="pct"/>
            <w:noWrap/>
            <w:vAlign w:val="center"/>
          </w:tcPr>
          <w:p w14:paraId="17D8190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1．球机壁挂支架，铝合金材质，满足本项目的“</w:t>
            </w:r>
            <w:r>
              <w:rPr>
                <w:rFonts w:ascii="宋体" w:hAnsi="宋体" w:cs="宋体"/>
                <w:color w:val="auto"/>
                <w:kern w:val="0"/>
                <w:szCs w:val="21"/>
                <w:highlight w:val="none"/>
              </w:rPr>
              <w:t>1.2.4远距离抓拍球机”设备安全可靠安装要求；</w:t>
            </w:r>
          </w:p>
          <w:p w14:paraId="4EA78FE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2．按照采购人要求，提供“1.2.4远距离抓拍球机”设备安装调试服务。</w:t>
            </w:r>
          </w:p>
        </w:tc>
      </w:tr>
      <w:tr w14:paraId="39310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352CC3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1.2.6</w:t>
            </w:r>
          </w:p>
        </w:tc>
        <w:tc>
          <w:tcPr>
            <w:tcW w:w="1026" w:type="pct"/>
            <w:noWrap/>
            <w:vAlign w:val="center"/>
          </w:tcPr>
          <w:p w14:paraId="4BE87C2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智能融合应用存算一体机</w:t>
            </w:r>
          </w:p>
        </w:tc>
        <w:tc>
          <w:tcPr>
            <w:tcW w:w="426" w:type="pct"/>
            <w:noWrap/>
            <w:vAlign w:val="center"/>
          </w:tcPr>
          <w:p w14:paraId="300526D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4D184AC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1．配置≥12颗GPU处理</w:t>
            </w:r>
            <w:r>
              <w:rPr>
                <w:rFonts w:ascii="宋体" w:hAnsi="宋体" w:cs="宋体"/>
                <w:color w:val="auto"/>
                <w:kern w:val="0"/>
                <w:szCs w:val="21"/>
                <w:highlight w:val="none"/>
              </w:rPr>
              <w:t>器</w:t>
            </w:r>
            <w:r>
              <w:rPr>
                <w:rFonts w:hint="eastAsia" w:ascii="宋体" w:hAnsi="宋体" w:cs="宋体"/>
                <w:color w:val="auto"/>
                <w:kern w:val="0"/>
                <w:szCs w:val="21"/>
                <w:highlight w:val="none"/>
              </w:rPr>
              <w:t>，其中支持直接分析GPU数≥8个，</w:t>
            </w:r>
            <w:r>
              <w:rPr>
                <w:rFonts w:ascii="宋体" w:hAnsi="宋体" w:cs="宋体"/>
                <w:color w:val="auto"/>
                <w:kern w:val="0"/>
                <w:szCs w:val="21"/>
                <w:highlight w:val="none"/>
              </w:rPr>
              <w:t>且</w:t>
            </w:r>
            <w:r>
              <w:rPr>
                <w:rFonts w:hint="eastAsia" w:ascii="宋体" w:hAnsi="宋体" w:cs="宋体"/>
                <w:color w:val="auto"/>
                <w:kern w:val="0"/>
                <w:szCs w:val="21"/>
                <w:highlight w:val="none"/>
              </w:rPr>
              <w:t>单GPU支持4路实时分析或16路定时抓图或轮巡视频分析；</w:t>
            </w:r>
            <w:r>
              <w:rPr>
                <w:rFonts w:ascii="宋体" w:hAnsi="宋体" w:cs="宋体"/>
                <w:color w:val="auto"/>
                <w:kern w:val="0"/>
                <w:szCs w:val="21"/>
                <w:highlight w:val="none"/>
              </w:rPr>
              <w:t>支持</w:t>
            </w:r>
            <w:r>
              <w:rPr>
                <w:rFonts w:hint="eastAsia" w:ascii="宋体" w:hAnsi="宋体" w:cs="宋体"/>
                <w:color w:val="auto"/>
                <w:kern w:val="0"/>
                <w:szCs w:val="21"/>
                <w:highlight w:val="none"/>
              </w:rPr>
              <w:t>用于大模型二次研判分析</w:t>
            </w:r>
            <w:r>
              <w:rPr>
                <w:rFonts w:ascii="宋体" w:hAnsi="宋体" w:cs="宋体"/>
                <w:color w:val="auto"/>
                <w:kern w:val="0"/>
                <w:szCs w:val="21"/>
                <w:highlight w:val="none"/>
              </w:rPr>
              <w:t>的</w:t>
            </w:r>
            <w:r>
              <w:rPr>
                <w:rFonts w:hint="eastAsia" w:ascii="宋体" w:hAnsi="宋体" w:cs="宋体"/>
                <w:color w:val="auto"/>
                <w:kern w:val="0"/>
                <w:szCs w:val="21"/>
                <w:highlight w:val="none"/>
              </w:rPr>
              <w:t>GPU数≥4个。支持≥128路H.265、H.264混合接入，输入带宽≥512M。</w:t>
            </w:r>
          </w:p>
          <w:p w14:paraId="64F219A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2．支持开启视频流智能分析，NVR解码性能不会降低，支持RAID0、1、5、6、10等</w:t>
            </w:r>
            <w:r>
              <w:rPr>
                <w:rFonts w:ascii="宋体" w:hAnsi="宋体" w:cs="宋体"/>
                <w:color w:val="auto"/>
                <w:kern w:val="0"/>
                <w:szCs w:val="21"/>
                <w:highlight w:val="none"/>
              </w:rPr>
              <w:t>磁盘阵列</w:t>
            </w:r>
            <w:r>
              <w:rPr>
                <w:rFonts w:hint="eastAsia" w:ascii="宋体" w:hAnsi="宋体" w:cs="宋体"/>
                <w:color w:val="auto"/>
                <w:kern w:val="0"/>
                <w:szCs w:val="21"/>
                <w:highlight w:val="none"/>
              </w:rPr>
              <w:t>，支持全局热备盘，支持一键创建RAID5阵列功能，RAID开启后，设备带宽不下降。</w:t>
            </w:r>
          </w:p>
          <w:p w14:paraId="7AB2651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3．支持接入单盘</w:t>
            </w:r>
            <w:r>
              <w:rPr>
                <w:rFonts w:ascii="宋体" w:hAnsi="宋体" w:cs="宋体"/>
                <w:color w:val="auto"/>
                <w:kern w:val="0"/>
                <w:szCs w:val="21"/>
                <w:highlight w:val="none"/>
              </w:rPr>
              <w:t>为512GB</w:t>
            </w:r>
            <w:r>
              <w:rPr>
                <w:rFonts w:hint="eastAsia" w:ascii="宋体" w:hAnsi="宋体" w:cs="宋体"/>
                <w:color w:val="auto"/>
                <w:kern w:val="0"/>
                <w:szCs w:val="21"/>
                <w:highlight w:val="none"/>
              </w:rPr>
              <w:t>～20TB容量的硬盘。</w:t>
            </w:r>
          </w:p>
          <w:p w14:paraId="6F2F523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4．支持≥5种引擎功能： 人脸识别、周界防范、视频结构化、行为分析和AI算法引擎。</w:t>
            </w:r>
          </w:p>
          <w:p w14:paraId="1531F03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32路视频流人脸识别，支持≥128路图片流人脸识别，人脸正对相机，人脸无遮挡等干扰情况，人脸识别准确率≥99%，非监视名单误报率≤0.01%，支持人脸轨迹功能，在人脸比对成功后，可在图上展示人员行动轨迹。</w:t>
            </w:r>
          </w:p>
          <w:p w14:paraId="5880568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6．支持多台设备组成集群，以唯一IP对外提供</w:t>
            </w:r>
            <w:r>
              <w:rPr>
                <w:rFonts w:ascii="宋体" w:hAnsi="宋体" w:cs="宋体"/>
                <w:color w:val="auto"/>
                <w:kern w:val="0"/>
                <w:szCs w:val="21"/>
                <w:highlight w:val="none"/>
              </w:rPr>
              <w:t>服务</w:t>
            </w:r>
            <w:r>
              <w:rPr>
                <w:rFonts w:hint="eastAsia" w:ascii="宋体" w:hAnsi="宋体" w:cs="宋体"/>
                <w:color w:val="auto"/>
                <w:kern w:val="0"/>
                <w:szCs w:val="21"/>
                <w:highlight w:val="none"/>
              </w:rPr>
              <w:t>实现集中管理、统一布防，支持通过集群IP远程预览IP通道的实时视频，远程回放、下载IP通道的录像。</w:t>
            </w:r>
          </w:p>
          <w:p w14:paraId="2892D69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7．具有存储安全保障功能，当存储压力过高或硬盘出现性能不足时，可优先录像业务存储，支持≥64个人脸库，库容≥50万张人脸图片，支持路人库，库容≥30万张人脸抓拍图片。</w:t>
            </w:r>
          </w:p>
          <w:p w14:paraId="3B24C96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8．支持以图搜图首位命中率不低于95%，以图搜图前十位命中率不低于99%，脸图片建模成功率不低于99%。</w:t>
            </w:r>
          </w:p>
          <w:p w14:paraId="5FB7E22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9．采用单人戴口罩正脸依次循环通过进行试验，试验人数不小于5人，通过速度不小于1m/s，人员通过间隔时间不大于1s，戴口罩人脸检出率不低于99%。</w:t>
            </w:r>
          </w:p>
          <w:p w14:paraId="0477DD7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10．支持周界报警过滤功能，对IPC（即网络摄像机，</w:t>
            </w:r>
            <w:r>
              <w:rPr>
                <w:rFonts w:ascii="宋体" w:hAnsi="宋体" w:cs="宋体"/>
                <w:color w:val="auto"/>
                <w:kern w:val="0"/>
                <w:szCs w:val="21"/>
                <w:highlight w:val="none"/>
              </w:rPr>
              <w:t>下同</w:t>
            </w:r>
            <w:r>
              <w:rPr>
                <w:rFonts w:hint="eastAsia" w:ascii="宋体" w:hAnsi="宋体" w:cs="宋体"/>
                <w:color w:val="auto"/>
                <w:kern w:val="0"/>
                <w:szCs w:val="21"/>
                <w:highlight w:val="none"/>
              </w:rPr>
              <w:t>）上报的越界侦测报警和区域入侵报警进行去误报，可去除由树叶、灯光、车辆、阴影以及小动物引起的误报，支持≥128路，支持常规距离、中距离、远距离三种检测模式，根据不同的检测距离，在配置界面给出最小可检出人体目标尺寸，单个通道同时支持≥4种周界报警模式，每种模式同时支持≥4个警戒区域。</w:t>
            </w:r>
          </w:p>
          <w:p w14:paraId="3091173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▲11．支持组合报警检测，可将物理报警接口的报警输入关联IPC报警事件，只有当两个报警事件在预先设置的时间段内同时触发才能产生组合报警事件。</w:t>
            </w:r>
          </w:p>
          <w:p w14:paraId="6E674BF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组合报警支持IPC的遮挡报警、移动侦测、人脸侦测、人脸抓拍、车辆检测、越界侦测、区域入侵、进入/离开区域、徘徊侦测、人员聚集侦测、快速移动侦测、停车侦测、物品遗留侦测、物品拿取侦测、音频输入异常侦测等事件。</w:t>
            </w:r>
          </w:p>
          <w:p w14:paraId="414C35A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支持路人库一人一档功能，设备将陌生人自动归入到路人库，并统计和展示每个陌生人出现的次数，多次出现的陌生人，设备自动选取一张最优人脸图片入库，可点击次数信息展示每次抓拍的图片和时间以及人脸属性信息。</w:t>
            </w:r>
          </w:p>
          <w:p w14:paraId="6CFA387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▲14．支持同一个算法的大小模型嵌入在同一个算法包中，绑定引擎时，在一个界面分配好引擎选择模式后即可自动关联大小模型，无须重复配置，并且规则配置只要配置一次即可实现大小模型协同分析； 支持效果增强模式：大小模型协同部署；高性能模式：仅部署小模型；超高精度模式：仅部署大模型。</w:t>
            </w:r>
          </w:p>
          <w:p w14:paraId="52A209B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当平台接收到支持AI算法摄像机给出的报警后，平台会将报警结果发送给具备大模型算法的设备进行二次分析；并将二次分析结果上报给平台。支持离线模型和在线模型两种模型导入方式，支持第三方算法插件的导入和管理； 可显示模型名称、有效期、模型标签及模型版本；</w:t>
            </w:r>
          </w:p>
          <w:p w14:paraId="28E1DC5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16．具备≥16个SATA硬盘接口，≥2个HDMI 输出接口，≥1个VGA输出接口，≥2个USB2.0接口，≥4个USB3.0接口，≥16路报警输入接口，≥8路报警输出接口。</w:t>
            </w:r>
          </w:p>
        </w:tc>
      </w:tr>
      <w:tr w14:paraId="76E51E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ABC4A77">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1.2.7</w:t>
            </w:r>
          </w:p>
        </w:tc>
        <w:tc>
          <w:tcPr>
            <w:tcW w:w="1026" w:type="pct"/>
            <w:noWrap/>
            <w:vAlign w:val="center"/>
          </w:tcPr>
          <w:p w14:paraId="7F1098FF">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监控专用硬盘</w:t>
            </w:r>
          </w:p>
        </w:tc>
        <w:tc>
          <w:tcPr>
            <w:tcW w:w="426" w:type="pct"/>
            <w:noWrap/>
            <w:vAlign w:val="center"/>
          </w:tcPr>
          <w:p w14:paraId="57933D21">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16块</w:t>
            </w:r>
          </w:p>
        </w:tc>
        <w:tc>
          <w:tcPr>
            <w:tcW w:w="2953" w:type="pct"/>
            <w:noWrap w:val="0"/>
            <w:vAlign w:val="center"/>
          </w:tcPr>
          <w:p w14:paraId="5000537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1．≥8TB容量，3.5英寸，SATA3.0接口，7200RPM</w:t>
            </w:r>
          </w:p>
          <w:p w14:paraId="2A63B98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2．缓存≥256MB</w:t>
            </w:r>
          </w:p>
          <w:p w14:paraId="433BC5D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3．最大读取速度≥267MB/s</w:t>
            </w:r>
          </w:p>
          <w:p w14:paraId="01F7EE3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4．接口传输速率（最大值）≥6.0Gb/s</w:t>
            </w:r>
          </w:p>
        </w:tc>
      </w:tr>
      <w:tr w14:paraId="1E823B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55208551">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1.2.8</w:t>
            </w:r>
          </w:p>
        </w:tc>
        <w:tc>
          <w:tcPr>
            <w:tcW w:w="1026" w:type="pct"/>
            <w:noWrap/>
            <w:vAlign w:val="center"/>
          </w:tcPr>
          <w:p w14:paraId="70F3EC2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来访登记访客机</w:t>
            </w:r>
          </w:p>
        </w:tc>
        <w:tc>
          <w:tcPr>
            <w:tcW w:w="426" w:type="pct"/>
            <w:noWrap/>
            <w:vAlign w:val="center"/>
          </w:tcPr>
          <w:p w14:paraId="465D4EE5">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5471665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▲1．双屏访客机，内外屏幕尺寸分别≥10.1寸和≥15.6寸；其中小屏分辨率≥1280*800，大屏分辨率≥1920*1080；屏幕最大亮度应≥100cd/</w:t>
            </w:r>
            <w:r>
              <w:rPr>
                <w:rFonts w:hint="eastAsia" w:ascii="宋体" w:hAnsi="宋体" w:cs="Batang"/>
                <w:color w:val="auto"/>
                <w:kern w:val="0"/>
                <w:szCs w:val="21"/>
                <w:highlight w:val="none"/>
              </w:rPr>
              <w:t>㎡</w:t>
            </w:r>
            <w:r>
              <w:rPr>
                <w:rFonts w:hint="eastAsia" w:ascii="宋体" w:hAnsi="宋体" w:cs="微软雅黑"/>
                <w:color w:val="auto"/>
                <w:kern w:val="0"/>
                <w:szCs w:val="21"/>
                <w:highlight w:val="none"/>
              </w:rPr>
              <w:t>；屏幕（含镜头）支持上下旋转，旋转角度</w:t>
            </w:r>
            <w:r>
              <w:rPr>
                <w:rFonts w:hint="eastAsia" w:ascii="宋体" w:hAnsi="宋体" w:cs="宋体"/>
                <w:color w:val="auto"/>
                <w:kern w:val="0"/>
                <w:szCs w:val="21"/>
                <w:highlight w:val="none"/>
              </w:rPr>
              <w:t>≥45°；</w:t>
            </w:r>
          </w:p>
          <w:p w14:paraId="249C90F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2．设备应配有指示打，支持</w:t>
            </w:r>
            <w:r>
              <w:rPr>
                <w:rFonts w:ascii="宋体" w:hAnsi="宋体" w:cs="宋体"/>
                <w:color w:val="auto"/>
                <w:kern w:val="0"/>
                <w:szCs w:val="21"/>
                <w:highlight w:val="none"/>
              </w:rPr>
              <w:t>有线网络LAN和</w:t>
            </w:r>
            <w:r>
              <w:rPr>
                <w:rFonts w:hint="eastAsia" w:ascii="宋体" w:hAnsi="宋体" w:cs="宋体"/>
                <w:color w:val="auto"/>
                <w:kern w:val="0"/>
                <w:szCs w:val="21"/>
                <w:highlight w:val="none"/>
              </w:rPr>
              <w:t>无线网络</w:t>
            </w:r>
            <w:r>
              <w:rPr>
                <w:rFonts w:ascii="宋体" w:hAnsi="宋体" w:cs="宋体"/>
                <w:color w:val="auto"/>
                <w:kern w:val="0"/>
                <w:szCs w:val="21"/>
                <w:highlight w:val="none"/>
              </w:rPr>
              <w:t>WIFI</w:t>
            </w:r>
            <w:r>
              <w:rPr>
                <w:rFonts w:hint="eastAsia" w:ascii="宋体" w:hAnsi="宋体" w:cs="宋体"/>
                <w:color w:val="auto"/>
                <w:kern w:val="0"/>
                <w:szCs w:val="21"/>
                <w:highlight w:val="none"/>
              </w:rPr>
              <w:t>接入</w:t>
            </w:r>
            <w:r>
              <w:rPr>
                <w:rFonts w:ascii="宋体" w:hAnsi="宋体" w:cs="宋体"/>
                <w:color w:val="auto"/>
                <w:kern w:val="0"/>
                <w:szCs w:val="21"/>
                <w:highlight w:val="none"/>
              </w:rPr>
              <w:t>，</w:t>
            </w:r>
            <w:r>
              <w:rPr>
                <w:rFonts w:hint="eastAsia" w:ascii="宋体" w:hAnsi="宋体" w:cs="宋体"/>
                <w:color w:val="auto"/>
                <w:kern w:val="0"/>
                <w:szCs w:val="21"/>
                <w:highlight w:val="none"/>
              </w:rPr>
              <w:t>至少包含</w:t>
            </w:r>
            <w:r>
              <w:rPr>
                <w:rFonts w:ascii="宋体" w:hAnsi="宋体" w:cs="宋体"/>
                <w:color w:val="auto"/>
                <w:kern w:val="0"/>
                <w:szCs w:val="21"/>
                <w:highlight w:val="none"/>
              </w:rPr>
              <w:t>以下</w:t>
            </w:r>
            <w:r>
              <w:rPr>
                <w:rFonts w:hint="eastAsia" w:ascii="宋体" w:hAnsi="宋体" w:cs="宋体"/>
                <w:color w:val="auto"/>
                <w:kern w:val="0"/>
                <w:szCs w:val="21"/>
                <w:highlight w:val="none"/>
              </w:rPr>
              <w:t>接口：千兆</w:t>
            </w:r>
            <w:r>
              <w:rPr>
                <w:rFonts w:ascii="宋体" w:hAnsi="宋体" w:cs="宋体"/>
                <w:color w:val="auto"/>
                <w:kern w:val="0"/>
                <w:szCs w:val="21"/>
                <w:highlight w:val="none"/>
              </w:rPr>
              <w:t>网络</w:t>
            </w:r>
            <w:r>
              <w:rPr>
                <w:rFonts w:hint="eastAsia" w:ascii="宋体" w:hAnsi="宋体" w:cs="宋体"/>
                <w:color w:val="auto"/>
                <w:kern w:val="0"/>
                <w:szCs w:val="21"/>
                <w:highlight w:val="none"/>
              </w:rPr>
              <w:t>RJ45*1；满足</w:t>
            </w:r>
            <w:r>
              <w:rPr>
                <w:rFonts w:ascii="宋体" w:hAnsi="宋体" w:cs="宋体"/>
                <w:color w:val="auto"/>
                <w:kern w:val="0"/>
                <w:szCs w:val="21"/>
                <w:highlight w:val="none"/>
              </w:rPr>
              <w:t>本项目联动控制接入的控制接口</w:t>
            </w:r>
            <w:r>
              <w:rPr>
                <w:rFonts w:hint="eastAsia" w:ascii="宋体" w:hAnsi="宋体" w:cs="宋体"/>
                <w:color w:val="auto"/>
                <w:kern w:val="0"/>
                <w:szCs w:val="21"/>
                <w:highlight w:val="none"/>
              </w:rPr>
              <w:t>RS</w:t>
            </w:r>
            <w:r>
              <w:rPr>
                <w:rFonts w:ascii="宋体" w:hAnsi="宋体" w:cs="宋体"/>
                <w:color w:val="auto"/>
                <w:kern w:val="0"/>
                <w:szCs w:val="21"/>
                <w:highlight w:val="none"/>
              </w:rPr>
              <w:t>232</w:t>
            </w:r>
            <w:r>
              <w:rPr>
                <w:rFonts w:hint="eastAsia" w:ascii="宋体" w:hAnsi="宋体" w:cs="宋体"/>
                <w:color w:val="auto"/>
                <w:kern w:val="0"/>
                <w:szCs w:val="21"/>
                <w:highlight w:val="none"/>
              </w:rPr>
              <w:t>或RS485*1；USB</w:t>
            </w:r>
            <w:r>
              <w:rPr>
                <w:rFonts w:ascii="宋体" w:hAnsi="宋体" w:cs="宋体"/>
                <w:color w:val="auto"/>
                <w:kern w:val="0"/>
                <w:szCs w:val="21"/>
                <w:highlight w:val="none"/>
              </w:rPr>
              <w:t>2.0</w:t>
            </w:r>
            <w:r>
              <w:rPr>
                <w:rFonts w:hint="eastAsia" w:ascii="宋体" w:hAnsi="宋体" w:cs="宋体"/>
                <w:color w:val="auto"/>
                <w:kern w:val="0"/>
                <w:szCs w:val="21"/>
                <w:highlight w:val="none"/>
              </w:rPr>
              <w:t>及</w:t>
            </w:r>
            <w:r>
              <w:rPr>
                <w:rFonts w:ascii="宋体" w:hAnsi="宋体" w:cs="宋体"/>
                <w:color w:val="auto"/>
                <w:kern w:val="0"/>
                <w:szCs w:val="21"/>
                <w:highlight w:val="none"/>
              </w:rPr>
              <w:t>以上</w:t>
            </w:r>
            <w:r>
              <w:rPr>
                <w:rFonts w:hint="eastAsia" w:ascii="宋体" w:hAnsi="宋体" w:cs="宋体"/>
                <w:color w:val="auto"/>
                <w:kern w:val="0"/>
                <w:szCs w:val="21"/>
                <w:highlight w:val="none"/>
              </w:rPr>
              <w:t>协议</w:t>
            </w:r>
            <w:r>
              <w:rPr>
                <w:rFonts w:ascii="宋体" w:hAnsi="宋体" w:cs="宋体"/>
                <w:color w:val="auto"/>
                <w:kern w:val="0"/>
                <w:szCs w:val="21"/>
                <w:highlight w:val="none"/>
              </w:rPr>
              <w:t>接口</w:t>
            </w:r>
            <w:r>
              <w:rPr>
                <w:rFonts w:hint="eastAsia" w:ascii="宋体" w:hAnsi="宋体" w:cs="宋体"/>
                <w:color w:val="auto"/>
                <w:kern w:val="0"/>
                <w:szCs w:val="21"/>
                <w:highlight w:val="none"/>
              </w:rPr>
              <w:t>*3；I</w:t>
            </w:r>
            <w:r>
              <w:rPr>
                <w:rFonts w:ascii="宋体" w:hAnsi="宋体" w:cs="宋体"/>
                <w:color w:val="auto"/>
                <w:kern w:val="0"/>
                <w:szCs w:val="21"/>
                <w:highlight w:val="none"/>
              </w:rPr>
              <w:t>/</w:t>
            </w:r>
            <w:r>
              <w:rPr>
                <w:rFonts w:hint="eastAsia" w:ascii="宋体" w:hAnsi="宋体" w:cs="宋体"/>
                <w:color w:val="auto"/>
                <w:kern w:val="0"/>
                <w:szCs w:val="21"/>
                <w:highlight w:val="none"/>
              </w:rPr>
              <w:t>O输入接口*1；门锁输出接口*1；内置扬声器、SIM卡槽、TF卡槽和开关机键等；</w:t>
            </w:r>
          </w:p>
          <w:p w14:paraId="15C3AFF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3．系统及各主要组成部分应有表明其工作正常的自检功能；有指示灯提示设备工作状态；用户UI界面有网络连接状态及布防状态提示；</w:t>
            </w:r>
          </w:p>
          <w:p w14:paraId="6140DBF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通过平台进行访客预约，预约访客信息包括：姓名、性别、手机号码、证件类型、证件号码、车牌号、访客单位、来访事由、来访时间、离开时间、来访区域、被访人、备注等信息；访客信息支持自定义项，自定义项可由用户更改名称；可配置各信息项是否显示、是否必选；支持预约访客登记，可通过输入预约码、手机号（后4位）或刷身份证来启动登记；预约访客登记时可自动填充已预约的信息；对于刷身份证的访客，可获取身份证信息自动填充到登记信息中；之前登记过的访客，再次来访登记时，可获取历史信息自动填充到登记信息中。</w:t>
            </w:r>
          </w:p>
          <w:p w14:paraId="498CA0D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人脸识别功能，现场抓拍人脸照片与本地人脸库照片或身份证内照片进行比对，进行人员身份核验；应支持联网与后端平台对接，实现人脸比对功能；支持在0.0011ux低照度无补光环境下正常实现人脸识别，适应强光、逆光、暗光等条件的人脸识别；应支持侧脸，遮挡，模糊，表情，戴眼睛等实际场景识别；应支持用户人脸数据下发及人脸识别双线程同步工作；设备垂直及水平区域人脸识别范围应能设置；人脸识别各个偏转角度允许≥±45°，且识别角度支持设置；人脸识别应支持多阈值设置。</w:t>
            </w:r>
          </w:p>
          <w:p w14:paraId="001BE28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6．人脸比对时间应≤120ms；</w:t>
            </w:r>
          </w:p>
          <w:p w14:paraId="628146C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具有打开或关闭知情确认功能；知情确认功能开启时，用户进行身份核验时在设备屏幕展示关于收集个人信息的知情同意书，需要用户同意才能进行核验；知情同意书可由web或平台下发；支持通过屏幕按键选择同意，也支持屏幕上手写签名留底。</w:t>
            </w:r>
          </w:p>
          <w:p w14:paraId="445E839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8．刷卡时设备有蜂鸣器提示；支持比对结果语音提示；内置TTS文字转语音功能来自定义认证结果播报；</w:t>
            </w:r>
          </w:p>
          <w:p w14:paraId="1C7FEA9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9．支持设备本地比对结果用户信息脱敏显示功能开启/关闭，即隐藏姓名及身份证信息；</w:t>
            </w:r>
          </w:p>
          <w:p w14:paraId="749EA63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10．支持外接打印机来打印访客凭条；打印内容可配置（可选：二维码、访客图像、访客姓名、证件号、来访事由、访问区域、来访时间、预计离开时间、接待部门、接待人员、注意事项等）；</w:t>
            </w:r>
          </w:p>
          <w:p w14:paraId="34EB400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11．支持防假体攻击功能，对视频、电子照片、打印照片应能防伪，活体检测准确率应≥99.5%；</w:t>
            </w:r>
          </w:p>
          <w:p w14:paraId="4698EEB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12．设备能离线存储30万条访客记录；设备应能离线存储1万张抓拍照片；能离线存储10万条证件号黑名单；</w:t>
            </w:r>
          </w:p>
          <w:p w14:paraId="2724117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13．支持非预约访客登记；支持未带身份证的访客登记；可在人证比对过程中由工作人员跳过自动核验，改为人工核验；</w:t>
            </w:r>
          </w:p>
          <w:p w14:paraId="3E278D3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14．当与平台连接中断时，应能进行离线登记和签离；与平台连接后应能上传离线事件。支持通过WEB进行设备各项功能参数配置；</w:t>
            </w:r>
          </w:p>
          <w:p w14:paraId="257D2FE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15．设备支持静态二维码识别；二维码识读装置应能对由512个字符生成的二维码进行识读；采用独立二维码识别模块；扫码距离≥5cm；</w:t>
            </w:r>
          </w:p>
        </w:tc>
      </w:tr>
      <w:tr w14:paraId="1422B3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CA0678D">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1.2.9</w:t>
            </w:r>
          </w:p>
        </w:tc>
        <w:tc>
          <w:tcPr>
            <w:tcW w:w="1026" w:type="pct"/>
            <w:noWrap w:val="0"/>
            <w:vAlign w:val="center"/>
          </w:tcPr>
          <w:p w14:paraId="77C5EDD5">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网线</w:t>
            </w:r>
          </w:p>
        </w:tc>
        <w:tc>
          <w:tcPr>
            <w:tcW w:w="426" w:type="pct"/>
            <w:noWrap/>
            <w:vAlign w:val="center"/>
          </w:tcPr>
          <w:p w14:paraId="505AABB2">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5921B8C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1．本项属于本项目</w:t>
            </w:r>
            <w:r>
              <w:rPr>
                <w:rFonts w:ascii="宋体" w:hAnsi="宋体" w:cs="宋体"/>
                <w:color w:val="auto"/>
                <w:kern w:val="0"/>
                <w:szCs w:val="21"/>
                <w:highlight w:val="none"/>
              </w:rPr>
              <w:t>包干</w:t>
            </w:r>
            <w:r>
              <w:rPr>
                <w:rFonts w:hint="eastAsia" w:ascii="宋体" w:hAnsi="宋体" w:cs="宋体"/>
                <w:color w:val="auto"/>
                <w:kern w:val="0"/>
                <w:szCs w:val="21"/>
                <w:highlight w:val="none"/>
              </w:rPr>
              <w:t>实施线材，</w:t>
            </w:r>
            <w:r>
              <w:rPr>
                <w:rFonts w:ascii="宋体" w:hAnsi="宋体" w:cs="宋体"/>
                <w:color w:val="auto"/>
                <w:kern w:val="0"/>
                <w:szCs w:val="21"/>
                <w:highlight w:val="none"/>
              </w:rPr>
              <w:t>必须满足本项目设备设施实施要求，</w:t>
            </w:r>
            <w:r>
              <w:rPr>
                <w:rFonts w:hint="eastAsia" w:ascii="宋体" w:hAnsi="宋体" w:cs="宋体"/>
                <w:color w:val="auto"/>
                <w:kern w:val="0"/>
                <w:szCs w:val="21"/>
                <w:highlight w:val="none"/>
              </w:rPr>
              <w:t>预估</w:t>
            </w:r>
            <w:r>
              <w:rPr>
                <w:rFonts w:ascii="宋体" w:hAnsi="宋体" w:cs="宋体"/>
                <w:color w:val="auto"/>
                <w:kern w:val="0"/>
                <w:szCs w:val="21"/>
                <w:highlight w:val="none"/>
              </w:rPr>
              <w:t>约需</w:t>
            </w:r>
            <w:r>
              <w:rPr>
                <w:rFonts w:hint="eastAsia" w:ascii="宋体" w:hAnsi="宋体" w:cs="宋体"/>
                <w:color w:val="auto"/>
                <w:kern w:val="0"/>
                <w:szCs w:val="21"/>
                <w:highlight w:val="none"/>
              </w:rPr>
              <w:t>3600米</w:t>
            </w:r>
            <w:r>
              <w:rPr>
                <w:rFonts w:ascii="宋体" w:hAnsi="宋体" w:cs="宋体"/>
                <w:color w:val="auto"/>
                <w:kern w:val="0"/>
                <w:szCs w:val="21"/>
                <w:highlight w:val="none"/>
              </w:rPr>
              <w:t>。</w:t>
            </w:r>
          </w:p>
          <w:p w14:paraId="53F00D2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本线材需</w:t>
            </w:r>
            <w:r>
              <w:rPr>
                <w:rFonts w:ascii="宋体" w:hAnsi="宋体" w:cs="宋体"/>
                <w:color w:val="auto"/>
                <w:kern w:val="0"/>
                <w:szCs w:val="21"/>
                <w:highlight w:val="none"/>
              </w:rPr>
              <w:t>符合YD/T 1019-2023、ISO/IEC 11801、TIA/EIA-568.2-D、YD/T 926.3</w:t>
            </w:r>
            <w:r>
              <w:rPr>
                <w:rFonts w:hint="eastAsia" w:ascii="宋体" w:hAnsi="宋体" w:cs="宋体"/>
                <w:color w:val="auto"/>
                <w:kern w:val="0"/>
                <w:szCs w:val="21"/>
                <w:highlight w:val="none"/>
              </w:rPr>
              <w:t>等</w:t>
            </w:r>
            <w:r>
              <w:rPr>
                <w:rFonts w:ascii="宋体" w:hAnsi="宋体" w:cs="宋体"/>
                <w:color w:val="auto"/>
                <w:kern w:val="0"/>
                <w:szCs w:val="21"/>
                <w:highlight w:val="none"/>
              </w:rPr>
              <w:t>对</w:t>
            </w:r>
            <w:r>
              <w:rPr>
                <w:rFonts w:hint="eastAsia" w:ascii="宋体" w:hAnsi="宋体" w:cs="宋体"/>
                <w:color w:val="auto"/>
                <w:kern w:val="0"/>
                <w:szCs w:val="21"/>
                <w:highlight w:val="none"/>
              </w:rPr>
              <w:t>六类</w:t>
            </w:r>
            <w:r>
              <w:rPr>
                <w:rFonts w:ascii="宋体" w:hAnsi="宋体" w:cs="宋体"/>
                <w:color w:val="auto"/>
                <w:kern w:val="0"/>
                <w:szCs w:val="21"/>
                <w:highlight w:val="none"/>
              </w:rPr>
              <w:t>传输</w:t>
            </w:r>
            <w:r>
              <w:rPr>
                <w:rFonts w:hint="eastAsia" w:ascii="宋体" w:hAnsi="宋体" w:cs="宋体"/>
                <w:color w:val="auto"/>
                <w:kern w:val="0"/>
                <w:szCs w:val="21"/>
                <w:highlight w:val="none"/>
              </w:rPr>
              <w:t>特性</w:t>
            </w:r>
            <w:r>
              <w:rPr>
                <w:rFonts w:ascii="宋体" w:hAnsi="宋体" w:cs="宋体"/>
                <w:color w:val="auto"/>
                <w:kern w:val="0"/>
                <w:szCs w:val="21"/>
                <w:highlight w:val="none"/>
              </w:rPr>
              <w:t>的要求，</w:t>
            </w:r>
            <w:r>
              <w:rPr>
                <w:rFonts w:hint="eastAsia" w:ascii="宋体" w:hAnsi="宋体" w:cs="宋体"/>
                <w:color w:val="auto"/>
                <w:kern w:val="0"/>
                <w:szCs w:val="21"/>
                <w:highlight w:val="none"/>
              </w:rPr>
              <w:t>满足</w:t>
            </w:r>
            <w:r>
              <w:rPr>
                <w:rFonts w:ascii="宋体" w:hAnsi="宋体" w:cs="宋体"/>
                <w:color w:val="auto"/>
                <w:kern w:val="0"/>
                <w:szCs w:val="21"/>
                <w:highlight w:val="none"/>
              </w:rPr>
              <w:t>10/100/1000BASE-T以太网</w:t>
            </w:r>
            <w:r>
              <w:rPr>
                <w:rFonts w:hint="eastAsia" w:ascii="宋体" w:hAnsi="宋体" w:cs="宋体"/>
                <w:color w:val="auto"/>
                <w:kern w:val="0"/>
                <w:szCs w:val="21"/>
                <w:highlight w:val="none"/>
              </w:rPr>
              <w:t>传输</w:t>
            </w:r>
            <w:r>
              <w:rPr>
                <w:rFonts w:ascii="宋体" w:hAnsi="宋体" w:cs="宋体"/>
                <w:color w:val="auto"/>
                <w:kern w:val="0"/>
                <w:szCs w:val="21"/>
                <w:highlight w:val="none"/>
              </w:rPr>
              <w:t>应用</w:t>
            </w:r>
            <w:r>
              <w:rPr>
                <w:rFonts w:hint="eastAsia" w:ascii="宋体" w:hAnsi="宋体" w:cs="宋体"/>
                <w:color w:val="auto"/>
                <w:kern w:val="0"/>
                <w:szCs w:val="21"/>
                <w:highlight w:val="none"/>
              </w:rPr>
              <w:t>要求；</w:t>
            </w:r>
          </w:p>
          <w:p w14:paraId="0A26AE5E">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线材</w:t>
            </w:r>
            <w:r>
              <w:rPr>
                <w:rFonts w:ascii="宋体" w:hAnsi="宋体" w:cs="宋体"/>
                <w:color w:val="auto"/>
                <w:kern w:val="0"/>
                <w:szCs w:val="21"/>
                <w:highlight w:val="none"/>
              </w:rPr>
              <w:t>中心</w:t>
            </w:r>
            <w:r>
              <w:rPr>
                <w:rFonts w:hint="eastAsia" w:ascii="宋体" w:hAnsi="宋体" w:cs="宋体"/>
                <w:color w:val="auto"/>
                <w:kern w:val="0"/>
                <w:szCs w:val="21"/>
                <w:highlight w:val="none"/>
              </w:rPr>
              <w:t>采用</w:t>
            </w:r>
            <w:r>
              <w:rPr>
                <w:rFonts w:ascii="宋体" w:hAnsi="宋体" w:cs="宋体"/>
                <w:color w:val="auto"/>
                <w:kern w:val="0"/>
                <w:szCs w:val="21"/>
                <w:highlight w:val="none"/>
              </w:rPr>
              <w:t>PE十字骨架，最大程度上保证安装过程中不破坏双绞线绞距</w:t>
            </w:r>
            <w:r>
              <w:rPr>
                <w:rFonts w:hint="eastAsia" w:ascii="宋体" w:hAnsi="宋体" w:cs="宋体"/>
                <w:color w:val="auto"/>
                <w:kern w:val="0"/>
                <w:szCs w:val="21"/>
                <w:highlight w:val="none"/>
              </w:rPr>
              <w:t>，线材</w:t>
            </w:r>
            <w:r>
              <w:rPr>
                <w:rFonts w:ascii="宋体" w:hAnsi="宋体" w:cs="宋体"/>
                <w:color w:val="auto"/>
                <w:kern w:val="0"/>
                <w:szCs w:val="21"/>
                <w:highlight w:val="none"/>
              </w:rPr>
              <w:t>护套采用优质</w:t>
            </w:r>
            <w:r>
              <w:rPr>
                <w:rFonts w:hint="eastAsia" w:ascii="宋体" w:hAnsi="宋体" w:cs="宋体"/>
                <w:color w:val="auto"/>
                <w:kern w:val="0"/>
                <w:szCs w:val="21"/>
                <w:highlight w:val="none"/>
              </w:rPr>
              <w:t>阻燃</w:t>
            </w:r>
            <w:r>
              <w:rPr>
                <w:rFonts w:ascii="宋体" w:hAnsi="宋体" w:cs="宋体"/>
                <w:color w:val="auto"/>
                <w:kern w:val="0"/>
                <w:szCs w:val="21"/>
                <w:highlight w:val="none"/>
              </w:rPr>
              <w:t>PVC</w:t>
            </w:r>
            <w:r>
              <w:rPr>
                <w:rFonts w:hint="eastAsia" w:ascii="宋体" w:hAnsi="宋体" w:cs="宋体"/>
                <w:color w:val="auto"/>
                <w:kern w:val="0"/>
                <w:szCs w:val="21"/>
                <w:highlight w:val="none"/>
              </w:rPr>
              <w:t>或</w:t>
            </w:r>
            <w:r>
              <w:rPr>
                <w:rFonts w:ascii="宋体" w:hAnsi="宋体" w:cs="宋体"/>
                <w:color w:val="auto"/>
                <w:kern w:val="0"/>
                <w:szCs w:val="21"/>
                <w:highlight w:val="none"/>
              </w:rPr>
              <w:t>LSZH</w:t>
            </w:r>
            <w:r>
              <w:rPr>
                <w:rFonts w:hint="eastAsia" w:ascii="宋体" w:hAnsi="宋体" w:cs="宋体"/>
                <w:color w:val="auto"/>
                <w:kern w:val="0"/>
                <w:szCs w:val="21"/>
                <w:highlight w:val="none"/>
              </w:rPr>
              <w:t>等材</w:t>
            </w:r>
            <w:r>
              <w:rPr>
                <w:rFonts w:ascii="宋体" w:hAnsi="宋体" w:cs="宋体"/>
                <w:color w:val="auto"/>
                <w:kern w:val="0"/>
                <w:szCs w:val="21"/>
                <w:highlight w:val="none"/>
              </w:rPr>
              <w:t>料，厚度≥0.6±0.1mm</w:t>
            </w:r>
            <w:r>
              <w:rPr>
                <w:rFonts w:hint="eastAsia" w:ascii="宋体" w:hAnsi="宋体" w:cs="宋体"/>
                <w:color w:val="auto"/>
                <w:kern w:val="0"/>
                <w:szCs w:val="21"/>
                <w:highlight w:val="none"/>
              </w:rPr>
              <w:t>；</w:t>
            </w:r>
          </w:p>
          <w:p w14:paraId="3958A60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4．信号</w:t>
            </w:r>
            <w:r>
              <w:rPr>
                <w:rFonts w:ascii="宋体" w:hAnsi="宋体" w:cs="宋体"/>
                <w:color w:val="auto"/>
                <w:kern w:val="0"/>
                <w:szCs w:val="21"/>
                <w:highlight w:val="none"/>
              </w:rPr>
              <w:t>导线</w:t>
            </w:r>
            <w:r>
              <w:rPr>
                <w:rFonts w:hint="eastAsia" w:ascii="宋体" w:hAnsi="宋体" w:cs="宋体"/>
                <w:color w:val="auto"/>
                <w:kern w:val="0"/>
                <w:szCs w:val="21"/>
                <w:highlight w:val="none"/>
              </w:rPr>
              <w:t>由4对</w:t>
            </w:r>
            <w:r>
              <w:rPr>
                <w:rFonts w:ascii="宋体" w:hAnsi="宋体" w:cs="宋体"/>
                <w:color w:val="auto"/>
                <w:kern w:val="0"/>
                <w:szCs w:val="21"/>
                <w:highlight w:val="none"/>
              </w:rPr>
              <w:t>双绞线</w:t>
            </w:r>
            <w:r>
              <w:rPr>
                <w:rFonts w:hint="eastAsia" w:ascii="宋体" w:hAnsi="宋体" w:cs="宋体"/>
                <w:color w:val="auto"/>
                <w:kern w:val="0"/>
                <w:szCs w:val="21"/>
                <w:highlight w:val="none"/>
              </w:rPr>
              <w:t>绞合</w:t>
            </w:r>
            <w:r>
              <w:rPr>
                <w:rFonts w:ascii="宋体" w:hAnsi="宋体" w:cs="宋体"/>
                <w:color w:val="auto"/>
                <w:kern w:val="0"/>
                <w:szCs w:val="21"/>
                <w:highlight w:val="none"/>
              </w:rPr>
              <w:t>组成</w:t>
            </w:r>
            <w:r>
              <w:rPr>
                <w:rFonts w:hint="eastAsia" w:ascii="宋体" w:hAnsi="宋体" w:cs="宋体"/>
                <w:color w:val="auto"/>
                <w:kern w:val="0"/>
                <w:szCs w:val="21"/>
                <w:highlight w:val="none"/>
              </w:rPr>
              <w:t>。单根绞线线芯导体</w:t>
            </w:r>
            <w:r>
              <w:rPr>
                <w:rFonts w:ascii="宋体" w:hAnsi="宋体" w:cs="宋体"/>
                <w:color w:val="auto"/>
                <w:kern w:val="0"/>
                <w:szCs w:val="21"/>
                <w:highlight w:val="none"/>
              </w:rPr>
              <w:t>采用≥0.56±0.02mmTR型软圆实心铜线</w:t>
            </w:r>
            <w:r>
              <w:rPr>
                <w:rFonts w:hint="eastAsia" w:ascii="宋体" w:hAnsi="宋体" w:cs="宋体"/>
                <w:color w:val="auto"/>
                <w:kern w:val="0"/>
                <w:szCs w:val="21"/>
                <w:highlight w:val="none"/>
              </w:rPr>
              <w:t>导体和优质高密度聚乙烯（</w:t>
            </w:r>
            <w:r>
              <w:rPr>
                <w:rFonts w:ascii="宋体" w:hAnsi="宋体" w:cs="宋体"/>
                <w:color w:val="auto"/>
                <w:kern w:val="0"/>
                <w:szCs w:val="21"/>
                <w:highlight w:val="none"/>
              </w:rPr>
              <w:t>HDPE）</w:t>
            </w:r>
            <w:r>
              <w:rPr>
                <w:rFonts w:hint="eastAsia" w:ascii="宋体" w:hAnsi="宋体" w:cs="宋体"/>
                <w:color w:val="auto"/>
                <w:kern w:val="0"/>
                <w:szCs w:val="21"/>
                <w:highlight w:val="none"/>
              </w:rPr>
              <w:t>的芯线绝缘胶皮组成，每根线芯含绝缘胶皮外径</w:t>
            </w:r>
            <w:r>
              <w:rPr>
                <w:rFonts w:ascii="宋体" w:hAnsi="宋体" w:cs="宋体"/>
                <w:color w:val="auto"/>
                <w:kern w:val="0"/>
                <w:szCs w:val="21"/>
                <w:highlight w:val="none"/>
              </w:rPr>
              <w:t>≥1.00±0.05mm</w:t>
            </w:r>
            <w:r>
              <w:rPr>
                <w:rFonts w:hint="eastAsia" w:ascii="宋体" w:hAnsi="宋体" w:cs="宋体"/>
                <w:color w:val="auto"/>
                <w:kern w:val="0"/>
                <w:szCs w:val="21"/>
                <w:highlight w:val="none"/>
              </w:rPr>
              <w:t>。线芯导体特性要求</w:t>
            </w:r>
            <w:r>
              <w:rPr>
                <w:rFonts w:ascii="宋体" w:hAnsi="宋体" w:cs="宋体"/>
                <w:color w:val="auto"/>
                <w:kern w:val="0"/>
                <w:szCs w:val="21"/>
                <w:highlight w:val="none"/>
              </w:rPr>
              <w:t>如下：</w:t>
            </w:r>
          </w:p>
          <w:p w14:paraId="13BAEE3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）导体最大直流电阻：≤9Ω/100米</w:t>
            </w:r>
            <w:r>
              <w:rPr>
                <w:rFonts w:hint="eastAsia" w:ascii="宋体" w:hAnsi="宋体" w:cs="宋体"/>
                <w:color w:val="auto"/>
                <w:kern w:val="0"/>
                <w:szCs w:val="21"/>
                <w:highlight w:val="none"/>
              </w:rPr>
              <w:t>；</w:t>
            </w:r>
          </w:p>
          <w:p w14:paraId="081867F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）导体</w:t>
            </w:r>
            <w:r>
              <w:rPr>
                <w:rFonts w:hint="eastAsia" w:ascii="宋体" w:hAnsi="宋体" w:cs="宋体"/>
                <w:color w:val="auto"/>
                <w:kern w:val="0"/>
                <w:szCs w:val="21"/>
                <w:highlight w:val="none"/>
              </w:rPr>
              <w:t>耐压</w:t>
            </w:r>
            <w:r>
              <w:rPr>
                <w:rFonts w:ascii="宋体" w:hAnsi="宋体" w:cs="宋体"/>
                <w:color w:val="auto"/>
                <w:kern w:val="0"/>
                <w:szCs w:val="21"/>
                <w:highlight w:val="none"/>
              </w:rPr>
              <w:t>≥DC-1KV/1Min</w:t>
            </w:r>
            <w:r>
              <w:rPr>
                <w:rFonts w:hint="eastAsia" w:ascii="宋体" w:hAnsi="宋体" w:cs="宋体"/>
                <w:color w:val="auto"/>
                <w:kern w:val="0"/>
                <w:szCs w:val="21"/>
                <w:highlight w:val="none"/>
              </w:rPr>
              <w:t>不</w:t>
            </w:r>
            <w:r>
              <w:rPr>
                <w:rFonts w:ascii="宋体" w:hAnsi="宋体" w:cs="宋体"/>
                <w:color w:val="auto"/>
                <w:kern w:val="0"/>
                <w:szCs w:val="21"/>
                <w:highlight w:val="none"/>
              </w:rPr>
              <w:t>损毁</w:t>
            </w:r>
            <w:r>
              <w:rPr>
                <w:rFonts w:hint="eastAsia" w:ascii="宋体" w:hAnsi="宋体" w:cs="宋体"/>
                <w:color w:val="auto"/>
                <w:kern w:val="0"/>
                <w:szCs w:val="21"/>
                <w:highlight w:val="none"/>
              </w:rPr>
              <w:t>；</w:t>
            </w:r>
          </w:p>
          <w:p w14:paraId="67C30F1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）线对对地电容不平衡：≤160pF/100米</w:t>
            </w:r>
            <w:r>
              <w:rPr>
                <w:rFonts w:hint="eastAsia" w:ascii="宋体" w:hAnsi="宋体" w:cs="宋体"/>
                <w:color w:val="auto"/>
                <w:kern w:val="0"/>
                <w:szCs w:val="21"/>
                <w:highlight w:val="none"/>
              </w:rPr>
              <w:t>；</w:t>
            </w:r>
          </w:p>
          <w:p w14:paraId="01E2058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线对间直流不平衡电阻：线对导体间≤</w:t>
            </w:r>
            <w:r>
              <w:rPr>
                <w:rFonts w:ascii="宋体" w:hAnsi="宋体" w:cs="宋体"/>
                <w:color w:val="auto"/>
                <w:kern w:val="0"/>
                <w:szCs w:val="21"/>
                <w:highlight w:val="none"/>
              </w:rPr>
              <w:t>2%,线对与线对间≤4%；</w:t>
            </w:r>
          </w:p>
          <w:p w14:paraId="569FEE9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线对间</w:t>
            </w:r>
            <w:r>
              <w:rPr>
                <w:rFonts w:ascii="宋体" w:hAnsi="宋体" w:cs="宋体"/>
                <w:color w:val="auto"/>
                <w:kern w:val="0"/>
                <w:szCs w:val="21"/>
                <w:highlight w:val="none"/>
              </w:rPr>
              <w:t>绝缘电阻：≥5000 MΩ</w:t>
            </w:r>
            <w:r>
              <w:rPr>
                <w:rFonts w:hint="eastAsia" w:ascii="宋体" w:hAnsi="宋体" w:cs="宋体"/>
                <w:color w:val="auto"/>
                <w:kern w:val="0"/>
                <w:szCs w:val="21"/>
                <w:highlight w:val="none"/>
              </w:rPr>
              <w:t>.</w:t>
            </w:r>
            <w:r>
              <w:rPr>
                <w:rFonts w:ascii="宋体" w:hAnsi="宋体" w:cs="宋体"/>
                <w:color w:val="auto"/>
                <w:kern w:val="0"/>
                <w:szCs w:val="21"/>
                <w:highlight w:val="none"/>
              </w:rPr>
              <w:t>KM</w:t>
            </w:r>
            <w:r>
              <w:rPr>
                <w:rFonts w:hint="eastAsia" w:ascii="宋体" w:hAnsi="宋体" w:cs="宋体"/>
                <w:color w:val="auto"/>
                <w:kern w:val="0"/>
                <w:szCs w:val="21"/>
                <w:highlight w:val="none"/>
              </w:rPr>
              <w:t>。</w:t>
            </w:r>
          </w:p>
        </w:tc>
      </w:tr>
      <w:tr w14:paraId="28E5E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06C2CBBF">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1.2.10</w:t>
            </w:r>
          </w:p>
        </w:tc>
        <w:tc>
          <w:tcPr>
            <w:tcW w:w="1026" w:type="pct"/>
            <w:noWrap w:val="0"/>
            <w:vAlign w:val="center"/>
          </w:tcPr>
          <w:p w14:paraId="183BC47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电源线</w:t>
            </w:r>
          </w:p>
        </w:tc>
        <w:tc>
          <w:tcPr>
            <w:tcW w:w="426" w:type="pct"/>
            <w:noWrap/>
            <w:vAlign w:val="center"/>
          </w:tcPr>
          <w:p w14:paraId="67C45947">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2F4FEA4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提供满足本项目实施的</w:t>
            </w:r>
            <w:r>
              <w:rPr>
                <w:rFonts w:hint="eastAsia" w:ascii="宋体" w:hAnsi="宋体" w:cs="宋体"/>
                <w:color w:val="auto"/>
                <w:kern w:val="0"/>
                <w:szCs w:val="21"/>
                <w:highlight w:val="none"/>
              </w:rPr>
              <w:t>双芯</w:t>
            </w:r>
            <w:r>
              <w:rPr>
                <w:rFonts w:ascii="宋体" w:hAnsi="宋体" w:cs="宋体"/>
                <w:color w:val="auto"/>
                <w:kern w:val="0"/>
                <w:szCs w:val="21"/>
                <w:highlight w:val="none"/>
              </w:rPr>
              <w:t>聚氯乙烯护套软</w:t>
            </w:r>
            <w:r>
              <w:rPr>
                <w:rFonts w:hint="eastAsia" w:ascii="宋体" w:hAnsi="宋体" w:cs="宋体"/>
                <w:color w:val="auto"/>
                <w:kern w:val="0"/>
                <w:szCs w:val="21"/>
                <w:highlight w:val="none"/>
              </w:rPr>
              <w:t>电源</w:t>
            </w:r>
            <w:r>
              <w:rPr>
                <w:rFonts w:ascii="宋体" w:hAnsi="宋体" w:cs="宋体"/>
                <w:color w:val="auto"/>
                <w:kern w:val="0"/>
                <w:szCs w:val="21"/>
                <w:highlight w:val="none"/>
              </w:rPr>
              <w:t>线</w:t>
            </w:r>
            <w:r>
              <w:rPr>
                <w:rFonts w:hint="eastAsia" w:ascii="宋体" w:hAnsi="宋体" w:cs="宋体"/>
                <w:color w:val="auto"/>
                <w:kern w:val="0"/>
                <w:szCs w:val="21"/>
                <w:highlight w:val="none"/>
              </w:rPr>
              <w:t>（RVV2*1.0</w:t>
            </w:r>
            <w:r>
              <w:rPr>
                <w:rFonts w:ascii="宋体" w:hAnsi="宋体" w:cs="宋体"/>
                <w:color w:val="auto"/>
                <w:kern w:val="0"/>
                <w:szCs w:val="21"/>
                <w:highlight w:val="none"/>
              </w:rPr>
              <w:t>mm2</w:t>
            </w:r>
            <w:r>
              <w:rPr>
                <w:rFonts w:hint="eastAsia" w:ascii="宋体" w:hAnsi="宋体" w:cs="宋体"/>
                <w:color w:val="auto"/>
                <w:kern w:val="0"/>
                <w:szCs w:val="21"/>
                <w:highlight w:val="none"/>
              </w:rPr>
              <w:t>），预估约需300米。</w:t>
            </w:r>
          </w:p>
          <w:p w14:paraId="2B0E53C3">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线材符合</w:t>
            </w:r>
            <w:r>
              <w:rPr>
                <w:rFonts w:ascii="宋体" w:hAnsi="宋体" w:cs="宋体"/>
                <w:color w:val="auto"/>
                <w:kern w:val="0"/>
                <w:szCs w:val="21"/>
                <w:highlight w:val="none"/>
              </w:rPr>
              <w:t>GB/T 5023.5-2008</w:t>
            </w:r>
            <w:r>
              <w:rPr>
                <w:rFonts w:hint="eastAsia" w:ascii="宋体" w:hAnsi="宋体" w:cs="宋体"/>
                <w:color w:val="auto"/>
                <w:kern w:val="0"/>
                <w:szCs w:val="21"/>
                <w:highlight w:val="none"/>
              </w:rPr>
              <w:t>执行标准要求，通过中国国家强制性产品CCC检测认证，</w:t>
            </w:r>
            <w:r>
              <w:rPr>
                <w:rFonts w:ascii="宋体" w:hAnsi="宋体" w:cs="宋体"/>
                <w:color w:val="auto"/>
                <w:kern w:val="0"/>
                <w:szCs w:val="21"/>
                <w:highlight w:val="none"/>
              </w:rPr>
              <w:t>具有</w:t>
            </w:r>
            <w:r>
              <w:rPr>
                <w:rFonts w:hint="eastAsia" w:ascii="宋体" w:hAnsi="宋体" w:cs="宋体"/>
                <w:color w:val="auto"/>
                <w:kern w:val="0"/>
                <w:szCs w:val="21"/>
                <w:highlight w:val="none"/>
              </w:rPr>
              <w:t>认证</w:t>
            </w:r>
            <w:r>
              <w:rPr>
                <w:rFonts w:ascii="宋体" w:hAnsi="宋体" w:cs="宋体"/>
                <w:color w:val="auto"/>
                <w:kern w:val="0"/>
                <w:szCs w:val="21"/>
                <w:highlight w:val="none"/>
              </w:rPr>
              <w:t>证书；</w:t>
            </w:r>
          </w:p>
          <w:p w14:paraId="3B5B4948">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线材</w:t>
            </w:r>
            <w:r>
              <w:rPr>
                <w:rFonts w:ascii="宋体" w:hAnsi="宋体" w:cs="宋体"/>
                <w:color w:val="auto"/>
                <w:kern w:val="0"/>
                <w:szCs w:val="21"/>
                <w:highlight w:val="none"/>
              </w:rPr>
              <w:t>采用</w:t>
            </w:r>
            <w:r>
              <w:rPr>
                <w:rFonts w:hint="eastAsia" w:ascii="宋体" w:hAnsi="宋体" w:cs="宋体"/>
                <w:color w:val="auto"/>
                <w:kern w:val="0"/>
                <w:szCs w:val="21"/>
                <w:highlight w:val="none"/>
              </w:rPr>
              <w:t>99%及</w:t>
            </w:r>
            <w:r>
              <w:rPr>
                <w:rFonts w:ascii="宋体" w:hAnsi="宋体" w:cs="宋体"/>
                <w:color w:val="auto"/>
                <w:kern w:val="0"/>
                <w:szCs w:val="21"/>
                <w:highlight w:val="none"/>
              </w:rPr>
              <w:t>以上无氧铜</w:t>
            </w:r>
            <w:r>
              <w:rPr>
                <w:rFonts w:hint="eastAsia" w:ascii="宋体" w:hAnsi="宋体" w:cs="宋体"/>
                <w:color w:val="auto"/>
                <w:kern w:val="0"/>
                <w:szCs w:val="21"/>
                <w:highlight w:val="none"/>
              </w:rPr>
              <w:t>优质</w:t>
            </w:r>
            <w:r>
              <w:rPr>
                <w:rFonts w:ascii="宋体" w:hAnsi="宋体" w:cs="宋体"/>
                <w:color w:val="auto"/>
                <w:kern w:val="0"/>
                <w:szCs w:val="21"/>
                <w:highlight w:val="none"/>
              </w:rPr>
              <w:t>线芯</w:t>
            </w:r>
            <w:r>
              <w:rPr>
                <w:rFonts w:hint="eastAsia" w:ascii="宋体" w:hAnsi="宋体" w:cs="宋体"/>
                <w:color w:val="auto"/>
                <w:kern w:val="0"/>
                <w:szCs w:val="21"/>
                <w:highlight w:val="none"/>
              </w:rPr>
              <w:t>，额定电压</w:t>
            </w:r>
            <w:r>
              <w:rPr>
                <w:rFonts w:ascii="宋体" w:hAnsi="宋体" w:cs="宋体"/>
                <w:color w:val="auto"/>
                <w:kern w:val="0"/>
                <w:szCs w:val="21"/>
                <w:highlight w:val="none"/>
              </w:rPr>
              <w:t>≥300/500V</w:t>
            </w:r>
            <w:r>
              <w:rPr>
                <w:rFonts w:hint="eastAsia" w:ascii="宋体" w:hAnsi="宋体" w:cs="宋体"/>
                <w:color w:val="auto"/>
                <w:kern w:val="0"/>
                <w:szCs w:val="21"/>
                <w:highlight w:val="none"/>
              </w:rPr>
              <w:t>（即每芯电缆对地额定工作电压为</w:t>
            </w:r>
            <w:r>
              <w:rPr>
                <w:rFonts w:ascii="宋体" w:hAnsi="宋体" w:cs="宋体"/>
                <w:color w:val="auto"/>
                <w:kern w:val="0"/>
                <w:szCs w:val="21"/>
                <w:highlight w:val="none"/>
              </w:rPr>
              <w:t>≥300V，每芯电缆间额定工作电压≥500V）</w:t>
            </w:r>
            <w:r>
              <w:rPr>
                <w:rFonts w:hint="eastAsia" w:ascii="宋体" w:hAnsi="宋体" w:cs="宋体"/>
                <w:color w:val="auto"/>
                <w:kern w:val="0"/>
                <w:szCs w:val="21"/>
                <w:highlight w:val="none"/>
              </w:rPr>
              <w:t>。</w:t>
            </w:r>
          </w:p>
        </w:tc>
      </w:tr>
      <w:tr w14:paraId="312675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6DAB65C">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1.2.11</w:t>
            </w:r>
          </w:p>
        </w:tc>
        <w:tc>
          <w:tcPr>
            <w:tcW w:w="1026" w:type="pct"/>
            <w:noWrap/>
            <w:vAlign w:val="center"/>
          </w:tcPr>
          <w:p w14:paraId="51E221C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24口POE交换机</w:t>
            </w:r>
          </w:p>
        </w:tc>
        <w:tc>
          <w:tcPr>
            <w:tcW w:w="426" w:type="pct"/>
            <w:noWrap/>
            <w:vAlign w:val="center"/>
          </w:tcPr>
          <w:p w14:paraId="2D5409A1">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6台</w:t>
            </w:r>
          </w:p>
        </w:tc>
        <w:tc>
          <w:tcPr>
            <w:tcW w:w="2953" w:type="pct"/>
            <w:noWrap w:val="0"/>
            <w:vAlign w:val="center"/>
          </w:tcPr>
          <w:p w14:paraId="19671AC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1．采用19寸</w:t>
            </w:r>
            <w:r>
              <w:rPr>
                <w:rFonts w:ascii="宋体" w:hAnsi="宋体" w:cs="宋体"/>
                <w:color w:val="auto"/>
                <w:kern w:val="0"/>
                <w:szCs w:val="21"/>
                <w:highlight w:val="none"/>
              </w:rPr>
              <w:t>机柜的机架式</w:t>
            </w:r>
            <w:r>
              <w:rPr>
                <w:rFonts w:hint="eastAsia" w:ascii="宋体" w:hAnsi="宋体" w:cs="宋体"/>
                <w:color w:val="auto"/>
                <w:kern w:val="0"/>
                <w:szCs w:val="21"/>
                <w:highlight w:val="none"/>
              </w:rPr>
              <w:t>Po</w:t>
            </w:r>
            <w:r>
              <w:rPr>
                <w:rFonts w:ascii="宋体" w:hAnsi="宋体" w:cs="宋体"/>
                <w:color w:val="auto"/>
                <w:kern w:val="0"/>
                <w:szCs w:val="21"/>
                <w:highlight w:val="none"/>
              </w:rPr>
              <w:t>E网络</w:t>
            </w:r>
            <w:r>
              <w:rPr>
                <w:rFonts w:hint="eastAsia" w:ascii="宋体" w:hAnsi="宋体" w:cs="宋体"/>
                <w:color w:val="auto"/>
                <w:kern w:val="0"/>
                <w:szCs w:val="21"/>
                <w:highlight w:val="none"/>
              </w:rPr>
              <w:t>交换机</w:t>
            </w:r>
            <w:r>
              <w:rPr>
                <w:rFonts w:ascii="宋体" w:hAnsi="宋体" w:cs="宋体"/>
                <w:color w:val="auto"/>
                <w:kern w:val="0"/>
                <w:szCs w:val="21"/>
                <w:highlight w:val="none"/>
              </w:rPr>
              <w:t>，提供千兆电口≥24个，千兆</w:t>
            </w:r>
            <w:r>
              <w:rPr>
                <w:rFonts w:hint="eastAsia" w:ascii="宋体" w:hAnsi="宋体" w:cs="宋体"/>
                <w:color w:val="auto"/>
                <w:kern w:val="0"/>
                <w:szCs w:val="21"/>
                <w:highlight w:val="none"/>
              </w:rPr>
              <w:t>光口</w:t>
            </w:r>
            <w:r>
              <w:rPr>
                <w:rFonts w:ascii="宋体" w:hAnsi="宋体" w:cs="宋体"/>
                <w:color w:val="auto"/>
                <w:kern w:val="0"/>
                <w:szCs w:val="21"/>
                <w:highlight w:val="none"/>
              </w:rPr>
              <w:t>≥4个</w:t>
            </w:r>
            <w:r>
              <w:rPr>
                <w:rFonts w:hint="eastAsia" w:ascii="宋体" w:hAnsi="宋体" w:cs="宋体"/>
                <w:color w:val="auto"/>
                <w:kern w:val="0"/>
                <w:szCs w:val="21"/>
                <w:highlight w:val="none"/>
              </w:rPr>
              <w:t>，</w:t>
            </w:r>
            <w:r>
              <w:rPr>
                <w:rFonts w:ascii="宋体" w:hAnsi="宋体" w:cs="宋体"/>
                <w:color w:val="auto"/>
                <w:kern w:val="0"/>
                <w:szCs w:val="21"/>
                <w:highlight w:val="none"/>
              </w:rPr>
              <w:t>千兆</w:t>
            </w:r>
            <w:r>
              <w:rPr>
                <w:rFonts w:hint="eastAsia" w:ascii="宋体" w:hAnsi="宋体" w:cs="宋体"/>
                <w:color w:val="auto"/>
                <w:kern w:val="0"/>
                <w:szCs w:val="21"/>
                <w:highlight w:val="none"/>
              </w:rPr>
              <w:t>光口</w:t>
            </w:r>
            <w:r>
              <w:rPr>
                <w:rFonts w:ascii="宋体" w:hAnsi="宋体" w:cs="宋体"/>
                <w:color w:val="auto"/>
                <w:kern w:val="0"/>
                <w:szCs w:val="21"/>
                <w:highlight w:val="none"/>
              </w:rPr>
              <w:t>配满LC双芯单模千兆1310nm光模块</w:t>
            </w:r>
            <w:r>
              <w:rPr>
                <w:rFonts w:hint="eastAsia" w:ascii="宋体" w:hAnsi="宋体" w:cs="宋体"/>
                <w:color w:val="auto"/>
                <w:kern w:val="0"/>
                <w:szCs w:val="21"/>
                <w:highlight w:val="none"/>
              </w:rPr>
              <w:t>；</w:t>
            </w:r>
          </w:p>
          <w:p w14:paraId="358248C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2．交换容量≥336Gbps，包转发率≥50Mpps</w:t>
            </w:r>
            <w:r>
              <w:rPr>
                <w:rFonts w:hint="eastAsia" w:ascii="宋体" w:hAnsi="宋体" w:cs="宋体"/>
                <w:color w:val="auto"/>
                <w:kern w:val="0"/>
                <w:szCs w:val="21"/>
                <w:highlight w:val="none"/>
              </w:rPr>
              <w:t>；</w:t>
            </w:r>
          </w:p>
          <w:p w14:paraId="3BB87159">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支持IEEE 802.3at/af协议，端口最大供电功率≥30W，</w:t>
            </w:r>
            <w:r>
              <w:rPr>
                <w:rFonts w:ascii="宋体" w:hAnsi="宋体" w:cs="宋体"/>
                <w:color w:val="auto"/>
                <w:kern w:val="0"/>
                <w:szCs w:val="21"/>
                <w:highlight w:val="none"/>
              </w:rPr>
              <w:t>PoE口</w:t>
            </w:r>
            <w:r>
              <w:rPr>
                <w:rFonts w:hint="eastAsia" w:ascii="宋体" w:hAnsi="宋体" w:cs="宋体"/>
                <w:color w:val="auto"/>
                <w:kern w:val="0"/>
                <w:szCs w:val="21"/>
                <w:highlight w:val="none"/>
              </w:rPr>
              <w:t>具有≥</w:t>
            </w:r>
            <w:r>
              <w:rPr>
                <w:rFonts w:ascii="宋体" w:hAnsi="宋体" w:cs="宋体"/>
                <w:color w:val="auto"/>
                <w:kern w:val="0"/>
                <w:szCs w:val="21"/>
                <w:highlight w:val="none"/>
              </w:rPr>
              <w:t>6 KV防浪涌</w:t>
            </w:r>
            <w:r>
              <w:rPr>
                <w:rFonts w:hint="eastAsia" w:ascii="宋体" w:hAnsi="宋体" w:cs="宋体"/>
                <w:color w:val="auto"/>
                <w:kern w:val="0"/>
                <w:szCs w:val="21"/>
                <w:highlight w:val="none"/>
              </w:rPr>
              <w:t>能力；</w:t>
            </w:r>
          </w:p>
          <w:p w14:paraId="2CA06BD0">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4．支持POE+功能，支持快速POE功能，当交换机电源上电时，支持秒级实现对PD设备的供电</w:t>
            </w:r>
            <w:r>
              <w:rPr>
                <w:rFonts w:hint="eastAsia" w:ascii="宋体" w:hAnsi="宋体" w:cs="宋体"/>
                <w:color w:val="auto"/>
                <w:kern w:val="0"/>
                <w:szCs w:val="21"/>
                <w:highlight w:val="none"/>
              </w:rPr>
              <w:t>；</w:t>
            </w:r>
          </w:p>
          <w:p w14:paraId="596B7F44">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5．支持SNMP v1/v2/v3、Telnet、RMON。支持通过命令行、Web、中文图形化配置软件等方式进行配置和管理</w:t>
            </w:r>
            <w:r>
              <w:rPr>
                <w:rFonts w:hint="eastAsia" w:ascii="宋体" w:hAnsi="宋体" w:cs="宋体"/>
                <w:color w:val="auto"/>
                <w:kern w:val="0"/>
                <w:szCs w:val="21"/>
                <w:highlight w:val="none"/>
              </w:rPr>
              <w:t>；</w:t>
            </w:r>
          </w:p>
          <w:p w14:paraId="2DEBA71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6．支持MAC地址≥16K，支持ARP表项≥2K，支持4K个VLAN，支持VLAN内端口隔离，支持Voice VLAN，基于端口的VLAN，基于MAC的VLAN，基于协议的VLAN，支持VLAN内组播转发和组播多VLAN复制</w:t>
            </w:r>
            <w:r>
              <w:rPr>
                <w:rFonts w:hint="eastAsia" w:ascii="宋体" w:hAnsi="宋体" w:cs="宋体"/>
                <w:color w:val="auto"/>
                <w:kern w:val="0"/>
                <w:szCs w:val="21"/>
                <w:highlight w:val="none"/>
              </w:rPr>
              <w:t>；</w:t>
            </w:r>
          </w:p>
          <w:p w14:paraId="4ED4DE16">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7．支持端口聚合，每个聚合组≥8个端口；支持跨设备链路聚合</w:t>
            </w:r>
            <w:r>
              <w:rPr>
                <w:rFonts w:hint="eastAsia" w:ascii="宋体" w:hAnsi="宋体" w:cs="宋体"/>
                <w:color w:val="auto"/>
                <w:kern w:val="0"/>
                <w:szCs w:val="21"/>
                <w:highlight w:val="none"/>
              </w:rPr>
              <w:t>；</w:t>
            </w:r>
          </w:p>
          <w:p w14:paraId="5CD3050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8．支持RIP、RIPng、OSPF、OSPFv3路由协议，支持VRRP，支持IGMP v1/v2/v3 Snooping</w:t>
            </w:r>
            <w:r>
              <w:rPr>
                <w:rFonts w:hint="eastAsia" w:ascii="宋体" w:hAnsi="宋体" w:cs="宋体"/>
                <w:color w:val="auto"/>
                <w:kern w:val="0"/>
                <w:szCs w:val="21"/>
                <w:highlight w:val="none"/>
              </w:rPr>
              <w:t>；</w:t>
            </w:r>
          </w:p>
          <w:p w14:paraId="6469E073">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9．支持捆绑端口的组播负载分担</w:t>
            </w:r>
            <w:r>
              <w:rPr>
                <w:rFonts w:hint="eastAsia" w:ascii="宋体" w:hAnsi="宋体" w:cs="宋体"/>
                <w:color w:val="auto"/>
                <w:kern w:val="0"/>
                <w:szCs w:val="21"/>
                <w:highlight w:val="none"/>
              </w:rPr>
              <w:t>，支持可控组播，基于端口的组播流量统计；</w:t>
            </w:r>
          </w:p>
          <w:p w14:paraId="3BFC0761">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10．支持端口隔离、端口安全、Sticky MAC，支持防止DOS、ARP攻击功能、ICMP防攻击，支持IP/Port/MAC的绑定功能支持CPU防攻击、CPCAR限速</w:t>
            </w:r>
            <w:r>
              <w:rPr>
                <w:rFonts w:hint="eastAsia" w:ascii="宋体" w:hAnsi="宋体" w:cs="宋体"/>
                <w:color w:val="auto"/>
                <w:kern w:val="0"/>
                <w:szCs w:val="21"/>
                <w:highlight w:val="none"/>
              </w:rPr>
              <w:t>；</w:t>
            </w:r>
          </w:p>
          <w:p w14:paraId="26CECEAC">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11．支持G.8032开放环网协议。</w:t>
            </w:r>
          </w:p>
        </w:tc>
      </w:tr>
      <w:tr w14:paraId="012CBF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9EA667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1.2.12</w:t>
            </w:r>
          </w:p>
        </w:tc>
        <w:tc>
          <w:tcPr>
            <w:tcW w:w="1026" w:type="pct"/>
            <w:noWrap w:val="0"/>
            <w:vAlign w:val="center"/>
          </w:tcPr>
          <w:p w14:paraId="7791B0E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8口POE交换机</w:t>
            </w:r>
          </w:p>
        </w:tc>
        <w:tc>
          <w:tcPr>
            <w:tcW w:w="426" w:type="pct"/>
            <w:noWrap/>
            <w:vAlign w:val="center"/>
          </w:tcPr>
          <w:p w14:paraId="2AFEEF1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4台</w:t>
            </w:r>
          </w:p>
        </w:tc>
        <w:tc>
          <w:tcPr>
            <w:tcW w:w="2953" w:type="pct"/>
            <w:noWrap w:val="0"/>
            <w:vAlign w:val="center"/>
          </w:tcPr>
          <w:p w14:paraId="1002A43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1．提供≥8个千兆PoE电口，≥1个千兆电口，≥1个千兆光口；</w:t>
            </w:r>
          </w:p>
          <w:p w14:paraId="52A9371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2．交换容量 ≥20 Gbps，包转发率 ≥14.88 Mpps；</w:t>
            </w:r>
          </w:p>
          <w:p w14:paraId="061E7F1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3．支持IEEE 802.3at/af，端口最大供电功率≥30W；</w:t>
            </w:r>
          </w:p>
          <w:p w14:paraId="0DD3CEE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4．整机最大供电功率≥60W，支持6KV防浪涌；</w:t>
            </w:r>
          </w:p>
          <w:p w14:paraId="3B3EC5C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5．支持PoE输出功率管理，千兆网络接入设计；</w:t>
            </w:r>
          </w:p>
          <w:p w14:paraId="2AAD8EC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6．线速转发、无阻塞设计，存储转发交换方式；</w:t>
            </w:r>
          </w:p>
          <w:p w14:paraId="24550E1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7．坚固式高强度金属外壳，无风扇设计，工作温度：0°C~40°C。</w:t>
            </w:r>
          </w:p>
        </w:tc>
      </w:tr>
      <w:tr w14:paraId="08624D9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FE5009F">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1.2.13</w:t>
            </w:r>
          </w:p>
        </w:tc>
        <w:tc>
          <w:tcPr>
            <w:tcW w:w="1026" w:type="pct"/>
            <w:noWrap w:val="0"/>
            <w:vAlign w:val="center"/>
          </w:tcPr>
          <w:p w14:paraId="046CBB2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PVC管材等</w:t>
            </w:r>
            <w:r>
              <w:rPr>
                <w:rFonts w:ascii="宋体" w:hAnsi="宋体" w:cs="宋体"/>
                <w:color w:val="auto"/>
                <w:kern w:val="0"/>
                <w:szCs w:val="21"/>
                <w:highlight w:val="none"/>
              </w:rPr>
              <w:t>辅材</w:t>
            </w:r>
          </w:p>
        </w:tc>
        <w:tc>
          <w:tcPr>
            <w:tcW w:w="426" w:type="pct"/>
            <w:noWrap/>
            <w:vAlign w:val="center"/>
          </w:tcPr>
          <w:p w14:paraId="63399BEA">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578FB98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PVC线管、</w:t>
            </w:r>
            <w:r>
              <w:rPr>
                <w:rFonts w:ascii="宋体" w:hAnsi="宋体" w:cs="宋体"/>
                <w:color w:val="auto"/>
                <w:kern w:val="0"/>
                <w:szCs w:val="21"/>
                <w:highlight w:val="none"/>
              </w:rPr>
              <w:t>线夹、管夹、扎带、电工胶布</w:t>
            </w:r>
            <w:r>
              <w:rPr>
                <w:rFonts w:hint="eastAsia" w:ascii="宋体" w:hAnsi="宋体" w:cs="宋体"/>
                <w:color w:val="auto"/>
                <w:kern w:val="0"/>
                <w:szCs w:val="21"/>
                <w:highlight w:val="none"/>
              </w:rPr>
              <w:t>、</w:t>
            </w:r>
            <w:r>
              <w:rPr>
                <w:rFonts w:ascii="宋体" w:hAnsi="宋体" w:cs="宋体"/>
                <w:color w:val="auto"/>
                <w:kern w:val="0"/>
                <w:szCs w:val="21"/>
                <w:highlight w:val="none"/>
              </w:rPr>
              <w:t>螺钉、不锈钢钉等</w:t>
            </w:r>
            <w:r>
              <w:rPr>
                <w:rFonts w:hint="eastAsia" w:ascii="宋体" w:hAnsi="宋体" w:cs="宋体"/>
                <w:color w:val="auto"/>
                <w:kern w:val="0"/>
                <w:szCs w:val="21"/>
                <w:highlight w:val="none"/>
              </w:rPr>
              <w:t>辅材1</w:t>
            </w:r>
            <w:r>
              <w:rPr>
                <w:rFonts w:ascii="宋体" w:hAnsi="宋体" w:cs="宋体"/>
                <w:color w:val="auto"/>
                <w:kern w:val="0"/>
                <w:szCs w:val="21"/>
                <w:highlight w:val="none"/>
              </w:rPr>
              <w:t>批</w:t>
            </w:r>
            <w:r>
              <w:rPr>
                <w:rFonts w:hint="eastAsia" w:ascii="宋体" w:hAnsi="宋体" w:cs="宋体"/>
                <w:color w:val="auto"/>
                <w:kern w:val="0"/>
                <w:szCs w:val="21"/>
                <w:highlight w:val="none"/>
              </w:rPr>
              <w:t>，</w:t>
            </w:r>
            <w:r>
              <w:rPr>
                <w:rFonts w:ascii="宋体" w:hAnsi="宋体" w:cs="宋体"/>
                <w:color w:val="auto"/>
                <w:kern w:val="0"/>
                <w:szCs w:val="21"/>
                <w:highlight w:val="none"/>
              </w:rPr>
              <w:t>满足本项目</w:t>
            </w:r>
            <w:r>
              <w:rPr>
                <w:rFonts w:hint="eastAsia" w:ascii="宋体" w:hAnsi="宋体" w:cs="宋体"/>
                <w:color w:val="auto"/>
                <w:kern w:val="0"/>
                <w:szCs w:val="21"/>
                <w:highlight w:val="none"/>
              </w:rPr>
              <w:t>设备</w:t>
            </w:r>
            <w:r>
              <w:rPr>
                <w:rFonts w:ascii="宋体" w:hAnsi="宋体" w:cs="宋体"/>
                <w:color w:val="auto"/>
                <w:kern w:val="0"/>
                <w:szCs w:val="21"/>
                <w:highlight w:val="none"/>
              </w:rPr>
              <w:t>设施安装实施要求。</w:t>
            </w:r>
          </w:p>
        </w:tc>
      </w:tr>
      <w:tr w14:paraId="6EE9A5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E217A62">
            <w:pPr>
              <w:widowControl/>
              <w:adjustRightInd w:val="0"/>
              <w:spacing w:line="360" w:lineRule="exact"/>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p>
        </w:tc>
        <w:tc>
          <w:tcPr>
            <w:tcW w:w="4405" w:type="pct"/>
            <w:gridSpan w:val="3"/>
            <w:noWrap w:val="0"/>
            <w:vAlign w:val="center"/>
          </w:tcPr>
          <w:p w14:paraId="1691993E">
            <w:pPr>
              <w:widowControl/>
              <w:spacing w:line="360" w:lineRule="exact"/>
              <w:contextualSpacing/>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信访安防盲点改造</w:t>
            </w:r>
          </w:p>
        </w:tc>
      </w:tr>
      <w:tr w14:paraId="68311F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5920ABF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p>
        </w:tc>
        <w:tc>
          <w:tcPr>
            <w:tcW w:w="1026" w:type="pct"/>
            <w:noWrap/>
            <w:vAlign w:val="center"/>
          </w:tcPr>
          <w:p w14:paraId="61F06BC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全彩智能枪球一体机</w:t>
            </w:r>
          </w:p>
        </w:tc>
        <w:tc>
          <w:tcPr>
            <w:tcW w:w="426" w:type="pct"/>
            <w:noWrap/>
            <w:vAlign w:val="center"/>
          </w:tcPr>
          <w:p w14:paraId="6C4EE9B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3台</w:t>
            </w:r>
          </w:p>
        </w:tc>
        <w:tc>
          <w:tcPr>
            <w:tcW w:w="2953" w:type="pct"/>
            <w:noWrap w:val="0"/>
            <w:vAlign w:val="center"/>
          </w:tcPr>
          <w:p w14:paraId="48CAA1F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1．全景路视频图像像素≥400万，细节路视频图像像素≥400万，支持≥25倍光学变倍；</w:t>
            </w:r>
          </w:p>
          <w:p w14:paraId="0CFB47C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2．支持最低照度彩色≤0.005 lx，黑白≤0.001 lx，补光灯距离：全景通道≥30米，细节通道≥200米；</w:t>
            </w:r>
          </w:p>
          <w:p w14:paraId="5BD12F2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3．全景画面水平视场角≥90°，垂直视场角≥50°，全景通道可进行垂直旋转，旋转范围≥10°可调；</w:t>
            </w:r>
          </w:p>
          <w:p w14:paraId="2AF5E90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4．内置≥2个GPU芯片，内置≥2个镜头，可输出至少一路全景视频和一路细节视频；</w:t>
            </w:r>
          </w:p>
          <w:p w14:paraId="18C98FD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5．全景通道内置镜头，光圈不小于F1.0，具有≥1/1.8靶面尺寸，内置≥4颗补光灯；</w:t>
            </w:r>
          </w:p>
          <w:p w14:paraId="2E52B79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6．细节通道内置镜头，具备≥1/1.8靶面尺寸，内置≥10颗红外补光灯及≥1颗白光灯；</w:t>
            </w:r>
          </w:p>
          <w:p w14:paraId="751AA9B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7．设备智能侦测（</w:t>
            </w:r>
            <w:r>
              <w:rPr>
                <w:rFonts w:ascii="宋体" w:hAnsi="宋体" w:cs="宋体"/>
                <w:color w:val="auto"/>
                <w:kern w:val="0"/>
                <w:szCs w:val="21"/>
                <w:highlight w:val="none"/>
              </w:rPr>
              <w:t>S</w:t>
            </w:r>
            <w:r>
              <w:rPr>
                <w:rFonts w:hint="eastAsia" w:ascii="宋体" w:hAnsi="宋体" w:cs="宋体"/>
                <w:color w:val="auto"/>
                <w:kern w:val="0"/>
                <w:szCs w:val="21"/>
                <w:highlight w:val="none"/>
              </w:rPr>
              <w:t>mart）事件上报的抓图支持叠加规则区域和目标框：可配置报警抓图叠加目标信息及规则信息，支持开启及关闭；支持设置告警区域最大可包含整个监控画面；支持设置预览画面是否叠加显示规则区域框及告警提示信息；</w:t>
            </w:r>
          </w:p>
          <w:p w14:paraId="4B6F6BC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8．备AR标签管理功能，可对监控区域的常规点位、人脸点位、重点道路等进行标签标注，可添加≥500个标签；</w:t>
            </w:r>
          </w:p>
          <w:p w14:paraId="0C7D9BA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9．支持点击全景画面联动特写镜头，手动跟踪运动目标，支持同时抓拍≥30张人脸，支持对运动人脸进行检测、跟踪、抓拍、评分、筛选，输出最优的人脸抓图；</w:t>
            </w:r>
          </w:p>
          <w:p w14:paraId="59D8808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10．设备正常工作时，断开网络，设备可将抓拍图片和录像文件存储在内置存储卡中，当网络恢复后，再将这些图片和录像文件上传至指定的FTP服务器；</w:t>
            </w:r>
          </w:p>
          <w:p w14:paraId="010273C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可通过客户端浏览器添加≥20个物体标签，可开启或关闭标签显示功能，显示透明度可配置，具备AR标签抖动漂移功能，当设备云台明显抖动、转动、或进行镜头变倍时，标签应跟随标定的目标物移动，并在画面中与目标物保持相对静止；</w:t>
            </w:r>
          </w:p>
          <w:p w14:paraId="50F4D52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12．可设置闪光灯闪烁时间，闪烁频率，亮度，当监控画面中有目标触发区域入侵侦测、越界侦测、进入区域侦测、离开区域侦测等报警事件时，可联动白光灯闪烁进行报警；</w:t>
            </w:r>
          </w:p>
          <w:p w14:paraId="32C950D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13．支持车辆检测和混行检测，车牌捕获及检索、多场景巡航检测等功能；</w:t>
            </w:r>
          </w:p>
          <w:p w14:paraId="2AC513E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具有声音报警输出功能，可通过客户端浏览器设置音频类型为≥11种警戒音、提示音、自定义语音，其中自定义语音可上传本地语音文件以及命名，报警次数1～50次可设，可通过区域入侵侦测、越界侦测、进入区域侦测、离开区域侦测等报警事件，联动闪光报警、声音报警，当篮球、小狗、树叶等非人或车辆目标经过检测区域时不会触发报警；</w:t>
            </w:r>
          </w:p>
          <w:p w14:paraId="1F52BB7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15．支持数据感知功能，可同时支持≥3路web监听通道，设备响应web端发送的查询请求，并返回对应的感知数据，断网重连后，报警信息可继续上传；</w:t>
            </w:r>
          </w:p>
          <w:p w14:paraId="7B4EA97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16．支持防护等级≥IP67，支持在-40 ℃～70 ℃温度变化范围内正常稳定的工作；</w:t>
            </w:r>
          </w:p>
          <w:p w14:paraId="67E42E6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17．具有AI-ISP（即人工智能图像信号处理技术）图像质量提升功能，在低照度环境下，可自动调节预览场景视频画面中人脸、人体、车辆等目标及预览场景视频画面的区域曝光、亮度、色彩饱和度、对比度、锐度等。</w:t>
            </w:r>
          </w:p>
        </w:tc>
      </w:tr>
      <w:tr w14:paraId="38876E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EE79B9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.2</w:t>
            </w:r>
          </w:p>
        </w:tc>
        <w:tc>
          <w:tcPr>
            <w:tcW w:w="1026" w:type="pct"/>
            <w:noWrap w:val="0"/>
            <w:vAlign w:val="center"/>
          </w:tcPr>
          <w:p w14:paraId="7ABD152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球机壁挂支架</w:t>
            </w:r>
          </w:p>
        </w:tc>
        <w:tc>
          <w:tcPr>
            <w:tcW w:w="426" w:type="pct"/>
            <w:noWrap/>
            <w:vAlign w:val="center"/>
          </w:tcPr>
          <w:p w14:paraId="57D7F23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3个</w:t>
            </w:r>
          </w:p>
        </w:tc>
        <w:tc>
          <w:tcPr>
            <w:tcW w:w="2953" w:type="pct"/>
            <w:noWrap w:val="0"/>
            <w:vAlign w:val="center"/>
          </w:tcPr>
          <w:p w14:paraId="64F96177">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1．球机壁挂支架，铝合金材质，满足本项目的“1.3.1 全彩智能枪球一体机”设备安全可靠安装要求；</w:t>
            </w:r>
          </w:p>
          <w:p w14:paraId="7E2B976D">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2．按照采购人要求，提供“1.3.1 全彩智能枪球一体机”设备安装调试服务。</w:t>
            </w:r>
          </w:p>
        </w:tc>
      </w:tr>
      <w:tr w14:paraId="50D3EE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59B32E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.3</w:t>
            </w:r>
          </w:p>
        </w:tc>
        <w:tc>
          <w:tcPr>
            <w:tcW w:w="1026" w:type="pct"/>
            <w:noWrap/>
            <w:vAlign w:val="center"/>
          </w:tcPr>
          <w:p w14:paraId="46AD8355">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利旧球机拆除及安装服务</w:t>
            </w:r>
          </w:p>
        </w:tc>
        <w:tc>
          <w:tcPr>
            <w:tcW w:w="426" w:type="pct"/>
            <w:noWrap/>
            <w:vAlign w:val="center"/>
          </w:tcPr>
          <w:p w14:paraId="01BAEC9C">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项</w:t>
            </w:r>
          </w:p>
        </w:tc>
        <w:tc>
          <w:tcPr>
            <w:tcW w:w="2953" w:type="pct"/>
            <w:noWrap w:val="0"/>
            <w:vAlign w:val="center"/>
          </w:tcPr>
          <w:p w14:paraId="0A2DCEB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在采购人的办公场地内通过高空作业，拆迁电杆</w:t>
            </w:r>
            <w:r>
              <w:rPr>
                <w:rFonts w:ascii="宋体" w:hAnsi="宋体" w:cs="宋体"/>
                <w:color w:val="auto"/>
                <w:kern w:val="0"/>
                <w:szCs w:val="21"/>
                <w:highlight w:val="none"/>
              </w:rPr>
              <w:t>上的</w:t>
            </w:r>
            <w:r>
              <w:rPr>
                <w:rFonts w:hint="eastAsia" w:ascii="宋体" w:hAnsi="宋体" w:cs="宋体"/>
                <w:color w:val="auto"/>
                <w:kern w:val="0"/>
                <w:szCs w:val="21"/>
                <w:highlight w:val="none"/>
              </w:rPr>
              <w:t>2台监控球机，并且安装到采购人</w:t>
            </w:r>
            <w:r>
              <w:rPr>
                <w:rFonts w:ascii="宋体" w:hAnsi="宋体" w:cs="宋体"/>
                <w:color w:val="auto"/>
                <w:kern w:val="0"/>
                <w:szCs w:val="21"/>
                <w:highlight w:val="none"/>
              </w:rPr>
              <w:t>办公大</w:t>
            </w:r>
            <w:r>
              <w:rPr>
                <w:rFonts w:hint="eastAsia" w:ascii="宋体" w:hAnsi="宋体" w:cs="宋体"/>
                <w:color w:val="auto"/>
                <w:kern w:val="0"/>
                <w:szCs w:val="21"/>
                <w:highlight w:val="none"/>
              </w:rPr>
              <w:t>楼大门两侧，并</w:t>
            </w:r>
            <w:r>
              <w:rPr>
                <w:rFonts w:ascii="宋体" w:hAnsi="宋体" w:cs="宋体"/>
                <w:color w:val="auto"/>
                <w:kern w:val="0"/>
                <w:szCs w:val="21"/>
                <w:highlight w:val="none"/>
              </w:rPr>
              <w:t>进行联调</w:t>
            </w:r>
            <w:r>
              <w:rPr>
                <w:rFonts w:hint="eastAsia" w:ascii="宋体" w:hAnsi="宋体" w:cs="宋体"/>
                <w:color w:val="auto"/>
                <w:kern w:val="0"/>
                <w:szCs w:val="21"/>
                <w:highlight w:val="none"/>
              </w:rPr>
              <w:t>测试</w:t>
            </w:r>
            <w:r>
              <w:rPr>
                <w:rFonts w:ascii="宋体" w:hAnsi="宋体" w:cs="宋体"/>
                <w:color w:val="auto"/>
                <w:kern w:val="0"/>
                <w:szCs w:val="21"/>
                <w:highlight w:val="none"/>
              </w:rPr>
              <w:t>，确保满足本项目显示</w:t>
            </w:r>
            <w:r>
              <w:rPr>
                <w:rFonts w:hint="eastAsia" w:ascii="宋体" w:hAnsi="宋体" w:cs="宋体"/>
                <w:color w:val="auto"/>
                <w:kern w:val="0"/>
                <w:szCs w:val="21"/>
                <w:highlight w:val="none"/>
              </w:rPr>
              <w:t>需求。</w:t>
            </w:r>
          </w:p>
        </w:tc>
      </w:tr>
      <w:tr w14:paraId="6F1ACE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0B838BA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.4</w:t>
            </w:r>
          </w:p>
        </w:tc>
        <w:tc>
          <w:tcPr>
            <w:tcW w:w="1026" w:type="pct"/>
            <w:noWrap w:val="0"/>
            <w:vAlign w:val="center"/>
          </w:tcPr>
          <w:p w14:paraId="6B5E57AC">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室外拾音器</w:t>
            </w:r>
          </w:p>
        </w:tc>
        <w:tc>
          <w:tcPr>
            <w:tcW w:w="426" w:type="pct"/>
            <w:noWrap/>
            <w:vAlign w:val="center"/>
          </w:tcPr>
          <w:p w14:paraId="3A72F03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2个</w:t>
            </w:r>
          </w:p>
        </w:tc>
        <w:tc>
          <w:tcPr>
            <w:tcW w:w="2953" w:type="pct"/>
            <w:noWrap w:val="0"/>
            <w:vAlign w:val="center"/>
          </w:tcPr>
          <w:p w14:paraId="6502A85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1．室外防水拾音器，可调拾音范围:至少覆盖2-30米范围；</w:t>
            </w:r>
          </w:p>
          <w:p w14:paraId="1729A71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2．灵敏度:在-3</w:t>
            </w:r>
            <w:r>
              <w:rPr>
                <w:rFonts w:ascii="宋体" w:hAnsi="宋体" w:cs="宋体"/>
                <w:color w:val="auto"/>
                <w:kern w:val="0"/>
                <w:szCs w:val="21"/>
                <w:highlight w:val="none"/>
              </w:rPr>
              <w:t>0</w:t>
            </w:r>
            <w:r>
              <w:rPr>
                <w:rFonts w:hint="eastAsia" w:ascii="宋体" w:hAnsi="宋体" w:cs="宋体"/>
                <w:color w:val="auto"/>
                <w:kern w:val="0"/>
                <w:szCs w:val="21"/>
                <w:highlight w:val="none"/>
              </w:rPr>
              <w:t>dB至-</w:t>
            </w:r>
            <w:r>
              <w:rPr>
                <w:rFonts w:ascii="宋体" w:hAnsi="宋体" w:cs="宋体"/>
                <w:color w:val="auto"/>
                <w:kern w:val="0"/>
                <w:szCs w:val="21"/>
                <w:highlight w:val="none"/>
              </w:rPr>
              <w:t>5</w:t>
            </w:r>
            <w:r>
              <w:rPr>
                <w:rFonts w:hint="eastAsia" w:ascii="宋体" w:hAnsi="宋体" w:cs="宋体"/>
                <w:color w:val="auto"/>
                <w:kern w:val="0"/>
                <w:szCs w:val="21"/>
                <w:highlight w:val="none"/>
              </w:rPr>
              <w:t>0</w:t>
            </w:r>
            <w:r>
              <w:rPr>
                <w:rFonts w:ascii="宋体" w:hAnsi="宋体" w:cs="宋体"/>
                <w:color w:val="auto"/>
                <w:kern w:val="0"/>
                <w:szCs w:val="21"/>
                <w:highlight w:val="none"/>
              </w:rPr>
              <w:t>bB范围</w:t>
            </w:r>
            <w:r>
              <w:rPr>
                <w:rFonts w:hint="eastAsia" w:ascii="宋体" w:hAnsi="宋体" w:cs="宋体"/>
                <w:color w:val="auto"/>
                <w:kern w:val="0"/>
                <w:szCs w:val="21"/>
                <w:highlight w:val="none"/>
              </w:rPr>
              <w:t>，适应在城市</w:t>
            </w:r>
            <w:r>
              <w:rPr>
                <w:rFonts w:ascii="宋体" w:hAnsi="宋体" w:cs="宋体"/>
                <w:color w:val="auto"/>
                <w:kern w:val="0"/>
                <w:szCs w:val="21"/>
                <w:highlight w:val="none"/>
              </w:rPr>
              <w:t>道路嘈杂的</w:t>
            </w:r>
            <w:r>
              <w:rPr>
                <w:rFonts w:hint="eastAsia" w:ascii="宋体" w:hAnsi="宋体" w:cs="宋体"/>
                <w:color w:val="auto"/>
                <w:kern w:val="0"/>
                <w:szCs w:val="21"/>
                <w:highlight w:val="none"/>
              </w:rPr>
              <w:t>环境</w:t>
            </w:r>
            <w:r>
              <w:rPr>
                <w:rFonts w:ascii="宋体" w:hAnsi="宋体" w:cs="宋体"/>
                <w:color w:val="auto"/>
                <w:kern w:val="0"/>
                <w:szCs w:val="21"/>
                <w:highlight w:val="none"/>
              </w:rPr>
              <w:t>中录</w:t>
            </w:r>
            <w:r>
              <w:rPr>
                <w:rFonts w:hint="eastAsia" w:ascii="宋体" w:hAnsi="宋体" w:cs="宋体"/>
                <w:color w:val="auto"/>
                <w:kern w:val="0"/>
                <w:szCs w:val="21"/>
                <w:highlight w:val="none"/>
              </w:rPr>
              <w:t>制人的</w:t>
            </w:r>
            <w:r>
              <w:rPr>
                <w:rFonts w:ascii="宋体" w:hAnsi="宋体" w:cs="宋体"/>
                <w:color w:val="auto"/>
                <w:kern w:val="0"/>
                <w:szCs w:val="21"/>
                <w:highlight w:val="none"/>
              </w:rPr>
              <w:t>对话声</w:t>
            </w:r>
            <w:r>
              <w:rPr>
                <w:rFonts w:hint="eastAsia" w:ascii="宋体" w:hAnsi="宋体" w:cs="宋体"/>
                <w:color w:val="auto"/>
                <w:kern w:val="0"/>
                <w:szCs w:val="21"/>
                <w:highlight w:val="none"/>
              </w:rPr>
              <w:t>；</w:t>
            </w:r>
          </w:p>
          <w:p w14:paraId="165105D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3．频率响应: 20Hz ～ 20kHz；</w:t>
            </w:r>
          </w:p>
          <w:p w14:paraId="2C92B13F">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信噪比:≥90dB （@1kHz），满足在城市</w:t>
            </w:r>
            <w:r>
              <w:rPr>
                <w:rFonts w:ascii="宋体" w:hAnsi="宋体" w:cs="宋体"/>
                <w:color w:val="auto"/>
                <w:kern w:val="0"/>
                <w:szCs w:val="21"/>
                <w:highlight w:val="none"/>
              </w:rPr>
              <w:t>道路嘈杂的</w:t>
            </w:r>
            <w:r>
              <w:rPr>
                <w:rFonts w:hint="eastAsia" w:ascii="宋体" w:hAnsi="宋体" w:cs="宋体"/>
                <w:color w:val="auto"/>
                <w:kern w:val="0"/>
                <w:szCs w:val="21"/>
                <w:highlight w:val="none"/>
              </w:rPr>
              <w:t>环境</w:t>
            </w:r>
            <w:r>
              <w:rPr>
                <w:rFonts w:ascii="宋体" w:hAnsi="宋体" w:cs="宋体"/>
                <w:color w:val="auto"/>
                <w:kern w:val="0"/>
                <w:szCs w:val="21"/>
                <w:highlight w:val="none"/>
              </w:rPr>
              <w:t>中</w:t>
            </w:r>
            <w:r>
              <w:rPr>
                <w:rFonts w:hint="eastAsia" w:ascii="宋体" w:hAnsi="宋体" w:cs="宋体"/>
                <w:color w:val="auto"/>
                <w:kern w:val="0"/>
                <w:szCs w:val="21"/>
                <w:highlight w:val="none"/>
              </w:rPr>
              <w:t>更好</w:t>
            </w:r>
            <w:r>
              <w:rPr>
                <w:rFonts w:ascii="宋体" w:hAnsi="宋体" w:cs="宋体"/>
                <w:color w:val="auto"/>
                <w:kern w:val="0"/>
                <w:szCs w:val="21"/>
                <w:highlight w:val="none"/>
              </w:rPr>
              <w:t>地突出</w:t>
            </w:r>
            <w:r>
              <w:rPr>
                <w:rFonts w:hint="eastAsia" w:ascii="宋体" w:hAnsi="宋体" w:cs="宋体"/>
                <w:color w:val="auto"/>
                <w:kern w:val="0"/>
                <w:szCs w:val="21"/>
                <w:highlight w:val="none"/>
              </w:rPr>
              <w:t>人的</w:t>
            </w:r>
            <w:r>
              <w:rPr>
                <w:rFonts w:ascii="宋体" w:hAnsi="宋体" w:cs="宋体"/>
                <w:color w:val="auto"/>
                <w:kern w:val="0"/>
                <w:szCs w:val="21"/>
                <w:highlight w:val="none"/>
              </w:rPr>
              <w:t>对话声</w:t>
            </w:r>
            <w:r>
              <w:rPr>
                <w:rFonts w:hint="eastAsia" w:ascii="宋体" w:hAnsi="宋体" w:cs="宋体"/>
                <w:color w:val="auto"/>
                <w:kern w:val="0"/>
                <w:szCs w:val="21"/>
                <w:highlight w:val="none"/>
              </w:rPr>
              <w:t>；</w:t>
            </w:r>
          </w:p>
          <w:p w14:paraId="5367F6D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5．最大可承受声压: ≥120dB （@1kHz）；</w:t>
            </w:r>
          </w:p>
          <w:p w14:paraId="57EFAECD">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指向特性: 指向型；</w:t>
            </w:r>
          </w:p>
          <w:p w14:paraId="6FF2CED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7．输出阻抗: ≤600欧姆非平衡，</w:t>
            </w:r>
            <w:r>
              <w:rPr>
                <w:rFonts w:ascii="宋体" w:hAnsi="宋体" w:cs="宋体"/>
                <w:color w:val="auto"/>
                <w:kern w:val="0"/>
                <w:szCs w:val="21"/>
                <w:highlight w:val="none"/>
              </w:rPr>
              <w:t>适应</w:t>
            </w:r>
            <w:r>
              <w:rPr>
                <w:rFonts w:hint="eastAsia" w:ascii="宋体" w:hAnsi="宋体" w:cs="宋体"/>
                <w:color w:val="auto"/>
                <w:kern w:val="0"/>
                <w:szCs w:val="21"/>
                <w:highlight w:val="none"/>
              </w:rPr>
              <w:t>长距离电缆传输</w:t>
            </w:r>
            <w:r>
              <w:rPr>
                <w:rFonts w:hint="eastAsia" w:ascii="MS Mincho" w:hAnsi="MS Mincho" w:eastAsia="MS Mincho" w:cs="MS Mincho"/>
                <w:color w:val="auto"/>
                <w:kern w:val="0"/>
                <w:szCs w:val="21"/>
                <w:highlight w:val="none"/>
              </w:rPr>
              <w:t>‌</w:t>
            </w:r>
            <w:r>
              <w:rPr>
                <w:rFonts w:hint="eastAsia" w:ascii="宋体" w:hAnsi="宋体" w:cs="MS Mincho"/>
                <w:color w:val="auto"/>
                <w:kern w:val="0"/>
                <w:szCs w:val="21"/>
                <w:highlight w:val="none"/>
              </w:rPr>
              <w:t>要求</w:t>
            </w:r>
            <w:r>
              <w:rPr>
                <w:rFonts w:ascii="宋体" w:hAnsi="宋体" w:cs="MS Mincho"/>
                <w:color w:val="auto"/>
                <w:kern w:val="0"/>
                <w:szCs w:val="21"/>
                <w:highlight w:val="none"/>
              </w:rPr>
              <w:t>；</w:t>
            </w:r>
          </w:p>
          <w:p w14:paraId="1F839BD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8．最大输出幅度: ≥1.5Vrms(@1KHz)/ 4.2Vpp(@1KHz)；</w:t>
            </w:r>
          </w:p>
          <w:p w14:paraId="6F6550D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9．拾音咪头: 采用镀金电容式MIC；</w:t>
            </w:r>
          </w:p>
          <w:p w14:paraId="20EAFB3F">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信号处理电路: 内置集成降噪芯片有效消除环境噪声；</w:t>
            </w:r>
          </w:p>
          <w:p w14:paraId="5A843BB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11．</w:t>
            </w:r>
            <w:r>
              <w:rPr>
                <w:rFonts w:hint="eastAsia" w:ascii="宋体" w:hAnsi="宋体" w:cs="宋体"/>
                <w:color w:val="auto"/>
                <w:kern w:val="0"/>
                <w:szCs w:val="21"/>
                <w:highlight w:val="none"/>
              </w:rPr>
              <w:t>保护电路: 具有极性保护、错接保护、雷击保护、ESD 保护等</w:t>
            </w:r>
            <w:r>
              <w:rPr>
                <w:rFonts w:ascii="宋体" w:hAnsi="宋体" w:cs="宋体"/>
                <w:color w:val="auto"/>
                <w:kern w:val="0"/>
                <w:szCs w:val="21"/>
                <w:highlight w:val="none"/>
              </w:rPr>
              <w:t>功能</w:t>
            </w:r>
            <w:r>
              <w:rPr>
                <w:rFonts w:hint="eastAsia" w:ascii="宋体" w:hAnsi="宋体" w:cs="宋体"/>
                <w:color w:val="auto"/>
                <w:kern w:val="0"/>
                <w:szCs w:val="21"/>
                <w:highlight w:val="none"/>
              </w:rPr>
              <w:t>；</w:t>
            </w:r>
          </w:p>
          <w:p w14:paraId="15908AED">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12．</w:t>
            </w:r>
            <w:r>
              <w:rPr>
                <w:rFonts w:hint="eastAsia" w:ascii="宋体" w:hAnsi="宋体" w:cs="宋体"/>
                <w:color w:val="auto"/>
                <w:kern w:val="0"/>
                <w:szCs w:val="21"/>
                <w:highlight w:val="none"/>
              </w:rPr>
              <w:t>接口:具有可靠</w:t>
            </w:r>
            <w:r>
              <w:rPr>
                <w:rFonts w:ascii="宋体" w:hAnsi="宋体" w:cs="宋体"/>
                <w:color w:val="auto"/>
                <w:kern w:val="0"/>
                <w:szCs w:val="21"/>
                <w:highlight w:val="none"/>
              </w:rPr>
              <w:t>的</w:t>
            </w:r>
            <w:r>
              <w:rPr>
                <w:rFonts w:hint="eastAsia" w:ascii="宋体" w:hAnsi="宋体" w:cs="宋体"/>
                <w:color w:val="auto"/>
                <w:kern w:val="0"/>
                <w:szCs w:val="21"/>
                <w:highlight w:val="none"/>
              </w:rPr>
              <w:t>电源接口、音频输出接口等；</w:t>
            </w:r>
          </w:p>
          <w:p w14:paraId="11A30C3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13．</w:t>
            </w:r>
            <w:r>
              <w:rPr>
                <w:rFonts w:hint="eastAsia" w:ascii="宋体" w:hAnsi="宋体" w:cs="宋体"/>
                <w:color w:val="auto"/>
                <w:kern w:val="0"/>
                <w:szCs w:val="21"/>
                <w:highlight w:val="none"/>
              </w:rPr>
              <w:t>传输线缆：配套</w:t>
            </w:r>
            <w:r>
              <w:rPr>
                <w:rFonts w:ascii="宋体" w:hAnsi="宋体" w:cs="宋体"/>
                <w:color w:val="auto"/>
                <w:kern w:val="0"/>
                <w:szCs w:val="21"/>
                <w:highlight w:val="none"/>
              </w:rPr>
              <w:t>提供</w:t>
            </w:r>
            <w:r>
              <w:rPr>
                <w:rFonts w:hint="eastAsia" w:ascii="宋体" w:hAnsi="宋体" w:cs="宋体"/>
                <w:color w:val="auto"/>
                <w:kern w:val="0"/>
                <w:szCs w:val="21"/>
                <w:highlight w:val="none"/>
              </w:rPr>
              <w:t>满足</w:t>
            </w:r>
            <w:r>
              <w:rPr>
                <w:rFonts w:ascii="宋体" w:hAnsi="宋体" w:cs="宋体"/>
                <w:color w:val="auto"/>
                <w:kern w:val="0"/>
                <w:szCs w:val="21"/>
                <w:highlight w:val="none"/>
              </w:rPr>
              <w:t>本项目实施</w:t>
            </w:r>
            <w:r>
              <w:rPr>
                <w:rFonts w:hint="eastAsia" w:ascii="宋体" w:hAnsi="宋体" w:cs="宋体"/>
                <w:color w:val="auto"/>
                <w:kern w:val="0"/>
                <w:szCs w:val="21"/>
                <w:highlight w:val="none"/>
              </w:rPr>
              <w:t>使用符合</w:t>
            </w:r>
            <w:r>
              <w:rPr>
                <w:rFonts w:ascii="宋体" w:hAnsi="宋体" w:cs="宋体"/>
                <w:color w:val="auto"/>
                <w:kern w:val="0"/>
                <w:szCs w:val="21"/>
                <w:highlight w:val="none"/>
              </w:rPr>
              <w:t>国家标准的</w:t>
            </w:r>
            <w:r>
              <w:rPr>
                <w:rFonts w:hint="eastAsia" w:ascii="宋体" w:hAnsi="宋体" w:cs="宋体"/>
                <w:color w:val="auto"/>
                <w:kern w:val="0"/>
                <w:szCs w:val="21"/>
                <w:highlight w:val="none"/>
              </w:rPr>
              <w:t>3芯0.5mm²RVVP屏蔽传输无氧铜电缆；</w:t>
            </w:r>
          </w:p>
          <w:p w14:paraId="291904F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14．采用铝合金外壳，整机防水等级：≥IP67；</w:t>
            </w:r>
          </w:p>
          <w:p w14:paraId="42D9F53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w:t>
            </w:r>
            <w:r>
              <w:rPr>
                <w:rFonts w:ascii="宋体" w:hAnsi="宋体" w:cs="宋体"/>
                <w:color w:val="auto"/>
                <w:kern w:val="0"/>
                <w:szCs w:val="21"/>
                <w:highlight w:val="none"/>
              </w:rPr>
              <w:t>提供</w:t>
            </w:r>
            <w:r>
              <w:rPr>
                <w:rFonts w:hint="eastAsia" w:ascii="宋体" w:hAnsi="宋体" w:cs="宋体"/>
                <w:color w:val="auto"/>
                <w:kern w:val="0"/>
                <w:szCs w:val="21"/>
                <w:highlight w:val="none"/>
              </w:rPr>
              <w:t>专用电源适配器，输入电压AC180V～230V时能</w:t>
            </w:r>
            <w:r>
              <w:rPr>
                <w:rFonts w:ascii="宋体" w:hAnsi="宋体" w:cs="宋体"/>
                <w:color w:val="auto"/>
                <w:kern w:val="0"/>
                <w:szCs w:val="21"/>
                <w:highlight w:val="none"/>
              </w:rPr>
              <w:t>稳定输出</w:t>
            </w:r>
            <w:r>
              <w:rPr>
                <w:rFonts w:hint="eastAsia" w:ascii="宋体" w:hAnsi="宋体" w:cs="宋体"/>
                <w:color w:val="auto"/>
                <w:kern w:val="0"/>
                <w:szCs w:val="21"/>
                <w:highlight w:val="none"/>
              </w:rPr>
              <w:t>满足</w:t>
            </w:r>
            <w:r>
              <w:rPr>
                <w:rFonts w:ascii="宋体" w:hAnsi="宋体" w:cs="宋体"/>
                <w:color w:val="auto"/>
                <w:kern w:val="0"/>
                <w:szCs w:val="21"/>
                <w:highlight w:val="none"/>
              </w:rPr>
              <w:t>设备</w:t>
            </w:r>
            <w:r>
              <w:rPr>
                <w:rFonts w:hint="eastAsia" w:ascii="宋体" w:hAnsi="宋体" w:cs="宋体"/>
                <w:color w:val="auto"/>
                <w:kern w:val="0"/>
                <w:szCs w:val="21"/>
                <w:highlight w:val="none"/>
              </w:rPr>
              <w:t>工作</w:t>
            </w:r>
            <w:r>
              <w:rPr>
                <w:rFonts w:ascii="宋体" w:hAnsi="宋体" w:cs="宋体"/>
                <w:color w:val="auto"/>
                <w:kern w:val="0"/>
                <w:szCs w:val="21"/>
                <w:highlight w:val="none"/>
              </w:rPr>
              <w:t>的</w:t>
            </w:r>
            <w:r>
              <w:rPr>
                <w:rFonts w:hint="eastAsia" w:ascii="宋体" w:hAnsi="宋体" w:cs="宋体"/>
                <w:color w:val="auto"/>
                <w:kern w:val="0"/>
                <w:szCs w:val="21"/>
                <w:highlight w:val="none"/>
              </w:rPr>
              <w:t>额定</w:t>
            </w:r>
            <w:r>
              <w:rPr>
                <w:rFonts w:ascii="宋体" w:hAnsi="宋体" w:cs="宋体"/>
                <w:color w:val="auto"/>
                <w:kern w:val="0"/>
                <w:szCs w:val="21"/>
                <w:highlight w:val="none"/>
              </w:rPr>
              <w:t>电压</w:t>
            </w:r>
            <w:r>
              <w:rPr>
                <w:rFonts w:hint="eastAsia" w:ascii="宋体" w:hAnsi="宋体" w:cs="宋体"/>
                <w:color w:val="auto"/>
                <w:kern w:val="0"/>
                <w:szCs w:val="21"/>
                <w:highlight w:val="none"/>
              </w:rPr>
              <w:t>。</w:t>
            </w:r>
          </w:p>
        </w:tc>
      </w:tr>
      <w:tr w14:paraId="50582B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0924AB0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5</w:t>
            </w:r>
          </w:p>
        </w:tc>
        <w:tc>
          <w:tcPr>
            <w:tcW w:w="1026" w:type="pct"/>
            <w:noWrap w:val="0"/>
            <w:vAlign w:val="center"/>
          </w:tcPr>
          <w:p w14:paraId="7D1861D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400万智能周界警戒摄像机</w:t>
            </w:r>
          </w:p>
        </w:tc>
        <w:tc>
          <w:tcPr>
            <w:tcW w:w="426" w:type="pct"/>
            <w:noWrap/>
            <w:vAlign w:val="center"/>
          </w:tcPr>
          <w:p w14:paraId="6D56429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19台</w:t>
            </w:r>
          </w:p>
        </w:tc>
        <w:tc>
          <w:tcPr>
            <w:tcW w:w="2953" w:type="pct"/>
            <w:noWrap w:val="0"/>
            <w:vAlign w:val="center"/>
          </w:tcPr>
          <w:p w14:paraId="56CBE83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1．分辨率≥2560×1440，具有CMOS传感器，靶面尺寸≥1/3英寸；</w:t>
            </w:r>
          </w:p>
          <w:p w14:paraId="14581F9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2．最低照度彩色≤0.005lx，黑白≤0.001lx，宽动态≥120dB；</w:t>
            </w:r>
          </w:p>
          <w:p w14:paraId="462A245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3．支持H.264、H.265视频编码格式，且具有High Profile编码能力，即</w:t>
            </w:r>
            <w:r>
              <w:rPr>
                <w:rFonts w:ascii="宋体" w:hAnsi="宋体" w:cs="宋体"/>
                <w:color w:val="auto"/>
                <w:kern w:val="0"/>
                <w:szCs w:val="21"/>
                <w:highlight w:val="none"/>
              </w:rPr>
              <w:t>高配置的</w:t>
            </w:r>
            <w:r>
              <w:rPr>
                <w:rFonts w:hint="eastAsia" w:ascii="宋体" w:hAnsi="宋体" w:cs="宋体"/>
                <w:color w:val="auto"/>
                <w:kern w:val="0"/>
                <w:szCs w:val="21"/>
                <w:highlight w:val="none"/>
              </w:rPr>
              <w:t>视频编码能力，</w:t>
            </w:r>
            <w:r>
              <w:rPr>
                <w:rFonts w:ascii="宋体" w:hAnsi="宋体" w:cs="宋体"/>
                <w:color w:val="auto"/>
                <w:kern w:val="0"/>
                <w:szCs w:val="21"/>
                <w:highlight w:val="none"/>
              </w:rPr>
              <w:t>满足</w:t>
            </w:r>
            <w:r>
              <w:rPr>
                <w:rFonts w:hint="eastAsia" w:ascii="宋体" w:hAnsi="宋体" w:cs="宋体"/>
                <w:color w:val="auto"/>
                <w:kern w:val="0"/>
                <w:szCs w:val="21"/>
                <w:highlight w:val="none"/>
              </w:rPr>
              <w:t>在</w:t>
            </w:r>
            <w:r>
              <w:rPr>
                <w:rFonts w:hint="eastAsia" w:ascii="MS Mincho" w:hAnsi="MS Mincho" w:eastAsia="MS Mincho" w:cs="MS Mincho"/>
                <w:color w:val="auto"/>
                <w:kern w:val="0"/>
                <w:szCs w:val="21"/>
                <w:highlight w:val="none"/>
              </w:rPr>
              <w:t>‌</w:t>
            </w:r>
            <w:r>
              <w:rPr>
                <w:rFonts w:hint="eastAsia" w:ascii="宋体" w:hAnsi="宋体" w:cs="宋体"/>
                <w:color w:val="auto"/>
                <w:kern w:val="0"/>
                <w:szCs w:val="21"/>
                <w:highlight w:val="none"/>
              </w:rPr>
              <w:t>相同或更低码率下提供更高视频画质；</w:t>
            </w:r>
          </w:p>
          <w:p w14:paraId="4258749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4．支持三码流技术，可同时输出三路码流，主码流≥2688×1520@30fps，第三码流≥1280×720 @ 30fps，子码流≥640×480@30fps；</w:t>
            </w:r>
          </w:p>
          <w:p w14:paraId="510C865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5．支持智能报警防干扰功能，当智能分析行为类型为区域入侵、越界、进入区域、离开区域时，如将报警检测目标设置为人体或车辆时，在设定的检测区域内出现光线明暗变化，篮球滚动，猫狗</w:t>
            </w:r>
            <w:r>
              <w:rPr>
                <w:rFonts w:ascii="宋体" w:hAnsi="宋体" w:cs="宋体"/>
                <w:color w:val="auto"/>
                <w:kern w:val="0"/>
                <w:szCs w:val="21"/>
                <w:highlight w:val="none"/>
              </w:rPr>
              <w:t>类</w:t>
            </w:r>
            <w:r>
              <w:rPr>
                <w:rFonts w:hint="eastAsia" w:ascii="宋体" w:hAnsi="宋体" w:cs="宋体"/>
                <w:color w:val="auto"/>
                <w:kern w:val="0"/>
                <w:szCs w:val="21"/>
                <w:highlight w:val="none"/>
              </w:rPr>
              <w:t>动物行走，树摇晃情况时，不触发报警，只有</w:t>
            </w:r>
            <w:r>
              <w:rPr>
                <w:rFonts w:ascii="宋体" w:hAnsi="宋体" w:cs="宋体"/>
                <w:color w:val="auto"/>
                <w:kern w:val="0"/>
                <w:szCs w:val="21"/>
                <w:highlight w:val="none"/>
              </w:rPr>
              <w:t>目标</w:t>
            </w:r>
            <w:r>
              <w:rPr>
                <w:rFonts w:hint="eastAsia" w:ascii="宋体" w:hAnsi="宋体" w:cs="宋体"/>
                <w:color w:val="auto"/>
                <w:kern w:val="0"/>
                <w:szCs w:val="21"/>
                <w:highlight w:val="none"/>
              </w:rPr>
              <w:t>出现</w:t>
            </w:r>
            <w:r>
              <w:rPr>
                <w:rFonts w:ascii="宋体" w:hAnsi="宋体" w:cs="宋体"/>
                <w:color w:val="auto"/>
                <w:kern w:val="0"/>
                <w:szCs w:val="21"/>
                <w:highlight w:val="none"/>
              </w:rPr>
              <w:t>才触发报警，</w:t>
            </w:r>
            <w:r>
              <w:rPr>
                <w:rFonts w:hint="eastAsia" w:ascii="宋体" w:hAnsi="宋体" w:cs="宋体"/>
                <w:color w:val="auto"/>
                <w:kern w:val="0"/>
                <w:szCs w:val="21"/>
                <w:highlight w:val="none"/>
              </w:rPr>
              <w:t>同时可联动声音警报，报警声音类型不低于12种，并支持导入自定义语音，报警音量和重复次数可设置；</w:t>
            </w:r>
          </w:p>
          <w:p w14:paraId="7D0D655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6．支持背光补偿、强光抑制、3D数字降噪、透雾等功能，支持智能补光，可切换白光灯、红外灯；</w:t>
            </w:r>
          </w:p>
          <w:p w14:paraId="2A7AFF2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7．支持像素放大数显示功能，可通过客户端浏览器显示监视画面中放大</w:t>
            </w:r>
            <w:r>
              <w:rPr>
                <w:rFonts w:ascii="宋体" w:hAnsi="宋体" w:cs="宋体"/>
                <w:color w:val="auto"/>
                <w:kern w:val="0"/>
                <w:szCs w:val="21"/>
                <w:highlight w:val="none"/>
              </w:rPr>
              <w:t>显示</w:t>
            </w:r>
            <w:r>
              <w:rPr>
                <w:rFonts w:hint="eastAsia" w:ascii="宋体" w:hAnsi="宋体" w:cs="宋体"/>
                <w:color w:val="auto"/>
                <w:kern w:val="0"/>
                <w:szCs w:val="21"/>
                <w:highlight w:val="none"/>
              </w:rPr>
              <w:t>鼠标所选区域水平及垂直方向的像素数，可在预览画面页开启/关闭“快捷配置”页面，页面打开后，支持配置场景参数、常用图像参数、OSD配置、音视频参数、智能资源分配参数等，并支持恢复默认操作；</w:t>
            </w:r>
          </w:p>
          <w:p w14:paraId="6ACEDA2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8．可通过浏览器或客户端调节饱和度、亮度、对比度、锐度、白平衡等参数；</w:t>
            </w:r>
          </w:p>
          <w:p w14:paraId="157AB46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9．支持场景变更侦测，区域入侵侦测，越界侦测，进入区域侦测，离开区域侦测功能，支持音频异常侦测，音频抖升侦测，音频抖降侦测；</w:t>
            </w:r>
          </w:p>
          <w:p w14:paraId="5402012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10．支持虚焦侦测功能，当调整焦距使监视画面不清晰时，可通过客户端浏览器给出报警提示；</w:t>
            </w:r>
          </w:p>
          <w:p w14:paraId="52BADE9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11．具有移动侦测报警触发功能，能对画面物体的移动进行分析，并及时发出报警信息；</w:t>
            </w:r>
          </w:p>
          <w:p w14:paraId="39E9D3D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12．支持多路访问功能，在同一客户端上，可；开启≥6个视频窗口进行画面浏览；</w:t>
            </w:r>
          </w:p>
          <w:p w14:paraId="4AA06CE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13．内置≥1个麦克风，≥1个扬声器，支持双向语音对讲；</w:t>
            </w:r>
          </w:p>
          <w:p w14:paraId="5800E13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14．防护等级≥IP66，支持POE、DC12V供电，并提供原厂配置的</w:t>
            </w:r>
            <w:r>
              <w:rPr>
                <w:rFonts w:ascii="宋体" w:hAnsi="宋体" w:cs="宋体"/>
                <w:color w:val="auto"/>
                <w:kern w:val="0"/>
                <w:szCs w:val="21"/>
                <w:highlight w:val="none"/>
              </w:rPr>
              <w:t>AC220V转DC12V电源适配器，满足摄像头安装使用需求。</w:t>
            </w:r>
          </w:p>
        </w:tc>
      </w:tr>
      <w:tr w14:paraId="4ADB42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F892D01">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6</w:t>
            </w:r>
          </w:p>
        </w:tc>
        <w:tc>
          <w:tcPr>
            <w:tcW w:w="1026" w:type="pct"/>
            <w:noWrap/>
            <w:vAlign w:val="center"/>
          </w:tcPr>
          <w:p w14:paraId="448BDFF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枪机壁挂支架</w:t>
            </w:r>
          </w:p>
        </w:tc>
        <w:tc>
          <w:tcPr>
            <w:tcW w:w="426" w:type="pct"/>
            <w:noWrap/>
            <w:vAlign w:val="center"/>
          </w:tcPr>
          <w:p w14:paraId="33D288F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19个</w:t>
            </w:r>
          </w:p>
        </w:tc>
        <w:tc>
          <w:tcPr>
            <w:tcW w:w="2953" w:type="pct"/>
            <w:noWrap w:val="0"/>
            <w:vAlign w:val="center"/>
          </w:tcPr>
          <w:p w14:paraId="7266BFC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1．枪机壁挂支架，铝合金材质，</w:t>
            </w:r>
            <w:r>
              <w:rPr>
                <w:rFonts w:ascii="宋体" w:hAnsi="宋体" w:cs="宋体"/>
                <w:color w:val="auto"/>
                <w:kern w:val="0"/>
                <w:szCs w:val="21"/>
                <w:highlight w:val="none"/>
              </w:rPr>
              <w:t>满足</w:t>
            </w:r>
            <w:r>
              <w:rPr>
                <w:rFonts w:hint="eastAsia" w:ascii="宋体" w:hAnsi="宋体" w:cs="宋体"/>
                <w:color w:val="auto"/>
                <w:kern w:val="0"/>
                <w:szCs w:val="21"/>
                <w:highlight w:val="none"/>
              </w:rPr>
              <w:t>本项目</w:t>
            </w:r>
            <w:r>
              <w:rPr>
                <w:rFonts w:ascii="宋体" w:hAnsi="宋体" w:cs="宋体"/>
                <w:color w:val="auto"/>
                <w:kern w:val="0"/>
                <w:szCs w:val="21"/>
                <w:highlight w:val="none"/>
              </w:rPr>
              <w:t>的“1.3.5</w:t>
            </w:r>
            <w:r>
              <w:rPr>
                <w:rFonts w:ascii="宋体" w:hAnsi="宋体" w:cs="宋体"/>
                <w:color w:val="auto"/>
                <w:kern w:val="0"/>
                <w:szCs w:val="21"/>
                <w:highlight w:val="none"/>
              </w:rPr>
              <w:tab/>
            </w:r>
            <w:r>
              <w:rPr>
                <w:rFonts w:ascii="宋体" w:hAnsi="宋体" w:cs="宋体"/>
                <w:color w:val="auto"/>
                <w:kern w:val="0"/>
                <w:szCs w:val="21"/>
                <w:highlight w:val="none"/>
              </w:rPr>
              <w:t>400万智能周界警戒摄像机”设备</w:t>
            </w:r>
            <w:r>
              <w:rPr>
                <w:rFonts w:hint="eastAsia" w:ascii="宋体" w:hAnsi="宋体" w:cs="宋体"/>
                <w:color w:val="auto"/>
                <w:kern w:val="0"/>
                <w:szCs w:val="21"/>
                <w:highlight w:val="none"/>
              </w:rPr>
              <w:t>安全</w:t>
            </w:r>
            <w:r>
              <w:rPr>
                <w:rFonts w:ascii="宋体" w:hAnsi="宋体" w:cs="宋体"/>
                <w:color w:val="auto"/>
                <w:kern w:val="0"/>
                <w:szCs w:val="21"/>
                <w:highlight w:val="none"/>
              </w:rPr>
              <w:t>可靠安装</w:t>
            </w:r>
            <w:r>
              <w:rPr>
                <w:rFonts w:hint="eastAsia" w:ascii="宋体" w:hAnsi="宋体" w:cs="宋体"/>
                <w:color w:val="auto"/>
                <w:kern w:val="0"/>
                <w:szCs w:val="21"/>
                <w:highlight w:val="none"/>
              </w:rPr>
              <w:t>要求；</w:t>
            </w:r>
          </w:p>
          <w:p w14:paraId="5E91E908">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按照</w:t>
            </w:r>
            <w:r>
              <w:rPr>
                <w:rFonts w:ascii="宋体" w:hAnsi="宋体" w:cs="宋体"/>
                <w:color w:val="auto"/>
                <w:kern w:val="0"/>
                <w:szCs w:val="21"/>
                <w:highlight w:val="none"/>
              </w:rPr>
              <w:t>采购人要求，提供“1.3.5</w:t>
            </w:r>
            <w:r>
              <w:rPr>
                <w:rFonts w:ascii="宋体" w:hAnsi="宋体" w:cs="宋体"/>
                <w:color w:val="auto"/>
                <w:kern w:val="0"/>
                <w:szCs w:val="21"/>
                <w:highlight w:val="none"/>
              </w:rPr>
              <w:tab/>
            </w:r>
            <w:r>
              <w:rPr>
                <w:rFonts w:ascii="宋体" w:hAnsi="宋体" w:cs="宋体"/>
                <w:color w:val="auto"/>
                <w:kern w:val="0"/>
                <w:szCs w:val="21"/>
                <w:highlight w:val="none"/>
              </w:rPr>
              <w:t>400万智能周界警戒摄像机”设备安装</w:t>
            </w:r>
            <w:r>
              <w:rPr>
                <w:rFonts w:hint="eastAsia" w:ascii="宋体" w:hAnsi="宋体" w:cs="宋体"/>
                <w:color w:val="auto"/>
                <w:kern w:val="0"/>
                <w:szCs w:val="21"/>
                <w:highlight w:val="none"/>
              </w:rPr>
              <w:t>调试服务。</w:t>
            </w:r>
          </w:p>
        </w:tc>
      </w:tr>
      <w:tr w14:paraId="6A18D5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BF7228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7</w:t>
            </w:r>
          </w:p>
        </w:tc>
        <w:tc>
          <w:tcPr>
            <w:tcW w:w="1026" w:type="pct"/>
            <w:noWrap w:val="0"/>
            <w:vAlign w:val="center"/>
          </w:tcPr>
          <w:p w14:paraId="22D67382">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高清解码控制器</w:t>
            </w:r>
          </w:p>
        </w:tc>
        <w:tc>
          <w:tcPr>
            <w:tcW w:w="426" w:type="pct"/>
            <w:noWrap/>
            <w:vAlign w:val="center"/>
          </w:tcPr>
          <w:p w14:paraId="137C8346">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台</w:t>
            </w:r>
          </w:p>
        </w:tc>
        <w:tc>
          <w:tcPr>
            <w:tcW w:w="2953" w:type="pct"/>
            <w:noWrap w:val="0"/>
            <w:vAlign w:val="center"/>
          </w:tcPr>
          <w:p w14:paraId="1DF814C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1．采用嵌入式纯硬件架构,无需其他操作系统；</w:t>
            </w:r>
          </w:p>
          <w:p w14:paraId="580E693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2．HDMI输入≥4路，HDMI输出≥20路；</w:t>
            </w:r>
          </w:p>
          <w:p w14:paraId="6144351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3．支持客户端软件上添加、删除、修改用户。可为不同用户设置不同画面管理区域，包括资源权限、配置权限、操作权限，支持设置≥32个用户；</w:t>
            </w:r>
          </w:p>
          <w:p w14:paraId="64E16FC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4．支持选中取流成功的窗口操作远程云台功能；</w:t>
            </w:r>
          </w:p>
          <w:p w14:paraId="175C55E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▲5．支持将远程笔记本桌面进行整屏、单窗口抓屏上墙，实时画面帧率≥30fps: 支持同时8路4K(3840x2160)信号上墙显示，且上墙前后CPU占用率无明显变化；支持在电视墙进行8画面分割显示；</w:t>
            </w:r>
          </w:p>
          <w:p w14:paraId="674E609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▲6．支持通过客户端预编辑操作。预编辑不实时上墙，待完成编辑后经</w:t>
            </w:r>
            <w:r>
              <w:rPr>
                <w:rFonts w:ascii="宋体" w:hAnsi="宋体" w:cs="宋体"/>
                <w:color w:val="auto"/>
                <w:kern w:val="0"/>
                <w:szCs w:val="21"/>
                <w:highlight w:val="none"/>
              </w:rPr>
              <w:t>确认才</w:t>
            </w:r>
            <w:r>
              <w:rPr>
                <w:rFonts w:hint="eastAsia" w:ascii="宋体" w:hAnsi="宋体" w:cs="宋体"/>
                <w:color w:val="auto"/>
                <w:kern w:val="0"/>
                <w:szCs w:val="21"/>
                <w:highlight w:val="none"/>
              </w:rPr>
              <w:t>切换上墙； 预编辑操作包括窗口操作(开关窗、漫游、缩放、分屏、置顶、置底、子窗口放大还原、启停解码)、上墙操作(本地信号源、网络源上墙、单窗口轮巡、多窗口轮巡)、字幕操作(开启、关闭、设置参数)；单墙预编辑操作的过程中其他电视墙不受影响；</w:t>
            </w:r>
          </w:p>
          <w:p w14:paraId="1EE9109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7．</w:t>
            </w:r>
            <w:r>
              <w:rPr>
                <w:rFonts w:hint="eastAsia" w:ascii="宋体" w:hAnsi="宋体" w:cs="宋体"/>
                <w:color w:val="auto"/>
                <w:kern w:val="0"/>
                <w:szCs w:val="21"/>
                <w:highlight w:val="none"/>
              </w:rPr>
              <w:t>支持对接入视频图像进行1/4/6/8/9/16/25画面分割显示,视频切换流畅无黑屏；整机支持≥8张解码板，支持≥512个窗口输出显示；</w:t>
            </w:r>
          </w:p>
          <w:p w14:paraId="1025E2D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8．</w:t>
            </w:r>
            <w:r>
              <w:rPr>
                <w:rFonts w:hint="eastAsia" w:ascii="宋体" w:hAnsi="宋体" w:cs="宋体"/>
                <w:color w:val="auto"/>
                <w:kern w:val="0"/>
                <w:szCs w:val="21"/>
                <w:highlight w:val="none"/>
              </w:rPr>
              <w:t>具有窗口叠加功能，可调整叠加窗口顺序，可设置置顶窗口，置顶窗口始终位于最顶层；支持任意一路信号跨屏拼接、漫游、缩放、图层叠加显示功能；单输出口最大支持2个4K(3840x2160)像素图层或者4个1080P(1920x1080)像素图层。</w:t>
            </w:r>
          </w:p>
          <w:p w14:paraId="3AAD54BB">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支持日期时间和字符两种字符叠加(OSD)类型配置。支持手动启用或停用OSD； 日期时间OSD支持修改日期格式和时间格式；字符叠加OSD支持自定义OSD内容，并支持修改字体大小、字体颜色和OSD显示位置坐标；支持将一个本地信号源的OSD配置参数复制到其他通道进行批量配置；客户端可实时预览叠加 OSD 的图像。</w:t>
            </w:r>
          </w:p>
          <w:p w14:paraId="4454E7A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0</w:t>
            </w:r>
            <w:r>
              <w:rPr>
                <w:rFonts w:hint="eastAsia" w:ascii="宋体" w:hAnsi="宋体" w:cs="宋体"/>
                <w:color w:val="auto"/>
                <w:kern w:val="0"/>
                <w:szCs w:val="21"/>
                <w:highlight w:val="none"/>
              </w:rPr>
              <w:t>．支持虚拟LED字幕功能，支持设置字体颜色、背景颜色，滚动和静止模式，滚动速度，滚动的情况下要求流畅无卡顿；字幕内容输入支持中英文字符，支持换行；设备支持时钟数字显示，时间为设备自身时间；支持配置显示年月日时分秒的样式以及12/24时间制式；</w:t>
            </w:r>
          </w:p>
          <w:p w14:paraId="2CAAE1E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11．</w:t>
            </w:r>
            <w:r>
              <w:rPr>
                <w:rFonts w:hint="eastAsia" w:ascii="宋体" w:hAnsi="宋体" w:cs="宋体"/>
                <w:color w:val="auto"/>
                <w:kern w:val="0"/>
                <w:szCs w:val="21"/>
                <w:highlight w:val="none"/>
              </w:rPr>
              <w:t>整机支持</w:t>
            </w:r>
            <w:r>
              <w:rPr>
                <w:rFonts w:ascii="宋体" w:hAnsi="宋体" w:cs="宋体"/>
                <w:color w:val="auto"/>
                <w:kern w:val="0"/>
                <w:szCs w:val="21"/>
                <w:highlight w:val="none"/>
              </w:rPr>
              <w:t>H</w:t>
            </w:r>
            <w:r>
              <w:rPr>
                <w:rFonts w:ascii="宋体" w:hAnsi="宋体" w:cs="宋体"/>
                <w:color w:val="auto"/>
                <w:kern w:val="0"/>
                <w:szCs w:val="21"/>
                <w:highlight w:val="none"/>
                <w:lang w:val="en"/>
              </w:rPr>
              <w:t>.</w:t>
            </w:r>
            <w:r>
              <w:rPr>
                <w:rFonts w:ascii="宋体" w:hAnsi="宋体" w:cs="宋体"/>
                <w:color w:val="auto"/>
                <w:kern w:val="0"/>
                <w:szCs w:val="21"/>
                <w:highlight w:val="none"/>
              </w:rPr>
              <w:t>264</w:t>
            </w:r>
            <w:r>
              <w:rPr>
                <w:rFonts w:hint="eastAsia" w:ascii="宋体" w:hAnsi="宋体" w:cs="宋体"/>
                <w:color w:val="auto"/>
                <w:kern w:val="0"/>
                <w:szCs w:val="21"/>
                <w:highlight w:val="none"/>
              </w:rPr>
              <w:t>、</w:t>
            </w:r>
            <w:r>
              <w:rPr>
                <w:rFonts w:ascii="宋体" w:hAnsi="宋体" w:cs="宋体"/>
                <w:color w:val="auto"/>
                <w:kern w:val="0"/>
                <w:szCs w:val="21"/>
                <w:highlight w:val="none"/>
              </w:rPr>
              <w:t>H</w:t>
            </w:r>
            <w:r>
              <w:rPr>
                <w:rFonts w:ascii="宋体" w:hAnsi="宋体" w:cs="宋体"/>
                <w:color w:val="auto"/>
                <w:kern w:val="0"/>
                <w:szCs w:val="21"/>
                <w:highlight w:val="none"/>
                <w:lang w:val="en"/>
              </w:rPr>
              <w:t>.</w:t>
            </w:r>
            <w:r>
              <w:rPr>
                <w:rFonts w:ascii="宋体" w:hAnsi="宋体" w:cs="宋体"/>
                <w:color w:val="auto"/>
                <w:kern w:val="0"/>
                <w:szCs w:val="21"/>
                <w:highlight w:val="none"/>
              </w:rPr>
              <w:t>265</w:t>
            </w:r>
            <w:r>
              <w:rPr>
                <w:rFonts w:hint="eastAsia" w:ascii="宋体" w:hAnsi="宋体" w:cs="宋体"/>
                <w:color w:val="auto"/>
                <w:kern w:val="0"/>
                <w:szCs w:val="21"/>
                <w:highlight w:val="none"/>
              </w:rPr>
              <w:t>、</w:t>
            </w:r>
            <w:r>
              <w:rPr>
                <w:rFonts w:ascii="宋体" w:hAnsi="宋体" w:cs="宋体"/>
                <w:color w:val="auto"/>
                <w:kern w:val="0"/>
                <w:szCs w:val="21"/>
                <w:highlight w:val="none"/>
              </w:rPr>
              <w:t>Smart</w:t>
            </w:r>
            <w:r>
              <w:rPr>
                <w:rFonts w:ascii="宋体" w:hAnsi="宋体" w:cs="宋体"/>
                <w:color w:val="auto"/>
                <w:kern w:val="0"/>
                <w:szCs w:val="21"/>
                <w:highlight w:val="none"/>
                <w:lang w:val="en"/>
              </w:rPr>
              <w:t>.</w:t>
            </w:r>
            <w:r>
              <w:rPr>
                <w:rFonts w:ascii="宋体" w:hAnsi="宋体" w:cs="宋体"/>
                <w:color w:val="auto"/>
                <w:kern w:val="0"/>
                <w:szCs w:val="21"/>
                <w:highlight w:val="none"/>
              </w:rPr>
              <w:t>264</w:t>
            </w:r>
            <w:r>
              <w:rPr>
                <w:rFonts w:hint="eastAsia" w:ascii="宋体" w:hAnsi="宋体" w:cs="宋体"/>
                <w:color w:val="auto"/>
                <w:kern w:val="0"/>
                <w:szCs w:val="21"/>
                <w:highlight w:val="none"/>
              </w:rPr>
              <w:t>、</w:t>
            </w:r>
            <w:r>
              <w:rPr>
                <w:rFonts w:ascii="宋体" w:hAnsi="宋体" w:cs="宋体"/>
                <w:color w:val="auto"/>
                <w:kern w:val="0"/>
                <w:szCs w:val="21"/>
                <w:highlight w:val="none"/>
              </w:rPr>
              <w:t>Smart</w:t>
            </w:r>
            <w:r>
              <w:rPr>
                <w:rFonts w:ascii="宋体" w:hAnsi="宋体" w:cs="宋体"/>
                <w:color w:val="auto"/>
                <w:kern w:val="0"/>
                <w:szCs w:val="21"/>
                <w:highlight w:val="none"/>
                <w:lang w:val="en"/>
              </w:rPr>
              <w:t>.</w:t>
            </w:r>
            <w:r>
              <w:rPr>
                <w:rFonts w:ascii="宋体" w:hAnsi="宋体" w:cs="宋体"/>
                <w:color w:val="auto"/>
                <w:kern w:val="0"/>
                <w:szCs w:val="21"/>
                <w:highlight w:val="none"/>
              </w:rPr>
              <w:t>265格式</w:t>
            </w:r>
            <w:r>
              <w:rPr>
                <w:rFonts w:hint="eastAsia" w:ascii="宋体" w:hAnsi="宋体" w:cs="宋体"/>
                <w:color w:val="auto"/>
                <w:kern w:val="0"/>
                <w:szCs w:val="21"/>
                <w:highlight w:val="none"/>
              </w:rPr>
              <w:t>监控</w:t>
            </w:r>
            <w:r>
              <w:rPr>
                <w:rFonts w:ascii="宋体" w:hAnsi="宋体" w:cs="宋体"/>
                <w:color w:val="auto"/>
                <w:kern w:val="0"/>
                <w:szCs w:val="21"/>
                <w:highlight w:val="none"/>
              </w:rPr>
              <w:t>视频</w:t>
            </w:r>
            <w:r>
              <w:rPr>
                <w:rFonts w:hint="eastAsia" w:ascii="宋体" w:hAnsi="宋体" w:cs="宋体"/>
                <w:color w:val="auto"/>
                <w:kern w:val="0"/>
                <w:szCs w:val="21"/>
                <w:highlight w:val="none"/>
              </w:rPr>
              <w:t>信号解码，配足解码</w:t>
            </w:r>
            <w:r>
              <w:rPr>
                <w:rFonts w:ascii="宋体" w:hAnsi="宋体" w:cs="宋体"/>
                <w:color w:val="auto"/>
                <w:kern w:val="0"/>
                <w:szCs w:val="21"/>
                <w:highlight w:val="none"/>
              </w:rPr>
              <w:t>板卡</w:t>
            </w:r>
            <w:r>
              <w:rPr>
                <w:rFonts w:hint="eastAsia" w:ascii="宋体" w:hAnsi="宋体" w:cs="宋体"/>
                <w:color w:val="auto"/>
                <w:kern w:val="0"/>
                <w:szCs w:val="21"/>
                <w:highlight w:val="none"/>
              </w:rPr>
              <w:t>后</w:t>
            </w:r>
            <w:r>
              <w:rPr>
                <w:rFonts w:ascii="宋体" w:hAnsi="宋体" w:cs="宋体"/>
                <w:color w:val="auto"/>
                <w:kern w:val="0"/>
                <w:szCs w:val="21"/>
                <w:highlight w:val="none"/>
              </w:rPr>
              <w:t>解码</w:t>
            </w:r>
            <w:r>
              <w:rPr>
                <w:rFonts w:hint="eastAsia" w:ascii="宋体" w:hAnsi="宋体" w:cs="宋体"/>
                <w:color w:val="auto"/>
                <w:kern w:val="0"/>
                <w:szCs w:val="21"/>
                <w:highlight w:val="none"/>
              </w:rPr>
              <w:t>能力</w:t>
            </w:r>
            <w:r>
              <w:rPr>
                <w:rFonts w:ascii="宋体" w:hAnsi="宋体" w:cs="宋体"/>
                <w:color w:val="auto"/>
                <w:kern w:val="0"/>
                <w:szCs w:val="21"/>
                <w:highlight w:val="none"/>
              </w:rPr>
              <w:t>≥16路3200W/2400W，或≥40 路1600W，或≥40路1200W，或≥64路800W，或≥80路600W，或≥80路400W，或≥256路1080P，或≥512路720P/D1 及以下分辨率实时解码</w:t>
            </w:r>
            <w:r>
              <w:rPr>
                <w:rFonts w:hint="eastAsia" w:ascii="宋体" w:hAnsi="宋体" w:cs="宋体"/>
                <w:color w:val="auto"/>
                <w:kern w:val="0"/>
                <w:szCs w:val="21"/>
                <w:highlight w:val="none"/>
              </w:rPr>
              <w:t>。</w:t>
            </w:r>
          </w:p>
          <w:p w14:paraId="01848B9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2</w:t>
            </w:r>
            <w:r>
              <w:rPr>
                <w:rFonts w:hint="eastAsia" w:ascii="宋体" w:hAnsi="宋体" w:cs="宋体"/>
                <w:color w:val="auto"/>
                <w:kern w:val="0"/>
                <w:szCs w:val="21"/>
                <w:highlight w:val="none"/>
              </w:rPr>
              <w:t>．输入</w:t>
            </w:r>
            <w:r>
              <w:rPr>
                <w:rFonts w:ascii="宋体" w:hAnsi="宋体" w:cs="宋体"/>
                <w:color w:val="auto"/>
                <w:kern w:val="0"/>
                <w:szCs w:val="21"/>
                <w:highlight w:val="none"/>
              </w:rPr>
              <w:t>信号</w:t>
            </w:r>
            <w:r>
              <w:rPr>
                <w:rFonts w:hint="eastAsia" w:ascii="宋体" w:hAnsi="宋体" w:cs="宋体"/>
                <w:color w:val="auto"/>
                <w:kern w:val="0"/>
                <w:szCs w:val="21"/>
                <w:highlight w:val="none"/>
              </w:rPr>
              <w:t>分辨率至少</w:t>
            </w:r>
            <w:r>
              <w:rPr>
                <w:rFonts w:ascii="宋体" w:hAnsi="宋体" w:cs="宋体"/>
                <w:color w:val="auto"/>
                <w:kern w:val="0"/>
                <w:szCs w:val="21"/>
                <w:highlight w:val="none"/>
              </w:rPr>
              <w:t>覆盖</w:t>
            </w:r>
            <w:r>
              <w:rPr>
                <w:rFonts w:hint="eastAsia" w:ascii="宋体" w:hAnsi="宋体" w:cs="宋体"/>
                <w:color w:val="auto"/>
                <w:kern w:val="0"/>
                <w:szCs w:val="21"/>
                <w:highlight w:val="none"/>
              </w:rPr>
              <w:t>:1024x768@60Hz、1280x1024@60Hz、1366x768@60Hz、1440x900@60Hz、1680X1050@60Hz、1280X960@60Hz、1600x1200@60Hz、1280x720P@50Hz、1280x720P@60Hz、1920x1080P@50Hz、1920x1080P@60Hz、1920x1200@60Hz、3840X2160@30Hz等</w:t>
            </w:r>
            <w:r>
              <w:rPr>
                <w:rFonts w:ascii="宋体" w:hAnsi="宋体" w:cs="宋体"/>
                <w:color w:val="auto"/>
                <w:kern w:val="0"/>
                <w:szCs w:val="21"/>
                <w:highlight w:val="none"/>
              </w:rPr>
              <w:t>分辨率</w:t>
            </w:r>
            <w:r>
              <w:rPr>
                <w:rFonts w:hint="eastAsia" w:ascii="宋体" w:hAnsi="宋体" w:cs="宋体"/>
                <w:color w:val="auto"/>
                <w:kern w:val="0"/>
                <w:szCs w:val="21"/>
                <w:highlight w:val="none"/>
              </w:rPr>
              <w:t>。</w:t>
            </w:r>
          </w:p>
          <w:p w14:paraId="787A318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13．</w:t>
            </w:r>
            <w:r>
              <w:rPr>
                <w:rFonts w:hint="eastAsia" w:ascii="宋体" w:hAnsi="宋体" w:cs="宋体"/>
                <w:color w:val="auto"/>
                <w:kern w:val="0"/>
                <w:szCs w:val="21"/>
                <w:highlight w:val="none"/>
              </w:rPr>
              <w:t>支持电源冗余设置，支持(1+1)冗余电源，当一路电源模块出现异常时，系统可以自动无缝切换到备用电源模块，电源切换过程系统运行不受影响。支持获取序列号、软件版本、工作时长设备温度等屏幕关键信息；支持控制拼接屏开关；支持获取并调节屏幕背光；支持获取并调节屏幕图像模式。</w:t>
            </w:r>
          </w:p>
        </w:tc>
      </w:tr>
      <w:tr w14:paraId="6A6BD7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680E01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8</w:t>
            </w:r>
          </w:p>
        </w:tc>
        <w:tc>
          <w:tcPr>
            <w:tcW w:w="1026" w:type="pct"/>
            <w:noWrap w:val="0"/>
            <w:vAlign w:val="center"/>
          </w:tcPr>
          <w:p w14:paraId="677D82B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3.5米立杆</w:t>
            </w:r>
          </w:p>
        </w:tc>
        <w:tc>
          <w:tcPr>
            <w:tcW w:w="426" w:type="pct"/>
            <w:noWrap/>
            <w:vAlign w:val="center"/>
          </w:tcPr>
          <w:p w14:paraId="47A20890">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2根</w:t>
            </w:r>
          </w:p>
        </w:tc>
        <w:tc>
          <w:tcPr>
            <w:tcW w:w="2953" w:type="pct"/>
            <w:noWrap w:val="0"/>
            <w:vAlign w:val="center"/>
          </w:tcPr>
          <w:p w14:paraId="65E9D727">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属于≥3.5米监控摄像头安装组合立杆；</w:t>
            </w:r>
          </w:p>
          <w:p w14:paraId="6539CDD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2．立杆</w:t>
            </w:r>
            <w:r>
              <w:rPr>
                <w:rFonts w:ascii="宋体" w:hAnsi="宋体" w:cs="宋体"/>
                <w:color w:val="auto"/>
                <w:kern w:val="0"/>
                <w:szCs w:val="21"/>
                <w:highlight w:val="none"/>
              </w:rPr>
              <w:t>采用</w:t>
            </w:r>
            <w:r>
              <w:rPr>
                <w:rFonts w:hint="eastAsia" w:ascii="宋体" w:hAnsi="宋体" w:cs="宋体"/>
                <w:color w:val="auto"/>
                <w:kern w:val="0"/>
                <w:szCs w:val="21"/>
                <w:highlight w:val="none"/>
              </w:rPr>
              <w:t>热镀锌管，</w:t>
            </w:r>
            <w:r>
              <w:rPr>
                <w:rFonts w:ascii="宋体" w:hAnsi="宋体" w:cs="宋体"/>
                <w:color w:val="auto"/>
                <w:kern w:val="0"/>
                <w:szCs w:val="21"/>
                <w:highlight w:val="none"/>
              </w:rPr>
              <w:t>管径</w:t>
            </w:r>
            <w:r>
              <w:rPr>
                <w:rFonts w:hint="eastAsia" w:ascii="宋体" w:hAnsi="宋体" w:cs="宋体"/>
                <w:color w:val="auto"/>
                <w:kern w:val="0"/>
                <w:szCs w:val="21"/>
                <w:highlight w:val="none"/>
              </w:rPr>
              <w:t>为114mm-76mm，管壁厚≥2mm；</w:t>
            </w:r>
          </w:p>
          <w:p w14:paraId="7C5150D8">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3．立杆</w:t>
            </w:r>
            <w:r>
              <w:rPr>
                <w:rFonts w:hint="eastAsia" w:ascii="宋体" w:hAnsi="宋体" w:cs="宋体"/>
                <w:color w:val="auto"/>
                <w:kern w:val="0"/>
                <w:szCs w:val="21"/>
                <w:highlight w:val="none"/>
              </w:rPr>
              <w:t>底座与</w:t>
            </w:r>
            <w:r>
              <w:rPr>
                <w:rFonts w:ascii="宋体" w:hAnsi="宋体" w:cs="宋体"/>
                <w:color w:val="auto"/>
                <w:kern w:val="0"/>
                <w:szCs w:val="21"/>
                <w:highlight w:val="none"/>
              </w:rPr>
              <w:t>立杆采用无缝焊接在一起，底座</w:t>
            </w:r>
            <w:r>
              <w:rPr>
                <w:rFonts w:hint="eastAsia" w:ascii="宋体" w:hAnsi="宋体" w:cs="宋体"/>
                <w:color w:val="auto"/>
                <w:kern w:val="0"/>
                <w:szCs w:val="21"/>
                <w:highlight w:val="none"/>
              </w:rPr>
              <w:t>≥</w:t>
            </w:r>
            <w:r>
              <w:rPr>
                <w:rFonts w:ascii="Cambria" w:hAnsi="Cambria" w:cs="Cambria"/>
                <w:color w:val="auto"/>
                <w:kern w:val="0"/>
                <w:szCs w:val="21"/>
                <w:highlight w:val="none"/>
              </w:rPr>
              <w:t>⌀</w:t>
            </w:r>
            <w:r>
              <w:rPr>
                <w:rFonts w:hint="eastAsia" w:ascii="宋体" w:hAnsi="宋体" w:cs="宋体"/>
                <w:color w:val="auto"/>
                <w:kern w:val="0"/>
                <w:szCs w:val="21"/>
                <w:highlight w:val="none"/>
              </w:rPr>
              <w:t>250mm，底座厚≥8mm，上有4个</w:t>
            </w:r>
            <w:r>
              <w:rPr>
                <w:rFonts w:ascii="Cambria" w:hAnsi="Cambria" w:cs="Cambria"/>
                <w:color w:val="auto"/>
                <w:kern w:val="0"/>
                <w:szCs w:val="21"/>
                <w:highlight w:val="none"/>
              </w:rPr>
              <w:t>⌀</w:t>
            </w:r>
            <w:r>
              <w:rPr>
                <w:rFonts w:hint="eastAsia" w:ascii="宋体" w:hAnsi="宋体" w:cs="宋体"/>
                <w:color w:val="auto"/>
                <w:kern w:val="0"/>
                <w:szCs w:val="21"/>
                <w:highlight w:val="none"/>
              </w:rPr>
              <w:t>20±5</w:t>
            </w:r>
            <w:r>
              <w:rPr>
                <w:rFonts w:ascii="宋体" w:hAnsi="宋体" w:cs="宋体"/>
                <w:color w:val="auto"/>
                <w:kern w:val="0"/>
                <w:szCs w:val="21"/>
                <w:highlight w:val="none"/>
              </w:rPr>
              <w:t>mm</w:t>
            </w:r>
            <w:r>
              <w:rPr>
                <w:rFonts w:hint="eastAsia" w:ascii="宋体" w:hAnsi="宋体" w:cs="宋体"/>
                <w:color w:val="auto"/>
                <w:kern w:val="0"/>
                <w:szCs w:val="21"/>
                <w:highlight w:val="none"/>
              </w:rPr>
              <w:t>的</w:t>
            </w:r>
            <w:r>
              <w:rPr>
                <w:rFonts w:ascii="宋体" w:hAnsi="宋体" w:cs="宋体"/>
                <w:color w:val="auto"/>
                <w:kern w:val="0"/>
                <w:szCs w:val="21"/>
                <w:highlight w:val="none"/>
              </w:rPr>
              <w:t>安装孔。</w:t>
            </w:r>
          </w:p>
          <w:p w14:paraId="21C5F02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4．标配地笼1个，300mm枪机横杆1个，避雷针1根，支持加装≥4个横臂，含不锈钢设备箱1个；</w:t>
            </w:r>
          </w:p>
          <w:p w14:paraId="43E00DE7">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5．按照采购人要求，提供</w:t>
            </w:r>
            <w:r>
              <w:rPr>
                <w:rFonts w:hint="eastAsia" w:ascii="宋体" w:hAnsi="宋体" w:cs="宋体"/>
                <w:color w:val="auto"/>
                <w:kern w:val="0"/>
                <w:szCs w:val="21"/>
                <w:highlight w:val="none"/>
              </w:rPr>
              <w:t>立杆</w:t>
            </w:r>
            <w:r>
              <w:rPr>
                <w:rFonts w:ascii="宋体" w:hAnsi="宋体" w:cs="宋体"/>
                <w:color w:val="auto"/>
                <w:kern w:val="0"/>
                <w:szCs w:val="21"/>
                <w:highlight w:val="none"/>
              </w:rPr>
              <w:t>安装</w:t>
            </w:r>
            <w:r>
              <w:rPr>
                <w:rFonts w:hint="eastAsia" w:ascii="宋体" w:hAnsi="宋体" w:cs="宋体"/>
                <w:color w:val="auto"/>
                <w:kern w:val="0"/>
                <w:szCs w:val="21"/>
                <w:highlight w:val="none"/>
              </w:rPr>
              <w:t>固定及本项目</w:t>
            </w:r>
            <w:r>
              <w:rPr>
                <w:rFonts w:ascii="宋体" w:hAnsi="宋体" w:cs="宋体"/>
                <w:color w:val="auto"/>
                <w:kern w:val="0"/>
                <w:szCs w:val="21"/>
                <w:highlight w:val="none"/>
              </w:rPr>
              <w:t>摄像机设备安装调试</w:t>
            </w:r>
            <w:r>
              <w:rPr>
                <w:rFonts w:hint="eastAsia" w:ascii="宋体" w:hAnsi="宋体" w:cs="宋体"/>
                <w:color w:val="auto"/>
                <w:kern w:val="0"/>
                <w:szCs w:val="21"/>
                <w:highlight w:val="none"/>
              </w:rPr>
              <w:t>等</w:t>
            </w:r>
            <w:r>
              <w:rPr>
                <w:rFonts w:ascii="宋体" w:hAnsi="宋体" w:cs="宋体"/>
                <w:color w:val="auto"/>
                <w:kern w:val="0"/>
                <w:szCs w:val="21"/>
                <w:highlight w:val="none"/>
              </w:rPr>
              <w:t>服务。</w:t>
            </w:r>
          </w:p>
        </w:tc>
      </w:tr>
      <w:tr w14:paraId="5BD524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04B8202D">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9</w:t>
            </w:r>
          </w:p>
        </w:tc>
        <w:tc>
          <w:tcPr>
            <w:tcW w:w="1026" w:type="pct"/>
            <w:noWrap/>
            <w:vAlign w:val="center"/>
          </w:tcPr>
          <w:p w14:paraId="5E33080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不锈钢防水箱</w:t>
            </w:r>
          </w:p>
        </w:tc>
        <w:tc>
          <w:tcPr>
            <w:tcW w:w="426" w:type="pct"/>
            <w:noWrap/>
            <w:vAlign w:val="center"/>
          </w:tcPr>
          <w:p w14:paraId="018C007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6个</w:t>
            </w:r>
          </w:p>
        </w:tc>
        <w:tc>
          <w:tcPr>
            <w:tcW w:w="2953" w:type="pct"/>
            <w:noWrap w:val="0"/>
            <w:vAlign w:val="center"/>
          </w:tcPr>
          <w:p w14:paraId="43E269E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提供</w:t>
            </w:r>
            <w:r>
              <w:rPr>
                <w:rFonts w:hint="eastAsia" w:ascii="宋体" w:hAnsi="宋体" w:cs="宋体"/>
                <w:color w:val="auto"/>
                <w:kern w:val="0"/>
                <w:szCs w:val="21"/>
                <w:highlight w:val="none"/>
              </w:rPr>
              <w:t>不锈钢材质防水、带锁的设备箱，尺寸不小于：500*400*180mm，满足</w:t>
            </w:r>
            <w:r>
              <w:rPr>
                <w:rFonts w:ascii="宋体" w:hAnsi="宋体" w:cs="宋体"/>
                <w:color w:val="auto"/>
                <w:kern w:val="0"/>
                <w:szCs w:val="21"/>
                <w:highlight w:val="none"/>
              </w:rPr>
              <w:t>本项目设备安装需求；</w:t>
            </w:r>
          </w:p>
          <w:p w14:paraId="158C2A2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按照采购人要求，提供</w:t>
            </w:r>
            <w:r>
              <w:rPr>
                <w:rFonts w:hint="eastAsia" w:ascii="宋体" w:hAnsi="宋体" w:cs="宋体"/>
                <w:color w:val="auto"/>
                <w:kern w:val="0"/>
                <w:szCs w:val="21"/>
                <w:highlight w:val="none"/>
              </w:rPr>
              <w:t>设备箱</w:t>
            </w:r>
            <w:r>
              <w:rPr>
                <w:rFonts w:ascii="宋体" w:hAnsi="宋体" w:cs="宋体"/>
                <w:color w:val="auto"/>
                <w:kern w:val="0"/>
                <w:szCs w:val="21"/>
                <w:highlight w:val="none"/>
              </w:rPr>
              <w:t>安装</w:t>
            </w:r>
            <w:r>
              <w:rPr>
                <w:rFonts w:hint="eastAsia" w:ascii="宋体" w:hAnsi="宋体" w:cs="宋体"/>
                <w:color w:val="auto"/>
                <w:kern w:val="0"/>
                <w:szCs w:val="21"/>
                <w:highlight w:val="none"/>
              </w:rPr>
              <w:t>固定及本项目</w:t>
            </w:r>
            <w:r>
              <w:rPr>
                <w:rFonts w:ascii="宋体" w:hAnsi="宋体" w:cs="宋体"/>
                <w:color w:val="auto"/>
                <w:kern w:val="0"/>
                <w:szCs w:val="21"/>
                <w:highlight w:val="none"/>
              </w:rPr>
              <w:t>设备安装调试</w:t>
            </w:r>
            <w:r>
              <w:rPr>
                <w:rFonts w:hint="eastAsia" w:ascii="宋体" w:hAnsi="宋体" w:cs="宋体"/>
                <w:color w:val="auto"/>
                <w:kern w:val="0"/>
                <w:szCs w:val="21"/>
                <w:highlight w:val="none"/>
              </w:rPr>
              <w:t>等</w:t>
            </w:r>
            <w:r>
              <w:rPr>
                <w:rFonts w:ascii="宋体" w:hAnsi="宋体" w:cs="宋体"/>
                <w:color w:val="auto"/>
                <w:kern w:val="0"/>
                <w:szCs w:val="21"/>
                <w:highlight w:val="none"/>
              </w:rPr>
              <w:t>服务。</w:t>
            </w:r>
          </w:p>
        </w:tc>
      </w:tr>
      <w:tr w14:paraId="6760E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7689CD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w:t>
            </w:r>
            <w:r>
              <w:rPr>
                <w:rFonts w:ascii="宋体" w:hAnsi="宋体" w:cs="宋体"/>
                <w:color w:val="auto"/>
                <w:kern w:val="0"/>
                <w:szCs w:val="21"/>
                <w:highlight w:val="none"/>
              </w:rPr>
              <w:t>10</w:t>
            </w:r>
          </w:p>
        </w:tc>
        <w:tc>
          <w:tcPr>
            <w:tcW w:w="1026" w:type="pct"/>
            <w:noWrap w:val="0"/>
            <w:vAlign w:val="center"/>
          </w:tcPr>
          <w:p w14:paraId="5F561FB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网线</w:t>
            </w:r>
          </w:p>
        </w:tc>
        <w:tc>
          <w:tcPr>
            <w:tcW w:w="426" w:type="pct"/>
            <w:noWrap/>
            <w:vAlign w:val="center"/>
          </w:tcPr>
          <w:p w14:paraId="6E5056B5">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4EAA45E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1．本项属于本项目</w:t>
            </w:r>
            <w:r>
              <w:rPr>
                <w:rFonts w:ascii="宋体" w:hAnsi="宋体" w:cs="宋体"/>
                <w:color w:val="auto"/>
                <w:kern w:val="0"/>
                <w:szCs w:val="21"/>
                <w:highlight w:val="none"/>
              </w:rPr>
              <w:t>包干</w:t>
            </w:r>
            <w:r>
              <w:rPr>
                <w:rFonts w:hint="eastAsia" w:ascii="宋体" w:hAnsi="宋体" w:cs="宋体"/>
                <w:color w:val="auto"/>
                <w:kern w:val="0"/>
                <w:szCs w:val="21"/>
                <w:highlight w:val="none"/>
              </w:rPr>
              <w:t>实施线材，</w:t>
            </w:r>
            <w:r>
              <w:rPr>
                <w:rFonts w:ascii="宋体" w:hAnsi="宋体" w:cs="宋体"/>
                <w:color w:val="auto"/>
                <w:kern w:val="0"/>
                <w:szCs w:val="21"/>
                <w:highlight w:val="none"/>
              </w:rPr>
              <w:t>必须满足本项目设备设施实施要求，</w:t>
            </w:r>
            <w:r>
              <w:rPr>
                <w:rFonts w:hint="eastAsia" w:ascii="宋体" w:hAnsi="宋体" w:cs="宋体"/>
                <w:color w:val="auto"/>
                <w:kern w:val="0"/>
                <w:szCs w:val="21"/>
                <w:highlight w:val="none"/>
              </w:rPr>
              <w:t>预估</w:t>
            </w:r>
            <w:r>
              <w:rPr>
                <w:rFonts w:ascii="宋体" w:hAnsi="宋体" w:cs="宋体"/>
                <w:color w:val="auto"/>
                <w:kern w:val="0"/>
                <w:szCs w:val="21"/>
                <w:highlight w:val="none"/>
              </w:rPr>
              <w:t>约需1830</w:t>
            </w:r>
            <w:r>
              <w:rPr>
                <w:rFonts w:hint="eastAsia" w:ascii="宋体" w:hAnsi="宋体" w:cs="宋体"/>
                <w:color w:val="auto"/>
                <w:kern w:val="0"/>
                <w:szCs w:val="21"/>
                <w:highlight w:val="none"/>
              </w:rPr>
              <w:t>米</w:t>
            </w:r>
            <w:r>
              <w:rPr>
                <w:rFonts w:ascii="宋体" w:hAnsi="宋体" w:cs="宋体"/>
                <w:color w:val="auto"/>
                <w:kern w:val="0"/>
                <w:szCs w:val="21"/>
                <w:highlight w:val="none"/>
              </w:rPr>
              <w:t>。</w:t>
            </w:r>
          </w:p>
          <w:p w14:paraId="2B95D22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本线材需</w:t>
            </w:r>
            <w:r>
              <w:rPr>
                <w:rFonts w:ascii="宋体" w:hAnsi="宋体" w:cs="宋体"/>
                <w:color w:val="auto"/>
                <w:kern w:val="0"/>
                <w:szCs w:val="21"/>
                <w:highlight w:val="none"/>
              </w:rPr>
              <w:t>符合YD/T 1019-2023、ISO/IEC 11801、TIA/EIA-568.2-D、YD/T 926.3</w:t>
            </w:r>
            <w:r>
              <w:rPr>
                <w:rFonts w:hint="eastAsia" w:ascii="宋体" w:hAnsi="宋体" w:cs="宋体"/>
                <w:color w:val="auto"/>
                <w:kern w:val="0"/>
                <w:szCs w:val="21"/>
                <w:highlight w:val="none"/>
              </w:rPr>
              <w:t>等</w:t>
            </w:r>
            <w:r>
              <w:rPr>
                <w:rFonts w:ascii="宋体" w:hAnsi="宋体" w:cs="宋体"/>
                <w:color w:val="auto"/>
                <w:kern w:val="0"/>
                <w:szCs w:val="21"/>
                <w:highlight w:val="none"/>
              </w:rPr>
              <w:t>对</w:t>
            </w:r>
            <w:r>
              <w:rPr>
                <w:rFonts w:hint="eastAsia" w:ascii="宋体" w:hAnsi="宋体" w:cs="宋体"/>
                <w:color w:val="auto"/>
                <w:kern w:val="0"/>
                <w:szCs w:val="21"/>
                <w:highlight w:val="none"/>
              </w:rPr>
              <w:t>六类</w:t>
            </w:r>
            <w:r>
              <w:rPr>
                <w:rFonts w:ascii="宋体" w:hAnsi="宋体" w:cs="宋体"/>
                <w:color w:val="auto"/>
                <w:kern w:val="0"/>
                <w:szCs w:val="21"/>
                <w:highlight w:val="none"/>
              </w:rPr>
              <w:t>传输</w:t>
            </w:r>
            <w:r>
              <w:rPr>
                <w:rFonts w:hint="eastAsia" w:ascii="宋体" w:hAnsi="宋体" w:cs="宋体"/>
                <w:color w:val="auto"/>
                <w:kern w:val="0"/>
                <w:szCs w:val="21"/>
                <w:highlight w:val="none"/>
              </w:rPr>
              <w:t>特性</w:t>
            </w:r>
            <w:r>
              <w:rPr>
                <w:rFonts w:ascii="宋体" w:hAnsi="宋体" w:cs="宋体"/>
                <w:color w:val="auto"/>
                <w:kern w:val="0"/>
                <w:szCs w:val="21"/>
                <w:highlight w:val="none"/>
              </w:rPr>
              <w:t>的要求，</w:t>
            </w:r>
            <w:r>
              <w:rPr>
                <w:rFonts w:hint="eastAsia" w:ascii="宋体" w:hAnsi="宋体" w:cs="宋体"/>
                <w:color w:val="auto"/>
                <w:kern w:val="0"/>
                <w:szCs w:val="21"/>
                <w:highlight w:val="none"/>
              </w:rPr>
              <w:t>满足</w:t>
            </w:r>
            <w:r>
              <w:rPr>
                <w:rFonts w:ascii="宋体" w:hAnsi="宋体" w:cs="宋体"/>
                <w:color w:val="auto"/>
                <w:kern w:val="0"/>
                <w:szCs w:val="21"/>
                <w:highlight w:val="none"/>
              </w:rPr>
              <w:t>10/100/1000BASE-T以太网</w:t>
            </w:r>
            <w:r>
              <w:rPr>
                <w:rFonts w:hint="eastAsia" w:ascii="宋体" w:hAnsi="宋体" w:cs="宋体"/>
                <w:color w:val="auto"/>
                <w:kern w:val="0"/>
                <w:szCs w:val="21"/>
                <w:highlight w:val="none"/>
              </w:rPr>
              <w:t>传输</w:t>
            </w:r>
            <w:r>
              <w:rPr>
                <w:rFonts w:ascii="宋体" w:hAnsi="宋体" w:cs="宋体"/>
                <w:color w:val="auto"/>
                <w:kern w:val="0"/>
                <w:szCs w:val="21"/>
                <w:highlight w:val="none"/>
              </w:rPr>
              <w:t>应用</w:t>
            </w:r>
            <w:r>
              <w:rPr>
                <w:rFonts w:hint="eastAsia" w:ascii="宋体" w:hAnsi="宋体" w:cs="宋体"/>
                <w:color w:val="auto"/>
                <w:kern w:val="0"/>
                <w:szCs w:val="21"/>
                <w:highlight w:val="none"/>
              </w:rPr>
              <w:t>要求；</w:t>
            </w:r>
          </w:p>
          <w:p w14:paraId="2AD7EC04">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线材</w:t>
            </w:r>
            <w:r>
              <w:rPr>
                <w:rFonts w:ascii="宋体" w:hAnsi="宋体" w:cs="宋体"/>
                <w:color w:val="auto"/>
                <w:kern w:val="0"/>
                <w:szCs w:val="21"/>
                <w:highlight w:val="none"/>
              </w:rPr>
              <w:t>中心</w:t>
            </w:r>
            <w:r>
              <w:rPr>
                <w:rFonts w:hint="eastAsia" w:ascii="宋体" w:hAnsi="宋体" w:cs="宋体"/>
                <w:color w:val="auto"/>
                <w:kern w:val="0"/>
                <w:szCs w:val="21"/>
                <w:highlight w:val="none"/>
              </w:rPr>
              <w:t>采用</w:t>
            </w:r>
            <w:r>
              <w:rPr>
                <w:rFonts w:ascii="宋体" w:hAnsi="宋体" w:cs="宋体"/>
                <w:color w:val="auto"/>
                <w:kern w:val="0"/>
                <w:szCs w:val="21"/>
                <w:highlight w:val="none"/>
              </w:rPr>
              <w:t>PE十字骨架，最大程度上保证安装过程中不破坏双绞线绞距</w:t>
            </w:r>
            <w:r>
              <w:rPr>
                <w:rFonts w:hint="eastAsia" w:ascii="宋体" w:hAnsi="宋体" w:cs="宋体"/>
                <w:color w:val="auto"/>
                <w:kern w:val="0"/>
                <w:szCs w:val="21"/>
                <w:highlight w:val="none"/>
              </w:rPr>
              <w:t>，线材</w:t>
            </w:r>
            <w:r>
              <w:rPr>
                <w:rFonts w:ascii="宋体" w:hAnsi="宋体" w:cs="宋体"/>
                <w:color w:val="auto"/>
                <w:kern w:val="0"/>
                <w:szCs w:val="21"/>
                <w:highlight w:val="none"/>
              </w:rPr>
              <w:t>护套采用优质</w:t>
            </w:r>
            <w:r>
              <w:rPr>
                <w:rFonts w:hint="eastAsia" w:ascii="宋体" w:hAnsi="宋体" w:cs="宋体"/>
                <w:color w:val="auto"/>
                <w:kern w:val="0"/>
                <w:szCs w:val="21"/>
                <w:highlight w:val="none"/>
              </w:rPr>
              <w:t>阻燃</w:t>
            </w:r>
            <w:r>
              <w:rPr>
                <w:rFonts w:ascii="宋体" w:hAnsi="宋体" w:cs="宋体"/>
                <w:color w:val="auto"/>
                <w:kern w:val="0"/>
                <w:szCs w:val="21"/>
                <w:highlight w:val="none"/>
              </w:rPr>
              <w:t>PVC</w:t>
            </w:r>
            <w:r>
              <w:rPr>
                <w:rFonts w:hint="eastAsia" w:ascii="宋体" w:hAnsi="宋体" w:cs="宋体"/>
                <w:color w:val="auto"/>
                <w:kern w:val="0"/>
                <w:szCs w:val="21"/>
                <w:highlight w:val="none"/>
              </w:rPr>
              <w:t>或</w:t>
            </w:r>
            <w:r>
              <w:rPr>
                <w:rFonts w:ascii="宋体" w:hAnsi="宋体" w:cs="宋体"/>
                <w:color w:val="auto"/>
                <w:kern w:val="0"/>
                <w:szCs w:val="21"/>
                <w:highlight w:val="none"/>
              </w:rPr>
              <w:t>LSZH</w:t>
            </w:r>
            <w:r>
              <w:rPr>
                <w:rFonts w:hint="eastAsia" w:ascii="宋体" w:hAnsi="宋体" w:cs="宋体"/>
                <w:color w:val="auto"/>
                <w:kern w:val="0"/>
                <w:szCs w:val="21"/>
                <w:highlight w:val="none"/>
              </w:rPr>
              <w:t>等材</w:t>
            </w:r>
            <w:r>
              <w:rPr>
                <w:rFonts w:ascii="宋体" w:hAnsi="宋体" w:cs="宋体"/>
                <w:color w:val="auto"/>
                <w:kern w:val="0"/>
                <w:szCs w:val="21"/>
                <w:highlight w:val="none"/>
              </w:rPr>
              <w:t>料，厚度≥0.6±0.1mm</w:t>
            </w:r>
            <w:r>
              <w:rPr>
                <w:rFonts w:hint="eastAsia" w:ascii="宋体" w:hAnsi="宋体" w:cs="宋体"/>
                <w:color w:val="auto"/>
                <w:kern w:val="0"/>
                <w:szCs w:val="21"/>
                <w:highlight w:val="none"/>
              </w:rPr>
              <w:t>；</w:t>
            </w:r>
          </w:p>
          <w:p w14:paraId="36F5862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4．信号</w:t>
            </w:r>
            <w:r>
              <w:rPr>
                <w:rFonts w:ascii="宋体" w:hAnsi="宋体" w:cs="宋体"/>
                <w:color w:val="auto"/>
                <w:kern w:val="0"/>
                <w:szCs w:val="21"/>
                <w:highlight w:val="none"/>
              </w:rPr>
              <w:t>导线</w:t>
            </w:r>
            <w:r>
              <w:rPr>
                <w:rFonts w:hint="eastAsia" w:ascii="宋体" w:hAnsi="宋体" w:cs="宋体"/>
                <w:color w:val="auto"/>
                <w:kern w:val="0"/>
                <w:szCs w:val="21"/>
                <w:highlight w:val="none"/>
              </w:rPr>
              <w:t>由4对</w:t>
            </w:r>
            <w:r>
              <w:rPr>
                <w:rFonts w:ascii="宋体" w:hAnsi="宋体" w:cs="宋体"/>
                <w:color w:val="auto"/>
                <w:kern w:val="0"/>
                <w:szCs w:val="21"/>
                <w:highlight w:val="none"/>
              </w:rPr>
              <w:t>双绞线</w:t>
            </w:r>
            <w:r>
              <w:rPr>
                <w:rFonts w:hint="eastAsia" w:ascii="宋体" w:hAnsi="宋体" w:cs="宋体"/>
                <w:color w:val="auto"/>
                <w:kern w:val="0"/>
                <w:szCs w:val="21"/>
                <w:highlight w:val="none"/>
              </w:rPr>
              <w:t>绞合</w:t>
            </w:r>
            <w:r>
              <w:rPr>
                <w:rFonts w:ascii="宋体" w:hAnsi="宋体" w:cs="宋体"/>
                <w:color w:val="auto"/>
                <w:kern w:val="0"/>
                <w:szCs w:val="21"/>
                <w:highlight w:val="none"/>
              </w:rPr>
              <w:t>组成</w:t>
            </w:r>
            <w:r>
              <w:rPr>
                <w:rFonts w:hint="eastAsia" w:ascii="宋体" w:hAnsi="宋体" w:cs="宋体"/>
                <w:color w:val="auto"/>
                <w:kern w:val="0"/>
                <w:szCs w:val="21"/>
                <w:highlight w:val="none"/>
              </w:rPr>
              <w:t>。单根绞线线芯导体</w:t>
            </w:r>
            <w:r>
              <w:rPr>
                <w:rFonts w:ascii="宋体" w:hAnsi="宋体" w:cs="宋体"/>
                <w:color w:val="auto"/>
                <w:kern w:val="0"/>
                <w:szCs w:val="21"/>
                <w:highlight w:val="none"/>
              </w:rPr>
              <w:t>采用≥0.56±0.02mmTR型软圆实心铜线</w:t>
            </w:r>
            <w:r>
              <w:rPr>
                <w:rFonts w:hint="eastAsia" w:ascii="宋体" w:hAnsi="宋体" w:cs="宋体"/>
                <w:color w:val="auto"/>
                <w:kern w:val="0"/>
                <w:szCs w:val="21"/>
                <w:highlight w:val="none"/>
              </w:rPr>
              <w:t>导体和优质高密度聚乙烯（</w:t>
            </w:r>
            <w:r>
              <w:rPr>
                <w:rFonts w:ascii="宋体" w:hAnsi="宋体" w:cs="宋体"/>
                <w:color w:val="auto"/>
                <w:kern w:val="0"/>
                <w:szCs w:val="21"/>
                <w:highlight w:val="none"/>
              </w:rPr>
              <w:t>HDPE）</w:t>
            </w:r>
            <w:r>
              <w:rPr>
                <w:rFonts w:hint="eastAsia" w:ascii="宋体" w:hAnsi="宋体" w:cs="宋体"/>
                <w:color w:val="auto"/>
                <w:kern w:val="0"/>
                <w:szCs w:val="21"/>
                <w:highlight w:val="none"/>
              </w:rPr>
              <w:t>的芯线绝缘胶皮组成，每根线芯含绝缘胶皮外径</w:t>
            </w:r>
            <w:r>
              <w:rPr>
                <w:rFonts w:ascii="宋体" w:hAnsi="宋体" w:cs="宋体"/>
                <w:color w:val="auto"/>
                <w:kern w:val="0"/>
                <w:szCs w:val="21"/>
                <w:highlight w:val="none"/>
              </w:rPr>
              <w:t>≥1.00±0.05mm</w:t>
            </w:r>
            <w:r>
              <w:rPr>
                <w:rFonts w:hint="eastAsia" w:ascii="宋体" w:hAnsi="宋体" w:cs="宋体"/>
                <w:color w:val="auto"/>
                <w:kern w:val="0"/>
                <w:szCs w:val="21"/>
                <w:highlight w:val="none"/>
              </w:rPr>
              <w:t>。线芯导体特性要求</w:t>
            </w:r>
            <w:r>
              <w:rPr>
                <w:rFonts w:ascii="宋体" w:hAnsi="宋体" w:cs="宋体"/>
                <w:color w:val="auto"/>
                <w:kern w:val="0"/>
                <w:szCs w:val="21"/>
                <w:highlight w:val="none"/>
              </w:rPr>
              <w:t>如下：</w:t>
            </w:r>
          </w:p>
          <w:p w14:paraId="7F77E2D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）导体最大直流电阻：≤9Ω/100米</w:t>
            </w:r>
            <w:r>
              <w:rPr>
                <w:rFonts w:hint="eastAsia" w:ascii="宋体" w:hAnsi="宋体" w:cs="宋体"/>
                <w:color w:val="auto"/>
                <w:kern w:val="0"/>
                <w:szCs w:val="21"/>
                <w:highlight w:val="none"/>
              </w:rPr>
              <w:t>；</w:t>
            </w:r>
          </w:p>
          <w:p w14:paraId="02F1578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）导体</w:t>
            </w:r>
            <w:r>
              <w:rPr>
                <w:rFonts w:hint="eastAsia" w:ascii="宋体" w:hAnsi="宋体" w:cs="宋体"/>
                <w:color w:val="auto"/>
                <w:kern w:val="0"/>
                <w:szCs w:val="21"/>
                <w:highlight w:val="none"/>
              </w:rPr>
              <w:t>耐压：</w:t>
            </w:r>
            <w:r>
              <w:rPr>
                <w:rFonts w:ascii="宋体" w:hAnsi="宋体" w:cs="宋体"/>
                <w:color w:val="auto"/>
                <w:kern w:val="0"/>
                <w:szCs w:val="21"/>
                <w:highlight w:val="none"/>
              </w:rPr>
              <w:t>≥DC-1KV/1Min</w:t>
            </w:r>
            <w:r>
              <w:rPr>
                <w:rFonts w:hint="eastAsia" w:ascii="宋体" w:hAnsi="宋体" w:cs="宋体"/>
                <w:color w:val="auto"/>
                <w:kern w:val="0"/>
                <w:szCs w:val="21"/>
                <w:highlight w:val="none"/>
              </w:rPr>
              <w:t>不</w:t>
            </w:r>
            <w:r>
              <w:rPr>
                <w:rFonts w:ascii="宋体" w:hAnsi="宋体" w:cs="宋体"/>
                <w:color w:val="auto"/>
                <w:kern w:val="0"/>
                <w:szCs w:val="21"/>
                <w:highlight w:val="none"/>
              </w:rPr>
              <w:t>损毁</w:t>
            </w:r>
            <w:r>
              <w:rPr>
                <w:rFonts w:hint="eastAsia" w:ascii="宋体" w:hAnsi="宋体" w:cs="宋体"/>
                <w:color w:val="auto"/>
                <w:kern w:val="0"/>
                <w:szCs w:val="21"/>
                <w:highlight w:val="none"/>
              </w:rPr>
              <w:t>；</w:t>
            </w:r>
          </w:p>
          <w:p w14:paraId="0E09470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w:t>
            </w:r>
            <w:r>
              <w:rPr>
                <w:rFonts w:ascii="宋体" w:hAnsi="宋体" w:cs="宋体"/>
                <w:color w:val="auto"/>
                <w:kern w:val="0"/>
                <w:szCs w:val="21"/>
                <w:highlight w:val="none"/>
              </w:rPr>
              <w:t>）线对对地电容不平衡 ：≤160pF/100米</w:t>
            </w:r>
            <w:r>
              <w:rPr>
                <w:rFonts w:hint="eastAsia" w:ascii="宋体" w:hAnsi="宋体" w:cs="宋体"/>
                <w:color w:val="auto"/>
                <w:kern w:val="0"/>
                <w:szCs w:val="21"/>
                <w:highlight w:val="none"/>
              </w:rPr>
              <w:t>；</w:t>
            </w:r>
          </w:p>
          <w:p w14:paraId="0935A79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w:t>
            </w:r>
            <w:r>
              <w:rPr>
                <w:rFonts w:ascii="宋体" w:hAnsi="宋体" w:cs="宋体"/>
                <w:color w:val="auto"/>
                <w:kern w:val="0"/>
                <w:szCs w:val="21"/>
                <w:highlight w:val="none"/>
              </w:rPr>
              <w:t>）</w:t>
            </w:r>
            <w:r>
              <w:rPr>
                <w:rFonts w:hint="eastAsia" w:ascii="宋体" w:hAnsi="宋体" w:cs="宋体"/>
                <w:color w:val="auto"/>
                <w:kern w:val="0"/>
                <w:szCs w:val="21"/>
                <w:highlight w:val="none"/>
              </w:rPr>
              <w:t>线对间直流不平衡电阻：线对导体间≤</w:t>
            </w:r>
            <w:r>
              <w:rPr>
                <w:rFonts w:ascii="宋体" w:hAnsi="宋体" w:cs="宋体"/>
                <w:color w:val="auto"/>
                <w:kern w:val="0"/>
                <w:szCs w:val="21"/>
                <w:highlight w:val="none"/>
              </w:rPr>
              <w:t>2%,线对与线对间≤4%；</w:t>
            </w:r>
          </w:p>
          <w:p w14:paraId="3B6DFE46">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线对间</w:t>
            </w:r>
            <w:r>
              <w:rPr>
                <w:rFonts w:ascii="宋体" w:hAnsi="宋体" w:cs="宋体"/>
                <w:color w:val="auto"/>
                <w:kern w:val="0"/>
                <w:szCs w:val="21"/>
                <w:highlight w:val="none"/>
              </w:rPr>
              <w:t>绝缘电阻：≥5000 MΩ</w:t>
            </w:r>
            <w:r>
              <w:rPr>
                <w:rFonts w:hint="eastAsia" w:ascii="宋体" w:hAnsi="宋体" w:cs="宋体"/>
                <w:color w:val="auto"/>
                <w:kern w:val="0"/>
                <w:szCs w:val="21"/>
                <w:highlight w:val="none"/>
              </w:rPr>
              <w:t>.</w:t>
            </w:r>
            <w:r>
              <w:rPr>
                <w:rFonts w:ascii="宋体" w:hAnsi="宋体" w:cs="宋体"/>
                <w:color w:val="auto"/>
                <w:kern w:val="0"/>
                <w:szCs w:val="21"/>
                <w:highlight w:val="none"/>
              </w:rPr>
              <w:t>KM</w:t>
            </w:r>
            <w:r>
              <w:rPr>
                <w:rFonts w:hint="eastAsia" w:ascii="宋体" w:hAnsi="宋体" w:cs="宋体"/>
                <w:color w:val="auto"/>
                <w:kern w:val="0"/>
                <w:szCs w:val="21"/>
                <w:highlight w:val="none"/>
              </w:rPr>
              <w:t>。</w:t>
            </w:r>
          </w:p>
        </w:tc>
      </w:tr>
      <w:tr w14:paraId="6CD323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262E16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1</w:t>
            </w:r>
          </w:p>
        </w:tc>
        <w:tc>
          <w:tcPr>
            <w:tcW w:w="1026" w:type="pct"/>
            <w:noWrap w:val="0"/>
            <w:vAlign w:val="center"/>
          </w:tcPr>
          <w:p w14:paraId="3EAF5C32">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电源线</w:t>
            </w:r>
          </w:p>
        </w:tc>
        <w:tc>
          <w:tcPr>
            <w:tcW w:w="426" w:type="pct"/>
            <w:noWrap/>
            <w:vAlign w:val="center"/>
          </w:tcPr>
          <w:p w14:paraId="1489C625">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26F4341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提供满足本项目实施的</w:t>
            </w:r>
            <w:r>
              <w:rPr>
                <w:rFonts w:hint="eastAsia" w:ascii="宋体" w:hAnsi="宋体" w:cs="宋体"/>
                <w:color w:val="auto"/>
                <w:kern w:val="0"/>
                <w:szCs w:val="21"/>
                <w:highlight w:val="none"/>
              </w:rPr>
              <w:t>双芯</w:t>
            </w:r>
            <w:r>
              <w:rPr>
                <w:rFonts w:ascii="宋体" w:hAnsi="宋体" w:cs="宋体"/>
                <w:color w:val="auto"/>
                <w:kern w:val="0"/>
                <w:szCs w:val="21"/>
                <w:highlight w:val="none"/>
              </w:rPr>
              <w:t>聚氯乙烯护套软</w:t>
            </w:r>
            <w:r>
              <w:rPr>
                <w:rFonts w:hint="eastAsia" w:ascii="宋体" w:hAnsi="宋体" w:cs="宋体"/>
                <w:color w:val="auto"/>
                <w:kern w:val="0"/>
                <w:szCs w:val="21"/>
                <w:highlight w:val="none"/>
              </w:rPr>
              <w:t>电源</w:t>
            </w:r>
            <w:r>
              <w:rPr>
                <w:rFonts w:ascii="宋体" w:hAnsi="宋体" w:cs="宋体"/>
                <w:color w:val="auto"/>
                <w:kern w:val="0"/>
                <w:szCs w:val="21"/>
                <w:highlight w:val="none"/>
              </w:rPr>
              <w:t>线</w:t>
            </w:r>
            <w:r>
              <w:rPr>
                <w:rFonts w:hint="eastAsia" w:ascii="宋体" w:hAnsi="宋体" w:cs="宋体"/>
                <w:color w:val="auto"/>
                <w:kern w:val="0"/>
                <w:szCs w:val="21"/>
                <w:highlight w:val="none"/>
              </w:rPr>
              <w:t>（RVV2*1.0mm2），预估约需</w:t>
            </w:r>
            <w:r>
              <w:rPr>
                <w:rFonts w:ascii="宋体" w:hAnsi="宋体" w:cs="宋体"/>
                <w:color w:val="auto"/>
                <w:kern w:val="0"/>
                <w:szCs w:val="21"/>
                <w:highlight w:val="none"/>
              </w:rPr>
              <w:t>4</w:t>
            </w:r>
            <w:r>
              <w:rPr>
                <w:rFonts w:hint="eastAsia" w:ascii="宋体" w:hAnsi="宋体" w:cs="宋体"/>
                <w:color w:val="auto"/>
                <w:kern w:val="0"/>
                <w:szCs w:val="21"/>
                <w:highlight w:val="none"/>
              </w:rPr>
              <w:t>00米。</w:t>
            </w:r>
          </w:p>
          <w:p w14:paraId="106D162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线材符合</w:t>
            </w:r>
            <w:r>
              <w:rPr>
                <w:rFonts w:ascii="宋体" w:hAnsi="宋体" w:cs="宋体"/>
                <w:color w:val="auto"/>
                <w:kern w:val="0"/>
                <w:szCs w:val="21"/>
                <w:highlight w:val="none"/>
              </w:rPr>
              <w:t>GB/T 5023.5-2008</w:t>
            </w:r>
            <w:r>
              <w:rPr>
                <w:rFonts w:hint="eastAsia" w:ascii="宋体" w:hAnsi="宋体" w:cs="宋体"/>
                <w:color w:val="auto"/>
                <w:kern w:val="0"/>
                <w:szCs w:val="21"/>
                <w:highlight w:val="none"/>
              </w:rPr>
              <w:t>执行标准要求，通过中国国家强制性产品CCC检测认证，</w:t>
            </w:r>
            <w:r>
              <w:rPr>
                <w:rFonts w:ascii="宋体" w:hAnsi="宋体" w:cs="宋体"/>
                <w:color w:val="auto"/>
                <w:kern w:val="0"/>
                <w:szCs w:val="21"/>
                <w:highlight w:val="none"/>
              </w:rPr>
              <w:t>具有</w:t>
            </w:r>
            <w:r>
              <w:rPr>
                <w:rFonts w:hint="eastAsia" w:ascii="宋体" w:hAnsi="宋体" w:cs="宋体"/>
                <w:color w:val="auto"/>
                <w:kern w:val="0"/>
                <w:szCs w:val="21"/>
                <w:highlight w:val="none"/>
              </w:rPr>
              <w:t>认证</w:t>
            </w:r>
            <w:r>
              <w:rPr>
                <w:rFonts w:ascii="宋体" w:hAnsi="宋体" w:cs="宋体"/>
                <w:color w:val="auto"/>
                <w:kern w:val="0"/>
                <w:szCs w:val="21"/>
                <w:highlight w:val="none"/>
              </w:rPr>
              <w:t>证书；</w:t>
            </w:r>
          </w:p>
          <w:p w14:paraId="140E0BBF">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线材</w:t>
            </w:r>
            <w:r>
              <w:rPr>
                <w:rFonts w:ascii="宋体" w:hAnsi="宋体" w:cs="宋体"/>
                <w:color w:val="auto"/>
                <w:kern w:val="0"/>
                <w:szCs w:val="21"/>
                <w:highlight w:val="none"/>
              </w:rPr>
              <w:t>采用</w:t>
            </w:r>
            <w:r>
              <w:rPr>
                <w:rFonts w:hint="eastAsia" w:ascii="宋体" w:hAnsi="宋体" w:cs="宋体"/>
                <w:color w:val="auto"/>
                <w:kern w:val="0"/>
                <w:szCs w:val="21"/>
                <w:highlight w:val="none"/>
              </w:rPr>
              <w:t>99%及</w:t>
            </w:r>
            <w:r>
              <w:rPr>
                <w:rFonts w:ascii="宋体" w:hAnsi="宋体" w:cs="宋体"/>
                <w:color w:val="auto"/>
                <w:kern w:val="0"/>
                <w:szCs w:val="21"/>
                <w:highlight w:val="none"/>
              </w:rPr>
              <w:t>以上无氧铜</w:t>
            </w:r>
            <w:r>
              <w:rPr>
                <w:rFonts w:hint="eastAsia" w:ascii="宋体" w:hAnsi="宋体" w:cs="宋体"/>
                <w:color w:val="auto"/>
                <w:kern w:val="0"/>
                <w:szCs w:val="21"/>
                <w:highlight w:val="none"/>
              </w:rPr>
              <w:t>优质</w:t>
            </w:r>
            <w:r>
              <w:rPr>
                <w:rFonts w:ascii="宋体" w:hAnsi="宋体" w:cs="宋体"/>
                <w:color w:val="auto"/>
                <w:kern w:val="0"/>
                <w:szCs w:val="21"/>
                <w:highlight w:val="none"/>
              </w:rPr>
              <w:t>线芯</w:t>
            </w:r>
            <w:r>
              <w:rPr>
                <w:rFonts w:hint="eastAsia" w:ascii="宋体" w:hAnsi="宋体" w:cs="宋体"/>
                <w:color w:val="auto"/>
                <w:kern w:val="0"/>
                <w:szCs w:val="21"/>
                <w:highlight w:val="none"/>
              </w:rPr>
              <w:t>，额定电压</w:t>
            </w:r>
            <w:r>
              <w:rPr>
                <w:rFonts w:ascii="宋体" w:hAnsi="宋体" w:cs="宋体"/>
                <w:color w:val="auto"/>
                <w:kern w:val="0"/>
                <w:szCs w:val="21"/>
                <w:highlight w:val="none"/>
              </w:rPr>
              <w:t>≥300/500V</w:t>
            </w:r>
            <w:r>
              <w:rPr>
                <w:rFonts w:hint="eastAsia" w:ascii="宋体" w:hAnsi="宋体" w:cs="宋体"/>
                <w:color w:val="auto"/>
                <w:kern w:val="0"/>
                <w:szCs w:val="21"/>
                <w:highlight w:val="none"/>
              </w:rPr>
              <w:t>（即每芯电缆对地额定工作电压为</w:t>
            </w:r>
            <w:r>
              <w:rPr>
                <w:rFonts w:ascii="宋体" w:hAnsi="宋体" w:cs="宋体"/>
                <w:color w:val="auto"/>
                <w:kern w:val="0"/>
                <w:szCs w:val="21"/>
                <w:highlight w:val="none"/>
              </w:rPr>
              <w:t>≥300V，每芯电缆间额定工作电压≥500V）</w:t>
            </w:r>
            <w:r>
              <w:rPr>
                <w:rFonts w:hint="eastAsia" w:ascii="宋体" w:hAnsi="宋体" w:cs="宋体"/>
                <w:color w:val="auto"/>
                <w:kern w:val="0"/>
                <w:szCs w:val="21"/>
                <w:highlight w:val="none"/>
              </w:rPr>
              <w:t>。</w:t>
            </w:r>
          </w:p>
        </w:tc>
      </w:tr>
      <w:tr w14:paraId="5E31FEE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EC0AC9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2</w:t>
            </w:r>
          </w:p>
        </w:tc>
        <w:tc>
          <w:tcPr>
            <w:tcW w:w="1026" w:type="pct"/>
            <w:noWrap w:val="0"/>
            <w:vAlign w:val="center"/>
          </w:tcPr>
          <w:p w14:paraId="232348BD">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拾音器传输线缆</w:t>
            </w:r>
          </w:p>
        </w:tc>
        <w:tc>
          <w:tcPr>
            <w:tcW w:w="426" w:type="pct"/>
            <w:noWrap/>
            <w:vAlign w:val="center"/>
          </w:tcPr>
          <w:p w14:paraId="3A76FDEE">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60530857">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1．提供满足本项目实施的</w:t>
            </w:r>
            <w:r>
              <w:rPr>
                <w:rFonts w:hint="eastAsia" w:ascii="宋体" w:hAnsi="宋体" w:cs="宋体"/>
                <w:color w:val="auto"/>
                <w:kern w:val="0"/>
                <w:szCs w:val="21"/>
                <w:highlight w:val="none"/>
              </w:rPr>
              <w:t>6铜芯聚氯乙烯绝缘</w:t>
            </w:r>
            <w:r>
              <w:rPr>
                <w:rFonts w:ascii="宋体" w:hAnsi="宋体" w:cs="宋体"/>
                <w:color w:val="auto"/>
                <w:kern w:val="0"/>
                <w:szCs w:val="21"/>
                <w:highlight w:val="none"/>
              </w:rPr>
              <w:t>护套屏蔽软电源线（RVVP6*0.5mm2），预估约需100米。</w:t>
            </w:r>
          </w:p>
          <w:p w14:paraId="1395904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2．线材符合GB/T 5023.5-2008执行标准要求，通过中国国家强制性产品CCC检测认证，具有认证证书；</w:t>
            </w:r>
          </w:p>
          <w:p w14:paraId="13390F2C">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3．线材采用99%及以上无氧铜优质线芯，额定电压≥300/300V（即每芯电缆对地额定工作电压为≥300V，每芯电缆间额定工作电压≥300V）。</w:t>
            </w:r>
          </w:p>
        </w:tc>
      </w:tr>
      <w:tr w14:paraId="56E007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2EC523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3</w:t>
            </w:r>
          </w:p>
        </w:tc>
        <w:tc>
          <w:tcPr>
            <w:tcW w:w="1026" w:type="pct"/>
            <w:noWrap/>
            <w:vAlign w:val="center"/>
          </w:tcPr>
          <w:p w14:paraId="6E1843B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16口POE交换机</w:t>
            </w:r>
          </w:p>
        </w:tc>
        <w:tc>
          <w:tcPr>
            <w:tcW w:w="426" w:type="pct"/>
            <w:noWrap/>
            <w:vAlign w:val="center"/>
          </w:tcPr>
          <w:p w14:paraId="55C07D0C">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2台</w:t>
            </w:r>
          </w:p>
        </w:tc>
        <w:tc>
          <w:tcPr>
            <w:tcW w:w="2953" w:type="pct"/>
            <w:noWrap w:val="0"/>
            <w:vAlign w:val="center"/>
          </w:tcPr>
          <w:p w14:paraId="2C3D6C3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1．提供≥16个千兆PoE电口，≥2个千兆光口；</w:t>
            </w:r>
          </w:p>
          <w:p w14:paraId="037CB24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2．交换容量≥36 Gbps，包转发率≥26.78 Mpps</w:t>
            </w:r>
          </w:p>
          <w:p w14:paraId="2AE1ACF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3．支持IEEE 802.3at/af，端口最大供电功率≥30W；</w:t>
            </w:r>
          </w:p>
          <w:p w14:paraId="095DFCD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4．整机最大供电功率≥125W，支持6 KV防浪涌（PoE口）；</w:t>
            </w:r>
          </w:p>
          <w:p w14:paraId="57A6279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5．支持PoE输出功率管理，支持在19英寸标准</w:t>
            </w:r>
            <w:r>
              <w:rPr>
                <w:rFonts w:ascii="宋体" w:hAnsi="宋体" w:cs="宋体"/>
                <w:color w:val="auto"/>
                <w:kern w:val="0"/>
                <w:szCs w:val="21"/>
                <w:highlight w:val="none"/>
              </w:rPr>
              <w:t>机柜</w:t>
            </w:r>
            <w:r>
              <w:rPr>
                <w:rFonts w:hint="eastAsia" w:ascii="宋体" w:hAnsi="宋体" w:cs="宋体"/>
                <w:color w:val="auto"/>
                <w:kern w:val="0"/>
                <w:szCs w:val="21"/>
                <w:highlight w:val="none"/>
              </w:rPr>
              <w:t>中机架式安装。</w:t>
            </w:r>
          </w:p>
        </w:tc>
      </w:tr>
      <w:tr w14:paraId="377FA7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13C82CD">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4</w:t>
            </w:r>
          </w:p>
        </w:tc>
        <w:tc>
          <w:tcPr>
            <w:tcW w:w="1026" w:type="pct"/>
            <w:noWrap w:val="0"/>
            <w:vAlign w:val="center"/>
          </w:tcPr>
          <w:p w14:paraId="093A979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8口POE交换机</w:t>
            </w:r>
          </w:p>
        </w:tc>
        <w:tc>
          <w:tcPr>
            <w:tcW w:w="426" w:type="pct"/>
            <w:noWrap/>
            <w:vAlign w:val="center"/>
          </w:tcPr>
          <w:p w14:paraId="6F52F4C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7台</w:t>
            </w:r>
          </w:p>
        </w:tc>
        <w:tc>
          <w:tcPr>
            <w:tcW w:w="2953" w:type="pct"/>
            <w:noWrap w:val="0"/>
            <w:vAlign w:val="center"/>
          </w:tcPr>
          <w:p w14:paraId="5DA5CDD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1．提供≥8个千兆PoE电口，≥1个千兆电口，≥1个千兆光口；</w:t>
            </w:r>
          </w:p>
          <w:p w14:paraId="39D32F8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2．交换容量 ≥20 Gbps，包转发率 ≥14.88 Mpps；</w:t>
            </w:r>
          </w:p>
          <w:p w14:paraId="223DC27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3．支持IEEE 802.3at/af，端口最大供电功率≥30W；</w:t>
            </w:r>
          </w:p>
          <w:p w14:paraId="49DFC9A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4．整机最大供电功率≥60 W，支持6 KV防浪涌；</w:t>
            </w:r>
          </w:p>
          <w:p w14:paraId="20FF740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5．支持PoE输出功率管理，千兆网络接入设计；</w:t>
            </w:r>
          </w:p>
          <w:p w14:paraId="1876BFD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6．线速转发、无阻塞设计，存储转发交换方式；</w:t>
            </w:r>
          </w:p>
          <w:p w14:paraId="6D10F14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7．坚固式高强度金属外壳。</w:t>
            </w:r>
          </w:p>
        </w:tc>
      </w:tr>
      <w:tr w14:paraId="769A6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905165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5</w:t>
            </w:r>
          </w:p>
        </w:tc>
        <w:tc>
          <w:tcPr>
            <w:tcW w:w="1026" w:type="pct"/>
            <w:noWrap w:val="0"/>
            <w:vAlign w:val="center"/>
          </w:tcPr>
          <w:p w14:paraId="62DFFF95">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32路智能硬盘录像机</w:t>
            </w:r>
          </w:p>
        </w:tc>
        <w:tc>
          <w:tcPr>
            <w:tcW w:w="426" w:type="pct"/>
            <w:noWrap/>
            <w:vAlign w:val="center"/>
          </w:tcPr>
          <w:p w14:paraId="4907F04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5A0E4C5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1．支持≥32路H.264、H.265格式高清码流接入，输入带宽≥320Mbps，输出带宽≥256Mbps；</w:t>
            </w:r>
          </w:p>
          <w:p w14:paraId="21E041C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2．解码能力≥16×1080P解码，支持≥16路同步回放及多路同步倒放；</w:t>
            </w:r>
          </w:p>
          <w:p w14:paraId="283BF46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3．支持即时回放功能，在预览画面下对指定通道的当前录像进行回放，并且不影响其他通道预览；</w:t>
            </w:r>
          </w:p>
          <w:p w14:paraId="250DA29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4．万级数据量下，自学习算法可在≤5小时内完成一轮训练，支持配置算法自动迭代升级的时间，通过多轮算法自学习可将系统误报降低约99%；</w:t>
            </w:r>
          </w:p>
          <w:p w14:paraId="6F81F07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5．支持重要录像文件加锁保护功能，支持硬盘配额和硬盘盘组两种存储模式，可对不同通道分配不同的录像保存容量；</w:t>
            </w:r>
          </w:p>
          <w:p w14:paraId="3EC9D4F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6．阵列类型支持RAID0、 RAID1、 RAID5、 RAID6、 RAID10，支持全局热备；</w:t>
            </w:r>
          </w:p>
          <w:p w14:paraId="215DB34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▲7．支持不经过人工干预自主训练生成新算法，可查看训练任务状态和进度，支持算法自动迭代更新；支持算法包管理，可保留≥3个历史算法版本，支持回退到前一算法版本，支持回退到出厂算法版本；</w:t>
            </w:r>
          </w:p>
          <w:p w14:paraId="09EEBDB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8．支持≥32路图片流周界分析，支持自主报警素材收集；</w:t>
            </w:r>
          </w:p>
          <w:p w14:paraId="3FB77C39">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9．支持在视频画面叠加智能分析规则框，智能分析规则框数量可随目标数自动调整并随目标消失而消失；</w:t>
            </w:r>
          </w:p>
          <w:p w14:paraId="15F77BE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10．支持实现周界算法训练、分析同时运行，单颗GPU支持在训练的同时，具有最多≥32路周界事件（包含进入区域/离开区域、越界侦测、区域入侵）分析能力；支持算法训练任务状态实时监控，包含训练状态展示、训练进度展示；</w:t>
            </w:r>
          </w:p>
          <w:p w14:paraId="2B49A18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11．支持自动维护功能，可根据设置时间点启用系统自动维护流程，包括自检、重启、取流、录像、恢复系统运行；</w:t>
            </w:r>
          </w:p>
          <w:p w14:paraId="68D8997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12．支持接入警戒摄像机，支持对 IPC 的声音和闪光参数进行配置，支持通过移动侦测、区域入侵、越界侦测、进入区域和离开区域事件联动一个或多个 IPC 的声光报警，可以对声光联动一键撤防；</w:t>
            </w:r>
          </w:p>
          <w:p w14:paraId="27A96F23">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13．支持日志记录存储功能，日志记录包括登录、升级、报警、回放、下载、设备配置操作记录；</w:t>
            </w:r>
          </w:p>
          <w:p w14:paraId="2581F03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14．具有≥2个HDMI接口、≥2个VGA接口、≥2个RJ45 千兆网络接口，≥2个USB2.0接口、≥1个USB3.0接口、≥1个RS232接口、≥1个RS485接口（可接入RS485键盘）、≥1个eSata接口，具有≥1路音频输入接口、≥2路音频输出接口、≥16路报警输入接口、≥4路报警输出接口、可内置≥8块SATA 3.0接口硬盘；</w:t>
            </w:r>
          </w:p>
          <w:p w14:paraId="55D0A34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15．支持网络容错以及多址设定等应用，支持网络检测（网络流量监控、网络抓包、网络通畅）功能。</w:t>
            </w:r>
          </w:p>
        </w:tc>
      </w:tr>
      <w:tr w14:paraId="37B078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5C187D2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6</w:t>
            </w:r>
          </w:p>
        </w:tc>
        <w:tc>
          <w:tcPr>
            <w:tcW w:w="1026" w:type="pct"/>
            <w:noWrap w:val="0"/>
            <w:vAlign w:val="center"/>
          </w:tcPr>
          <w:p w14:paraId="46945B5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监控专用硬盘</w:t>
            </w:r>
          </w:p>
        </w:tc>
        <w:tc>
          <w:tcPr>
            <w:tcW w:w="426" w:type="pct"/>
            <w:noWrap/>
            <w:vAlign w:val="center"/>
          </w:tcPr>
          <w:p w14:paraId="653DD41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8块</w:t>
            </w:r>
          </w:p>
        </w:tc>
        <w:tc>
          <w:tcPr>
            <w:tcW w:w="2953" w:type="pct"/>
            <w:noWrap w:val="0"/>
            <w:vAlign w:val="center"/>
          </w:tcPr>
          <w:p w14:paraId="15918D3A">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1．提供≥8TB容量，3.5英寸，SATA3.0接口，7200RPM的</w:t>
            </w:r>
            <w:r>
              <w:rPr>
                <w:rFonts w:ascii="宋体" w:hAnsi="宋体" w:cs="宋体"/>
                <w:color w:val="auto"/>
                <w:kern w:val="0"/>
                <w:szCs w:val="21"/>
                <w:highlight w:val="none"/>
              </w:rPr>
              <w:t>企业级</w:t>
            </w:r>
            <w:r>
              <w:rPr>
                <w:rFonts w:hint="eastAsia" w:ascii="宋体" w:hAnsi="宋体" w:cs="宋体"/>
                <w:color w:val="auto"/>
                <w:kern w:val="0"/>
                <w:szCs w:val="21"/>
                <w:highlight w:val="none"/>
              </w:rPr>
              <w:t>监控专用硬盘；</w:t>
            </w:r>
          </w:p>
          <w:p w14:paraId="2DDE903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2．缓存≥256MB；</w:t>
            </w:r>
          </w:p>
          <w:p w14:paraId="2A25B93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3．最大读取速度≥267MB/s；</w:t>
            </w:r>
          </w:p>
          <w:p w14:paraId="444885D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4．接口传输速率（最大值）≥6.0Gb/s。</w:t>
            </w:r>
          </w:p>
        </w:tc>
      </w:tr>
      <w:tr w14:paraId="2EB408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DA9703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7</w:t>
            </w:r>
          </w:p>
        </w:tc>
        <w:tc>
          <w:tcPr>
            <w:tcW w:w="1026" w:type="pct"/>
            <w:noWrap/>
            <w:vAlign w:val="center"/>
          </w:tcPr>
          <w:p w14:paraId="1065AB6A">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2芯皮纤</w:t>
            </w:r>
          </w:p>
        </w:tc>
        <w:tc>
          <w:tcPr>
            <w:tcW w:w="426" w:type="pct"/>
            <w:noWrap/>
            <w:vAlign w:val="center"/>
          </w:tcPr>
          <w:p w14:paraId="10E00444">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1批</w:t>
            </w:r>
          </w:p>
        </w:tc>
        <w:tc>
          <w:tcPr>
            <w:tcW w:w="2953" w:type="pct"/>
            <w:noWrap w:val="0"/>
            <w:vAlign w:val="center"/>
          </w:tcPr>
          <w:p w14:paraId="01AAB26D">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1．提供满足本项目实施的2芯</w:t>
            </w:r>
            <w:r>
              <w:rPr>
                <w:rFonts w:hint="eastAsia" w:ascii="宋体" w:hAnsi="宋体" w:cs="宋体"/>
                <w:color w:val="auto"/>
                <w:kern w:val="0"/>
                <w:szCs w:val="21"/>
                <w:highlight w:val="none"/>
              </w:rPr>
              <w:t>光纤</w:t>
            </w:r>
            <w:r>
              <w:rPr>
                <w:rFonts w:ascii="宋体" w:hAnsi="宋体" w:cs="宋体"/>
                <w:color w:val="auto"/>
                <w:kern w:val="0"/>
                <w:szCs w:val="21"/>
                <w:highlight w:val="none"/>
              </w:rPr>
              <w:t>皮纤，预估约需</w:t>
            </w:r>
            <w:r>
              <w:rPr>
                <w:rFonts w:hint="eastAsia" w:ascii="宋体" w:hAnsi="宋体" w:cs="宋体"/>
                <w:color w:val="auto"/>
                <w:kern w:val="0"/>
                <w:szCs w:val="21"/>
                <w:highlight w:val="none"/>
              </w:rPr>
              <w:t>2000米</w:t>
            </w:r>
            <w:r>
              <w:rPr>
                <w:rFonts w:ascii="宋体" w:hAnsi="宋体" w:cs="宋体"/>
                <w:color w:val="auto"/>
                <w:kern w:val="0"/>
                <w:szCs w:val="21"/>
                <w:highlight w:val="none"/>
              </w:rPr>
              <w:t>。</w:t>
            </w:r>
          </w:p>
          <w:p w14:paraId="76D6DF6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2．光纤</w:t>
            </w:r>
            <w:r>
              <w:rPr>
                <w:rFonts w:ascii="宋体" w:hAnsi="宋体" w:cs="宋体"/>
                <w:color w:val="auto"/>
                <w:kern w:val="0"/>
                <w:szCs w:val="21"/>
                <w:highlight w:val="none"/>
              </w:rPr>
              <w:t>皮纤</w:t>
            </w:r>
            <w:r>
              <w:rPr>
                <w:rFonts w:hint="eastAsia" w:ascii="宋体" w:hAnsi="宋体" w:cs="宋体"/>
                <w:color w:val="auto"/>
                <w:kern w:val="0"/>
                <w:szCs w:val="21"/>
                <w:highlight w:val="none"/>
              </w:rPr>
              <w:t>规格须</w:t>
            </w:r>
            <w:r>
              <w:rPr>
                <w:rFonts w:ascii="宋体" w:hAnsi="宋体" w:cs="宋体"/>
                <w:color w:val="auto"/>
                <w:kern w:val="0"/>
                <w:szCs w:val="21"/>
                <w:highlight w:val="none"/>
              </w:rPr>
              <w:t>符合</w:t>
            </w:r>
            <w:r>
              <w:rPr>
                <w:rFonts w:hint="eastAsia" w:ascii="宋体" w:hAnsi="宋体" w:cs="宋体"/>
                <w:color w:val="auto"/>
                <w:kern w:val="0"/>
                <w:szCs w:val="21"/>
                <w:highlight w:val="none"/>
              </w:rPr>
              <w:t>G.657A2标准，光纤芯数</w:t>
            </w:r>
            <w:r>
              <w:rPr>
                <w:rFonts w:ascii="宋体" w:hAnsi="宋体" w:cs="宋体"/>
                <w:color w:val="auto"/>
                <w:kern w:val="0"/>
                <w:szCs w:val="21"/>
                <w:highlight w:val="none"/>
              </w:rPr>
              <w:t>2</w:t>
            </w:r>
            <w:r>
              <w:rPr>
                <w:rFonts w:hint="eastAsia" w:ascii="宋体" w:hAnsi="宋体" w:cs="宋体"/>
                <w:color w:val="auto"/>
                <w:kern w:val="0"/>
                <w:szCs w:val="21"/>
                <w:highlight w:val="none"/>
              </w:rPr>
              <w:t>芯</w:t>
            </w:r>
            <w:r>
              <w:rPr>
                <w:rFonts w:ascii="宋体" w:hAnsi="宋体" w:cs="宋体"/>
                <w:color w:val="auto"/>
                <w:kern w:val="0"/>
                <w:szCs w:val="21"/>
                <w:highlight w:val="none"/>
              </w:rPr>
              <w:t>；</w:t>
            </w:r>
          </w:p>
          <w:p w14:paraId="1DE6C8C8">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3．采用</w:t>
            </w:r>
            <w:r>
              <w:rPr>
                <w:rFonts w:hint="eastAsia" w:ascii="宋体" w:hAnsi="宋体" w:cs="宋体"/>
                <w:color w:val="auto"/>
                <w:kern w:val="0"/>
                <w:szCs w:val="21"/>
                <w:highlight w:val="none"/>
              </w:rPr>
              <w:t>加强元件FRP或钢丝，护套</w:t>
            </w:r>
            <w:r>
              <w:rPr>
                <w:rFonts w:ascii="宋体" w:hAnsi="宋体" w:cs="宋体"/>
                <w:color w:val="auto"/>
                <w:kern w:val="0"/>
                <w:szCs w:val="21"/>
                <w:highlight w:val="none"/>
              </w:rPr>
              <w:t>采用</w:t>
            </w:r>
            <w:r>
              <w:rPr>
                <w:rFonts w:hint="eastAsia" w:ascii="宋体" w:hAnsi="宋体" w:cs="宋体"/>
                <w:color w:val="auto"/>
                <w:kern w:val="0"/>
                <w:szCs w:val="21"/>
                <w:highlight w:val="none"/>
              </w:rPr>
              <w:t>低烟无卤（LSZH</w:t>
            </w:r>
            <w:r>
              <w:rPr>
                <w:rFonts w:ascii="宋体" w:hAnsi="宋体" w:cs="宋体"/>
                <w:color w:val="auto"/>
                <w:kern w:val="0"/>
                <w:szCs w:val="21"/>
                <w:highlight w:val="none"/>
              </w:rPr>
              <w:t>）</w:t>
            </w:r>
            <w:r>
              <w:rPr>
                <w:rFonts w:hint="eastAsia" w:ascii="宋体" w:hAnsi="宋体" w:cs="宋体"/>
                <w:color w:val="auto"/>
                <w:kern w:val="0"/>
                <w:szCs w:val="21"/>
                <w:highlight w:val="none"/>
              </w:rPr>
              <w:t>材料，厚度≥0.4mm。</w:t>
            </w:r>
          </w:p>
        </w:tc>
      </w:tr>
      <w:tr w14:paraId="38ED64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D1E74A9">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3</w:t>
            </w:r>
            <w:r>
              <w:rPr>
                <w:rFonts w:hint="eastAsia" w:ascii="宋体" w:hAnsi="宋体" w:cs="宋体"/>
                <w:color w:val="auto"/>
                <w:kern w:val="0"/>
                <w:szCs w:val="21"/>
                <w:highlight w:val="none"/>
              </w:rPr>
              <w:t>.1</w:t>
            </w:r>
            <w:r>
              <w:rPr>
                <w:rFonts w:ascii="宋体" w:hAnsi="宋体" w:cs="宋体"/>
                <w:color w:val="auto"/>
                <w:kern w:val="0"/>
                <w:szCs w:val="21"/>
                <w:highlight w:val="none"/>
              </w:rPr>
              <w:t>8</w:t>
            </w:r>
          </w:p>
        </w:tc>
        <w:tc>
          <w:tcPr>
            <w:tcW w:w="1026" w:type="pct"/>
            <w:noWrap w:val="0"/>
            <w:vAlign w:val="center"/>
          </w:tcPr>
          <w:p w14:paraId="354784A1">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PVC管材等</w:t>
            </w:r>
            <w:r>
              <w:rPr>
                <w:rFonts w:ascii="宋体" w:hAnsi="宋体" w:cs="宋体"/>
                <w:color w:val="auto"/>
                <w:kern w:val="0"/>
                <w:szCs w:val="21"/>
                <w:highlight w:val="none"/>
              </w:rPr>
              <w:t>辅材</w:t>
            </w:r>
          </w:p>
        </w:tc>
        <w:tc>
          <w:tcPr>
            <w:tcW w:w="426" w:type="pct"/>
            <w:noWrap/>
            <w:vAlign w:val="center"/>
          </w:tcPr>
          <w:p w14:paraId="23674696">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批</w:t>
            </w:r>
          </w:p>
        </w:tc>
        <w:tc>
          <w:tcPr>
            <w:tcW w:w="2953" w:type="pct"/>
            <w:noWrap w:val="0"/>
            <w:vAlign w:val="center"/>
          </w:tcPr>
          <w:p w14:paraId="390D9CAA">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PVC线管、线夹、管夹、扎带、电工胶布、螺钉、不锈钢钉等辅材1批，满足本项目设备设施安装实施要求。</w:t>
            </w:r>
          </w:p>
        </w:tc>
      </w:tr>
      <w:tr w14:paraId="2D1B6C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4EC6F9B">
            <w:pPr>
              <w:widowControl/>
              <w:adjustRightInd w:val="0"/>
              <w:spacing w:line="360" w:lineRule="exact"/>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（二）</w:t>
            </w:r>
          </w:p>
        </w:tc>
        <w:tc>
          <w:tcPr>
            <w:tcW w:w="4405" w:type="pct"/>
            <w:gridSpan w:val="3"/>
            <w:noWrap/>
            <w:vAlign w:val="center"/>
          </w:tcPr>
          <w:p w14:paraId="355E2D1E">
            <w:pPr>
              <w:widowControl/>
              <w:spacing w:line="360" w:lineRule="exact"/>
              <w:contextualSpacing/>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全区检察机关一体化综合信访安防视频联网调度指挥平台</w:t>
            </w:r>
          </w:p>
        </w:tc>
      </w:tr>
      <w:tr w14:paraId="56C54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6275B91A">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1</w:t>
            </w:r>
          </w:p>
        </w:tc>
        <w:tc>
          <w:tcPr>
            <w:tcW w:w="1026" w:type="pct"/>
            <w:noWrap w:val="0"/>
            <w:vAlign w:val="center"/>
          </w:tcPr>
          <w:p w14:paraId="2B1C8B6B">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全区检察机关一体化综合信访安防视频联网调度指挥平台（国产化）</w:t>
            </w:r>
          </w:p>
        </w:tc>
        <w:tc>
          <w:tcPr>
            <w:tcW w:w="426" w:type="pct"/>
            <w:noWrap w:val="0"/>
            <w:vAlign w:val="center"/>
          </w:tcPr>
          <w:p w14:paraId="0660CA9E">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1套</w:t>
            </w:r>
          </w:p>
        </w:tc>
        <w:tc>
          <w:tcPr>
            <w:tcW w:w="2953" w:type="pct"/>
            <w:noWrap w:val="0"/>
            <w:vAlign w:val="center"/>
          </w:tcPr>
          <w:p w14:paraId="12E26E4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含基础模块、事件中心、图上监控、国产化客户端、国产化视频</w:t>
            </w:r>
            <w:r>
              <w:rPr>
                <w:rFonts w:ascii="宋体" w:hAnsi="宋体" w:cs="宋体"/>
                <w:color w:val="auto"/>
                <w:kern w:val="0"/>
                <w:szCs w:val="21"/>
                <w:highlight w:val="none"/>
              </w:rPr>
              <w:t>web插件</w:t>
            </w:r>
            <w:r>
              <w:rPr>
                <w:rFonts w:hint="eastAsia" w:ascii="宋体" w:hAnsi="宋体" w:cs="宋体"/>
                <w:color w:val="auto"/>
                <w:kern w:val="0"/>
                <w:szCs w:val="21"/>
                <w:highlight w:val="none"/>
              </w:rPr>
              <w:t>、视频监控、视频联网、视频联网汇聚、设备网络管理等。</w:t>
            </w:r>
          </w:p>
          <w:p w14:paraId="6837D0AA">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一、提供基础模块应用</w:t>
            </w:r>
          </w:p>
          <w:p w14:paraId="37736BF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1．提供门户首页内容自定义能力，支持自定义快捷入口、自定义菜单内容、自定义页面元素设置；支持门户展示元素自定义，包括页面logo图标、修改网站标题、设置并添加网站外部链接；</w:t>
            </w:r>
          </w:p>
          <w:p w14:paraId="3FB8BFE1">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2．提供统一的认证、鉴权管理、应用管理、菜单管理、用户管理、角色管理、组织管理、资源管理等能力；</w:t>
            </w:r>
          </w:p>
          <w:p w14:paraId="0546161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3．提供用户权限管理能力，包括菜单权限、组织权限、区域权限、资源权限、功能控制权限；</w:t>
            </w:r>
          </w:p>
          <w:p w14:paraId="6D77543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4．提供不限</w:t>
            </w:r>
            <w:r>
              <w:rPr>
                <w:rFonts w:ascii="宋体" w:hAnsi="宋体" w:cs="宋体"/>
                <w:color w:val="auto"/>
                <w:kern w:val="0"/>
                <w:szCs w:val="21"/>
                <w:highlight w:val="none"/>
              </w:rPr>
              <w:t>数量的</w:t>
            </w:r>
            <w:r>
              <w:rPr>
                <w:rFonts w:hint="eastAsia" w:ascii="宋体" w:hAnsi="宋体" w:cs="宋体"/>
                <w:color w:val="auto"/>
                <w:kern w:val="0"/>
                <w:szCs w:val="21"/>
                <w:highlight w:val="none"/>
              </w:rPr>
              <w:t>组织、区域、设备等资源统一管理。</w:t>
            </w:r>
          </w:p>
          <w:p w14:paraId="3E12A4A8">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5．提供用户安全管理，支持账户绑定用户</w:t>
            </w:r>
            <w:r>
              <w:rPr>
                <w:rFonts w:ascii="宋体" w:hAnsi="宋体" w:cs="宋体"/>
                <w:color w:val="auto"/>
                <w:kern w:val="0"/>
                <w:szCs w:val="21"/>
                <w:highlight w:val="none"/>
              </w:rPr>
              <w:t>MAC</w:t>
            </w:r>
            <w:r>
              <w:rPr>
                <w:rFonts w:hint="eastAsia" w:ascii="宋体" w:hAnsi="宋体" w:cs="宋体"/>
                <w:color w:val="auto"/>
                <w:kern w:val="0"/>
                <w:szCs w:val="21"/>
                <w:highlight w:val="none"/>
              </w:rPr>
              <w:t>地址及IP地址能力，提供账户安全设置，支持账户密码有效期设置，支持登录类型（Web端、PC客户端、移动端）和认证方式（密码、PKI）的配置；</w:t>
            </w:r>
          </w:p>
          <w:p w14:paraId="090682B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6．提供NTP校时服务能力，支持对设备和服务器统一校时；</w:t>
            </w:r>
          </w:p>
          <w:p w14:paraId="71A2190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7．提供数据、服务等统一开放能力；</w:t>
            </w:r>
          </w:p>
          <w:p w14:paraId="49A9EB5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8．提供系统运行状态监测能力，包括运行服务监控、运行服务统计、运行数据报告和运行服务解析概览。</w:t>
            </w:r>
          </w:p>
          <w:p w14:paraId="7CBD0F68">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二、提供事件中心应用</w:t>
            </w:r>
          </w:p>
          <w:p w14:paraId="3765784D">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提供系统报警事件接收、事件处理、事件联动、事件检索能力，提供场景化的事件联动应用（在“特定条件”下执行“特定动作”），报警事件产生时，可以通过多种方式、多种联动场景提醒安保人员，联动方式包含视频弹窗、视频上墙、录像联动、云台联动、短信联动、邮箱联动、IO联动、抓图联动、门禁反控联动等。</w:t>
            </w:r>
          </w:p>
          <w:p w14:paraId="5A26D2D1">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三、提供图上监控应用</w:t>
            </w:r>
          </w:p>
          <w:p w14:paraId="511A3F2B">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提供各类资源图上展示及控制操作，在地图上可展示各类资源点的地理位置，通过接收资源点报警事件，实现报警信息可视化展示。</w:t>
            </w:r>
          </w:p>
          <w:p w14:paraId="58F201C3">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四、提供视频监控应用</w:t>
            </w:r>
          </w:p>
          <w:p w14:paraId="4320CCB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视频监控应用提供视频管理服务，支持编码设备通过设备网络SDK协议、GB28181协议、ONVIF协议等接入平台，实现视频预览、录像回放、视频上墙、视频事件监控服务能力。支持不低于1</w:t>
            </w:r>
            <w:r>
              <w:rPr>
                <w:rFonts w:ascii="宋体" w:hAnsi="宋体" w:cs="宋体"/>
                <w:color w:val="auto"/>
                <w:kern w:val="0"/>
                <w:szCs w:val="21"/>
                <w:highlight w:val="none"/>
              </w:rPr>
              <w:t>5</w:t>
            </w:r>
            <w:r>
              <w:rPr>
                <w:rFonts w:hint="eastAsia" w:ascii="宋体" w:hAnsi="宋体" w:cs="宋体"/>
                <w:color w:val="auto"/>
                <w:kern w:val="0"/>
                <w:szCs w:val="21"/>
                <w:highlight w:val="none"/>
              </w:rPr>
              <w:t>00路的监控接入授权管理，授权数不能绑定设备，单一设备维修替换后不占用新的授权数。</w:t>
            </w:r>
          </w:p>
          <w:p w14:paraId="360BD6C5">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五、提供视频联网应用</w:t>
            </w:r>
          </w:p>
          <w:p w14:paraId="775A17C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1．提供视频点位联网服务能力，用于平台域间视频联网，基于视频通用标准协议（GB/T28181-2011,GB/T28181-2016）与外域平台互联互通，实现平台视频资源点位推送等操作控制。支持不低于1</w:t>
            </w:r>
            <w:r>
              <w:rPr>
                <w:rFonts w:ascii="宋体" w:hAnsi="宋体" w:cs="宋体"/>
                <w:color w:val="auto"/>
                <w:kern w:val="0"/>
                <w:szCs w:val="21"/>
                <w:highlight w:val="none"/>
              </w:rPr>
              <w:t>5</w:t>
            </w:r>
            <w:r>
              <w:rPr>
                <w:rFonts w:hint="eastAsia" w:ascii="宋体" w:hAnsi="宋体" w:cs="宋体"/>
                <w:color w:val="auto"/>
                <w:kern w:val="0"/>
                <w:szCs w:val="21"/>
                <w:highlight w:val="none"/>
              </w:rPr>
              <w:t>00路的视频联网汇聚授权管理，授权数不能绑定设备，单一设备维修替换后不占用新的授权数；</w:t>
            </w:r>
          </w:p>
          <w:p w14:paraId="42631D9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2．系统最大授权在线应用用户数（个）≥</w:t>
            </w:r>
            <w:r>
              <w:rPr>
                <w:rFonts w:ascii="宋体" w:hAnsi="宋体" w:cs="宋体"/>
                <w:color w:val="auto"/>
                <w:kern w:val="0"/>
                <w:szCs w:val="21"/>
                <w:highlight w:val="none"/>
              </w:rPr>
              <w:t>300</w:t>
            </w:r>
            <w:r>
              <w:rPr>
                <w:rFonts w:hint="eastAsia" w:ascii="宋体" w:hAnsi="宋体" w:cs="宋体"/>
                <w:color w:val="auto"/>
                <w:kern w:val="0"/>
                <w:szCs w:val="21"/>
                <w:highlight w:val="none"/>
              </w:rPr>
              <w:t>。</w:t>
            </w:r>
          </w:p>
          <w:p w14:paraId="0AC5A651">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六、支持设备网络管理应用</w:t>
            </w:r>
          </w:p>
          <w:p w14:paraId="31DC96F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设备网络管理应用，对接入平台的视频设备，门禁设备，梯控设备，可视对讲设备进行在线巡检，及时发现故障设备和掉线设备，使运维工作更加高效，便利。含不少于1</w:t>
            </w:r>
            <w:r>
              <w:rPr>
                <w:rFonts w:ascii="宋体" w:hAnsi="宋体" w:cs="宋体"/>
                <w:color w:val="auto"/>
                <w:kern w:val="0"/>
                <w:szCs w:val="21"/>
                <w:highlight w:val="none"/>
              </w:rPr>
              <w:t>5</w:t>
            </w:r>
            <w:r>
              <w:rPr>
                <w:rFonts w:hint="eastAsia" w:ascii="宋体" w:hAnsi="宋体" w:cs="宋体"/>
                <w:color w:val="auto"/>
                <w:kern w:val="0"/>
                <w:szCs w:val="21"/>
                <w:highlight w:val="none"/>
              </w:rPr>
              <w:t>00路设备不限时授权</w:t>
            </w:r>
            <w:r>
              <w:rPr>
                <w:rFonts w:ascii="宋体" w:hAnsi="宋体" w:cs="宋体"/>
                <w:color w:val="auto"/>
                <w:kern w:val="0"/>
                <w:szCs w:val="21"/>
                <w:highlight w:val="none"/>
              </w:rPr>
              <w:t>的</w:t>
            </w:r>
            <w:r>
              <w:rPr>
                <w:rFonts w:hint="eastAsia" w:ascii="宋体" w:hAnsi="宋体" w:cs="宋体"/>
                <w:color w:val="auto"/>
                <w:kern w:val="0"/>
                <w:szCs w:val="21"/>
                <w:highlight w:val="none"/>
              </w:rPr>
              <w:t>网络管理，授权数不能绑定</w:t>
            </w:r>
            <w:r>
              <w:rPr>
                <w:rFonts w:ascii="宋体" w:hAnsi="宋体" w:cs="宋体"/>
                <w:color w:val="auto"/>
                <w:kern w:val="0"/>
                <w:szCs w:val="21"/>
                <w:highlight w:val="none"/>
              </w:rPr>
              <w:t>设备，</w:t>
            </w:r>
            <w:r>
              <w:rPr>
                <w:rFonts w:hint="eastAsia" w:ascii="宋体" w:hAnsi="宋体" w:cs="宋体"/>
                <w:color w:val="auto"/>
                <w:kern w:val="0"/>
                <w:szCs w:val="21"/>
                <w:highlight w:val="none"/>
              </w:rPr>
              <w:t>单一设备维修替换后</w:t>
            </w:r>
            <w:r>
              <w:rPr>
                <w:rFonts w:ascii="宋体" w:hAnsi="宋体" w:cs="宋体"/>
                <w:color w:val="auto"/>
                <w:kern w:val="0"/>
                <w:szCs w:val="21"/>
                <w:highlight w:val="none"/>
              </w:rPr>
              <w:t>不</w:t>
            </w:r>
            <w:r>
              <w:rPr>
                <w:rFonts w:hint="eastAsia" w:ascii="宋体" w:hAnsi="宋体" w:cs="宋体"/>
                <w:color w:val="auto"/>
                <w:kern w:val="0"/>
                <w:szCs w:val="21"/>
                <w:highlight w:val="none"/>
              </w:rPr>
              <w:t>占用</w:t>
            </w:r>
            <w:r>
              <w:rPr>
                <w:rFonts w:ascii="宋体" w:hAnsi="宋体" w:cs="宋体"/>
                <w:color w:val="auto"/>
                <w:kern w:val="0"/>
                <w:szCs w:val="21"/>
                <w:highlight w:val="none"/>
              </w:rPr>
              <w:t>新的</w:t>
            </w:r>
            <w:r>
              <w:rPr>
                <w:rFonts w:hint="eastAsia" w:ascii="宋体" w:hAnsi="宋体" w:cs="宋体"/>
                <w:color w:val="auto"/>
                <w:kern w:val="0"/>
                <w:szCs w:val="21"/>
                <w:highlight w:val="none"/>
              </w:rPr>
              <w:t>授权</w:t>
            </w:r>
            <w:r>
              <w:rPr>
                <w:rFonts w:ascii="宋体" w:hAnsi="宋体" w:cs="宋体"/>
                <w:color w:val="auto"/>
                <w:kern w:val="0"/>
                <w:szCs w:val="21"/>
                <w:highlight w:val="none"/>
              </w:rPr>
              <w:t>数</w:t>
            </w:r>
            <w:r>
              <w:rPr>
                <w:rFonts w:hint="eastAsia" w:ascii="宋体" w:hAnsi="宋体" w:cs="宋体"/>
                <w:color w:val="auto"/>
                <w:kern w:val="0"/>
                <w:szCs w:val="21"/>
                <w:highlight w:val="none"/>
              </w:rPr>
              <w:t>。</w:t>
            </w:r>
          </w:p>
          <w:p w14:paraId="758864FB">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七、提供多</w:t>
            </w:r>
            <w:r>
              <w:rPr>
                <w:rFonts w:ascii="宋体" w:hAnsi="宋体" w:cs="宋体"/>
                <w:b/>
                <w:color w:val="auto"/>
                <w:kern w:val="0"/>
                <w:szCs w:val="21"/>
                <w:highlight w:val="none"/>
              </w:rPr>
              <w:t>类型</w:t>
            </w:r>
            <w:r>
              <w:rPr>
                <w:rFonts w:hint="eastAsia" w:ascii="宋体" w:hAnsi="宋体" w:cs="宋体"/>
                <w:b/>
                <w:color w:val="auto"/>
                <w:kern w:val="0"/>
                <w:szCs w:val="21"/>
                <w:highlight w:val="none"/>
              </w:rPr>
              <w:t>客户终端应用</w:t>
            </w:r>
          </w:p>
          <w:p w14:paraId="6892777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1．ARM 信创客户端支持在ARM指令集的CPU（飞腾、鲲鹏）和麒麟、统信（UOS）等操作系统的国产化信创</w:t>
            </w:r>
            <w:r>
              <w:rPr>
                <w:rFonts w:ascii="宋体" w:hAnsi="宋体" w:cs="宋体"/>
                <w:color w:val="auto"/>
                <w:kern w:val="0"/>
                <w:szCs w:val="21"/>
                <w:highlight w:val="none"/>
              </w:rPr>
              <w:t>环境PC端</w:t>
            </w:r>
            <w:r>
              <w:rPr>
                <w:rFonts w:hint="eastAsia" w:ascii="宋体" w:hAnsi="宋体" w:cs="宋体"/>
                <w:color w:val="auto"/>
                <w:kern w:val="0"/>
                <w:szCs w:val="21"/>
                <w:highlight w:val="none"/>
              </w:rPr>
              <w:t>环境下运行，支持视频预览、录像回放、视频上墙、门禁、事件联动、入侵报警业务功能。</w:t>
            </w:r>
          </w:p>
          <w:p w14:paraId="71827FF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w:t>
            </w:r>
            <w:r>
              <w:rPr>
                <w:rFonts w:ascii="宋体" w:hAnsi="宋体" w:cs="宋体"/>
                <w:color w:val="auto"/>
                <w:kern w:val="0"/>
                <w:szCs w:val="21"/>
                <w:highlight w:val="none"/>
              </w:rPr>
              <w:t>x</w:t>
            </w:r>
            <w:r>
              <w:rPr>
                <w:rFonts w:hint="eastAsia" w:ascii="宋体" w:hAnsi="宋体" w:cs="宋体"/>
                <w:color w:val="auto"/>
                <w:kern w:val="0"/>
                <w:szCs w:val="21"/>
                <w:highlight w:val="none"/>
              </w:rPr>
              <w:t>86客户端软件（含国产化</w:t>
            </w:r>
            <w:r>
              <w:rPr>
                <w:rFonts w:ascii="宋体" w:hAnsi="宋体" w:cs="宋体"/>
                <w:color w:val="auto"/>
                <w:kern w:val="0"/>
                <w:szCs w:val="21"/>
                <w:highlight w:val="none"/>
              </w:rPr>
              <w:t>信创环境</w:t>
            </w:r>
            <w:r>
              <w:rPr>
                <w:rFonts w:hint="eastAsia" w:ascii="宋体" w:hAnsi="宋体" w:cs="宋体"/>
                <w:color w:val="auto"/>
                <w:kern w:val="0"/>
                <w:szCs w:val="21"/>
                <w:highlight w:val="none"/>
              </w:rPr>
              <w:t>和</w:t>
            </w:r>
            <w:r>
              <w:rPr>
                <w:rFonts w:ascii="宋体" w:hAnsi="宋体" w:cs="宋体"/>
                <w:color w:val="auto"/>
                <w:kern w:val="0"/>
                <w:szCs w:val="21"/>
                <w:highlight w:val="none"/>
              </w:rPr>
              <w:t>x86</w:t>
            </w:r>
            <w:r>
              <w:rPr>
                <w:rFonts w:hint="eastAsia" w:ascii="宋体" w:hAnsi="宋体" w:cs="宋体"/>
                <w:color w:val="auto"/>
                <w:kern w:val="0"/>
                <w:szCs w:val="21"/>
                <w:highlight w:val="none"/>
              </w:rPr>
              <w:t>非</w:t>
            </w:r>
            <w:r>
              <w:rPr>
                <w:rFonts w:ascii="宋体" w:hAnsi="宋体" w:cs="宋体"/>
                <w:color w:val="auto"/>
                <w:kern w:val="0"/>
                <w:szCs w:val="21"/>
                <w:highlight w:val="none"/>
              </w:rPr>
              <w:t>信创环境</w:t>
            </w:r>
            <w:r>
              <w:rPr>
                <w:rFonts w:hint="eastAsia" w:ascii="宋体" w:hAnsi="宋体" w:cs="宋体"/>
                <w:color w:val="auto"/>
                <w:kern w:val="0"/>
                <w:szCs w:val="21"/>
                <w:highlight w:val="none"/>
              </w:rPr>
              <w:t>等</w:t>
            </w:r>
            <w:r>
              <w:rPr>
                <w:rFonts w:ascii="宋体" w:hAnsi="宋体" w:cs="宋体"/>
                <w:color w:val="auto"/>
                <w:kern w:val="0"/>
                <w:szCs w:val="21"/>
                <w:highlight w:val="none"/>
              </w:rPr>
              <w:t>PC端）</w:t>
            </w:r>
            <w:r>
              <w:rPr>
                <w:rFonts w:hint="eastAsia" w:ascii="宋体" w:hAnsi="宋体" w:cs="宋体"/>
                <w:color w:val="auto"/>
                <w:kern w:val="0"/>
                <w:szCs w:val="21"/>
                <w:highlight w:val="none"/>
              </w:rPr>
              <w:t>支持在x86指令集CPU和Windows或内核为Linux等市场上常见操作系统的个人电脑终端下运行，支持视频预览、录像回放、视频上墙、门禁、事件联动、入侵报警业务功能。</w:t>
            </w:r>
          </w:p>
          <w:p w14:paraId="10F41B00">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3．MIPS信创客户端支持在龙芯CPU（MIPS指令集）和麒麟、统信（UOS）操作系统的国产化信创</w:t>
            </w:r>
            <w:r>
              <w:rPr>
                <w:rFonts w:ascii="宋体" w:hAnsi="宋体" w:cs="宋体"/>
                <w:color w:val="auto"/>
                <w:kern w:val="0"/>
                <w:szCs w:val="21"/>
                <w:highlight w:val="none"/>
              </w:rPr>
              <w:t>环境PC端</w:t>
            </w:r>
            <w:r>
              <w:rPr>
                <w:rFonts w:hint="eastAsia" w:ascii="宋体" w:hAnsi="宋体" w:cs="宋体"/>
                <w:color w:val="auto"/>
                <w:kern w:val="0"/>
                <w:szCs w:val="21"/>
                <w:highlight w:val="none"/>
              </w:rPr>
              <w:t>下运行，支持视频预览、录像回放、视频上墙、门禁、事件联动、入侵报警业务功能。</w:t>
            </w:r>
          </w:p>
          <w:p w14:paraId="68DD9B5E">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移动客户端至少支持在安卓10</w:t>
            </w:r>
            <w:r>
              <w:rPr>
                <w:rFonts w:ascii="宋体" w:hAnsi="宋体" w:cs="宋体"/>
                <w:color w:val="auto"/>
                <w:kern w:val="0"/>
                <w:szCs w:val="21"/>
                <w:highlight w:val="none"/>
              </w:rPr>
              <w:t>.</w:t>
            </w:r>
            <w:r>
              <w:rPr>
                <w:rFonts w:hint="eastAsia" w:ascii="宋体" w:hAnsi="宋体" w:cs="宋体"/>
                <w:color w:val="auto"/>
                <w:kern w:val="0"/>
                <w:szCs w:val="21"/>
                <w:highlight w:val="none"/>
              </w:rPr>
              <w:t>0及</w:t>
            </w:r>
            <w:r>
              <w:rPr>
                <w:rFonts w:ascii="宋体" w:hAnsi="宋体" w:cs="宋体"/>
                <w:color w:val="auto"/>
                <w:kern w:val="0"/>
                <w:szCs w:val="21"/>
                <w:highlight w:val="none"/>
              </w:rPr>
              <w:t>以上、鸿蒙</w:t>
            </w:r>
            <w:r>
              <w:rPr>
                <w:rFonts w:hint="eastAsia" w:ascii="宋体" w:hAnsi="宋体" w:cs="宋体"/>
                <w:color w:val="auto"/>
                <w:kern w:val="0"/>
                <w:szCs w:val="21"/>
                <w:highlight w:val="none"/>
              </w:rPr>
              <w:t>4</w:t>
            </w:r>
            <w:r>
              <w:rPr>
                <w:rFonts w:ascii="宋体" w:hAnsi="宋体" w:cs="宋体"/>
                <w:color w:val="auto"/>
                <w:kern w:val="0"/>
                <w:szCs w:val="21"/>
                <w:highlight w:val="none"/>
              </w:rPr>
              <w:t>.0</w:t>
            </w:r>
            <w:r>
              <w:rPr>
                <w:rFonts w:hint="eastAsia" w:ascii="宋体" w:hAnsi="宋体" w:cs="宋体"/>
                <w:color w:val="auto"/>
                <w:kern w:val="0"/>
                <w:szCs w:val="21"/>
                <w:highlight w:val="none"/>
              </w:rPr>
              <w:t>及</w:t>
            </w:r>
            <w:r>
              <w:rPr>
                <w:rFonts w:ascii="宋体" w:hAnsi="宋体" w:cs="宋体"/>
                <w:color w:val="auto"/>
                <w:kern w:val="0"/>
                <w:szCs w:val="21"/>
                <w:highlight w:val="none"/>
              </w:rPr>
              <w:t>以上</w:t>
            </w:r>
            <w:r>
              <w:rPr>
                <w:rFonts w:hint="eastAsia" w:ascii="宋体" w:hAnsi="宋体" w:cs="宋体"/>
                <w:color w:val="auto"/>
                <w:kern w:val="0"/>
                <w:szCs w:val="21"/>
                <w:highlight w:val="none"/>
              </w:rPr>
              <w:t>操作系统的移动</w:t>
            </w:r>
            <w:r>
              <w:rPr>
                <w:rFonts w:ascii="宋体" w:hAnsi="宋体" w:cs="宋体"/>
                <w:color w:val="auto"/>
                <w:kern w:val="0"/>
                <w:szCs w:val="21"/>
                <w:highlight w:val="none"/>
              </w:rPr>
              <w:t>端</w:t>
            </w:r>
            <w:r>
              <w:rPr>
                <w:rFonts w:hint="eastAsia" w:ascii="宋体" w:hAnsi="宋体" w:cs="宋体"/>
                <w:color w:val="auto"/>
                <w:kern w:val="0"/>
                <w:szCs w:val="21"/>
                <w:highlight w:val="none"/>
              </w:rPr>
              <w:t>下运行，支持视频预览、录像回放、门禁、事件联动、入侵报警业务功能。</w:t>
            </w:r>
          </w:p>
          <w:p w14:paraId="260D33E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▲5．至少提供支持以上4种客户端已终身授权使用</w:t>
            </w:r>
            <w:r>
              <w:rPr>
                <w:rFonts w:ascii="宋体" w:hAnsi="宋体" w:cs="宋体"/>
                <w:color w:val="auto"/>
                <w:kern w:val="0"/>
                <w:szCs w:val="21"/>
                <w:highlight w:val="none"/>
              </w:rPr>
              <w:t>的正式版</w:t>
            </w:r>
            <w:r>
              <w:rPr>
                <w:rFonts w:hint="eastAsia" w:ascii="宋体" w:hAnsi="宋体" w:cs="宋体"/>
                <w:color w:val="auto"/>
                <w:kern w:val="0"/>
                <w:szCs w:val="21"/>
                <w:highlight w:val="none"/>
              </w:rPr>
              <w:t>软件，在</w:t>
            </w:r>
            <w:r>
              <w:rPr>
                <w:rFonts w:ascii="宋体" w:hAnsi="宋体" w:cs="宋体"/>
                <w:color w:val="auto"/>
                <w:kern w:val="0"/>
                <w:szCs w:val="21"/>
                <w:highlight w:val="none"/>
              </w:rPr>
              <w:t>采购人内部网络（</w:t>
            </w:r>
            <w:r>
              <w:rPr>
                <w:rFonts w:hint="eastAsia" w:ascii="宋体" w:hAnsi="宋体" w:cs="宋体"/>
                <w:color w:val="auto"/>
                <w:kern w:val="0"/>
                <w:szCs w:val="21"/>
                <w:highlight w:val="none"/>
              </w:rPr>
              <w:t>可利用</w:t>
            </w:r>
            <w:r>
              <w:rPr>
                <w:rFonts w:ascii="宋体" w:hAnsi="宋体" w:cs="宋体"/>
                <w:color w:val="auto"/>
                <w:kern w:val="0"/>
                <w:szCs w:val="21"/>
                <w:highlight w:val="none"/>
              </w:rPr>
              <w:t>本</w:t>
            </w:r>
            <w:r>
              <w:rPr>
                <w:rFonts w:hint="eastAsia" w:ascii="宋体" w:hAnsi="宋体" w:cs="宋体"/>
                <w:color w:val="auto"/>
                <w:kern w:val="0"/>
                <w:szCs w:val="21"/>
                <w:highlight w:val="none"/>
              </w:rPr>
              <w:t>项目</w:t>
            </w:r>
            <w:r>
              <w:rPr>
                <w:rFonts w:ascii="宋体" w:hAnsi="宋体" w:cs="宋体"/>
                <w:color w:val="auto"/>
                <w:kern w:val="0"/>
                <w:szCs w:val="21"/>
                <w:highlight w:val="none"/>
              </w:rPr>
              <w:t>服务器）</w:t>
            </w:r>
            <w:r>
              <w:rPr>
                <w:rFonts w:hint="eastAsia" w:ascii="宋体" w:hAnsi="宋体" w:cs="宋体"/>
                <w:color w:val="auto"/>
                <w:kern w:val="0"/>
                <w:szCs w:val="21"/>
                <w:highlight w:val="none"/>
              </w:rPr>
              <w:t>提供</w:t>
            </w:r>
            <w:r>
              <w:rPr>
                <w:rFonts w:ascii="宋体" w:hAnsi="宋体" w:cs="宋体"/>
                <w:color w:val="auto"/>
                <w:kern w:val="0"/>
                <w:szCs w:val="21"/>
                <w:highlight w:val="none"/>
              </w:rPr>
              <w:t>软件</w:t>
            </w:r>
            <w:r>
              <w:rPr>
                <w:rFonts w:hint="eastAsia" w:ascii="宋体" w:hAnsi="宋体" w:cs="宋体"/>
                <w:color w:val="auto"/>
                <w:kern w:val="0"/>
                <w:szCs w:val="21"/>
                <w:highlight w:val="none"/>
              </w:rPr>
              <w:t>安全下载环境</w:t>
            </w:r>
            <w:r>
              <w:rPr>
                <w:rFonts w:ascii="宋体" w:hAnsi="宋体" w:cs="宋体"/>
                <w:color w:val="auto"/>
                <w:kern w:val="0"/>
                <w:szCs w:val="21"/>
                <w:highlight w:val="none"/>
              </w:rPr>
              <w:t>，</w:t>
            </w:r>
            <w:r>
              <w:rPr>
                <w:rFonts w:hint="eastAsia" w:ascii="宋体" w:hAnsi="宋体" w:cs="宋体"/>
                <w:color w:val="auto"/>
                <w:kern w:val="0"/>
                <w:szCs w:val="21"/>
                <w:highlight w:val="none"/>
              </w:rPr>
              <w:t>并</w:t>
            </w:r>
            <w:r>
              <w:rPr>
                <w:rFonts w:ascii="宋体" w:hAnsi="宋体" w:cs="宋体"/>
                <w:color w:val="auto"/>
                <w:kern w:val="0"/>
                <w:szCs w:val="21"/>
                <w:highlight w:val="none"/>
              </w:rPr>
              <w:t>提供</w:t>
            </w:r>
            <w:r>
              <w:rPr>
                <w:rFonts w:hint="eastAsia" w:ascii="宋体" w:hAnsi="宋体" w:cs="宋体"/>
                <w:color w:val="auto"/>
                <w:kern w:val="0"/>
                <w:szCs w:val="21"/>
                <w:highlight w:val="none"/>
              </w:rPr>
              <w:t>部署安装使用</w:t>
            </w:r>
            <w:r>
              <w:rPr>
                <w:rFonts w:ascii="宋体" w:hAnsi="宋体" w:cs="宋体"/>
                <w:color w:val="auto"/>
                <w:kern w:val="0"/>
                <w:szCs w:val="21"/>
                <w:highlight w:val="none"/>
              </w:rPr>
              <w:t>的用户手册</w:t>
            </w:r>
            <w:r>
              <w:rPr>
                <w:rFonts w:hint="eastAsia" w:ascii="宋体" w:hAnsi="宋体" w:cs="宋体"/>
                <w:color w:val="auto"/>
                <w:kern w:val="0"/>
                <w:szCs w:val="21"/>
                <w:highlight w:val="none"/>
              </w:rPr>
              <w:t>给</w:t>
            </w:r>
            <w:r>
              <w:rPr>
                <w:rFonts w:ascii="宋体" w:hAnsi="宋体" w:cs="宋体"/>
                <w:color w:val="auto"/>
                <w:kern w:val="0"/>
                <w:szCs w:val="21"/>
                <w:highlight w:val="none"/>
              </w:rPr>
              <w:t>用户下载</w:t>
            </w:r>
            <w:r>
              <w:rPr>
                <w:rFonts w:hint="eastAsia" w:ascii="宋体" w:hAnsi="宋体" w:cs="宋体"/>
                <w:color w:val="auto"/>
                <w:kern w:val="0"/>
                <w:szCs w:val="21"/>
                <w:highlight w:val="none"/>
              </w:rPr>
              <w:t>。</w:t>
            </w:r>
          </w:p>
          <w:p w14:paraId="09794257">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八、含国产化视频</w:t>
            </w:r>
            <w:r>
              <w:rPr>
                <w:rFonts w:ascii="宋体" w:hAnsi="宋体" w:cs="宋体"/>
                <w:b/>
                <w:color w:val="auto"/>
                <w:kern w:val="0"/>
                <w:szCs w:val="21"/>
                <w:highlight w:val="none"/>
              </w:rPr>
              <w:t>WEB插件应用</w:t>
            </w:r>
          </w:p>
          <w:p w14:paraId="570D6C5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支持在国产化（</w:t>
            </w:r>
            <w:r>
              <w:rPr>
                <w:rFonts w:ascii="宋体" w:hAnsi="宋体" w:cs="宋体"/>
                <w:color w:val="auto"/>
                <w:kern w:val="0"/>
                <w:szCs w:val="21"/>
                <w:highlight w:val="none"/>
              </w:rPr>
              <w:t>ARM、X86）环境下，支持第三方平台对接综合安防管理平台，在web浏览器集成视频功能：实时预览、云台控制、播放抓图、录像回放、录像定位回放、录像倍速回放、窗口布局切换、回放获取指定窗口播放时间戳信息。</w:t>
            </w:r>
          </w:p>
          <w:p w14:paraId="4FB25E44">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b/>
                <w:color w:val="auto"/>
                <w:kern w:val="0"/>
                <w:szCs w:val="21"/>
                <w:highlight w:val="none"/>
              </w:rPr>
              <w:t>九、服务端国产化环境适配</w:t>
            </w:r>
          </w:p>
          <w:p w14:paraId="06B3ED6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1．国产化操作系统适配，支持适配麒麟、统信或中科方德等国产化操作系统，支持对操作系统磁盘剩余空间、</w:t>
            </w:r>
            <w:r>
              <w:rPr>
                <w:rFonts w:ascii="宋体" w:hAnsi="宋体" w:cs="宋体"/>
                <w:color w:val="auto"/>
                <w:kern w:val="0"/>
                <w:szCs w:val="21"/>
                <w:highlight w:val="none"/>
              </w:rPr>
              <w:t>CPU</w:t>
            </w:r>
            <w:r>
              <w:rPr>
                <w:rFonts w:hint="eastAsia" w:ascii="宋体" w:hAnsi="宋体" w:cs="宋体"/>
                <w:color w:val="auto"/>
                <w:kern w:val="0"/>
                <w:szCs w:val="21"/>
                <w:highlight w:val="none"/>
              </w:rPr>
              <w:t>、内存占用、句柄数、线程数等进行监测。支持适配国产化CPU，能</w:t>
            </w:r>
            <w:r>
              <w:rPr>
                <w:rFonts w:ascii="宋体" w:hAnsi="宋体" w:cs="宋体"/>
                <w:color w:val="auto"/>
                <w:kern w:val="0"/>
                <w:szCs w:val="21"/>
                <w:highlight w:val="none"/>
              </w:rPr>
              <w:t>配合采购人</w:t>
            </w:r>
            <w:r>
              <w:rPr>
                <w:rFonts w:hint="eastAsia" w:ascii="宋体" w:hAnsi="宋体" w:cs="宋体"/>
                <w:color w:val="auto"/>
                <w:kern w:val="0"/>
                <w:szCs w:val="21"/>
                <w:highlight w:val="none"/>
              </w:rPr>
              <w:t>安装环境</w:t>
            </w:r>
            <w:r>
              <w:rPr>
                <w:rFonts w:ascii="宋体" w:hAnsi="宋体" w:cs="宋体"/>
                <w:color w:val="auto"/>
                <w:kern w:val="0"/>
                <w:szCs w:val="21"/>
                <w:highlight w:val="none"/>
              </w:rPr>
              <w:t>的</w:t>
            </w:r>
            <w:r>
              <w:rPr>
                <w:rFonts w:hint="eastAsia" w:ascii="宋体" w:hAnsi="宋体" w:cs="宋体"/>
                <w:color w:val="auto"/>
                <w:kern w:val="0"/>
                <w:szCs w:val="21"/>
                <w:highlight w:val="none"/>
              </w:rPr>
              <w:t>国产CPU指令集，对所有组件、服务、客户端、工具、对外接口服务等进行适配改造</w:t>
            </w:r>
            <w:r>
              <w:rPr>
                <w:rFonts w:ascii="宋体" w:hAnsi="宋体" w:cs="宋体"/>
                <w:color w:val="auto"/>
                <w:kern w:val="0"/>
                <w:szCs w:val="21"/>
                <w:highlight w:val="none"/>
              </w:rPr>
              <w:t>操作</w:t>
            </w:r>
            <w:r>
              <w:rPr>
                <w:rFonts w:hint="eastAsia" w:ascii="宋体" w:hAnsi="宋体" w:cs="宋体"/>
                <w:color w:val="auto"/>
                <w:kern w:val="0"/>
                <w:szCs w:val="21"/>
                <w:highlight w:val="none"/>
              </w:rPr>
              <w:t>。可针对设备集成、控制等相关程序、视频播放器等客户端程序测试适配。</w:t>
            </w:r>
          </w:p>
          <w:p w14:paraId="0C02DA02">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2．业务适配国产系统，业务代码中用到的公共库：设备 SDK、公共日志库、公共认证库、公共校时库、本地通知库等大量的公共库等进行适配。原子量通讯从汇编指令适配为互斥量。依赖操作系统API适配。对引用windows专用的头文件的逻辑调整，兼容非X86系统。shell脚本调整为bash。底层逻辑适配Debian系列系统。服务运维实现，硬编码来兼容适配。内存调优、系统库版本统一、指令兼容等适配。服务运维实现，硬编码来兼容适配。内存调优、系统库版本统一、指令兼容等适配。</w:t>
            </w:r>
          </w:p>
          <w:p w14:paraId="08F32BBF">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3．国产化数据库适配，本项目需</w:t>
            </w:r>
            <w:r>
              <w:rPr>
                <w:rFonts w:ascii="宋体" w:hAnsi="宋体" w:cs="宋体"/>
                <w:color w:val="auto"/>
                <w:kern w:val="0"/>
                <w:szCs w:val="21"/>
                <w:highlight w:val="none"/>
              </w:rPr>
              <w:t>利旧</w:t>
            </w:r>
            <w:r>
              <w:rPr>
                <w:rFonts w:hint="eastAsia" w:ascii="宋体" w:hAnsi="宋体" w:cs="宋体"/>
                <w:color w:val="auto"/>
                <w:kern w:val="0"/>
                <w:szCs w:val="21"/>
                <w:highlight w:val="none"/>
              </w:rPr>
              <w:t>采购人国产化环境下</w:t>
            </w:r>
            <w:r>
              <w:rPr>
                <w:rFonts w:ascii="宋体" w:hAnsi="宋体" w:cs="宋体"/>
                <w:color w:val="auto"/>
                <w:kern w:val="0"/>
                <w:szCs w:val="21"/>
                <w:highlight w:val="none"/>
              </w:rPr>
              <w:t>的达梦</w:t>
            </w:r>
            <w:r>
              <w:rPr>
                <w:rFonts w:hint="eastAsia" w:ascii="宋体" w:hAnsi="宋体" w:cs="宋体"/>
                <w:color w:val="auto"/>
                <w:kern w:val="0"/>
                <w:szCs w:val="21"/>
                <w:highlight w:val="none"/>
              </w:rPr>
              <w:t>8</w:t>
            </w:r>
            <w:r>
              <w:rPr>
                <w:rFonts w:ascii="宋体" w:hAnsi="宋体" w:cs="宋体"/>
                <w:color w:val="auto"/>
                <w:kern w:val="0"/>
                <w:szCs w:val="21"/>
                <w:highlight w:val="none"/>
              </w:rPr>
              <w:t>.0</w:t>
            </w:r>
            <w:r>
              <w:rPr>
                <w:rFonts w:hint="eastAsia" w:ascii="宋体" w:hAnsi="宋体" w:cs="宋体"/>
                <w:color w:val="auto"/>
                <w:kern w:val="0"/>
                <w:szCs w:val="21"/>
                <w:highlight w:val="none"/>
              </w:rPr>
              <w:t>数据库软件，为本系统平台</w:t>
            </w:r>
            <w:r>
              <w:rPr>
                <w:rFonts w:ascii="宋体" w:hAnsi="宋体" w:cs="宋体"/>
                <w:color w:val="auto"/>
                <w:kern w:val="0"/>
                <w:szCs w:val="21"/>
                <w:highlight w:val="none"/>
              </w:rPr>
              <w:t>提供数据库</w:t>
            </w:r>
            <w:r>
              <w:rPr>
                <w:rFonts w:hint="eastAsia" w:ascii="宋体" w:hAnsi="宋体" w:cs="宋体"/>
                <w:color w:val="auto"/>
                <w:kern w:val="0"/>
                <w:szCs w:val="21"/>
                <w:highlight w:val="none"/>
              </w:rPr>
              <w:t>支撑，</w:t>
            </w:r>
            <w:r>
              <w:rPr>
                <w:rFonts w:ascii="宋体" w:hAnsi="宋体" w:cs="宋体"/>
                <w:color w:val="auto"/>
                <w:kern w:val="0"/>
                <w:szCs w:val="21"/>
                <w:highlight w:val="none"/>
              </w:rPr>
              <w:t>因此，本系统</w:t>
            </w:r>
            <w:r>
              <w:rPr>
                <w:rFonts w:hint="eastAsia" w:ascii="宋体" w:hAnsi="宋体" w:cs="宋体"/>
                <w:color w:val="auto"/>
                <w:kern w:val="0"/>
                <w:szCs w:val="21"/>
                <w:highlight w:val="none"/>
              </w:rPr>
              <w:t>及各类配置、</w:t>
            </w:r>
            <w:r>
              <w:rPr>
                <w:rFonts w:ascii="宋体" w:hAnsi="宋体" w:cs="宋体"/>
                <w:color w:val="auto"/>
                <w:kern w:val="0"/>
                <w:szCs w:val="21"/>
                <w:highlight w:val="none"/>
              </w:rPr>
              <w:t>各类指令</w:t>
            </w:r>
            <w:r>
              <w:rPr>
                <w:rFonts w:hint="eastAsia" w:ascii="宋体" w:hAnsi="宋体" w:cs="宋体"/>
                <w:color w:val="auto"/>
                <w:kern w:val="0"/>
                <w:szCs w:val="21"/>
                <w:highlight w:val="none"/>
              </w:rPr>
              <w:t>都</w:t>
            </w:r>
            <w:r>
              <w:rPr>
                <w:rFonts w:ascii="宋体" w:hAnsi="宋体" w:cs="宋体"/>
                <w:color w:val="auto"/>
                <w:kern w:val="0"/>
                <w:szCs w:val="21"/>
                <w:highlight w:val="none"/>
              </w:rPr>
              <w:t>必须</w:t>
            </w:r>
            <w:r>
              <w:rPr>
                <w:rFonts w:hint="eastAsia" w:ascii="宋体" w:hAnsi="宋体" w:cs="宋体"/>
                <w:color w:val="auto"/>
                <w:kern w:val="0"/>
                <w:szCs w:val="21"/>
                <w:highlight w:val="none"/>
              </w:rPr>
              <w:t>对采购人提供的国产化数据库软件进行兼容适配。如不</w:t>
            </w:r>
            <w:r>
              <w:rPr>
                <w:rFonts w:ascii="宋体" w:hAnsi="宋体" w:cs="宋体"/>
                <w:color w:val="auto"/>
                <w:kern w:val="0"/>
                <w:szCs w:val="21"/>
                <w:highlight w:val="none"/>
              </w:rPr>
              <w:t>能适配，必须</w:t>
            </w:r>
            <w:r>
              <w:rPr>
                <w:rFonts w:hint="eastAsia" w:ascii="宋体" w:hAnsi="宋体" w:cs="宋体"/>
                <w:color w:val="auto"/>
                <w:kern w:val="0"/>
                <w:szCs w:val="21"/>
                <w:highlight w:val="none"/>
              </w:rPr>
              <w:t>随</w:t>
            </w:r>
            <w:r>
              <w:rPr>
                <w:rFonts w:ascii="宋体" w:hAnsi="宋体" w:cs="宋体"/>
                <w:color w:val="auto"/>
                <w:kern w:val="0"/>
                <w:szCs w:val="21"/>
                <w:highlight w:val="none"/>
              </w:rPr>
              <w:t>项目提供</w:t>
            </w:r>
            <w:r>
              <w:rPr>
                <w:rFonts w:hint="eastAsia" w:ascii="宋体" w:hAnsi="宋体" w:cs="宋体"/>
                <w:color w:val="auto"/>
                <w:kern w:val="0"/>
                <w:szCs w:val="21"/>
                <w:highlight w:val="none"/>
              </w:rPr>
              <w:t>正式终身</w:t>
            </w:r>
            <w:r>
              <w:rPr>
                <w:rFonts w:ascii="宋体" w:hAnsi="宋体" w:cs="宋体"/>
                <w:color w:val="auto"/>
                <w:kern w:val="0"/>
                <w:szCs w:val="21"/>
                <w:highlight w:val="none"/>
              </w:rPr>
              <w:t>授权</w:t>
            </w:r>
            <w:r>
              <w:rPr>
                <w:rFonts w:hint="eastAsia" w:ascii="宋体" w:hAnsi="宋体" w:cs="宋体"/>
                <w:color w:val="auto"/>
                <w:kern w:val="0"/>
                <w:szCs w:val="21"/>
                <w:highlight w:val="none"/>
              </w:rPr>
              <w:t>使用</w:t>
            </w:r>
            <w:r>
              <w:rPr>
                <w:rFonts w:ascii="宋体" w:hAnsi="宋体" w:cs="宋体"/>
                <w:color w:val="auto"/>
                <w:kern w:val="0"/>
                <w:szCs w:val="21"/>
                <w:highlight w:val="none"/>
              </w:rPr>
              <w:t>且与本</w:t>
            </w:r>
            <w:r>
              <w:rPr>
                <w:rFonts w:hint="eastAsia" w:ascii="宋体" w:hAnsi="宋体" w:cs="宋体"/>
                <w:color w:val="auto"/>
                <w:kern w:val="0"/>
                <w:szCs w:val="21"/>
                <w:highlight w:val="none"/>
              </w:rPr>
              <w:t>项目</w:t>
            </w:r>
            <w:r>
              <w:rPr>
                <w:rFonts w:ascii="宋体" w:hAnsi="宋体" w:cs="宋体"/>
                <w:color w:val="auto"/>
                <w:kern w:val="0"/>
                <w:szCs w:val="21"/>
                <w:highlight w:val="none"/>
              </w:rPr>
              <w:t>系统平台</w:t>
            </w:r>
            <w:r>
              <w:rPr>
                <w:rFonts w:hint="eastAsia" w:ascii="宋体" w:hAnsi="宋体" w:cs="宋体"/>
                <w:color w:val="auto"/>
                <w:kern w:val="0"/>
                <w:szCs w:val="21"/>
                <w:highlight w:val="none"/>
              </w:rPr>
              <w:t>适配</w:t>
            </w:r>
            <w:r>
              <w:rPr>
                <w:rFonts w:ascii="宋体" w:hAnsi="宋体" w:cs="宋体"/>
                <w:color w:val="auto"/>
                <w:kern w:val="0"/>
                <w:szCs w:val="21"/>
                <w:highlight w:val="none"/>
              </w:rPr>
              <w:t>的</w:t>
            </w:r>
            <w:r>
              <w:rPr>
                <w:rFonts w:hint="eastAsia" w:ascii="宋体" w:hAnsi="宋体" w:cs="宋体"/>
                <w:color w:val="auto"/>
                <w:kern w:val="0"/>
                <w:szCs w:val="21"/>
                <w:highlight w:val="none"/>
              </w:rPr>
              <w:t>信创国产化数据库</w:t>
            </w:r>
            <w:r>
              <w:rPr>
                <w:rFonts w:ascii="宋体" w:hAnsi="宋体" w:cs="宋体"/>
                <w:color w:val="auto"/>
                <w:kern w:val="0"/>
                <w:szCs w:val="21"/>
                <w:highlight w:val="none"/>
              </w:rPr>
              <w:t>软件</w:t>
            </w:r>
            <w:r>
              <w:rPr>
                <w:rFonts w:hint="eastAsia" w:ascii="宋体" w:hAnsi="宋体" w:cs="宋体"/>
                <w:color w:val="auto"/>
                <w:kern w:val="0"/>
                <w:szCs w:val="21"/>
                <w:highlight w:val="none"/>
              </w:rPr>
              <w:t>，</w:t>
            </w:r>
            <w:r>
              <w:rPr>
                <w:rFonts w:ascii="宋体" w:hAnsi="宋体" w:cs="宋体"/>
                <w:color w:val="auto"/>
                <w:kern w:val="0"/>
                <w:szCs w:val="21"/>
                <w:highlight w:val="none"/>
              </w:rPr>
              <w:t>确保能在采购人提供</w:t>
            </w:r>
            <w:r>
              <w:rPr>
                <w:rFonts w:hint="eastAsia" w:ascii="宋体" w:hAnsi="宋体" w:cs="宋体"/>
                <w:color w:val="auto"/>
                <w:kern w:val="0"/>
                <w:szCs w:val="21"/>
                <w:highlight w:val="none"/>
              </w:rPr>
              <w:t>的</w:t>
            </w:r>
            <w:r>
              <w:rPr>
                <w:rFonts w:ascii="宋体" w:hAnsi="宋体" w:cs="宋体"/>
                <w:color w:val="auto"/>
                <w:kern w:val="0"/>
                <w:szCs w:val="21"/>
                <w:highlight w:val="none"/>
              </w:rPr>
              <w:t>信创国产化运行环境中运行</w:t>
            </w:r>
            <w:r>
              <w:rPr>
                <w:rFonts w:hint="eastAsia" w:ascii="宋体" w:hAnsi="宋体" w:cs="宋体"/>
                <w:color w:val="auto"/>
                <w:kern w:val="0"/>
                <w:szCs w:val="21"/>
                <w:highlight w:val="none"/>
              </w:rPr>
              <w:t>。针对系统功能应用组件服务用到国产化数据库的某些高级特性，比如事务、视图、外键索引、分区分表等进行适配工作。部分函数和存储过程需要进行兼容适配。支持对国产化数据库的连接数、内存占用、cpu占用、句柄数、线程数、授权是否到期等进行监测。</w:t>
            </w:r>
          </w:p>
          <w:p w14:paraId="58E596B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4．国产化中间件适配，本项目采用可用性、稳定性较强的国产化中间件，比如东方通、</w:t>
            </w:r>
            <w:r>
              <w:rPr>
                <w:rFonts w:ascii="宋体" w:hAnsi="宋体" w:cs="宋体"/>
                <w:color w:val="auto"/>
                <w:kern w:val="0"/>
                <w:szCs w:val="21"/>
                <w:highlight w:val="none"/>
              </w:rPr>
              <w:t>金蝶等国产化信创适配</w:t>
            </w:r>
            <w:r>
              <w:rPr>
                <w:rFonts w:hint="eastAsia" w:ascii="宋体" w:hAnsi="宋体" w:cs="宋体"/>
                <w:color w:val="auto"/>
                <w:kern w:val="0"/>
                <w:szCs w:val="21"/>
                <w:highlight w:val="none"/>
              </w:rPr>
              <w:t>中间件等。支持国产化中间件适配：将内置容器的组件改造成依赖外部国产化中间件的容器。运管中心安装卸载组件时得改造将组件运行程序拷贝到国产中间件对应目录下。运管中心需对接中间件获取各组件运行状态。支持对国产化中间件的运行状态、cpu、内存占用、句柄数、线程数、授权是否到期等进行监测。</w:t>
            </w:r>
          </w:p>
          <w:p w14:paraId="3D3E9971">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十、国产化适配改造</w:t>
            </w:r>
          </w:p>
          <w:p w14:paraId="2AEA7C37">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采购人正在</w:t>
            </w:r>
            <w:r>
              <w:rPr>
                <w:rFonts w:ascii="宋体" w:hAnsi="宋体" w:cs="宋体"/>
                <w:color w:val="auto"/>
                <w:kern w:val="0"/>
                <w:szCs w:val="21"/>
                <w:highlight w:val="none"/>
              </w:rPr>
              <w:t>使用</w:t>
            </w:r>
            <w:r>
              <w:rPr>
                <w:rFonts w:hint="eastAsia" w:ascii="宋体" w:hAnsi="宋体" w:cs="宋体"/>
                <w:color w:val="auto"/>
                <w:kern w:val="0"/>
                <w:szCs w:val="21"/>
                <w:highlight w:val="none"/>
              </w:rPr>
              <w:t>x</w:t>
            </w:r>
            <w:r>
              <w:rPr>
                <w:rFonts w:ascii="宋体" w:hAnsi="宋体" w:cs="宋体"/>
                <w:color w:val="auto"/>
                <w:kern w:val="0"/>
                <w:szCs w:val="21"/>
                <w:highlight w:val="none"/>
              </w:rPr>
              <w:t>8</w:t>
            </w:r>
            <w:r>
              <w:rPr>
                <w:rFonts w:hint="eastAsia" w:ascii="宋体" w:hAnsi="宋体" w:cs="宋体"/>
                <w:color w:val="auto"/>
                <w:kern w:val="0"/>
                <w:szCs w:val="21"/>
                <w:highlight w:val="none"/>
              </w:rPr>
              <w:t>6非信创</w:t>
            </w:r>
            <w:r>
              <w:rPr>
                <w:rFonts w:ascii="宋体" w:hAnsi="宋体" w:cs="宋体"/>
                <w:color w:val="auto"/>
                <w:kern w:val="0"/>
                <w:szCs w:val="21"/>
                <w:highlight w:val="none"/>
              </w:rPr>
              <w:t>国产化</w:t>
            </w:r>
            <w:r>
              <w:rPr>
                <w:rFonts w:hint="eastAsia" w:ascii="宋体" w:hAnsi="宋体" w:cs="宋体"/>
                <w:color w:val="auto"/>
                <w:kern w:val="0"/>
                <w:szCs w:val="21"/>
                <w:highlight w:val="none"/>
              </w:rPr>
              <w:t>环境基础</w:t>
            </w:r>
            <w:r>
              <w:rPr>
                <w:rFonts w:ascii="宋体" w:hAnsi="宋体" w:cs="宋体"/>
                <w:color w:val="auto"/>
                <w:kern w:val="0"/>
                <w:szCs w:val="21"/>
                <w:highlight w:val="none"/>
              </w:rPr>
              <w:t>版</w:t>
            </w:r>
            <w:r>
              <w:rPr>
                <w:rFonts w:hint="eastAsia" w:ascii="宋体" w:hAnsi="宋体" w:cs="宋体"/>
                <w:color w:val="auto"/>
                <w:kern w:val="0"/>
                <w:szCs w:val="21"/>
                <w:highlight w:val="none"/>
              </w:rPr>
              <w:t>12309接访大厅综合安防服务平台，</w:t>
            </w:r>
            <w:r>
              <w:rPr>
                <w:rFonts w:ascii="宋体" w:hAnsi="宋体" w:cs="宋体"/>
                <w:color w:val="auto"/>
                <w:kern w:val="0"/>
                <w:szCs w:val="21"/>
                <w:highlight w:val="none"/>
              </w:rPr>
              <w:t>本项</w:t>
            </w:r>
            <w:r>
              <w:rPr>
                <w:rFonts w:hint="eastAsia" w:ascii="宋体" w:hAnsi="宋体" w:cs="宋体"/>
                <w:color w:val="auto"/>
                <w:kern w:val="0"/>
                <w:szCs w:val="21"/>
                <w:highlight w:val="none"/>
              </w:rPr>
              <w:t>目</w:t>
            </w:r>
            <w:r>
              <w:rPr>
                <w:rFonts w:ascii="宋体" w:hAnsi="宋体" w:cs="宋体"/>
                <w:color w:val="auto"/>
                <w:kern w:val="0"/>
                <w:szCs w:val="21"/>
                <w:highlight w:val="none"/>
              </w:rPr>
              <w:t>需</w:t>
            </w:r>
            <w:r>
              <w:rPr>
                <w:rFonts w:hint="eastAsia" w:ascii="宋体" w:hAnsi="宋体" w:cs="宋体"/>
                <w:color w:val="auto"/>
                <w:kern w:val="0"/>
                <w:szCs w:val="21"/>
                <w:highlight w:val="none"/>
              </w:rPr>
              <w:t>针对</w:t>
            </w:r>
            <w:r>
              <w:rPr>
                <w:rFonts w:ascii="宋体" w:hAnsi="宋体" w:cs="宋体"/>
                <w:color w:val="auto"/>
                <w:kern w:val="0"/>
                <w:szCs w:val="21"/>
                <w:highlight w:val="none"/>
              </w:rPr>
              <w:t>该系统</w:t>
            </w:r>
            <w:r>
              <w:rPr>
                <w:rFonts w:hint="eastAsia" w:ascii="宋体" w:hAnsi="宋体" w:cs="宋体"/>
                <w:color w:val="auto"/>
                <w:kern w:val="0"/>
                <w:szCs w:val="21"/>
                <w:highlight w:val="none"/>
              </w:rPr>
              <w:t>进行国产化适配改造，</w:t>
            </w:r>
            <w:r>
              <w:rPr>
                <w:rFonts w:ascii="宋体" w:hAnsi="宋体" w:cs="宋体"/>
                <w:color w:val="auto"/>
                <w:kern w:val="0"/>
                <w:szCs w:val="21"/>
                <w:highlight w:val="none"/>
              </w:rPr>
              <w:t>系统</w:t>
            </w:r>
            <w:r>
              <w:rPr>
                <w:rFonts w:hint="eastAsia" w:ascii="宋体" w:hAnsi="宋体" w:cs="宋体"/>
                <w:color w:val="auto"/>
                <w:kern w:val="0"/>
                <w:szCs w:val="21"/>
                <w:highlight w:val="none"/>
              </w:rPr>
              <w:t>升级</w:t>
            </w:r>
            <w:r>
              <w:rPr>
                <w:rFonts w:ascii="宋体" w:hAnsi="宋体" w:cs="宋体"/>
                <w:color w:val="auto"/>
                <w:kern w:val="0"/>
                <w:szCs w:val="21"/>
                <w:highlight w:val="none"/>
              </w:rPr>
              <w:t>后</w:t>
            </w:r>
            <w:r>
              <w:rPr>
                <w:rFonts w:hint="eastAsia" w:ascii="宋体" w:hAnsi="宋体" w:cs="宋体"/>
                <w:color w:val="auto"/>
                <w:kern w:val="0"/>
                <w:szCs w:val="21"/>
                <w:highlight w:val="none"/>
              </w:rPr>
              <w:t>需保证原有平台的数据和业务的无缝迁移，升级过程中数据不丢失，业务平滑</w:t>
            </w:r>
            <w:r>
              <w:rPr>
                <w:rFonts w:ascii="宋体" w:hAnsi="宋体" w:cs="宋体"/>
                <w:color w:val="auto"/>
                <w:kern w:val="0"/>
                <w:szCs w:val="21"/>
                <w:highlight w:val="none"/>
              </w:rPr>
              <w:t>过渡</w:t>
            </w:r>
            <w:r>
              <w:rPr>
                <w:rFonts w:hint="eastAsia" w:ascii="宋体" w:hAnsi="宋体" w:cs="宋体"/>
                <w:color w:val="auto"/>
                <w:kern w:val="0"/>
                <w:szCs w:val="21"/>
                <w:highlight w:val="none"/>
              </w:rPr>
              <w:t>。</w:t>
            </w:r>
          </w:p>
          <w:p w14:paraId="07FA34C7">
            <w:pPr>
              <w:widowControl/>
              <w:spacing w:line="360" w:lineRule="exact"/>
              <w:ind w:firstLine="400"/>
              <w:contextualSpacing/>
              <w:rPr>
                <w:rFonts w:ascii="宋体" w:hAnsi="宋体" w:cs="宋体"/>
                <w:b/>
                <w:color w:val="auto"/>
                <w:kern w:val="0"/>
                <w:szCs w:val="21"/>
                <w:highlight w:val="none"/>
              </w:rPr>
            </w:pP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十六、其他要求</w:t>
            </w:r>
          </w:p>
          <w:p w14:paraId="358D742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本</w:t>
            </w:r>
            <w:r>
              <w:rPr>
                <w:rFonts w:hint="eastAsia" w:ascii="宋体" w:hAnsi="宋体" w:cs="宋体"/>
                <w:color w:val="auto"/>
                <w:kern w:val="0"/>
                <w:szCs w:val="21"/>
                <w:highlight w:val="none"/>
              </w:rPr>
              <w:t>平台</w:t>
            </w:r>
            <w:r>
              <w:rPr>
                <w:rFonts w:ascii="宋体" w:hAnsi="宋体" w:cs="宋体"/>
                <w:color w:val="auto"/>
                <w:kern w:val="0"/>
                <w:szCs w:val="21"/>
                <w:highlight w:val="none"/>
              </w:rPr>
              <w:t>软件产品</w:t>
            </w:r>
            <w:r>
              <w:rPr>
                <w:rFonts w:hint="eastAsia" w:ascii="宋体" w:hAnsi="宋体" w:cs="宋体"/>
                <w:color w:val="auto"/>
                <w:kern w:val="0"/>
                <w:szCs w:val="21"/>
                <w:highlight w:val="none"/>
              </w:rPr>
              <w:t>必须具有自主知识产权，并取得</w:t>
            </w:r>
            <w:r>
              <w:rPr>
                <w:rFonts w:ascii="宋体" w:hAnsi="宋体" w:cs="宋体"/>
                <w:color w:val="auto"/>
                <w:kern w:val="0"/>
                <w:szCs w:val="21"/>
                <w:highlight w:val="none"/>
              </w:rPr>
              <w:t>本平台</w:t>
            </w:r>
            <w:r>
              <w:rPr>
                <w:rFonts w:hint="eastAsia" w:ascii="宋体" w:hAnsi="宋体" w:cs="宋体"/>
                <w:color w:val="auto"/>
                <w:kern w:val="0"/>
                <w:szCs w:val="21"/>
                <w:highlight w:val="none"/>
              </w:rPr>
              <w:t>软件的著作权证书；</w:t>
            </w:r>
          </w:p>
          <w:p w14:paraId="6DB3142C">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2．供货时必须提供本</w:t>
            </w:r>
            <w:r>
              <w:rPr>
                <w:rFonts w:hint="eastAsia" w:ascii="宋体" w:hAnsi="宋体" w:cs="宋体"/>
                <w:color w:val="auto"/>
                <w:kern w:val="0"/>
                <w:szCs w:val="21"/>
                <w:highlight w:val="none"/>
              </w:rPr>
              <w:t>平台</w:t>
            </w:r>
            <w:r>
              <w:rPr>
                <w:rFonts w:ascii="宋体" w:hAnsi="宋体" w:cs="宋体"/>
                <w:color w:val="auto"/>
                <w:kern w:val="0"/>
                <w:szCs w:val="21"/>
                <w:highlight w:val="none"/>
              </w:rPr>
              <w:t>软件产品厂商出具的授权书或使用权人为采购人的相关证明，确保采购人使用方正式获得软件的终身使用授权</w:t>
            </w:r>
            <w:r>
              <w:rPr>
                <w:rFonts w:hint="eastAsia" w:ascii="宋体" w:hAnsi="宋体" w:cs="宋体"/>
                <w:color w:val="auto"/>
                <w:kern w:val="0"/>
                <w:szCs w:val="21"/>
                <w:highlight w:val="none"/>
              </w:rPr>
              <w:t>；</w:t>
            </w:r>
          </w:p>
          <w:p w14:paraId="04275DC0">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3．提供现场部署调试技术支持服务和产品的</w:t>
            </w:r>
            <w:r>
              <w:rPr>
                <w:rFonts w:hint="eastAsia" w:ascii="宋体" w:hAnsi="宋体" w:cs="宋体"/>
                <w:color w:val="auto"/>
                <w:kern w:val="0"/>
                <w:szCs w:val="21"/>
                <w:highlight w:val="none"/>
              </w:rPr>
              <w:t>≥</w:t>
            </w:r>
            <w:r>
              <w:rPr>
                <w:rFonts w:ascii="宋体" w:hAnsi="宋体" w:cs="宋体"/>
                <w:color w:val="auto"/>
                <w:kern w:val="0"/>
                <w:szCs w:val="21"/>
                <w:highlight w:val="none"/>
              </w:rPr>
              <w:t>5年升级</w:t>
            </w:r>
            <w:r>
              <w:rPr>
                <w:rFonts w:hint="eastAsia" w:ascii="宋体" w:hAnsi="宋体" w:cs="宋体"/>
                <w:color w:val="auto"/>
                <w:kern w:val="0"/>
                <w:szCs w:val="21"/>
                <w:highlight w:val="none"/>
              </w:rPr>
              <w:t>及</w:t>
            </w:r>
            <w:r>
              <w:rPr>
                <w:rFonts w:ascii="宋体" w:hAnsi="宋体" w:cs="宋体"/>
                <w:color w:val="auto"/>
                <w:kern w:val="0"/>
                <w:szCs w:val="21"/>
                <w:highlight w:val="none"/>
              </w:rPr>
              <w:t>适配服务、调优指导服务及7*24小时电话支持服务</w:t>
            </w:r>
            <w:r>
              <w:rPr>
                <w:rFonts w:hint="eastAsia" w:ascii="宋体" w:hAnsi="宋体" w:cs="宋体"/>
                <w:color w:val="auto"/>
                <w:kern w:val="0"/>
                <w:szCs w:val="21"/>
                <w:highlight w:val="none"/>
              </w:rPr>
              <w:t>，不能</w:t>
            </w:r>
            <w:r>
              <w:rPr>
                <w:rFonts w:ascii="宋体" w:hAnsi="宋体" w:cs="宋体"/>
                <w:color w:val="auto"/>
                <w:kern w:val="0"/>
                <w:szCs w:val="21"/>
                <w:highlight w:val="none"/>
              </w:rPr>
              <w:t>另行收</w:t>
            </w:r>
            <w:r>
              <w:rPr>
                <w:rFonts w:hint="eastAsia" w:ascii="宋体" w:hAnsi="宋体" w:cs="宋体"/>
                <w:color w:val="auto"/>
                <w:kern w:val="0"/>
                <w:szCs w:val="21"/>
                <w:highlight w:val="none"/>
              </w:rPr>
              <w:t>费；</w:t>
            </w:r>
          </w:p>
          <w:p w14:paraId="1C4B0B0E">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提供</w:t>
            </w:r>
            <w:r>
              <w:rPr>
                <w:rFonts w:ascii="宋体" w:hAnsi="宋体" w:cs="宋体"/>
                <w:color w:val="auto"/>
                <w:kern w:val="0"/>
                <w:szCs w:val="21"/>
                <w:highlight w:val="none"/>
              </w:rPr>
              <w:t>系统</w:t>
            </w:r>
            <w:r>
              <w:rPr>
                <w:rFonts w:hint="eastAsia" w:ascii="宋体" w:hAnsi="宋体" w:cs="宋体"/>
                <w:color w:val="auto"/>
                <w:kern w:val="0"/>
                <w:szCs w:val="21"/>
                <w:highlight w:val="none"/>
              </w:rPr>
              <w:t>平台登录</w:t>
            </w:r>
            <w:r>
              <w:rPr>
                <w:rFonts w:ascii="宋体" w:hAnsi="宋体" w:cs="宋体"/>
                <w:color w:val="auto"/>
                <w:kern w:val="0"/>
                <w:szCs w:val="21"/>
                <w:highlight w:val="none"/>
              </w:rPr>
              <w:t>接口</w:t>
            </w:r>
            <w:r>
              <w:rPr>
                <w:rFonts w:hint="eastAsia" w:ascii="宋体" w:hAnsi="宋体" w:cs="宋体"/>
                <w:color w:val="auto"/>
                <w:kern w:val="0"/>
                <w:szCs w:val="21"/>
                <w:highlight w:val="none"/>
              </w:rPr>
              <w:t>，并</w:t>
            </w:r>
            <w:r>
              <w:rPr>
                <w:rFonts w:ascii="宋体" w:hAnsi="宋体" w:cs="宋体"/>
                <w:color w:val="auto"/>
                <w:kern w:val="0"/>
                <w:szCs w:val="21"/>
                <w:highlight w:val="none"/>
              </w:rPr>
              <w:t>配合用户</w:t>
            </w:r>
            <w:r>
              <w:rPr>
                <w:rFonts w:hint="eastAsia" w:ascii="宋体" w:hAnsi="宋体" w:cs="宋体"/>
                <w:color w:val="auto"/>
                <w:kern w:val="0"/>
                <w:szCs w:val="21"/>
                <w:highlight w:val="none"/>
              </w:rPr>
              <w:t>完成</w:t>
            </w:r>
            <w:r>
              <w:rPr>
                <w:rFonts w:ascii="宋体" w:hAnsi="宋体" w:cs="宋体"/>
                <w:color w:val="auto"/>
                <w:kern w:val="0"/>
                <w:szCs w:val="21"/>
                <w:highlight w:val="none"/>
              </w:rPr>
              <w:t>单点登录改造，实现从</w:t>
            </w:r>
            <w:r>
              <w:rPr>
                <w:rFonts w:hint="eastAsia" w:ascii="宋体" w:hAnsi="宋体" w:cs="宋体"/>
                <w:color w:val="auto"/>
                <w:kern w:val="0"/>
                <w:szCs w:val="21"/>
                <w:highlight w:val="none"/>
              </w:rPr>
              <w:t>用户</w:t>
            </w:r>
            <w:r>
              <w:rPr>
                <w:rFonts w:ascii="宋体" w:hAnsi="宋体" w:cs="宋体"/>
                <w:color w:val="auto"/>
                <w:kern w:val="0"/>
                <w:szCs w:val="21"/>
                <w:highlight w:val="none"/>
              </w:rPr>
              <w:t>定制</w:t>
            </w:r>
            <w:r>
              <w:rPr>
                <w:rFonts w:hint="eastAsia" w:ascii="宋体" w:hAnsi="宋体" w:cs="宋体"/>
                <w:color w:val="auto"/>
                <w:kern w:val="0"/>
                <w:szCs w:val="21"/>
                <w:highlight w:val="none"/>
              </w:rPr>
              <w:t>的统一门户</w:t>
            </w:r>
            <w:r>
              <w:rPr>
                <w:rFonts w:ascii="宋体" w:hAnsi="宋体" w:cs="宋体"/>
                <w:color w:val="auto"/>
                <w:kern w:val="0"/>
                <w:szCs w:val="21"/>
                <w:highlight w:val="none"/>
              </w:rPr>
              <w:t>系统</w:t>
            </w:r>
            <w:r>
              <w:rPr>
                <w:rFonts w:hint="eastAsia" w:ascii="宋体" w:hAnsi="宋体" w:cs="宋体"/>
                <w:color w:val="auto"/>
                <w:kern w:val="0"/>
                <w:szCs w:val="21"/>
                <w:highlight w:val="none"/>
              </w:rPr>
              <w:t>中能利用</w:t>
            </w:r>
            <w:r>
              <w:rPr>
                <w:rFonts w:ascii="宋体" w:hAnsi="宋体" w:cs="宋体"/>
                <w:color w:val="auto"/>
                <w:kern w:val="0"/>
                <w:szCs w:val="21"/>
                <w:highlight w:val="none"/>
              </w:rPr>
              <w:t>系统</w:t>
            </w:r>
            <w:r>
              <w:rPr>
                <w:rFonts w:hint="eastAsia" w:ascii="宋体" w:hAnsi="宋体" w:cs="宋体"/>
                <w:color w:val="auto"/>
                <w:kern w:val="0"/>
                <w:szCs w:val="21"/>
                <w:highlight w:val="none"/>
              </w:rPr>
              <w:t>平台登录信息，</w:t>
            </w:r>
            <w:r>
              <w:rPr>
                <w:rFonts w:ascii="宋体" w:hAnsi="宋体" w:cs="宋体"/>
                <w:color w:val="auto"/>
                <w:kern w:val="0"/>
                <w:szCs w:val="21"/>
                <w:highlight w:val="none"/>
              </w:rPr>
              <w:t>通过接口</w:t>
            </w:r>
            <w:r>
              <w:rPr>
                <w:rFonts w:hint="eastAsia" w:ascii="宋体" w:hAnsi="宋体" w:cs="宋体"/>
                <w:color w:val="auto"/>
                <w:kern w:val="0"/>
                <w:szCs w:val="21"/>
                <w:highlight w:val="none"/>
              </w:rPr>
              <w:t>验证身份</w:t>
            </w:r>
            <w:r>
              <w:rPr>
                <w:rFonts w:ascii="宋体" w:hAnsi="宋体" w:cs="宋体"/>
                <w:color w:val="auto"/>
                <w:kern w:val="0"/>
                <w:szCs w:val="21"/>
                <w:highlight w:val="none"/>
              </w:rPr>
              <w:t>信息后</w:t>
            </w:r>
            <w:r>
              <w:rPr>
                <w:rFonts w:hint="eastAsia" w:ascii="宋体" w:hAnsi="宋体" w:cs="宋体"/>
                <w:color w:val="auto"/>
                <w:kern w:val="0"/>
                <w:szCs w:val="21"/>
                <w:highlight w:val="none"/>
              </w:rPr>
              <w:t>，</w:t>
            </w:r>
            <w:r>
              <w:rPr>
                <w:rFonts w:ascii="宋体" w:hAnsi="宋体" w:cs="宋体"/>
                <w:color w:val="auto"/>
                <w:kern w:val="0"/>
                <w:szCs w:val="21"/>
                <w:highlight w:val="none"/>
              </w:rPr>
              <w:t>跳转到</w:t>
            </w:r>
            <w:r>
              <w:rPr>
                <w:rFonts w:hint="eastAsia" w:ascii="宋体" w:hAnsi="宋体" w:cs="宋体"/>
                <w:color w:val="auto"/>
                <w:kern w:val="0"/>
                <w:szCs w:val="21"/>
                <w:highlight w:val="none"/>
              </w:rPr>
              <w:t>本项目</w:t>
            </w:r>
            <w:r>
              <w:rPr>
                <w:rFonts w:ascii="宋体" w:hAnsi="宋体" w:cs="宋体"/>
                <w:color w:val="auto"/>
                <w:kern w:val="0"/>
                <w:szCs w:val="21"/>
                <w:highlight w:val="none"/>
              </w:rPr>
              <w:t>系统</w:t>
            </w:r>
            <w:r>
              <w:rPr>
                <w:rFonts w:hint="eastAsia" w:ascii="宋体" w:hAnsi="宋体" w:cs="宋体"/>
                <w:color w:val="auto"/>
                <w:kern w:val="0"/>
                <w:szCs w:val="21"/>
                <w:highlight w:val="none"/>
              </w:rPr>
              <w:t>平台</w:t>
            </w:r>
            <w:r>
              <w:rPr>
                <w:rFonts w:ascii="宋体" w:hAnsi="宋体" w:cs="宋体"/>
                <w:color w:val="auto"/>
                <w:kern w:val="0"/>
                <w:szCs w:val="21"/>
                <w:highlight w:val="none"/>
              </w:rPr>
              <w:t>中开展应用。</w:t>
            </w:r>
          </w:p>
          <w:p w14:paraId="1A1C04F5">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5．</w:t>
            </w:r>
            <w:r>
              <w:rPr>
                <w:rFonts w:hint="eastAsia" w:ascii="宋体" w:hAnsi="宋体" w:cs="宋体"/>
                <w:color w:val="auto"/>
                <w:kern w:val="0"/>
                <w:szCs w:val="21"/>
                <w:highlight w:val="none"/>
              </w:rPr>
              <w:t>提供</w:t>
            </w:r>
            <w:r>
              <w:rPr>
                <w:rFonts w:ascii="宋体" w:hAnsi="宋体" w:cs="宋体"/>
                <w:color w:val="auto"/>
                <w:kern w:val="0"/>
                <w:szCs w:val="21"/>
                <w:highlight w:val="none"/>
              </w:rPr>
              <w:t>系统</w:t>
            </w:r>
            <w:r>
              <w:rPr>
                <w:rFonts w:hint="eastAsia" w:ascii="宋体" w:hAnsi="宋体" w:cs="宋体"/>
                <w:color w:val="auto"/>
                <w:kern w:val="0"/>
                <w:szCs w:val="21"/>
                <w:highlight w:val="none"/>
              </w:rPr>
              <w:t>平台部署实施</w:t>
            </w:r>
            <w:r>
              <w:rPr>
                <w:rFonts w:ascii="宋体" w:hAnsi="宋体" w:cs="宋体"/>
                <w:color w:val="auto"/>
                <w:kern w:val="0"/>
                <w:szCs w:val="21"/>
                <w:highlight w:val="none"/>
              </w:rPr>
              <w:t>方案，</w:t>
            </w:r>
            <w:r>
              <w:rPr>
                <w:rFonts w:hint="eastAsia" w:ascii="宋体" w:hAnsi="宋体" w:cs="宋体"/>
                <w:color w:val="auto"/>
                <w:kern w:val="0"/>
                <w:szCs w:val="21"/>
                <w:highlight w:val="none"/>
              </w:rPr>
              <w:t>配合</w:t>
            </w:r>
            <w:r>
              <w:rPr>
                <w:rFonts w:ascii="宋体" w:hAnsi="宋体" w:cs="宋体"/>
                <w:color w:val="auto"/>
                <w:kern w:val="0"/>
                <w:szCs w:val="21"/>
                <w:highlight w:val="none"/>
              </w:rPr>
              <w:t>采购人</w:t>
            </w:r>
            <w:r>
              <w:rPr>
                <w:rFonts w:hint="eastAsia" w:ascii="宋体" w:hAnsi="宋体" w:cs="宋体"/>
                <w:color w:val="auto"/>
                <w:kern w:val="0"/>
                <w:szCs w:val="21"/>
                <w:highlight w:val="none"/>
              </w:rPr>
              <w:t>向</w:t>
            </w:r>
            <w:r>
              <w:rPr>
                <w:rFonts w:ascii="宋体" w:hAnsi="宋体" w:cs="宋体"/>
                <w:color w:val="auto"/>
                <w:kern w:val="0"/>
                <w:szCs w:val="21"/>
                <w:highlight w:val="none"/>
              </w:rPr>
              <w:t>自治区大数据局等部门申请系统</w:t>
            </w:r>
            <w:r>
              <w:rPr>
                <w:rFonts w:hint="eastAsia" w:ascii="宋体" w:hAnsi="宋体" w:cs="宋体"/>
                <w:color w:val="auto"/>
                <w:kern w:val="0"/>
                <w:szCs w:val="21"/>
                <w:highlight w:val="none"/>
              </w:rPr>
              <w:t>运行所需</w:t>
            </w:r>
            <w:r>
              <w:rPr>
                <w:rFonts w:ascii="宋体" w:hAnsi="宋体" w:cs="宋体"/>
                <w:color w:val="auto"/>
                <w:kern w:val="0"/>
                <w:szCs w:val="21"/>
                <w:highlight w:val="none"/>
              </w:rPr>
              <w:t>的</w:t>
            </w:r>
            <w:r>
              <w:rPr>
                <w:rFonts w:hint="eastAsia" w:ascii="宋体" w:hAnsi="宋体" w:cs="宋体"/>
                <w:color w:val="auto"/>
                <w:kern w:val="0"/>
                <w:szCs w:val="21"/>
                <w:highlight w:val="none"/>
              </w:rPr>
              <w:t>管理服务器、数据库服务器、设备接入及转发服务器及相关</w:t>
            </w:r>
            <w:r>
              <w:rPr>
                <w:rFonts w:ascii="宋体" w:hAnsi="宋体" w:cs="宋体"/>
                <w:color w:val="auto"/>
                <w:kern w:val="0"/>
                <w:szCs w:val="21"/>
                <w:highlight w:val="none"/>
              </w:rPr>
              <w:t>的操作系统、数据库等基础</w:t>
            </w:r>
            <w:r>
              <w:rPr>
                <w:rFonts w:hint="eastAsia" w:ascii="宋体" w:hAnsi="宋体" w:cs="宋体"/>
                <w:color w:val="auto"/>
                <w:kern w:val="0"/>
                <w:szCs w:val="21"/>
                <w:highlight w:val="none"/>
              </w:rPr>
              <w:t>软硬件</w:t>
            </w:r>
            <w:r>
              <w:rPr>
                <w:rFonts w:ascii="宋体" w:hAnsi="宋体" w:cs="宋体"/>
                <w:color w:val="auto"/>
                <w:kern w:val="0"/>
                <w:szCs w:val="21"/>
                <w:highlight w:val="none"/>
              </w:rPr>
              <w:t>资源，并配合做好软件部署实施工作，确保系统</w:t>
            </w:r>
            <w:r>
              <w:rPr>
                <w:rFonts w:hint="eastAsia" w:ascii="宋体" w:hAnsi="宋体" w:cs="宋体"/>
                <w:color w:val="auto"/>
                <w:kern w:val="0"/>
                <w:szCs w:val="21"/>
                <w:highlight w:val="none"/>
              </w:rPr>
              <w:t>正常</w:t>
            </w:r>
            <w:r>
              <w:rPr>
                <w:rFonts w:ascii="宋体" w:hAnsi="宋体" w:cs="宋体"/>
                <w:color w:val="auto"/>
                <w:kern w:val="0"/>
                <w:szCs w:val="21"/>
                <w:highlight w:val="none"/>
              </w:rPr>
              <w:t>运行</w:t>
            </w:r>
            <w:r>
              <w:rPr>
                <w:rFonts w:hint="eastAsia" w:ascii="宋体" w:hAnsi="宋体" w:cs="宋体"/>
                <w:color w:val="auto"/>
                <w:kern w:val="0"/>
                <w:szCs w:val="21"/>
                <w:highlight w:val="none"/>
              </w:rPr>
              <w:t>应用</w:t>
            </w:r>
            <w:r>
              <w:rPr>
                <w:rFonts w:ascii="宋体" w:hAnsi="宋体" w:cs="宋体"/>
                <w:color w:val="auto"/>
                <w:kern w:val="0"/>
                <w:szCs w:val="21"/>
                <w:highlight w:val="none"/>
              </w:rPr>
              <w:t>。</w:t>
            </w:r>
          </w:p>
          <w:p w14:paraId="4E78465D">
            <w:pPr>
              <w:widowControl/>
              <w:spacing w:line="360" w:lineRule="exact"/>
              <w:ind w:firstLine="400"/>
              <w:contextualSpacing/>
              <w:rPr>
                <w:rFonts w:ascii="宋体" w:hAnsi="宋体" w:cs="宋体"/>
                <w:color w:val="auto"/>
                <w:kern w:val="0"/>
                <w:szCs w:val="21"/>
                <w:highlight w:val="none"/>
              </w:rPr>
            </w:pPr>
          </w:p>
        </w:tc>
      </w:tr>
      <w:tr w14:paraId="30225F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0057539">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2</w:t>
            </w:r>
          </w:p>
        </w:tc>
        <w:tc>
          <w:tcPr>
            <w:tcW w:w="1026" w:type="pct"/>
            <w:noWrap/>
            <w:vAlign w:val="center"/>
          </w:tcPr>
          <w:p w14:paraId="714BA148">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国产化中间件</w:t>
            </w:r>
          </w:p>
        </w:tc>
        <w:tc>
          <w:tcPr>
            <w:tcW w:w="426" w:type="pct"/>
            <w:noWrap w:val="0"/>
            <w:vAlign w:val="center"/>
          </w:tcPr>
          <w:p w14:paraId="406AE126">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2套</w:t>
            </w:r>
          </w:p>
        </w:tc>
        <w:tc>
          <w:tcPr>
            <w:tcW w:w="2953" w:type="pct"/>
            <w:noWrap w:val="0"/>
            <w:vAlign w:val="center"/>
          </w:tcPr>
          <w:p w14:paraId="23F8B454">
            <w:pPr>
              <w:widowControl/>
              <w:spacing w:line="360" w:lineRule="exact"/>
              <w:ind w:firstLine="4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1．向用户提供64位国产信创环境的中间件软件产品，产品满足本项目建设应用需求。</w:t>
            </w:r>
          </w:p>
          <w:p w14:paraId="5DE2C854">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．本产品必须在本项采购的服务器上安装应用，满足本项目“2.1</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全区检察机关一体化综合信访安防视频联网调度指挥平台（国产化）”软件安装部署要求。</w:t>
            </w:r>
          </w:p>
          <w:p w14:paraId="44BB9C7D">
            <w:pPr>
              <w:widowControl/>
              <w:spacing w:line="360" w:lineRule="exact"/>
              <w:ind w:firstLine="4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3．本产品必须符合知识版权授权使用要求，确保采购人使用正式获得软件的终身使用授权。</w:t>
            </w:r>
          </w:p>
          <w:p w14:paraId="37623D1E">
            <w:pPr>
              <w:widowControl/>
              <w:spacing w:line="360" w:lineRule="exact"/>
              <w:ind w:firstLine="400"/>
              <w:contextualSpacing/>
              <w:rPr>
                <w:rFonts w:hint="eastAsia"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．提供现场部署调试技术支持服务和产品的3年免费升级服务、调优指导服务及7*24小时电话支持服务；</w:t>
            </w:r>
          </w:p>
          <w:p w14:paraId="36427053">
            <w:pPr>
              <w:widowControl/>
              <w:spacing w:line="360" w:lineRule="exact"/>
              <w:ind w:firstLine="400"/>
              <w:contextualSpacing/>
              <w:rPr>
                <w:rFonts w:ascii="宋体" w:hAnsi="宋体" w:cs="宋体"/>
                <w:color w:val="auto"/>
                <w:kern w:val="0"/>
                <w:szCs w:val="21"/>
                <w:highlight w:val="none"/>
              </w:rPr>
            </w:pPr>
          </w:p>
        </w:tc>
      </w:tr>
      <w:tr w14:paraId="3739C7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3DA583C7">
            <w:pPr>
              <w:widowControl/>
              <w:adjustRightInd w:val="0"/>
              <w:spacing w:line="360" w:lineRule="exact"/>
              <w:contextualSpacing/>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4405" w:type="pct"/>
            <w:gridSpan w:val="3"/>
            <w:noWrap/>
            <w:vAlign w:val="center"/>
          </w:tcPr>
          <w:p w14:paraId="777BD8B4">
            <w:pPr>
              <w:widowControl/>
              <w:spacing w:line="360" w:lineRule="exact"/>
              <w:contextualSpacing/>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边界安全建设</w:t>
            </w:r>
          </w:p>
        </w:tc>
      </w:tr>
      <w:tr w14:paraId="4596C4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202DB455">
            <w:pPr>
              <w:widowControl/>
              <w:adjustRightInd w:val="0"/>
              <w:spacing w:line="360" w:lineRule="exact"/>
              <w:contextualSpacing/>
              <w:jc w:val="center"/>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1</w:t>
            </w:r>
          </w:p>
        </w:tc>
        <w:tc>
          <w:tcPr>
            <w:tcW w:w="1026" w:type="pct"/>
            <w:noWrap w:val="0"/>
            <w:vAlign w:val="center"/>
          </w:tcPr>
          <w:p w14:paraId="5CD54E8C">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下一代防火墙</w:t>
            </w:r>
          </w:p>
        </w:tc>
        <w:tc>
          <w:tcPr>
            <w:tcW w:w="426" w:type="pct"/>
            <w:noWrap w:val="0"/>
            <w:vAlign w:val="center"/>
          </w:tcPr>
          <w:p w14:paraId="221F70C3">
            <w:pPr>
              <w:widowControl/>
              <w:adjustRightInd w:val="0"/>
              <w:spacing w:line="360" w:lineRule="exact"/>
              <w:contextualSpacing/>
              <w:jc w:val="center"/>
              <w:rPr>
                <w:rFonts w:ascii="宋体" w:hAnsi="宋体" w:cs="宋体"/>
                <w:color w:val="auto"/>
                <w:kern w:val="0"/>
                <w:szCs w:val="21"/>
                <w:highlight w:val="none"/>
              </w:rPr>
            </w:pPr>
            <w:r>
              <w:rPr>
                <w:rFonts w:hint="eastAsia" w:ascii="宋体" w:hAnsi="宋体" w:cs="宋体"/>
                <w:color w:val="auto"/>
                <w:kern w:val="0"/>
                <w:szCs w:val="21"/>
                <w:highlight w:val="none"/>
              </w:rPr>
              <w:t>1台</w:t>
            </w:r>
          </w:p>
        </w:tc>
        <w:tc>
          <w:tcPr>
            <w:tcW w:w="2953" w:type="pct"/>
            <w:noWrap w:val="0"/>
            <w:vAlign w:val="center"/>
          </w:tcPr>
          <w:p w14:paraId="701AF5C0">
            <w:pPr>
              <w:widowControl/>
              <w:spacing w:line="360" w:lineRule="exact"/>
              <w:ind w:firstLine="4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19</w:t>
            </w:r>
            <w:r>
              <w:rPr>
                <w:rFonts w:hint="eastAsia" w:ascii="宋体" w:hAnsi="宋体" w:cs="宋体"/>
                <w:color w:val="auto"/>
                <w:kern w:val="0"/>
                <w:szCs w:val="21"/>
                <w:highlight w:val="none"/>
              </w:rPr>
              <w:t>英寸机柜安装的下一代防火墙产品，至少支持IPS、防病毒、应用控制、口令防护和流控、IPSec VPN、SSL VPN等功能；</w:t>
            </w:r>
          </w:p>
          <w:p w14:paraId="000D9DBC">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w:t>
            </w:r>
            <w:r>
              <w:rPr>
                <w:rFonts w:ascii="宋体" w:hAnsi="宋体" w:cs="宋体"/>
                <w:color w:val="auto"/>
                <w:kern w:val="0"/>
                <w:szCs w:val="21"/>
                <w:highlight w:val="none"/>
              </w:rPr>
              <w:t>2.</w:t>
            </w:r>
            <w:r>
              <w:rPr>
                <w:rFonts w:hint="eastAsia" w:ascii="宋体" w:hAnsi="宋体" w:cs="宋体"/>
                <w:color w:val="auto"/>
                <w:kern w:val="0"/>
                <w:szCs w:val="21"/>
                <w:highlight w:val="none"/>
              </w:rPr>
              <w:t>设备采用国产处理器和国产操作系统，安全自主可控，配置≥64G SSD硬盘,</w:t>
            </w:r>
            <w:r>
              <w:rPr>
                <w:rFonts w:hint="eastAsia"/>
                <w:color w:val="auto"/>
                <w:highlight w:val="none"/>
              </w:rPr>
              <w:t xml:space="preserve"> </w:t>
            </w:r>
            <w:r>
              <w:rPr>
                <w:rFonts w:hint="eastAsia" w:ascii="宋体" w:hAnsi="宋体" w:cs="宋体"/>
                <w:color w:val="auto"/>
                <w:kern w:val="0"/>
                <w:szCs w:val="21"/>
                <w:highlight w:val="none"/>
              </w:rPr>
              <w:t>配置冗余电源及风扇等模块，确保设备运行安全可靠；</w:t>
            </w:r>
          </w:p>
          <w:p w14:paraId="2EF2D313">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.提供千兆电口≥16个，千兆光口且配满LC双芯单模千兆1310nm光模块的接口≥2个，万兆光口且配满LC双芯单模千兆1310nm光模块的接口≥4个, 扩展槽位≥</w:t>
            </w:r>
            <w:r>
              <w:rPr>
                <w:rFonts w:ascii="宋体" w:hAnsi="宋体" w:cs="宋体"/>
                <w:color w:val="auto"/>
                <w:kern w:val="0"/>
                <w:szCs w:val="21"/>
                <w:highlight w:val="none"/>
              </w:rPr>
              <w:t>2</w:t>
            </w:r>
            <w:r>
              <w:rPr>
                <w:rFonts w:hint="eastAsia" w:ascii="宋体" w:hAnsi="宋体" w:cs="宋体"/>
                <w:color w:val="auto"/>
                <w:kern w:val="0"/>
                <w:szCs w:val="21"/>
                <w:highlight w:val="none"/>
              </w:rPr>
              <w:t>个；</w:t>
            </w:r>
          </w:p>
          <w:p w14:paraId="62BBFE74">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网络层吞吐量≥45Gbps，应用层吞吐量≥40Gbps，IPS+防病毒吞吐量≥30Gbps，IPS吞吐量≥6Gbps，并发连接数≥1000万，HTTP新建连接数≥30万，SSL VPN最大用户数≥6000个，IPSec VPN 最大接入数≥2000个，IPSec VPN吞吐量≥4Gbps；</w:t>
            </w:r>
          </w:p>
          <w:p w14:paraId="56C327F4">
            <w:pPr>
              <w:widowControl/>
              <w:spacing w:line="360" w:lineRule="exact"/>
              <w:ind w:firstLine="400"/>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▲5</w:t>
            </w:r>
            <w:r>
              <w:rPr>
                <w:rFonts w:ascii="宋体" w:hAnsi="宋体" w:cs="宋体"/>
                <w:color w:val="auto"/>
                <w:kern w:val="0"/>
                <w:szCs w:val="21"/>
                <w:highlight w:val="none"/>
              </w:rPr>
              <w:t>.</w:t>
            </w:r>
            <w:r>
              <w:rPr>
                <w:rFonts w:hint="eastAsia" w:ascii="宋体" w:hAnsi="宋体" w:cs="宋体"/>
                <w:color w:val="auto"/>
                <w:kern w:val="0"/>
                <w:szCs w:val="21"/>
                <w:highlight w:val="none"/>
              </w:rPr>
              <w:t>设备支持SM2、SM3、SM4等国密算法，且加密算法符合商用密码要求；</w:t>
            </w:r>
          </w:p>
          <w:p w14:paraId="57BA4502">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6.</w:t>
            </w:r>
            <w:r>
              <w:rPr>
                <w:rFonts w:hint="eastAsia" w:ascii="宋体" w:hAnsi="宋体" w:cs="宋体"/>
                <w:color w:val="auto"/>
                <w:kern w:val="0"/>
                <w:szCs w:val="21"/>
                <w:highlight w:val="none"/>
              </w:rPr>
              <w:t>支持对常见应用（如HTTP、Telnet、FTP、SMTP、POP3等）进行弱口令检查及支持对服务器、客户端进行的口令暴力破解的攻击防护；并上报安全事件；支持对口令频繁暴力破解的检测。检测到暴力破解后可选择告警、精准阻断、阻断源</w:t>
            </w:r>
            <w:r>
              <w:rPr>
                <w:rFonts w:ascii="宋体" w:hAnsi="宋体" w:cs="宋体"/>
                <w:color w:val="auto"/>
                <w:kern w:val="0"/>
                <w:szCs w:val="21"/>
                <w:highlight w:val="none"/>
              </w:rPr>
              <w:t>IP</w:t>
            </w:r>
            <w:r>
              <w:rPr>
                <w:rFonts w:hint="eastAsia" w:ascii="宋体" w:hAnsi="宋体" w:cs="宋体"/>
                <w:color w:val="auto"/>
                <w:kern w:val="0"/>
                <w:szCs w:val="21"/>
                <w:highlight w:val="none"/>
              </w:rPr>
              <w:t>等动作；</w:t>
            </w:r>
          </w:p>
          <w:p w14:paraId="2D10E59E">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7.产品支持检测WEB攻击事件，包括：命令执行、蠕虫病毒、木马后门、目录遍历、缓存溢出、跨站攻击、SQL注入、DoS攻击、安全绕过、请求访问、信息泄漏、漏洞扫描等类型攻击；</w:t>
            </w:r>
          </w:p>
          <w:p w14:paraId="20CEAC15">
            <w:pPr>
              <w:widowControl/>
              <w:spacing w:line="360" w:lineRule="exact"/>
              <w:ind w:firstLine="400"/>
              <w:contextualSpacing/>
              <w:rPr>
                <w:rFonts w:ascii="宋体" w:hAnsi="宋体" w:cs="宋体"/>
                <w:color w:val="auto"/>
                <w:kern w:val="0"/>
                <w:szCs w:val="21"/>
                <w:highlight w:val="none"/>
              </w:rPr>
            </w:pPr>
            <w:r>
              <w:rPr>
                <w:rFonts w:hint="eastAsia" w:ascii="宋体" w:hAnsi="宋体" w:cs="宋体"/>
                <w:color w:val="auto"/>
                <w:kern w:val="0"/>
                <w:szCs w:val="21"/>
                <w:highlight w:val="none"/>
              </w:rPr>
              <w:t>▲8．</w:t>
            </w:r>
            <w:r>
              <w:rPr>
                <w:rFonts w:ascii="宋体" w:hAnsi="宋体" w:cs="宋体"/>
                <w:color w:val="auto"/>
                <w:kern w:val="0"/>
                <w:szCs w:val="21"/>
                <w:highlight w:val="none"/>
              </w:rPr>
              <w:t>提供设备的安全防护及网络功能（比如全业务口及扩展口授权应用、路由、网络交换</w:t>
            </w:r>
            <w:r>
              <w:rPr>
                <w:rFonts w:hint="eastAsia" w:ascii="宋体" w:hAnsi="宋体" w:cs="宋体"/>
                <w:color w:val="auto"/>
                <w:kern w:val="0"/>
                <w:szCs w:val="21"/>
                <w:highlight w:val="none"/>
              </w:rPr>
              <w:t>、</w:t>
            </w:r>
            <w:r>
              <w:rPr>
                <w:rFonts w:ascii="宋体" w:hAnsi="宋体" w:cs="宋体"/>
                <w:color w:val="auto"/>
                <w:kern w:val="0"/>
                <w:szCs w:val="21"/>
                <w:highlight w:val="none"/>
              </w:rPr>
              <w:t>NAT、VLAN、IPv6等）、防病毒、入侵防御（IPS）、邮件及网页Web应用攻击防御、网络应用流量识别与控制等功能和如支持的僵尸网络/僵尸主机等攻击检测、行为和内容审计、URL过滤等功能全部正式授权使用，不能因授权而受限制，且享受厂家≥3年免费升级及特征库更新等服务；</w:t>
            </w:r>
          </w:p>
          <w:p w14:paraId="04098048">
            <w:pPr>
              <w:widowControl/>
              <w:spacing w:line="360" w:lineRule="exact"/>
              <w:ind w:firstLine="400"/>
              <w:contextualSpacing/>
              <w:rPr>
                <w:rFonts w:ascii="宋体" w:hAnsi="宋体" w:cs="宋体"/>
                <w:color w:val="auto"/>
                <w:kern w:val="0"/>
                <w:szCs w:val="21"/>
                <w:highlight w:val="none"/>
              </w:rPr>
            </w:pPr>
            <w:r>
              <w:rPr>
                <w:rFonts w:ascii="宋体" w:hAnsi="宋体" w:cs="宋体"/>
                <w:color w:val="auto"/>
                <w:kern w:val="0"/>
                <w:szCs w:val="21"/>
                <w:highlight w:val="none"/>
              </w:rPr>
              <w:t>9</w:t>
            </w:r>
            <w:r>
              <w:rPr>
                <w:rFonts w:hint="eastAsia" w:ascii="宋体" w:hAnsi="宋体" w:cs="宋体"/>
                <w:color w:val="auto"/>
                <w:kern w:val="0"/>
                <w:szCs w:val="21"/>
                <w:highlight w:val="none"/>
              </w:rPr>
              <w:t>．</w:t>
            </w:r>
            <w:r>
              <w:rPr>
                <w:rFonts w:ascii="宋体" w:hAnsi="宋体" w:cs="宋体"/>
                <w:color w:val="auto"/>
                <w:kern w:val="0"/>
                <w:szCs w:val="21"/>
                <w:highlight w:val="none"/>
              </w:rPr>
              <w:t>整机所有配件及线材含≥3年免费质保</w:t>
            </w:r>
            <w:r>
              <w:rPr>
                <w:rFonts w:hint="eastAsia" w:ascii="宋体" w:hAnsi="宋体" w:cs="宋体"/>
                <w:color w:val="auto"/>
                <w:kern w:val="0"/>
                <w:szCs w:val="21"/>
                <w:highlight w:val="none"/>
              </w:rPr>
              <w:t>和</w:t>
            </w:r>
            <w:r>
              <w:rPr>
                <w:rFonts w:ascii="宋体" w:hAnsi="宋体" w:cs="宋体"/>
                <w:color w:val="auto"/>
                <w:kern w:val="0"/>
                <w:szCs w:val="21"/>
                <w:highlight w:val="none"/>
              </w:rPr>
              <w:t>硬件维护服务。</w:t>
            </w:r>
          </w:p>
        </w:tc>
      </w:tr>
      <w:tr w14:paraId="474C71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000" w:type="pct"/>
            <w:gridSpan w:val="4"/>
            <w:noWrap/>
            <w:vAlign w:val="center"/>
          </w:tcPr>
          <w:p w14:paraId="50C500D8">
            <w:pPr>
              <w:widowControl/>
              <w:adjustRightInd w:val="0"/>
              <w:spacing w:line="360" w:lineRule="exact"/>
              <w:contextualSpacing/>
              <w:rPr>
                <w:rFonts w:hint="eastAsia" w:ascii="宋体" w:hAnsi="宋体" w:cs="宋体"/>
                <w:color w:val="auto"/>
                <w:kern w:val="0"/>
                <w:szCs w:val="21"/>
                <w:highlight w:val="none"/>
              </w:rPr>
            </w:pPr>
            <w:r>
              <w:rPr>
                <w:rFonts w:hint="eastAsia" w:ascii="宋体" w:hAnsi="宋体" w:cs="宋体"/>
                <w:color w:val="auto"/>
                <w:kern w:val="0"/>
                <w:szCs w:val="21"/>
                <w:highlight w:val="none"/>
              </w:rPr>
              <w:t>▲商务及其他要求表</w:t>
            </w:r>
          </w:p>
        </w:tc>
      </w:tr>
      <w:tr w14:paraId="131FEC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5ED713DD">
            <w:pPr>
              <w:adjustRightInd w:val="0"/>
              <w:spacing w:line="360" w:lineRule="exact"/>
              <w:contextualSpacing/>
              <w:rPr>
                <w:rFonts w:ascii="宋体" w:hAnsi="宋体" w:cs="宋体"/>
                <w:color w:val="auto"/>
                <w:kern w:val="0"/>
                <w:szCs w:val="21"/>
                <w:highlight w:val="none"/>
                <w:lang w:bidi="ar"/>
              </w:rPr>
            </w:pPr>
            <w:r>
              <w:rPr>
                <w:rFonts w:hint="eastAsia" w:ascii="宋体" w:hAnsi="宋体" w:cs="宋体"/>
                <w:color w:val="auto"/>
                <w:szCs w:val="21"/>
                <w:highlight w:val="none"/>
              </w:rPr>
              <w:t>交货时间及地点</w:t>
            </w:r>
          </w:p>
        </w:tc>
        <w:tc>
          <w:tcPr>
            <w:tcW w:w="4405" w:type="pct"/>
            <w:gridSpan w:val="3"/>
            <w:noWrap w:val="0"/>
            <w:vAlign w:val="center"/>
          </w:tcPr>
          <w:p w14:paraId="52022CC8">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1.自成交通知书发出之日起，25日内与采购人签订合同。</w:t>
            </w:r>
          </w:p>
          <w:p w14:paraId="474F9C37">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 xml:space="preserve">2.交付时间：自签订合同之日起 </w:t>
            </w: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0 个日历日内全部交货安装完成并验收合格。</w:t>
            </w:r>
          </w:p>
          <w:p w14:paraId="36A80198">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3.交货地点：</w:t>
            </w:r>
            <w:r>
              <w:rPr>
                <w:rFonts w:hint="eastAsia" w:ascii="宋体" w:hAnsi="宋体" w:cs="宋体"/>
                <w:color w:val="auto"/>
                <w:sz w:val="21"/>
                <w:szCs w:val="21"/>
                <w:highlight w:val="none"/>
                <w:u w:val="single"/>
                <w:lang w:eastAsia="zh-CN"/>
              </w:rPr>
              <w:t>广西</w:t>
            </w:r>
            <w:r>
              <w:rPr>
                <w:rFonts w:ascii="宋体" w:hAnsi="宋体" w:cs="宋体"/>
                <w:color w:val="auto"/>
                <w:sz w:val="21"/>
                <w:szCs w:val="21"/>
                <w:highlight w:val="none"/>
                <w:u w:val="single"/>
                <w:lang w:eastAsia="zh-CN"/>
              </w:rPr>
              <w:t>南宁市采购人指定地点</w:t>
            </w:r>
            <w:r>
              <w:rPr>
                <w:rFonts w:hint="eastAsia" w:ascii="宋体" w:hAnsi="宋体" w:cs="宋体"/>
                <w:color w:val="auto"/>
                <w:sz w:val="21"/>
                <w:szCs w:val="21"/>
                <w:highlight w:val="none"/>
                <w:u w:val="single"/>
                <w:lang w:eastAsia="zh-CN"/>
              </w:rPr>
              <w:t>，</w:t>
            </w:r>
            <w:r>
              <w:rPr>
                <w:rFonts w:hint="eastAsia" w:ascii="宋体" w:hAnsi="宋体" w:cs="宋体"/>
                <w:color w:val="auto"/>
                <w:sz w:val="21"/>
                <w:szCs w:val="21"/>
                <w:highlight w:val="none"/>
                <w:lang w:eastAsia="zh-CN"/>
              </w:rPr>
              <w:t>保管工作由成交供应商自行负责。</w:t>
            </w:r>
          </w:p>
          <w:p w14:paraId="3EF19699">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bidi="ar"/>
              </w:rPr>
            </w:pPr>
            <w:r>
              <w:rPr>
                <w:rFonts w:hint="eastAsia" w:ascii="宋体" w:hAnsi="宋体" w:cs="宋体"/>
                <w:color w:val="auto"/>
                <w:sz w:val="21"/>
                <w:szCs w:val="21"/>
                <w:highlight w:val="none"/>
                <w:lang w:eastAsia="zh-CN"/>
              </w:rPr>
              <w:t>4.交货方式：</w:t>
            </w:r>
            <w:r>
              <w:rPr>
                <w:rFonts w:hint="eastAsia" w:ascii="宋体" w:hAnsi="宋体" w:cs="宋体"/>
                <w:color w:val="auto"/>
                <w:sz w:val="21"/>
                <w:szCs w:val="21"/>
                <w:highlight w:val="none"/>
                <w:u w:val="single"/>
                <w:lang w:eastAsia="zh-CN"/>
              </w:rPr>
              <w:t>现场交货</w:t>
            </w:r>
            <w:r>
              <w:rPr>
                <w:rFonts w:hint="eastAsia" w:ascii="宋体" w:hAnsi="宋体" w:cs="宋体"/>
                <w:color w:val="auto"/>
                <w:sz w:val="21"/>
                <w:szCs w:val="21"/>
                <w:highlight w:val="none"/>
                <w:lang w:eastAsia="zh-CN"/>
              </w:rPr>
              <w:t>。</w:t>
            </w:r>
          </w:p>
        </w:tc>
      </w:tr>
      <w:tr w14:paraId="5BABD1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0F02CB19">
            <w:pPr>
              <w:adjustRightIn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投标报价</w:t>
            </w:r>
          </w:p>
        </w:tc>
        <w:tc>
          <w:tcPr>
            <w:tcW w:w="4405" w:type="pct"/>
            <w:gridSpan w:val="3"/>
            <w:noWrap w:val="0"/>
            <w:vAlign w:val="center"/>
          </w:tcPr>
          <w:p w14:paraId="0B1CA4B0">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本项目为交钥匙工程，投标报价为招标人指定地点的现场交货价，包括：</w:t>
            </w:r>
          </w:p>
          <w:p w14:paraId="25CD0DDB">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项目所有软硬件采购、</w:t>
            </w:r>
            <w:r>
              <w:rPr>
                <w:rFonts w:ascii="宋体" w:hAnsi="宋体" w:cs="宋体"/>
                <w:color w:val="auto"/>
                <w:sz w:val="21"/>
                <w:szCs w:val="21"/>
                <w:highlight w:val="none"/>
                <w:lang w:eastAsia="zh-CN"/>
              </w:rPr>
              <w:t>软</w:t>
            </w:r>
            <w:r>
              <w:rPr>
                <w:rFonts w:hint="eastAsia" w:ascii="宋体" w:hAnsi="宋体" w:cs="宋体"/>
                <w:color w:val="auto"/>
                <w:sz w:val="21"/>
                <w:szCs w:val="21"/>
                <w:highlight w:val="none"/>
                <w:lang w:eastAsia="zh-CN"/>
              </w:rPr>
              <w:t>件</w:t>
            </w:r>
            <w:r>
              <w:rPr>
                <w:rFonts w:ascii="宋体" w:hAnsi="宋体" w:cs="宋体"/>
                <w:color w:val="auto"/>
                <w:sz w:val="21"/>
                <w:szCs w:val="21"/>
                <w:highlight w:val="none"/>
                <w:lang w:eastAsia="zh-CN"/>
              </w:rPr>
              <w:t>定制（</w:t>
            </w:r>
            <w:r>
              <w:rPr>
                <w:rFonts w:hint="eastAsia" w:ascii="宋体" w:hAnsi="宋体" w:cs="宋体"/>
                <w:color w:val="auto"/>
                <w:sz w:val="21"/>
                <w:szCs w:val="21"/>
                <w:highlight w:val="none"/>
                <w:lang w:eastAsia="zh-CN"/>
              </w:rPr>
              <w:t>含软件</w:t>
            </w:r>
            <w:r>
              <w:rPr>
                <w:rFonts w:ascii="宋体" w:hAnsi="宋体" w:cs="宋体"/>
                <w:color w:val="auto"/>
                <w:sz w:val="21"/>
                <w:szCs w:val="21"/>
                <w:highlight w:val="none"/>
                <w:lang w:eastAsia="zh-CN"/>
              </w:rPr>
              <w:t>功能二次</w:t>
            </w:r>
            <w:r>
              <w:rPr>
                <w:rFonts w:hint="eastAsia" w:ascii="宋体" w:hAnsi="宋体" w:cs="宋体"/>
                <w:color w:val="auto"/>
                <w:sz w:val="21"/>
                <w:szCs w:val="21"/>
                <w:highlight w:val="none"/>
                <w:lang w:eastAsia="zh-CN"/>
              </w:rPr>
              <w:t>开发</w:t>
            </w:r>
            <w:r>
              <w:rPr>
                <w:rFonts w:ascii="宋体" w:hAnsi="宋体" w:cs="宋体"/>
                <w:color w:val="auto"/>
                <w:sz w:val="21"/>
                <w:szCs w:val="21"/>
                <w:highlight w:val="none"/>
                <w:lang w:eastAsia="zh-CN"/>
              </w:rPr>
              <w:t>、软件UI界面定制、软件</w:t>
            </w:r>
            <w:r>
              <w:rPr>
                <w:rFonts w:hint="eastAsia" w:ascii="宋体" w:hAnsi="宋体" w:cs="宋体"/>
                <w:color w:val="auto"/>
                <w:sz w:val="21"/>
                <w:szCs w:val="21"/>
                <w:highlight w:val="none"/>
                <w:lang w:eastAsia="zh-CN"/>
              </w:rPr>
              <w:t>应用</w:t>
            </w:r>
            <w:r>
              <w:rPr>
                <w:rFonts w:ascii="宋体" w:hAnsi="宋体" w:cs="宋体"/>
                <w:color w:val="auto"/>
                <w:sz w:val="21"/>
                <w:szCs w:val="21"/>
                <w:highlight w:val="none"/>
                <w:lang w:eastAsia="zh-CN"/>
              </w:rPr>
              <w:t>配置</w:t>
            </w:r>
            <w:r>
              <w:rPr>
                <w:rFonts w:hint="eastAsia" w:ascii="宋体" w:hAnsi="宋体" w:cs="宋体"/>
                <w:color w:val="auto"/>
                <w:sz w:val="21"/>
                <w:szCs w:val="21"/>
                <w:highlight w:val="none"/>
                <w:lang w:eastAsia="zh-CN"/>
              </w:rPr>
              <w:t>等</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、配套</w:t>
            </w:r>
            <w:r>
              <w:rPr>
                <w:rFonts w:ascii="宋体" w:hAnsi="宋体" w:cs="宋体"/>
                <w:color w:val="auto"/>
                <w:sz w:val="21"/>
                <w:szCs w:val="21"/>
                <w:highlight w:val="none"/>
                <w:lang w:eastAsia="zh-CN"/>
              </w:rPr>
              <w:t>安装</w:t>
            </w:r>
            <w:r>
              <w:rPr>
                <w:rFonts w:hint="eastAsia" w:ascii="宋体" w:hAnsi="宋体" w:cs="宋体"/>
                <w:color w:val="auto"/>
                <w:sz w:val="21"/>
                <w:szCs w:val="21"/>
                <w:highlight w:val="none"/>
                <w:lang w:eastAsia="zh-CN"/>
              </w:rPr>
              <w:t>及技术</w:t>
            </w:r>
            <w:r>
              <w:rPr>
                <w:rFonts w:ascii="宋体" w:hAnsi="宋体" w:cs="宋体"/>
                <w:color w:val="auto"/>
                <w:sz w:val="21"/>
                <w:szCs w:val="21"/>
                <w:highlight w:val="none"/>
                <w:lang w:eastAsia="zh-CN"/>
              </w:rPr>
              <w:t>服务</w:t>
            </w:r>
            <w:r>
              <w:rPr>
                <w:rFonts w:hint="eastAsia" w:ascii="宋体" w:hAnsi="宋体" w:cs="宋体"/>
                <w:color w:val="auto"/>
                <w:sz w:val="21"/>
                <w:szCs w:val="21"/>
                <w:highlight w:val="none"/>
                <w:lang w:eastAsia="zh-CN"/>
              </w:rPr>
              <w:t>等价格，</w:t>
            </w:r>
            <w:r>
              <w:rPr>
                <w:rFonts w:ascii="宋体" w:hAnsi="宋体" w:cs="宋体"/>
                <w:color w:val="auto"/>
                <w:sz w:val="21"/>
                <w:szCs w:val="21"/>
                <w:highlight w:val="none"/>
                <w:lang w:eastAsia="zh-CN"/>
              </w:rPr>
              <w:t>以及</w:t>
            </w:r>
            <w:r>
              <w:rPr>
                <w:rFonts w:hint="eastAsia" w:ascii="宋体" w:hAnsi="宋体" w:cs="宋体"/>
                <w:color w:val="auto"/>
                <w:sz w:val="21"/>
                <w:szCs w:val="21"/>
                <w:highlight w:val="none"/>
                <w:lang w:eastAsia="zh-CN"/>
              </w:rPr>
              <w:t>软硬件安装调试所需的标准附件、售后服务所需备品备件、专用工具、相关辅材标签标识等价格；</w:t>
            </w:r>
          </w:p>
          <w:p w14:paraId="48AD38E6">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完成项目</w:t>
            </w:r>
            <w:r>
              <w:rPr>
                <w:rFonts w:ascii="宋体" w:hAnsi="宋体" w:cs="宋体"/>
                <w:color w:val="auto"/>
                <w:sz w:val="21"/>
                <w:szCs w:val="21"/>
                <w:highlight w:val="none"/>
                <w:lang w:eastAsia="zh-CN"/>
              </w:rPr>
              <w:t>实施</w:t>
            </w:r>
            <w:r>
              <w:rPr>
                <w:rFonts w:hint="eastAsia" w:ascii="宋体" w:hAnsi="宋体" w:cs="宋体"/>
                <w:color w:val="auto"/>
                <w:sz w:val="21"/>
                <w:szCs w:val="21"/>
                <w:highlight w:val="none"/>
                <w:lang w:eastAsia="zh-CN"/>
              </w:rPr>
              <w:t>交付的必要保险费用和各项税金、规费等；</w:t>
            </w:r>
          </w:p>
          <w:p w14:paraId="2103854B">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项目标的</w:t>
            </w:r>
            <w:r>
              <w:rPr>
                <w:rFonts w:ascii="宋体" w:hAnsi="宋体" w:cs="宋体"/>
                <w:color w:val="auto"/>
                <w:sz w:val="21"/>
                <w:szCs w:val="21"/>
                <w:highlight w:val="none"/>
                <w:lang w:eastAsia="zh-CN"/>
              </w:rPr>
              <w:t>商品</w:t>
            </w:r>
            <w:r>
              <w:rPr>
                <w:rFonts w:hint="eastAsia" w:ascii="宋体" w:hAnsi="宋体" w:cs="宋体"/>
                <w:color w:val="auto"/>
                <w:sz w:val="21"/>
                <w:szCs w:val="21"/>
                <w:highlight w:val="none"/>
                <w:lang w:eastAsia="zh-CN"/>
              </w:rPr>
              <w:t>运输、装卸、上门等费用</w:t>
            </w:r>
          </w:p>
          <w:p w14:paraId="71994498">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软硬件安装调试、完善调优、培训、技术支持、专业检测、售后服务、更新升级、</w:t>
            </w:r>
            <w:r>
              <w:rPr>
                <w:rFonts w:ascii="宋体" w:hAnsi="宋体" w:cs="宋体"/>
                <w:color w:val="auto"/>
                <w:sz w:val="21"/>
                <w:szCs w:val="21"/>
                <w:highlight w:val="none"/>
                <w:lang w:eastAsia="zh-CN"/>
              </w:rPr>
              <w:t>专项定制</w:t>
            </w:r>
            <w:r>
              <w:rPr>
                <w:rFonts w:hint="eastAsia" w:ascii="宋体" w:hAnsi="宋体" w:cs="宋体"/>
                <w:color w:val="auto"/>
                <w:sz w:val="21"/>
                <w:szCs w:val="21"/>
                <w:highlight w:val="none"/>
                <w:lang w:eastAsia="zh-CN"/>
              </w:rPr>
              <w:t>等费用；</w:t>
            </w:r>
          </w:p>
          <w:p w14:paraId="127B0700">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项目验收产生的第三方检测</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现场</w:t>
            </w:r>
            <w:r>
              <w:rPr>
                <w:rFonts w:ascii="宋体" w:hAnsi="宋体" w:cs="宋体"/>
                <w:color w:val="auto"/>
                <w:sz w:val="21"/>
                <w:szCs w:val="21"/>
                <w:highlight w:val="none"/>
                <w:lang w:eastAsia="zh-CN"/>
              </w:rPr>
              <w:t>验收劳务</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材料</w:t>
            </w:r>
            <w:r>
              <w:rPr>
                <w:rFonts w:hint="eastAsia" w:ascii="宋体" w:hAnsi="宋体" w:cs="宋体"/>
                <w:color w:val="auto"/>
                <w:sz w:val="21"/>
                <w:szCs w:val="21"/>
                <w:highlight w:val="none"/>
                <w:lang w:eastAsia="zh-CN"/>
              </w:rPr>
              <w:t>印刷等一切</w:t>
            </w:r>
            <w:r>
              <w:rPr>
                <w:rFonts w:ascii="宋体" w:hAnsi="宋体" w:cs="宋体"/>
                <w:color w:val="auto"/>
                <w:sz w:val="21"/>
                <w:szCs w:val="21"/>
                <w:highlight w:val="none"/>
                <w:lang w:eastAsia="zh-CN"/>
              </w:rPr>
              <w:t>相关费用</w:t>
            </w:r>
            <w:r>
              <w:rPr>
                <w:rFonts w:hint="eastAsia" w:ascii="宋体" w:hAnsi="宋体" w:cs="宋体"/>
                <w:color w:val="auto"/>
                <w:sz w:val="21"/>
                <w:szCs w:val="21"/>
                <w:highlight w:val="none"/>
                <w:lang w:eastAsia="zh-CN"/>
              </w:rPr>
              <w:t>；</w:t>
            </w:r>
          </w:p>
          <w:p w14:paraId="2EBE7BB9">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其他实施过程中必须</w:t>
            </w:r>
            <w:r>
              <w:rPr>
                <w:rFonts w:ascii="宋体" w:hAnsi="宋体" w:cs="宋体"/>
                <w:color w:val="auto"/>
                <w:sz w:val="21"/>
                <w:szCs w:val="21"/>
                <w:highlight w:val="none"/>
                <w:lang w:eastAsia="zh-CN"/>
              </w:rPr>
              <w:t>且</w:t>
            </w:r>
            <w:r>
              <w:rPr>
                <w:rFonts w:hint="eastAsia" w:ascii="宋体" w:hAnsi="宋体" w:cs="宋体"/>
                <w:color w:val="auto"/>
                <w:sz w:val="21"/>
                <w:szCs w:val="21"/>
                <w:highlight w:val="none"/>
                <w:lang w:eastAsia="zh-CN"/>
              </w:rPr>
              <w:t>不可预知的费用等。</w:t>
            </w:r>
          </w:p>
          <w:p w14:paraId="41FA3610">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p>
        </w:tc>
      </w:tr>
      <w:tr w14:paraId="161DB0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0C6BB62B">
            <w:pPr>
              <w:adjustRightInd w:val="0"/>
              <w:spacing w:line="360" w:lineRule="exact"/>
              <w:contextualSpacing/>
              <w:rPr>
                <w:rFonts w:ascii="宋体" w:hAnsi="宋体" w:cs="宋体"/>
                <w:color w:val="auto"/>
                <w:kern w:val="0"/>
                <w:szCs w:val="21"/>
                <w:highlight w:val="none"/>
                <w:lang w:bidi="ar"/>
              </w:rPr>
            </w:pPr>
            <w:r>
              <w:rPr>
                <w:rFonts w:hint="eastAsia" w:ascii="宋体" w:hAnsi="宋体" w:cs="宋体"/>
                <w:color w:val="auto"/>
                <w:szCs w:val="21"/>
                <w:highlight w:val="none"/>
              </w:rPr>
              <w:t>付款方式</w:t>
            </w:r>
          </w:p>
        </w:tc>
        <w:tc>
          <w:tcPr>
            <w:tcW w:w="4405" w:type="pct"/>
            <w:gridSpan w:val="3"/>
            <w:noWrap w:val="0"/>
            <w:vAlign w:val="center"/>
          </w:tcPr>
          <w:p w14:paraId="698E4D95">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本项目采取分批付款方式支付合同款，具体要求如下：</w:t>
            </w:r>
          </w:p>
          <w:p w14:paraId="0F03CB12">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（1）合同签订并缴纳项目履约保证金后15个工作日内向成交供应商支付合同金额的</w:t>
            </w:r>
            <w:r>
              <w:rPr>
                <w:rFonts w:ascii="宋体" w:hAnsi="宋体" w:cs="宋体"/>
                <w:color w:val="auto"/>
                <w:sz w:val="21"/>
                <w:szCs w:val="21"/>
                <w:highlight w:val="none"/>
                <w:lang w:eastAsia="zh-CN"/>
              </w:rPr>
              <w:t>4</w:t>
            </w:r>
            <w:r>
              <w:rPr>
                <w:rFonts w:hint="eastAsia" w:ascii="宋体" w:hAnsi="宋体" w:cs="宋体"/>
                <w:color w:val="auto"/>
                <w:sz w:val="21"/>
                <w:szCs w:val="21"/>
                <w:highlight w:val="none"/>
                <w:lang w:eastAsia="zh-CN"/>
              </w:rPr>
              <w:t>0%做为预付款；</w:t>
            </w:r>
          </w:p>
          <w:p w14:paraId="6F084220">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（2）项目采购清单设备全部到货并通过</w:t>
            </w:r>
            <w:r>
              <w:rPr>
                <w:rFonts w:ascii="宋体" w:hAnsi="宋体" w:cs="宋体"/>
                <w:color w:val="auto"/>
                <w:sz w:val="21"/>
                <w:szCs w:val="21"/>
                <w:highlight w:val="none"/>
                <w:lang w:eastAsia="zh-CN"/>
              </w:rPr>
              <w:t>采购人确认</w:t>
            </w:r>
            <w:r>
              <w:rPr>
                <w:rFonts w:hint="eastAsia" w:ascii="宋体" w:hAnsi="宋体" w:cs="宋体"/>
                <w:color w:val="auto"/>
                <w:sz w:val="21"/>
                <w:szCs w:val="21"/>
                <w:highlight w:val="none"/>
                <w:lang w:eastAsia="zh-CN"/>
              </w:rPr>
              <w:t>后，采购人自收到成交供应商书面申请之日起10个工作日内，采购人向成交供应商支付合同金额</w:t>
            </w:r>
            <w:r>
              <w:rPr>
                <w:rFonts w:ascii="宋体" w:hAnsi="宋体" w:cs="宋体"/>
                <w:color w:val="auto"/>
                <w:sz w:val="21"/>
                <w:szCs w:val="21"/>
                <w:highlight w:val="none"/>
                <w:lang w:eastAsia="zh-CN"/>
              </w:rPr>
              <w:t>4</w:t>
            </w:r>
            <w:r>
              <w:rPr>
                <w:rFonts w:hint="eastAsia" w:ascii="宋体" w:hAnsi="宋体" w:cs="宋体"/>
                <w:color w:val="auto"/>
                <w:sz w:val="21"/>
                <w:szCs w:val="21"/>
                <w:highlight w:val="none"/>
                <w:lang w:eastAsia="zh-CN"/>
              </w:rPr>
              <w:t>0%的进度款；</w:t>
            </w:r>
          </w:p>
          <w:p w14:paraId="03B65D87">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（3）项目完成并通过最终验收后，采购人收到成交供应商书面申请之日起10个工作日内，采购人向成交供应商支付合同金额</w:t>
            </w:r>
            <w:r>
              <w:rPr>
                <w:rFonts w:ascii="宋体" w:hAnsi="宋体" w:cs="宋体"/>
                <w:color w:val="auto"/>
                <w:sz w:val="21"/>
                <w:szCs w:val="21"/>
                <w:highlight w:val="none"/>
                <w:lang w:eastAsia="zh-CN"/>
              </w:rPr>
              <w:t>2</w:t>
            </w:r>
            <w:r>
              <w:rPr>
                <w:rFonts w:hint="eastAsia" w:ascii="宋体" w:hAnsi="宋体" w:cs="宋体"/>
                <w:color w:val="auto"/>
                <w:sz w:val="21"/>
                <w:szCs w:val="21"/>
                <w:highlight w:val="none"/>
                <w:lang w:eastAsia="zh-CN"/>
              </w:rPr>
              <w:t>0%的进度款。</w:t>
            </w:r>
          </w:p>
          <w:p w14:paraId="5796D6C0">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（4）项目免费质保期结束后，双方根据服务质量及履约情况结算扣除款项，再由采购人一次性无息返还结余的履约保证金给成交供应商（项目履约保证金见“履约保证金”说明）。</w:t>
            </w:r>
          </w:p>
          <w:p w14:paraId="053F9DC7">
            <w:pPr>
              <w:pStyle w:val="109"/>
              <w:adjustRightInd w:val="0"/>
              <w:spacing w:after="0" w:line="360" w:lineRule="exact"/>
              <w:ind w:firstLine="420" w:firstLineChars="200"/>
              <w:contextualSpacing/>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（5）成交供应商每次申请付款材料必须包括</w:t>
            </w:r>
            <w:r>
              <w:rPr>
                <w:rFonts w:ascii="宋体" w:hAnsi="宋体" w:cs="宋体"/>
                <w:color w:val="auto"/>
                <w:sz w:val="21"/>
                <w:szCs w:val="21"/>
                <w:highlight w:val="none"/>
                <w:lang w:eastAsia="zh-CN"/>
              </w:rPr>
              <w:t>请</w:t>
            </w:r>
            <w:r>
              <w:rPr>
                <w:rFonts w:hint="eastAsia" w:ascii="宋体" w:hAnsi="宋体" w:cs="宋体"/>
                <w:color w:val="auto"/>
                <w:sz w:val="21"/>
                <w:szCs w:val="21"/>
                <w:highlight w:val="none"/>
                <w:lang w:eastAsia="zh-CN"/>
              </w:rPr>
              <w:t>付</w:t>
            </w:r>
            <w:r>
              <w:rPr>
                <w:rFonts w:ascii="宋体" w:hAnsi="宋体" w:cs="宋体"/>
                <w:color w:val="auto"/>
                <w:sz w:val="21"/>
                <w:szCs w:val="21"/>
                <w:highlight w:val="none"/>
                <w:lang w:eastAsia="zh-CN"/>
              </w:rPr>
              <w:t>合同款的</w:t>
            </w:r>
            <w:r>
              <w:rPr>
                <w:rFonts w:hint="eastAsia" w:ascii="宋体" w:hAnsi="宋体" w:cs="宋体"/>
                <w:color w:val="auto"/>
                <w:sz w:val="21"/>
                <w:szCs w:val="21"/>
                <w:highlight w:val="none"/>
                <w:lang w:eastAsia="zh-CN"/>
              </w:rPr>
              <w:t>等额发票、付款</w:t>
            </w:r>
            <w:r>
              <w:rPr>
                <w:rFonts w:ascii="宋体" w:hAnsi="宋体" w:cs="宋体"/>
                <w:color w:val="auto"/>
                <w:sz w:val="21"/>
                <w:szCs w:val="21"/>
                <w:highlight w:val="none"/>
                <w:lang w:eastAsia="zh-CN"/>
              </w:rPr>
              <w:t>申请</w:t>
            </w:r>
            <w:r>
              <w:rPr>
                <w:rFonts w:hint="eastAsia" w:ascii="宋体" w:hAnsi="宋体" w:cs="宋体"/>
                <w:color w:val="auto"/>
                <w:sz w:val="21"/>
                <w:szCs w:val="21"/>
                <w:highlight w:val="none"/>
                <w:lang w:eastAsia="zh-CN"/>
              </w:rPr>
              <w:t>函以及关键性</w:t>
            </w:r>
            <w:r>
              <w:rPr>
                <w:rFonts w:ascii="宋体" w:hAnsi="宋体" w:cs="宋体"/>
                <w:color w:val="auto"/>
                <w:sz w:val="21"/>
                <w:szCs w:val="21"/>
                <w:highlight w:val="none"/>
                <w:lang w:eastAsia="zh-CN"/>
              </w:rPr>
              <w:t>的履约佐证</w:t>
            </w:r>
            <w:r>
              <w:rPr>
                <w:rFonts w:hint="eastAsia" w:ascii="宋体" w:hAnsi="宋体" w:cs="宋体"/>
                <w:color w:val="auto"/>
                <w:sz w:val="21"/>
                <w:szCs w:val="21"/>
                <w:highlight w:val="none"/>
                <w:lang w:eastAsia="zh-CN"/>
              </w:rPr>
              <w:t>材料等，否则采购人有权延缓支付当次及后续的合同款项。</w:t>
            </w:r>
          </w:p>
          <w:p w14:paraId="18D57800">
            <w:pPr>
              <w:pStyle w:val="109"/>
              <w:adjustRightInd w:val="0"/>
              <w:spacing w:after="0" w:line="360" w:lineRule="exact"/>
              <w:ind w:firstLine="420" w:firstLineChars="200"/>
              <w:contextualSpacing/>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成交供应商提供</w:t>
            </w:r>
            <w:r>
              <w:rPr>
                <w:rFonts w:ascii="宋体" w:hAnsi="宋体" w:cs="宋体"/>
                <w:color w:val="auto"/>
                <w:sz w:val="21"/>
                <w:szCs w:val="21"/>
                <w:highlight w:val="none"/>
                <w:lang w:eastAsia="zh-CN"/>
              </w:rPr>
              <w:t>的项目合同款项发票</w:t>
            </w:r>
            <w:r>
              <w:rPr>
                <w:rFonts w:hint="eastAsia" w:ascii="宋体" w:hAnsi="宋体" w:cs="宋体"/>
                <w:color w:val="auto"/>
                <w:sz w:val="21"/>
                <w:szCs w:val="21"/>
                <w:highlight w:val="none"/>
                <w:lang w:eastAsia="zh-CN"/>
              </w:rPr>
              <w:t>必须属于真实、有效、合法的正式发票，并由采购人查验票据合格后</w:t>
            </w:r>
            <w:r>
              <w:rPr>
                <w:rFonts w:ascii="宋体" w:hAnsi="宋体" w:cs="宋体"/>
                <w:color w:val="auto"/>
                <w:sz w:val="21"/>
                <w:szCs w:val="21"/>
                <w:highlight w:val="none"/>
                <w:lang w:eastAsia="zh-CN"/>
              </w:rPr>
              <w:t>方可</w:t>
            </w:r>
            <w:r>
              <w:rPr>
                <w:rFonts w:hint="eastAsia" w:ascii="宋体" w:hAnsi="宋体" w:cs="宋体"/>
                <w:color w:val="auto"/>
                <w:sz w:val="21"/>
                <w:szCs w:val="21"/>
                <w:highlight w:val="none"/>
                <w:lang w:eastAsia="zh-CN"/>
              </w:rPr>
              <w:t>支付</w:t>
            </w:r>
            <w:r>
              <w:rPr>
                <w:rFonts w:ascii="宋体" w:hAnsi="宋体" w:cs="宋体"/>
                <w:color w:val="auto"/>
                <w:sz w:val="21"/>
                <w:szCs w:val="21"/>
                <w:highlight w:val="none"/>
                <w:lang w:eastAsia="zh-CN"/>
              </w:rPr>
              <w:t>请付款</w:t>
            </w:r>
            <w:r>
              <w:rPr>
                <w:rFonts w:hint="eastAsia" w:ascii="宋体" w:hAnsi="宋体" w:cs="宋体"/>
                <w:color w:val="auto"/>
                <w:sz w:val="21"/>
                <w:szCs w:val="21"/>
                <w:highlight w:val="none"/>
                <w:lang w:eastAsia="zh-CN"/>
              </w:rPr>
              <w:t>项。一旦发现成交供应商提供虚假发票，除须向采购人补开合法发票外，须向采购人支付发票票面金额一倍的违约金，且采购人有权终止合同， 因终止合同而产生的一切损失均由供应商承担。</w:t>
            </w:r>
          </w:p>
          <w:p w14:paraId="0915993F">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本项目合同使用货币币制如未作特别说明均为人民币。</w:t>
            </w:r>
          </w:p>
          <w:p w14:paraId="7955CE4F">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采购人开发票信息如下：</w:t>
            </w:r>
          </w:p>
          <w:p w14:paraId="7CB8C658">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采购人名称：</w:t>
            </w:r>
            <w:r>
              <w:rPr>
                <w:rFonts w:hint="eastAsia" w:ascii="宋体" w:hAnsi="宋体" w:cs="宋体"/>
                <w:color w:val="auto"/>
                <w:sz w:val="21"/>
                <w:szCs w:val="21"/>
                <w:highlight w:val="none"/>
                <w:u w:val="single"/>
                <w:lang w:eastAsia="zh-CN"/>
              </w:rPr>
              <w:t xml:space="preserve">广西壮族自治区人民检察院         </w:t>
            </w:r>
          </w:p>
          <w:p w14:paraId="17DEBD75">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统一社会信用代码：</w:t>
            </w:r>
            <w:r>
              <w:rPr>
                <w:rFonts w:hint="eastAsia" w:ascii="宋体" w:hAnsi="宋体" w:cs="宋体"/>
                <w:color w:val="auto"/>
                <w:sz w:val="21"/>
                <w:szCs w:val="21"/>
                <w:highlight w:val="none"/>
                <w:u w:val="single"/>
                <w:lang w:eastAsia="zh-CN"/>
              </w:rPr>
              <w:t xml:space="preserve">11450000007565485L         </w:t>
            </w:r>
          </w:p>
          <w:p w14:paraId="1FFB7FF3">
            <w:pPr>
              <w:pStyle w:val="109"/>
              <w:adjustRightInd w:val="0"/>
              <w:spacing w:after="0" w:line="360" w:lineRule="exact"/>
              <w:ind w:firstLine="420" w:firstLineChars="200"/>
              <w:contextualSpacing/>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地址：</w:t>
            </w:r>
            <w:r>
              <w:rPr>
                <w:rFonts w:hint="eastAsia" w:ascii="宋体" w:hAnsi="宋体" w:cs="宋体"/>
                <w:color w:val="auto"/>
                <w:sz w:val="21"/>
                <w:szCs w:val="21"/>
                <w:highlight w:val="none"/>
                <w:u w:val="single"/>
                <w:lang w:eastAsia="zh-CN"/>
              </w:rPr>
              <w:t xml:space="preserve">南宁市凤翔路3号                       </w:t>
            </w:r>
          </w:p>
          <w:p w14:paraId="540AFEDE">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电话：</w:t>
            </w:r>
            <w:r>
              <w:rPr>
                <w:rFonts w:hint="eastAsia" w:ascii="宋体" w:hAnsi="宋体" w:cs="宋体"/>
                <w:color w:val="auto"/>
                <w:sz w:val="21"/>
                <w:szCs w:val="21"/>
                <w:highlight w:val="none"/>
                <w:u w:val="single"/>
                <w:lang w:eastAsia="zh-CN"/>
              </w:rPr>
              <w:t xml:space="preserve">0771-5506029                           </w:t>
            </w:r>
          </w:p>
          <w:p w14:paraId="06D2C955">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p>
        </w:tc>
      </w:tr>
      <w:tr w14:paraId="3D60F5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B48D516">
            <w:pPr>
              <w:adjustRightInd w:val="0"/>
              <w:spacing w:line="360" w:lineRule="exact"/>
              <w:contextualSpacing/>
              <w:rPr>
                <w:rFonts w:ascii="宋体" w:hAnsi="宋体" w:cs="宋体"/>
                <w:color w:val="auto"/>
                <w:kern w:val="0"/>
                <w:szCs w:val="21"/>
                <w:highlight w:val="none"/>
                <w:lang w:bidi="ar"/>
              </w:rPr>
            </w:pPr>
            <w:r>
              <w:rPr>
                <w:rFonts w:hint="eastAsia" w:ascii="宋体" w:hAnsi="宋体" w:cs="宋体"/>
                <w:color w:val="auto"/>
                <w:szCs w:val="21"/>
                <w:highlight w:val="none"/>
              </w:rPr>
              <w:t>履约保证金</w:t>
            </w:r>
          </w:p>
        </w:tc>
        <w:tc>
          <w:tcPr>
            <w:tcW w:w="4405" w:type="pct"/>
            <w:gridSpan w:val="3"/>
            <w:noWrap w:val="0"/>
            <w:vAlign w:val="center"/>
          </w:tcPr>
          <w:p w14:paraId="5CDE5B6D">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1．履约保证金金额：按成交金额的5%交纳。符合政府采购促进中小企业发展政策的，按成交金额的2%交纳。</w:t>
            </w:r>
          </w:p>
          <w:p w14:paraId="332C751F">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递交方式：银行转账、支票、汇票、本票或者银行、保险机构出具的保函等非现金方式。如成交供应商采用保函形式缴纳履约保证金的，该保函需载明：（1）见索即付；（2）收到采购人法定代表人或授权委托代理人签字确认并加盖公章的书面索赔通知后即应不争辩、不挑剔、不可撤销地向采购人支付索赔款，直至最高担保金额。（如成交供应商提供的保函未载明前述内容的，甲方可直接拒收该保函，成交供应商应以银行转账或其他能切实发挥履约担保作用的方式提供履约保证金）。</w:t>
            </w:r>
          </w:p>
          <w:p w14:paraId="5993F3CC">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3.履约保证金缴纳期限：自中标通知书发出之日起 5个工作日内。</w:t>
            </w:r>
          </w:p>
          <w:p w14:paraId="46ABAABE">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履约保证金退付方式、时间及条件：履约保证金在项目履约完成（按合同约定履行完合同所有内容，包括但不限于承诺的免费保修）后无息退还。由成交供应商向履约保证金收取单位提供《广西壮族自治区政府采购项目合同验收书》（详见桂财采〔2015〕22号）等材料申请退还，保证金收取单位在收到申请退还材料经审查确认后10个工作日内办理退还手续（不计利息）。</w:t>
            </w:r>
          </w:p>
          <w:p w14:paraId="7990A1B3">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5.不予退还的情形：签订合同后，如成交供应商不按双方签订的合同规定履约，则其全部履约保证金不予退还，如存在违约行为则根据合同约定扣除违约处罚费用后再结算退还。</w:t>
            </w:r>
          </w:p>
          <w:p w14:paraId="6A8239F3">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6.其他要求：成交供应商在履约保证金申请退还时，若成交供应商的开户名称、开户银行、账号有变动的，请以书面形式同时通知保证金收取单位，否则由此产生的后果由成交供应商自负。</w:t>
            </w:r>
          </w:p>
          <w:p w14:paraId="3F563CC7">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7.履约保证金指定账户：</w:t>
            </w:r>
          </w:p>
          <w:p w14:paraId="65AF702F">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开户名称：</w:t>
            </w:r>
            <w:r>
              <w:rPr>
                <w:rFonts w:hint="eastAsia" w:ascii="宋体" w:hAnsi="宋体" w:cs="宋体"/>
                <w:color w:val="auto"/>
                <w:sz w:val="21"/>
                <w:szCs w:val="21"/>
                <w:highlight w:val="none"/>
                <w:u w:val="single"/>
                <w:lang w:eastAsia="zh-CN"/>
              </w:rPr>
              <w:t xml:space="preserve">广西壮族自治区人民检察院       </w:t>
            </w:r>
          </w:p>
          <w:p w14:paraId="6F781D1A">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开户银行：</w:t>
            </w:r>
            <w:r>
              <w:rPr>
                <w:rFonts w:hint="eastAsia" w:ascii="宋体" w:hAnsi="宋体" w:cs="宋体"/>
                <w:color w:val="auto"/>
                <w:sz w:val="21"/>
                <w:szCs w:val="21"/>
                <w:highlight w:val="none"/>
                <w:u w:val="single"/>
                <w:lang w:eastAsia="zh-CN"/>
              </w:rPr>
              <w:t xml:space="preserve">农行南宁市古城支行凤翔分理处   </w:t>
            </w:r>
          </w:p>
          <w:p w14:paraId="162108D9">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银行账号：</w:t>
            </w:r>
            <w:r>
              <w:rPr>
                <w:rFonts w:hint="eastAsia" w:ascii="宋体" w:hAnsi="宋体" w:cs="宋体"/>
                <w:color w:val="auto"/>
                <w:sz w:val="21"/>
                <w:szCs w:val="21"/>
                <w:highlight w:val="none"/>
                <w:u w:val="single"/>
                <w:lang w:eastAsia="zh-CN"/>
              </w:rPr>
              <w:t>20009201040000296</w:t>
            </w:r>
            <w:r>
              <w:rPr>
                <w:rFonts w:ascii="宋体" w:hAnsi="宋体" w:cs="宋体"/>
                <w:color w:val="auto"/>
                <w:sz w:val="21"/>
                <w:szCs w:val="21"/>
                <w:highlight w:val="none"/>
                <w:u w:val="single"/>
                <w:lang w:eastAsia="zh-CN"/>
              </w:rPr>
              <w:t xml:space="preserve">              </w:t>
            </w:r>
          </w:p>
          <w:p w14:paraId="1C4E13FB">
            <w:pPr>
              <w:pStyle w:val="109"/>
              <w:adjustRightInd w:val="0"/>
              <w:spacing w:after="0" w:line="360" w:lineRule="exact"/>
              <w:ind w:firstLine="422" w:firstLineChars="200"/>
              <w:contextualSpacing/>
              <w:jc w:val="both"/>
              <w:rPr>
                <w:rFonts w:hint="eastAsia" w:ascii="宋体" w:hAnsi="宋体" w:cs="宋体"/>
                <w:b/>
                <w:color w:val="auto"/>
                <w:sz w:val="21"/>
                <w:szCs w:val="21"/>
                <w:highlight w:val="none"/>
                <w:lang w:eastAsia="zh-CN"/>
              </w:rPr>
            </w:pPr>
            <w:r>
              <w:rPr>
                <w:rFonts w:hint="eastAsia" w:ascii="宋体" w:hAnsi="宋体" w:cs="宋体"/>
                <w:b/>
                <w:color w:val="auto"/>
                <w:sz w:val="21"/>
                <w:szCs w:val="21"/>
                <w:highlight w:val="none"/>
                <w:lang w:eastAsia="zh-CN"/>
              </w:rPr>
              <w:t>备注：</w:t>
            </w:r>
          </w:p>
          <w:p w14:paraId="68C7BA13">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p>
          <w:p w14:paraId="2B0DA991">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30512A50">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3.采用银行、保险机构出具的保函的，必须为无条件保函，否则不予签订合同。</w:t>
            </w:r>
          </w:p>
          <w:p w14:paraId="55BB2327">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bidi="ar"/>
              </w:rPr>
            </w:pPr>
            <w:r>
              <w:rPr>
                <w:rFonts w:hint="eastAsia" w:ascii="宋体" w:hAnsi="宋体" w:cs="宋体"/>
                <w:color w:val="auto"/>
                <w:sz w:val="21"/>
                <w:szCs w:val="21"/>
                <w:highlight w:val="none"/>
                <w:lang w:eastAsia="zh-CN"/>
              </w:rPr>
              <w:t>4.供应商为联合体的，由联合体任意一方按规定提交的履约保证金，视为有效履约保证金。</w:t>
            </w:r>
          </w:p>
        </w:tc>
      </w:tr>
      <w:tr w14:paraId="578100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502CEA5D">
            <w:pPr>
              <w:pStyle w:val="109"/>
              <w:adjustRightInd w:val="0"/>
              <w:spacing w:after="0" w:line="360" w:lineRule="exact"/>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包装运输及交付</w:t>
            </w:r>
          </w:p>
        </w:tc>
        <w:tc>
          <w:tcPr>
            <w:tcW w:w="4405" w:type="pct"/>
            <w:gridSpan w:val="3"/>
            <w:noWrap w:val="0"/>
            <w:vAlign w:val="top"/>
          </w:tcPr>
          <w:p w14:paraId="1ED43219">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1.成交供应商负责送货上门到达采购人指定地点。</w:t>
            </w:r>
          </w:p>
          <w:p w14:paraId="7FF2D303">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2.包装及运输由成交供应商负责。</w:t>
            </w:r>
          </w:p>
          <w:p w14:paraId="2BE6CBC8">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3.因成交供应商自身</w:t>
            </w:r>
            <w:r>
              <w:rPr>
                <w:rFonts w:ascii="宋体" w:hAnsi="宋体" w:cs="宋体"/>
                <w:color w:val="auto"/>
                <w:sz w:val="21"/>
                <w:szCs w:val="21"/>
                <w:highlight w:val="none"/>
                <w:lang w:eastAsia="zh-CN"/>
              </w:rPr>
              <w:t>原因造成</w:t>
            </w:r>
            <w:r>
              <w:rPr>
                <w:rFonts w:hint="eastAsia" w:ascii="宋体" w:hAnsi="宋体" w:cs="宋体"/>
                <w:color w:val="auto"/>
                <w:sz w:val="21"/>
                <w:szCs w:val="21"/>
                <w:highlight w:val="none"/>
                <w:lang w:eastAsia="zh-CN"/>
              </w:rPr>
              <w:t>逾期</w:t>
            </w:r>
            <w:r>
              <w:rPr>
                <w:rFonts w:ascii="宋体" w:hAnsi="宋体" w:cs="宋体"/>
                <w:color w:val="auto"/>
                <w:sz w:val="21"/>
                <w:szCs w:val="21"/>
                <w:highlight w:val="none"/>
                <w:lang w:eastAsia="zh-CN"/>
              </w:rPr>
              <w:t>3</w:t>
            </w:r>
            <w:r>
              <w:rPr>
                <w:rFonts w:hint="eastAsia" w:ascii="宋体" w:hAnsi="宋体" w:cs="宋体"/>
                <w:color w:val="auto"/>
                <w:sz w:val="21"/>
                <w:szCs w:val="21"/>
                <w:highlight w:val="none"/>
                <w:lang w:eastAsia="zh-CN"/>
              </w:rPr>
              <w:t>0日未交货的，采购人有权解除合同并依法向成交供应商追回合同已支付的全部预付款，没收项目全部的履约保证金，给采购人造成损失的，采购人依法进行追偿。</w:t>
            </w:r>
          </w:p>
          <w:p w14:paraId="77817F98">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成交供应商在签订合同前，必须按采购人要求，提供设备厂家或权威机构对投标产品的性能、功能参数或相关资质等有效证明（包括但不限于设备厂家宣传彩页、软硬件性能及功能截图、产品原厂官网截图、检测机构出具的检测报告、产品适配证明、国家强制认证、产品资质证书等），确认应标材料以应标一致性。如出现虚假材料应标情况（即设备厂家提供证明的参数低于应标参数指标的、或资质低于应标投标文件等），则除了同意由采购人报监管部门申请</w:t>
            </w:r>
            <w:r>
              <w:rPr>
                <w:rFonts w:ascii="宋体" w:hAnsi="宋体" w:cs="宋体"/>
                <w:color w:val="auto"/>
                <w:sz w:val="21"/>
                <w:szCs w:val="21"/>
                <w:highlight w:val="none"/>
                <w:lang w:eastAsia="zh-CN"/>
              </w:rPr>
              <w:t>废标</w:t>
            </w:r>
            <w:r>
              <w:rPr>
                <w:rFonts w:hint="eastAsia" w:ascii="宋体" w:hAnsi="宋体" w:cs="宋体"/>
                <w:color w:val="auto"/>
                <w:sz w:val="21"/>
                <w:szCs w:val="21"/>
                <w:highlight w:val="none"/>
                <w:lang w:eastAsia="zh-CN"/>
              </w:rPr>
              <w:t>处理，并追究所造成的损失外，还需无条件</w:t>
            </w:r>
            <w:r>
              <w:rPr>
                <w:rFonts w:ascii="宋体" w:hAnsi="宋体" w:cs="宋体"/>
                <w:color w:val="auto"/>
                <w:sz w:val="21"/>
                <w:szCs w:val="21"/>
                <w:highlight w:val="none"/>
                <w:lang w:eastAsia="zh-CN"/>
              </w:rPr>
              <w:t>地</w:t>
            </w:r>
            <w:r>
              <w:rPr>
                <w:rFonts w:hint="eastAsia" w:ascii="宋体" w:hAnsi="宋体" w:cs="宋体"/>
                <w:color w:val="auto"/>
                <w:sz w:val="21"/>
                <w:szCs w:val="21"/>
                <w:highlight w:val="none"/>
                <w:lang w:eastAsia="zh-CN"/>
              </w:rPr>
              <w:t>同意由采购人将</w:t>
            </w:r>
            <w:r>
              <w:rPr>
                <w:rFonts w:ascii="宋体" w:hAnsi="宋体" w:cs="宋体"/>
                <w:color w:val="auto"/>
                <w:sz w:val="21"/>
                <w:szCs w:val="21"/>
                <w:highlight w:val="none"/>
                <w:lang w:eastAsia="zh-CN"/>
              </w:rPr>
              <w:t>项目延续</w:t>
            </w:r>
            <w:r>
              <w:rPr>
                <w:rFonts w:hint="eastAsia" w:ascii="宋体" w:hAnsi="宋体" w:cs="宋体"/>
                <w:color w:val="auto"/>
                <w:sz w:val="21"/>
                <w:szCs w:val="21"/>
                <w:highlight w:val="none"/>
                <w:lang w:eastAsia="zh-CN"/>
              </w:rPr>
              <w:t>给下一名次</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推荐成交供应商成交实施。</w:t>
            </w:r>
          </w:p>
          <w:p w14:paraId="7A48A11B">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成交供应商提供不符合采购需求和本合同规定的货物，采购人有权拒绝接受并要求成交供应商在5日内负责更换或补充符合采购需求和本合同规定的货物。如成交供应商未能在约定期限内完成整改，采购人可单方面解除合同，采购人不再支付合同剩余款项并依法向成交供应商追回合同已支付的全部预付款，并要求成交供应商支付合同总值10%的违约金，违约金不足以弥补采购人损失的，成交供应商还应负责赔偿。</w:t>
            </w:r>
          </w:p>
        </w:tc>
      </w:tr>
      <w:tr w14:paraId="2616AC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4117F32B">
            <w:pPr>
              <w:pStyle w:val="109"/>
              <w:adjustRightInd w:val="0"/>
              <w:spacing w:after="0" w:line="360" w:lineRule="exact"/>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售后服务及保险等</w:t>
            </w:r>
          </w:p>
        </w:tc>
        <w:tc>
          <w:tcPr>
            <w:tcW w:w="4405" w:type="pct"/>
            <w:gridSpan w:val="3"/>
            <w:noWrap w:val="0"/>
            <w:vAlign w:val="top"/>
          </w:tcPr>
          <w:p w14:paraId="55740345">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1.项目整体质量保证期（简称“质保期”）最少为3年（货物单项有其质保期规定的，从其规定），质保期内成品软件均负责升级至最新版本。</w:t>
            </w:r>
          </w:p>
          <w:p w14:paraId="61336BCF">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质保期第1年（共计12个月</w:t>
            </w:r>
            <w:r>
              <w:rPr>
                <w:rFonts w:ascii="宋体" w:hAnsi="宋体" w:cs="宋体"/>
                <w:color w:val="auto"/>
                <w:sz w:val="21"/>
                <w:szCs w:val="21"/>
                <w:highlight w:val="none"/>
                <w:lang w:eastAsia="zh-CN"/>
              </w:rPr>
              <w:t>）为</w:t>
            </w:r>
            <w:r>
              <w:rPr>
                <w:rFonts w:hint="eastAsia" w:ascii="宋体" w:hAnsi="宋体" w:cs="宋体"/>
                <w:color w:val="auto"/>
                <w:sz w:val="21"/>
                <w:szCs w:val="21"/>
                <w:highlight w:val="none"/>
                <w:lang w:eastAsia="zh-CN"/>
              </w:rPr>
              <w:t>软件定制内容（包括</w:t>
            </w:r>
            <w:r>
              <w:rPr>
                <w:rFonts w:ascii="宋体" w:hAnsi="宋体" w:cs="宋体"/>
                <w:color w:val="auto"/>
                <w:sz w:val="21"/>
                <w:szCs w:val="21"/>
                <w:highlight w:val="none"/>
                <w:lang w:eastAsia="zh-CN"/>
              </w:rPr>
              <w:t>软件二次</w:t>
            </w:r>
            <w:r>
              <w:rPr>
                <w:rFonts w:hint="eastAsia" w:ascii="宋体" w:hAnsi="宋体" w:cs="宋体"/>
                <w:color w:val="auto"/>
                <w:sz w:val="21"/>
                <w:szCs w:val="21"/>
                <w:highlight w:val="none"/>
                <w:lang w:eastAsia="zh-CN"/>
              </w:rPr>
              <w:t>开发的</w:t>
            </w:r>
            <w:r>
              <w:rPr>
                <w:rFonts w:ascii="宋体" w:hAnsi="宋体" w:cs="宋体"/>
                <w:color w:val="auto"/>
                <w:sz w:val="21"/>
                <w:szCs w:val="21"/>
                <w:highlight w:val="none"/>
                <w:lang w:eastAsia="zh-CN"/>
              </w:rPr>
              <w:t>功能、</w:t>
            </w:r>
            <w:r>
              <w:rPr>
                <w:rFonts w:hint="eastAsia" w:ascii="宋体" w:hAnsi="宋体" w:cs="宋体"/>
                <w:color w:val="auto"/>
                <w:sz w:val="21"/>
                <w:szCs w:val="21"/>
                <w:highlight w:val="none"/>
                <w:lang w:eastAsia="zh-CN"/>
              </w:rPr>
              <w:t>定制UI</w:t>
            </w:r>
            <w:r>
              <w:rPr>
                <w:rFonts w:ascii="宋体" w:hAnsi="宋体" w:cs="宋体"/>
                <w:color w:val="auto"/>
                <w:sz w:val="21"/>
                <w:szCs w:val="21"/>
                <w:highlight w:val="none"/>
                <w:lang w:eastAsia="zh-CN"/>
              </w:rPr>
              <w:t>界面、</w:t>
            </w:r>
            <w:r>
              <w:rPr>
                <w:rFonts w:hint="eastAsia" w:ascii="宋体" w:hAnsi="宋体" w:cs="宋体"/>
                <w:color w:val="auto"/>
                <w:sz w:val="21"/>
                <w:szCs w:val="21"/>
                <w:highlight w:val="none"/>
                <w:lang w:eastAsia="zh-CN"/>
              </w:rPr>
              <w:t>软件配置</w:t>
            </w:r>
            <w:r>
              <w:rPr>
                <w:rFonts w:ascii="宋体" w:hAnsi="宋体" w:cs="宋体"/>
                <w:color w:val="auto"/>
                <w:sz w:val="21"/>
                <w:szCs w:val="21"/>
                <w:highlight w:val="none"/>
                <w:lang w:eastAsia="zh-CN"/>
              </w:rPr>
              <w:t>信息</w:t>
            </w:r>
            <w:r>
              <w:rPr>
                <w:rFonts w:hint="eastAsia" w:ascii="宋体" w:hAnsi="宋体" w:cs="宋体"/>
                <w:color w:val="auto"/>
                <w:sz w:val="21"/>
                <w:szCs w:val="21"/>
                <w:highlight w:val="none"/>
                <w:lang w:eastAsia="zh-CN"/>
              </w:rPr>
              <w:t>、软件</w:t>
            </w:r>
            <w:r>
              <w:rPr>
                <w:rFonts w:ascii="宋体" w:hAnsi="宋体" w:cs="宋体"/>
                <w:color w:val="auto"/>
                <w:sz w:val="21"/>
                <w:szCs w:val="21"/>
                <w:highlight w:val="none"/>
                <w:lang w:eastAsia="zh-CN"/>
              </w:rPr>
              <w:t>完善</w:t>
            </w:r>
            <w:r>
              <w:rPr>
                <w:rFonts w:hint="eastAsia" w:ascii="宋体" w:hAnsi="宋体" w:cs="宋体"/>
                <w:color w:val="auto"/>
                <w:sz w:val="21"/>
                <w:szCs w:val="21"/>
                <w:highlight w:val="none"/>
                <w:lang w:eastAsia="zh-CN"/>
              </w:rPr>
              <w:t>调优等</w:t>
            </w:r>
            <w:r>
              <w:rPr>
                <w:rFonts w:ascii="宋体" w:hAnsi="宋体" w:cs="宋体"/>
                <w:color w:val="auto"/>
                <w:sz w:val="21"/>
                <w:szCs w:val="21"/>
                <w:highlight w:val="none"/>
                <w:lang w:eastAsia="zh-CN"/>
              </w:rPr>
              <w:t>内容）适应期</w:t>
            </w:r>
            <w:r>
              <w:rPr>
                <w:rFonts w:hint="eastAsia" w:ascii="宋体" w:hAnsi="宋体" w:cs="宋体"/>
                <w:color w:val="auto"/>
                <w:sz w:val="21"/>
                <w:szCs w:val="21"/>
                <w:highlight w:val="none"/>
                <w:lang w:eastAsia="zh-CN"/>
              </w:rPr>
              <w:t>，</w:t>
            </w:r>
            <w:r>
              <w:rPr>
                <w:rFonts w:ascii="宋体" w:hAnsi="宋体" w:cs="宋体"/>
                <w:color w:val="auto"/>
                <w:sz w:val="21"/>
                <w:szCs w:val="21"/>
                <w:highlight w:val="none"/>
                <w:lang w:eastAsia="zh-CN"/>
              </w:rPr>
              <w:t>适应</w:t>
            </w:r>
            <w:r>
              <w:rPr>
                <w:rFonts w:hint="eastAsia" w:ascii="宋体" w:hAnsi="宋体" w:cs="宋体"/>
                <w:color w:val="auto"/>
                <w:sz w:val="21"/>
                <w:szCs w:val="21"/>
                <w:highlight w:val="none"/>
                <w:lang w:eastAsia="zh-CN"/>
              </w:rPr>
              <w:t>期间成交供应商应按采购人</w:t>
            </w:r>
            <w:r>
              <w:rPr>
                <w:rFonts w:ascii="宋体" w:hAnsi="宋体" w:cs="宋体"/>
                <w:color w:val="auto"/>
                <w:sz w:val="21"/>
                <w:szCs w:val="21"/>
                <w:highlight w:val="none"/>
                <w:lang w:eastAsia="zh-CN"/>
              </w:rPr>
              <w:t>要求</w:t>
            </w:r>
            <w:r>
              <w:rPr>
                <w:rFonts w:hint="eastAsia" w:ascii="宋体" w:hAnsi="宋体" w:cs="宋体"/>
                <w:color w:val="auto"/>
                <w:sz w:val="21"/>
                <w:szCs w:val="21"/>
                <w:highlight w:val="none"/>
                <w:lang w:eastAsia="zh-CN"/>
              </w:rPr>
              <w:t>免费提供升级和完善定制服务，承诺全力配合采购人根据工作实际，及时对使用过程中提出的合理意见和建议进行软件定制修订，不能另行收费。</w:t>
            </w:r>
          </w:p>
          <w:p w14:paraId="061671E4">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本项目采购的信息系统必须符合等级保护2.0标准的三级安全要求，以及商用密码应用三级评估标准要求，确保系统安全可靠。在项目质保期内，成交供应商要配合采购人做好信息系统等级保护测评及商用密码应用安全评估等工作，并根据测评结果组织产品厂商配合做好本项目系统安全漏洞及安全隐患的整改工作，不能另行收费。</w:t>
            </w:r>
          </w:p>
          <w:p w14:paraId="581A3174">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4.质保期内，本项目采购</w:t>
            </w:r>
            <w:r>
              <w:rPr>
                <w:rFonts w:ascii="宋体" w:hAnsi="宋体" w:cs="宋体"/>
                <w:color w:val="auto"/>
                <w:sz w:val="21"/>
                <w:szCs w:val="21"/>
                <w:highlight w:val="none"/>
                <w:lang w:eastAsia="zh-CN"/>
              </w:rPr>
              <w:t>的软件应</w:t>
            </w:r>
            <w:r>
              <w:rPr>
                <w:rFonts w:hint="eastAsia" w:ascii="宋体" w:hAnsi="宋体" w:cs="宋体"/>
                <w:color w:val="auto"/>
                <w:sz w:val="21"/>
                <w:szCs w:val="21"/>
                <w:highlight w:val="none"/>
                <w:lang w:eastAsia="zh-CN"/>
              </w:rPr>
              <w:t>根据用户要求提供≤3次</w:t>
            </w:r>
            <w:r>
              <w:rPr>
                <w:rFonts w:ascii="宋体" w:hAnsi="宋体" w:cs="宋体"/>
                <w:color w:val="auto"/>
                <w:sz w:val="21"/>
                <w:szCs w:val="21"/>
                <w:highlight w:val="none"/>
                <w:lang w:eastAsia="zh-CN"/>
              </w:rPr>
              <w:t>的</w:t>
            </w:r>
            <w:r>
              <w:rPr>
                <w:rFonts w:hint="eastAsia" w:ascii="宋体" w:hAnsi="宋体" w:cs="宋体"/>
                <w:color w:val="auto"/>
                <w:sz w:val="21"/>
                <w:szCs w:val="21"/>
                <w:highlight w:val="none"/>
                <w:lang w:eastAsia="zh-CN"/>
              </w:rPr>
              <w:t>软件适配调优</w:t>
            </w:r>
            <w:r>
              <w:rPr>
                <w:rFonts w:ascii="宋体" w:hAnsi="宋体" w:cs="宋体"/>
                <w:color w:val="auto"/>
                <w:sz w:val="21"/>
                <w:szCs w:val="21"/>
                <w:highlight w:val="none"/>
                <w:lang w:eastAsia="zh-CN"/>
              </w:rPr>
              <w:t>服务，确保软件能在用户</w:t>
            </w:r>
            <w:r>
              <w:rPr>
                <w:rFonts w:hint="eastAsia" w:ascii="宋体" w:hAnsi="宋体" w:cs="宋体"/>
                <w:color w:val="auto"/>
                <w:sz w:val="21"/>
                <w:szCs w:val="21"/>
                <w:highlight w:val="none"/>
                <w:lang w:eastAsia="zh-CN"/>
              </w:rPr>
              <w:t>终端</w:t>
            </w:r>
            <w:r>
              <w:rPr>
                <w:rFonts w:ascii="宋体" w:hAnsi="宋体" w:cs="宋体"/>
                <w:color w:val="auto"/>
                <w:sz w:val="21"/>
                <w:szCs w:val="21"/>
                <w:highlight w:val="none"/>
                <w:lang w:eastAsia="zh-CN"/>
              </w:rPr>
              <w:t>及服务器</w:t>
            </w:r>
            <w:r>
              <w:rPr>
                <w:rFonts w:hint="eastAsia" w:ascii="宋体" w:hAnsi="宋体" w:cs="宋体"/>
                <w:color w:val="auto"/>
                <w:sz w:val="21"/>
                <w:szCs w:val="21"/>
                <w:highlight w:val="none"/>
                <w:lang w:eastAsia="zh-CN"/>
              </w:rPr>
              <w:t>环境中顺利</w:t>
            </w:r>
            <w:r>
              <w:rPr>
                <w:rFonts w:ascii="宋体" w:hAnsi="宋体" w:cs="宋体"/>
                <w:color w:val="auto"/>
                <w:sz w:val="21"/>
                <w:szCs w:val="21"/>
                <w:highlight w:val="none"/>
                <w:lang w:eastAsia="zh-CN"/>
              </w:rPr>
              <w:t>运行</w:t>
            </w:r>
            <w:r>
              <w:rPr>
                <w:rFonts w:hint="eastAsia" w:ascii="宋体" w:hAnsi="宋体" w:cs="宋体"/>
                <w:color w:val="auto"/>
                <w:sz w:val="21"/>
                <w:szCs w:val="21"/>
                <w:highlight w:val="none"/>
                <w:lang w:eastAsia="zh-CN"/>
              </w:rPr>
              <w:t>。如设备或零部件因非人为因素或</w:t>
            </w:r>
            <w:r>
              <w:rPr>
                <w:rFonts w:ascii="宋体" w:hAnsi="宋体" w:cs="宋体"/>
                <w:color w:val="auto"/>
                <w:sz w:val="21"/>
                <w:szCs w:val="21"/>
                <w:highlight w:val="none"/>
                <w:lang w:eastAsia="zh-CN"/>
              </w:rPr>
              <w:t>成品软件重大缺陷（</w:t>
            </w:r>
            <w:r>
              <w:rPr>
                <w:rFonts w:hint="eastAsia" w:ascii="宋体" w:hAnsi="宋体" w:cs="宋体"/>
                <w:color w:val="auto"/>
                <w:sz w:val="21"/>
                <w:szCs w:val="21"/>
                <w:highlight w:val="none"/>
                <w:lang w:eastAsia="zh-CN"/>
              </w:rPr>
              <w:t>BUG</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出现故障而造成短期停用时，则质保期和免费维修期应当顺延。如停用时间累积超过10天则质保期重新计算。</w:t>
            </w:r>
          </w:p>
          <w:p w14:paraId="64C36E84">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5.成交供应商在售后服务期间提供7×24小时的电话服务保障和4小时达到现场服务保障，接到采购人的服务通知不能</w:t>
            </w:r>
            <w:r>
              <w:rPr>
                <w:rFonts w:ascii="宋体" w:hAnsi="宋体" w:cs="宋体"/>
                <w:color w:val="auto"/>
                <w:sz w:val="21"/>
                <w:szCs w:val="21"/>
                <w:highlight w:val="none"/>
                <w:lang w:eastAsia="zh-CN"/>
              </w:rPr>
              <w:t>推诿扯皮</w:t>
            </w:r>
            <w:r>
              <w:rPr>
                <w:rFonts w:hint="eastAsia" w:ascii="宋体" w:hAnsi="宋体" w:cs="宋体"/>
                <w:color w:val="auto"/>
                <w:sz w:val="21"/>
                <w:szCs w:val="21"/>
                <w:highlight w:val="none"/>
                <w:lang w:eastAsia="zh-CN"/>
              </w:rPr>
              <w:t>，应在30分钟内做出支持响应，需要到达现场处理的，需在4小时内派工程师到现场进行故障处置，</w:t>
            </w:r>
            <w:r>
              <w:rPr>
                <w:rFonts w:ascii="宋体" w:hAnsi="宋体" w:cs="宋体"/>
                <w:color w:val="auto"/>
                <w:sz w:val="21"/>
                <w:szCs w:val="21"/>
                <w:highlight w:val="none"/>
                <w:lang w:eastAsia="zh-CN"/>
              </w:rPr>
              <w:t>12</w:t>
            </w:r>
            <w:r>
              <w:rPr>
                <w:rFonts w:hint="eastAsia" w:ascii="宋体" w:hAnsi="宋体" w:cs="宋体"/>
                <w:color w:val="auto"/>
                <w:sz w:val="21"/>
                <w:szCs w:val="21"/>
                <w:highlight w:val="none"/>
                <w:lang w:eastAsia="zh-CN"/>
              </w:rPr>
              <w:t>小时内处理完毕。若在</w:t>
            </w:r>
            <w:r>
              <w:rPr>
                <w:rFonts w:ascii="宋体" w:hAnsi="宋体" w:cs="宋体"/>
                <w:color w:val="auto"/>
                <w:sz w:val="21"/>
                <w:szCs w:val="21"/>
                <w:highlight w:val="none"/>
                <w:lang w:eastAsia="zh-CN"/>
              </w:rPr>
              <w:t>12</w:t>
            </w:r>
            <w:r>
              <w:rPr>
                <w:rFonts w:hint="eastAsia" w:ascii="宋体" w:hAnsi="宋体" w:cs="宋体"/>
                <w:color w:val="auto"/>
                <w:sz w:val="21"/>
                <w:szCs w:val="21"/>
                <w:highlight w:val="none"/>
                <w:lang w:eastAsia="zh-CN"/>
              </w:rPr>
              <w:t>小时内仍未能有效解决，应与用户商定并提供备选应急方案，再启动处置工作。如设备或零</w:t>
            </w:r>
            <w:r>
              <w:rPr>
                <w:rFonts w:ascii="宋体" w:hAnsi="宋体" w:cs="宋体"/>
                <w:color w:val="auto"/>
                <w:sz w:val="21"/>
                <w:szCs w:val="21"/>
                <w:highlight w:val="none"/>
                <w:lang w:eastAsia="zh-CN"/>
              </w:rPr>
              <w:t>配件需下架维修处理的，</w:t>
            </w:r>
            <w:r>
              <w:rPr>
                <w:rFonts w:hint="eastAsia" w:ascii="宋体" w:hAnsi="宋体" w:cs="宋体"/>
                <w:color w:val="auto"/>
                <w:sz w:val="21"/>
                <w:szCs w:val="21"/>
                <w:highlight w:val="none"/>
                <w:lang w:eastAsia="zh-CN"/>
              </w:rPr>
              <w:t>成交供应商须在24小时</w:t>
            </w:r>
            <w:r>
              <w:rPr>
                <w:rFonts w:ascii="宋体" w:hAnsi="宋体" w:cs="宋体"/>
                <w:color w:val="auto"/>
                <w:sz w:val="21"/>
                <w:szCs w:val="21"/>
                <w:highlight w:val="none"/>
                <w:lang w:eastAsia="zh-CN"/>
              </w:rPr>
              <w:t>内</w:t>
            </w:r>
            <w:r>
              <w:rPr>
                <w:rFonts w:hint="eastAsia" w:ascii="宋体" w:hAnsi="宋体" w:cs="宋体"/>
                <w:color w:val="auto"/>
                <w:sz w:val="21"/>
                <w:szCs w:val="21"/>
                <w:highlight w:val="none"/>
                <w:lang w:eastAsia="zh-CN"/>
              </w:rPr>
              <w:t>负责免费提供同档次的设备或</w:t>
            </w:r>
            <w:r>
              <w:rPr>
                <w:rFonts w:ascii="宋体" w:hAnsi="宋体" w:cs="宋体"/>
                <w:color w:val="auto"/>
                <w:sz w:val="21"/>
                <w:szCs w:val="21"/>
                <w:highlight w:val="none"/>
                <w:lang w:eastAsia="zh-CN"/>
              </w:rPr>
              <w:t>零配件</w:t>
            </w:r>
            <w:r>
              <w:rPr>
                <w:rFonts w:hint="eastAsia" w:ascii="宋体" w:hAnsi="宋体" w:cs="宋体"/>
                <w:color w:val="auto"/>
                <w:sz w:val="21"/>
                <w:szCs w:val="21"/>
                <w:highlight w:val="none"/>
                <w:lang w:eastAsia="zh-CN"/>
              </w:rPr>
              <w:t>给采购人临时使用，再</w:t>
            </w:r>
            <w:r>
              <w:rPr>
                <w:rFonts w:ascii="宋体" w:hAnsi="宋体" w:cs="宋体"/>
                <w:color w:val="auto"/>
                <w:sz w:val="21"/>
                <w:szCs w:val="21"/>
                <w:highlight w:val="none"/>
                <w:lang w:eastAsia="zh-CN"/>
              </w:rPr>
              <w:t>安排</w:t>
            </w:r>
            <w:r>
              <w:rPr>
                <w:rFonts w:hint="eastAsia" w:ascii="宋体" w:hAnsi="宋体" w:cs="宋体"/>
                <w:color w:val="auto"/>
                <w:sz w:val="21"/>
                <w:szCs w:val="21"/>
                <w:highlight w:val="none"/>
                <w:lang w:eastAsia="zh-CN"/>
              </w:rPr>
              <w:t>维修处理。</w:t>
            </w:r>
          </w:p>
          <w:p w14:paraId="3BB888AC">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6.若厂家提供更优质的服务，则按厂家的标准执行。保修期外终身维护，且维修只收取零配件成本费用。如厂家标准保修期限不满足竞争性谈判文件要求的， 成交供应商须承诺保修期限不低于竞争性谈判文件的要求（易耗易损设备除外）。保修期由甲乙双方代表在验收报告上签字之日起计算。</w:t>
            </w:r>
          </w:p>
          <w:p w14:paraId="54A76E2C">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7.保修期内，所有设备保修服务方式均为由设备生产厂家或厂家指派专业人员上门保修，提供定期上门技术服务，24 小时不间断技术支持，由此产生的一切费用均由成交供应商承担，成交供应商有责任为采购人提供长期维修服务和技术支持。</w:t>
            </w:r>
          </w:p>
          <w:p w14:paraId="5841BA87">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8.为保证设备的正常使用和日常维护，供货商需对采购人相关人员进行技术培训。成交供应商除了免费培训用户操作人员外，在项目</w:t>
            </w:r>
            <w:r>
              <w:rPr>
                <w:rFonts w:ascii="宋体" w:hAnsi="宋体" w:cs="宋体"/>
                <w:color w:val="auto"/>
                <w:sz w:val="21"/>
                <w:szCs w:val="21"/>
                <w:highlight w:val="none"/>
                <w:lang w:eastAsia="zh-CN"/>
              </w:rPr>
              <w:t>实施</w:t>
            </w:r>
            <w:r>
              <w:rPr>
                <w:rFonts w:hint="eastAsia" w:ascii="宋体" w:hAnsi="宋体" w:cs="宋体"/>
                <w:color w:val="auto"/>
                <w:sz w:val="21"/>
                <w:szCs w:val="21"/>
                <w:highlight w:val="none"/>
                <w:lang w:eastAsia="zh-CN"/>
              </w:rPr>
              <w:t>软硬件安装调试过程中</w:t>
            </w:r>
            <w:r>
              <w:rPr>
                <w:rFonts w:ascii="宋体" w:hAnsi="宋体" w:cs="宋体"/>
                <w:color w:val="auto"/>
                <w:sz w:val="21"/>
                <w:szCs w:val="21"/>
                <w:highlight w:val="none"/>
                <w:lang w:eastAsia="zh-CN"/>
              </w:rPr>
              <w:t>，还应</w:t>
            </w:r>
            <w:r>
              <w:rPr>
                <w:rFonts w:hint="eastAsia" w:ascii="宋体" w:hAnsi="宋体" w:cs="宋体"/>
                <w:color w:val="auto"/>
                <w:sz w:val="21"/>
                <w:szCs w:val="21"/>
                <w:highlight w:val="none"/>
                <w:lang w:eastAsia="zh-CN"/>
              </w:rPr>
              <w:t>当让用户操作人员参与并进行现场培训，使相关人员了解设备</w:t>
            </w:r>
            <w:r>
              <w:rPr>
                <w:rFonts w:ascii="宋体" w:hAnsi="宋体" w:cs="宋体"/>
                <w:color w:val="auto"/>
                <w:sz w:val="21"/>
                <w:szCs w:val="21"/>
                <w:highlight w:val="none"/>
                <w:lang w:eastAsia="zh-CN"/>
              </w:rPr>
              <w:t>安装位置、</w:t>
            </w:r>
            <w:r>
              <w:rPr>
                <w:rFonts w:hint="eastAsia" w:ascii="宋体" w:hAnsi="宋体" w:cs="宋体"/>
                <w:color w:val="auto"/>
                <w:sz w:val="21"/>
                <w:szCs w:val="21"/>
                <w:highlight w:val="none"/>
                <w:lang w:eastAsia="zh-CN"/>
              </w:rPr>
              <w:t>线路路由</w:t>
            </w:r>
            <w:r>
              <w:rPr>
                <w:rFonts w:ascii="宋体" w:hAnsi="宋体" w:cs="宋体"/>
                <w:color w:val="auto"/>
                <w:sz w:val="21"/>
                <w:szCs w:val="21"/>
                <w:highlight w:val="none"/>
                <w:lang w:eastAsia="zh-CN"/>
              </w:rPr>
              <w:t>等</w:t>
            </w:r>
            <w:r>
              <w:rPr>
                <w:rFonts w:hint="eastAsia" w:ascii="宋体" w:hAnsi="宋体" w:cs="宋体"/>
                <w:color w:val="auto"/>
                <w:sz w:val="21"/>
                <w:szCs w:val="21"/>
                <w:highlight w:val="none"/>
                <w:lang w:eastAsia="zh-CN"/>
              </w:rPr>
              <w:t>情况，熟练掌握设备结构、工作原理及设备操作，保证用户操作人员能进行日常运行维护工作，并具备设备及相关系统运维管理、一般故障排除、疑难故障分析报告等能力。</w:t>
            </w:r>
          </w:p>
          <w:p w14:paraId="0E76EF1A">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9.成交供应商须为采购人</w:t>
            </w:r>
            <w:r>
              <w:rPr>
                <w:rFonts w:ascii="宋体" w:hAnsi="宋体" w:cs="宋体"/>
                <w:color w:val="auto"/>
                <w:sz w:val="21"/>
                <w:szCs w:val="21"/>
                <w:highlight w:val="none"/>
                <w:lang w:eastAsia="zh-CN"/>
              </w:rPr>
              <w:t>提供</w:t>
            </w:r>
            <w:r>
              <w:rPr>
                <w:rFonts w:hint="eastAsia" w:ascii="宋体" w:hAnsi="宋体" w:cs="宋体"/>
                <w:color w:val="auto"/>
                <w:sz w:val="21"/>
                <w:szCs w:val="21"/>
                <w:highlight w:val="none"/>
                <w:lang w:eastAsia="zh-CN"/>
              </w:rPr>
              <w:t>主要设备生产商编写的中（英）文版的性能参数描述文件、操作使用</w:t>
            </w:r>
            <w:r>
              <w:rPr>
                <w:rFonts w:ascii="宋体" w:hAnsi="宋体" w:cs="宋体"/>
                <w:color w:val="auto"/>
                <w:sz w:val="21"/>
                <w:szCs w:val="21"/>
                <w:highlight w:val="none"/>
                <w:lang w:eastAsia="zh-CN"/>
              </w:rPr>
              <w:t>手册、</w:t>
            </w:r>
            <w:r>
              <w:rPr>
                <w:rFonts w:hint="eastAsia" w:ascii="宋体" w:hAnsi="宋体" w:cs="宋体"/>
                <w:color w:val="auto"/>
                <w:sz w:val="21"/>
                <w:szCs w:val="21"/>
                <w:highlight w:val="none"/>
                <w:lang w:eastAsia="zh-CN"/>
              </w:rPr>
              <w:t>应急维护手册、安装管理手册等，</w:t>
            </w:r>
            <w:r>
              <w:rPr>
                <w:rFonts w:ascii="宋体" w:hAnsi="宋体" w:cs="宋体"/>
                <w:color w:val="auto"/>
                <w:sz w:val="21"/>
                <w:szCs w:val="21"/>
                <w:highlight w:val="none"/>
                <w:lang w:eastAsia="zh-CN"/>
              </w:rPr>
              <w:t>并</w:t>
            </w:r>
            <w:r>
              <w:rPr>
                <w:rFonts w:hint="eastAsia" w:ascii="宋体" w:hAnsi="宋体" w:cs="宋体"/>
                <w:color w:val="auto"/>
                <w:sz w:val="21"/>
                <w:szCs w:val="21"/>
                <w:highlight w:val="none"/>
                <w:lang w:eastAsia="zh-CN"/>
              </w:rPr>
              <w:t>免费提供专业</w:t>
            </w:r>
            <w:r>
              <w:rPr>
                <w:rFonts w:ascii="宋体" w:hAnsi="宋体" w:cs="宋体"/>
                <w:color w:val="auto"/>
                <w:sz w:val="21"/>
                <w:szCs w:val="21"/>
                <w:highlight w:val="none"/>
                <w:lang w:eastAsia="zh-CN"/>
              </w:rPr>
              <w:t>师资进行</w:t>
            </w:r>
            <w:r>
              <w:rPr>
                <w:rFonts w:hint="eastAsia" w:ascii="宋体" w:hAnsi="宋体" w:cs="宋体"/>
                <w:color w:val="auto"/>
                <w:sz w:val="21"/>
                <w:szCs w:val="21"/>
                <w:highlight w:val="none"/>
                <w:lang w:eastAsia="zh-CN"/>
              </w:rPr>
              <w:t>相关培训，直至采购人熟练操作所采购的设备为止。</w:t>
            </w:r>
          </w:p>
          <w:p w14:paraId="09FECC54">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10.质保期内成交供应商应按竞标时响应的需求参数、售后服务及合同条款等约定履行义务，如在质保期内成交供应商收到采购的售后服务申请后未按要求履行售后服务的，采购人有权按每次1000元的金额扣除履约保证金。因成交供应商未提供售后服务，采购人有权委托第三方进行维护排除故障， 由此产生的费用，采购人有权从履约保证金中扣除。其他违约责任在合同中约定。</w:t>
            </w:r>
          </w:p>
        </w:tc>
      </w:tr>
      <w:tr w14:paraId="7FFAF4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1E18E779">
            <w:pPr>
              <w:adjustRightInd w:val="0"/>
              <w:spacing w:line="360" w:lineRule="exact"/>
              <w:contextualSpacing/>
              <w:rPr>
                <w:rFonts w:ascii="宋体" w:hAnsi="宋体" w:cs="宋体"/>
                <w:color w:val="auto"/>
                <w:kern w:val="0"/>
                <w:szCs w:val="21"/>
                <w:highlight w:val="none"/>
                <w:lang w:bidi="ar"/>
              </w:rPr>
            </w:pPr>
            <w:r>
              <w:rPr>
                <w:rFonts w:hint="eastAsia" w:ascii="宋体" w:hAnsi="宋体" w:cs="宋体"/>
                <w:color w:val="auto"/>
                <w:szCs w:val="21"/>
                <w:highlight w:val="none"/>
              </w:rPr>
              <w:t>验收标准</w:t>
            </w:r>
          </w:p>
        </w:tc>
        <w:tc>
          <w:tcPr>
            <w:tcW w:w="4405" w:type="pct"/>
            <w:gridSpan w:val="3"/>
            <w:noWrap w:val="0"/>
            <w:vAlign w:val="center"/>
          </w:tcPr>
          <w:p w14:paraId="4D3BC523">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ascii="宋体" w:hAnsi="宋体" w:cs="宋体"/>
                <w:color w:val="auto"/>
                <w:sz w:val="21"/>
                <w:szCs w:val="21"/>
                <w:highlight w:val="none"/>
                <w:lang w:eastAsia="zh-CN"/>
              </w:rPr>
              <w:t>1</w:t>
            </w:r>
            <w:r>
              <w:rPr>
                <w:rFonts w:hint="eastAsia" w:ascii="宋体" w:hAnsi="宋体" w:cs="宋体"/>
                <w:color w:val="auto"/>
                <w:sz w:val="21"/>
                <w:szCs w:val="21"/>
                <w:highlight w:val="none"/>
                <w:lang w:eastAsia="zh-CN"/>
              </w:rPr>
              <w:t>.成交供应商所</w:t>
            </w:r>
            <w:r>
              <w:rPr>
                <w:rFonts w:ascii="宋体" w:hAnsi="宋体" w:cs="宋体"/>
                <w:color w:val="auto"/>
                <w:sz w:val="21"/>
                <w:szCs w:val="21"/>
                <w:highlight w:val="none"/>
                <w:lang w:eastAsia="zh-CN"/>
              </w:rPr>
              <w:t>提供的</w:t>
            </w:r>
            <w:r>
              <w:rPr>
                <w:rFonts w:hint="eastAsia" w:ascii="宋体" w:hAnsi="宋体" w:cs="宋体"/>
                <w:color w:val="auto"/>
                <w:sz w:val="21"/>
                <w:szCs w:val="21"/>
                <w:highlight w:val="none"/>
                <w:lang w:eastAsia="zh-CN"/>
              </w:rPr>
              <w:t>货物（线材、设备及相关配件等）必须是产品厂家合法销售渠道的全新原装合格全新正品，产品符合国家行业有关标准及安全规定，并按厂家承诺实行“三包”服务。产品交验时，成交供应商必须提供设备厂家给本项目或采购人供货的详细清单证明和售后服务保证书的原件，否则按提供不符合公告规定的、采购文件、投标文件承诺的或本合同规定的货物处理，采购人有权拒绝接受，不予以验收。</w:t>
            </w:r>
          </w:p>
          <w:p w14:paraId="7DBB35BC">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2.成交供应商应将所提供货物的装箱清单、用户手册、原厂保修卡、随机资料、工具和备品、备件等交付给采购人，如有缺失应在采购人要求的期限内及时补齐，否则视为逾期交货。</w:t>
            </w:r>
          </w:p>
          <w:p w14:paraId="2C11CD65">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项目实施使用的所有线材、电缆、线槽、桥架敷设及配电箱（柜）、机柜等设备安装必须符合电气工程、防雷接地工程、综合布线工程等相关标准规格，线槽、桥架、机柜、配电箱（柜）及相关设备外壳必须以低电阻良好地与等电位端子连结，消除电位差；线槽、桥架驳接的接口处，必须采用裸铜带导体、退火铜绞线电缆或灵活编织铜带等把接口两则线槽或桥架；线路敷设强弱电电缆分离，分类敷设，走线整齐，线路标识规范，线路穿洞（穿墙）套管保护，并要求做好防鼠防虫保护措施，否则不予以验收。</w:t>
            </w:r>
          </w:p>
          <w:p w14:paraId="68BD7D04">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ascii="宋体" w:hAnsi="宋体" w:cs="宋体"/>
                <w:color w:val="auto"/>
                <w:sz w:val="21"/>
                <w:szCs w:val="21"/>
                <w:highlight w:val="none"/>
                <w:lang w:eastAsia="zh-CN"/>
              </w:rPr>
              <w:t>4.</w:t>
            </w:r>
            <w:r>
              <w:rPr>
                <w:rFonts w:hint="eastAsia" w:ascii="宋体" w:hAnsi="宋体" w:cs="宋体"/>
                <w:color w:val="auto"/>
                <w:sz w:val="21"/>
                <w:szCs w:val="21"/>
                <w:highlight w:val="none"/>
                <w:lang w:eastAsia="zh-CN"/>
              </w:rPr>
              <w:t>所有货物安装使用的铜排、接地汇流排、金属电缆、线材（各类电源线、网线、接地线等）、开关插座等所有线芯或材质均必须采用含铜量≥99.99%的无氧铜材料，确保良好的通电率，验收时，须提供厂家证明，否则不予验收；</w:t>
            </w:r>
          </w:p>
          <w:p w14:paraId="3F48EB57">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rPr>
            </w:pPr>
            <w:r>
              <w:rPr>
                <w:rFonts w:ascii="宋体" w:hAnsi="宋体" w:cs="宋体"/>
                <w:color w:val="auto"/>
                <w:sz w:val="21"/>
                <w:szCs w:val="21"/>
                <w:highlight w:val="none"/>
                <w:lang w:eastAsia="zh-CN"/>
              </w:rPr>
              <w:t>5</w:t>
            </w:r>
            <w:r>
              <w:rPr>
                <w:rFonts w:hint="eastAsia" w:ascii="宋体" w:hAnsi="宋体" w:cs="宋体"/>
                <w:color w:val="auto"/>
                <w:sz w:val="21"/>
                <w:szCs w:val="21"/>
                <w:highlight w:val="none"/>
                <w:lang w:eastAsia="zh-CN"/>
              </w:rPr>
              <w:t>.采购人应当在到货并安装、调试完后进行验收。验收合格后由双方签署货物验收单并加盖采购人单位公章，双方各执一份。</w:t>
            </w:r>
          </w:p>
          <w:p w14:paraId="2BDF6D97">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ascii="宋体" w:hAnsi="宋体" w:cs="宋体"/>
                <w:color w:val="auto"/>
                <w:sz w:val="21"/>
                <w:szCs w:val="21"/>
                <w:highlight w:val="none"/>
                <w:lang w:eastAsia="zh-CN"/>
              </w:rPr>
              <w:t>6</w:t>
            </w:r>
            <w:r>
              <w:rPr>
                <w:rFonts w:hint="eastAsia" w:ascii="宋体" w:hAnsi="宋体" w:cs="宋体"/>
                <w:color w:val="auto"/>
                <w:sz w:val="21"/>
                <w:szCs w:val="21"/>
                <w:highlight w:val="none"/>
                <w:lang w:eastAsia="zh-CN"/>
              </w:rPr>
              <w:t>.若采购人委托第三方组织的验收项目，其验收时间以该项目验收方案确定的验收时间为准，验收结果以该项目验收报告结论为准。在验收过程中发现成交供应商有违约问题，可暂缓资金结算，待违约问题解决后，方可办理资金结算事宜，在此期间，采购人不承担逾期付款责任。</w:t>
            </w:r>
          </w:p>
          <w:p w14:paraId="065E4F54">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ascii="宋体" w:hAnsi="宋体" w:cs="宋体"/>
                <w:color w:val="auto"/>
                <w:sz w:val="21"/>
                <w:szCs w:val="21"/>
                <w:highlight w:val="none"/>
                <w:lang w:eastAsia="zh-CN"/>
              </w:rPr>
              <w:t>7</w:t>
            </w:r>
            <w:r>
              <w:rPr>
                <w:rFonts w:hint="eastAsia" w:ascii="宋体" w:hAnsi="宋体" w:cs="宋体"/>
                <w:color w:val="auto"/>
                <w:sz w:val="21"/>
                <w:szCs w:val="21"/>
                <w:highlight w:val="none"/>
                <w:lang w:eastAsia="zh-CN"/>
              </w:rPr>
              <w:t>.采购人对验收有异议的，在验收后以书面形式向成交供应商提出，中标供应商应自收到采购人书面异议后五日内及时予以解决，成交供应商不予答复或未予以实质解决的，视为认可采购人异议及处置意见。</w:t>
            </w:r>
          </w:p>
          <w:p w14:paraId="5BA001F3">
            <w:pPr>
              <w:pStyle w:val="109"/>
              <w:adjustRightInd w:val="0"/>
              <w:spacing w:after="0" w:line="360" w:lineRule="exact"/>
              <w:ind w:firstLine="420" w:firstLineChars="200"/>
              <w:contextualSpacing/>
              <w:jc w:val="both"/>
              <w:rPr>
                <w:rFonts w:ascii="宋体" w:hAnsi="宋体" w:cs="宋体"/>
                <w:color w:val="auto"/>
                <w:sz w:val="21"/>
                <w:szCs w:val="21"/>
                <w:highlight w:val="none"/>
                <w:lang w:eastAsia="zh-CN" w:bidi="ar"/>
              </w:rPr>
            </w:pPr>
            <w:r>
              <w:rPr>
                <w:rFonts w:ascii="宋体" w:hAnsi="宋体" w:cs="宋体"/>
                <w:color w:val="auto"/>
                <w:sz w:val="21"/>
                <w:szCs w:val="21"/>
                <w:highlight w:val="none"/>
                <w:lang w:eastAsia="zh-CN"/>
              </w:rPr>
              <w:t>8</w:t>
            </w:r>
            <w:r>
              <w:rPr>
                <w:rFonts w:hint="eastAsia" w:ascii="宋体" w:hAnsi="宋体" w:cs="宋体"/>
                <w:color w:val="auto"/>
                <w:sz w:val="21"/>
                <w:szCs w:val="21"/>
                <w:highlight w:val="none"/>
                <w:lang w:eastAsia="zh-CN"/>
              </w:rPr>
              <w:t>.验收产生的费用成交供应商负责。</w:t>
            </w:r>
          </w:p>
        </w:tc>
      </w:tr>
      <w:tr w14:paraId="21972A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595" w:type="pct"/>
            <w:noWrap/>
            <w:vAlign w:val="center"/>
          </w:tcPr>
          <w:p w14:paraId="7B14CE51">
            <w:pPr>
              <w:adjustRightInd w:val="0"/>
              <w:spacing w:line="360" w:lineRule="exact"/>
              <w:contextualSpacing/>
              <w:rPr>
                <w:rFonts w:hint="eastAsia" w:ascii="宋体" w:hAnsi="宋体" w:cs="宋体"/>
                <w:color w:val="auto"/>
                <w:szCs w:val="21"/>
                <w:highlight w:val="none"/>
              </w:rPr>
            </w:pPr>
            <w:r>
              <w:rPr>
                <w:rFonts w:hint="eastAsia" w:ascii="宋体" w:hAnsi="宋体" w:cs="宋体"/>
                <w:color w:val="auto"/>
                <w:szCs w:val="21"/>
                <w:highlight w:val="none"/>
              </w:rPr>
              <w:t>其他</w:t>
            </w:r>
            <w:r>
              <w:rPr>
                <w:rFonts w:ascii="宋体" w:hAnsi="宋体" w:cs="宋体"/>
                <w:color w:val="auto"/>
                <w:szCs w:val="21"/>
                <w:highlight w:val="none"/>
              </w:rPr>
              <w:t>要求</w:t>
            </w:r>
          </w:p>
        </w:tc>
        <w:tc>
          <w:tcPr>
            <w:tcW w:w="4405" w:type="pct"/>
            <w:gridSpan w:val="3"/>
            <w:noWrap w:val="0"/>
            <w:vAlign w:val="center"/>
          </w:tcPr>
          <w:p w14:paraId="46C78A50">
            <w:pPr>
              <w:pStyle w:val="109"/>
              <w:adjustRightInd w:val="0"/>
              <w:spacing w:after="0" w:line="360" w:lineRule="exact"/>
              <w:ind w:firstLine="420" w:firstLineChars="200"/>
              <w:contextualSpacing/>
              <w:rPr>
                <w:rFonts w:hint="eastAsia" w:ascii="宋体" w:hAnsi="宋体"/>
                <w:color w:val="auto"/>
                <w:sz w:val="21"/>
                <w:szCs w:val="21"/>
                <w:highlight w:val="none"/>
                <w:lang w:eastAsia="zh-CN"/>
              </w:rPr>
            </w:pPr>
            <w:r>
              <w:rPr>
                <w:rFonts w:hint="eastAsia" w:ascii="宋体" w:hAnsi="宋体" w:cs="宋体"/>
                <w:color w:val="auto"/>
                <w:sz w:val="21"/>
                <w:szCs w:val="21"/>
                <w:highlight w:val="none"/>
                <w:lang w:eastAsia="zh-CN"/>
              </w:rPr>
              <w:t>1</w:t>
            </w:r>
            <w:r>
              <w:rPr>
                <w:rFonts w:ascii="宋体" w:hAnsi="宋体" w:cs="宋体"/>
                <w:color w:val="auto"/>
                <w:sz w:val="21"/>
                <w:szCs w:val="21"/>
                <w:highlight w:val="none"/>
                <w:lang w:eastAsia="zh-CN"/>
              </w:rPr>
              <w:t>.</w:t>
            </w:r>
            <w:r>
              <w:rPr>
                <w:rFonts w:hint="eastAsia" w:ascii="宋体" w:hAnsi="宋体"/>
                <w:color w:val="auto"/>
                <w:sz w:val="21"/>
                <w:szCs w:val="21"/>
                <w:highlight w:val="none"/>
                <w:lang w:eastAsia="zh-CN"/>
              </w:rPr>
              <w:t>成交供应商须根据项目特点及内容要求，制定科学合理的实施计划，并提供配套的实施人员组成实施团队，其中团队必须具有与本项目实施服务相符的技术能力，在采购人指定地点提供实施服务（南宁市内）。</w:t>
            </w:r>
          </w:p>
          <w:p w14:paraId="521AE7EB">
            <w:pPr>
              <w:pStyle w:val="109"/>
              <w:adjustRightInd w:val="0"/>
              <w:spacing w:after="0" w:line="360" w:lineRule="exact"/>
              <w:ind w:firstLine="420" w:firstLineChars="200"/>
              <w:contextualSpacing/>
              <w:jc w:val="both"/>
              <w:rPr>
                <w:rFonts w:ascii="宋体" w:hAnsi="宋体"/>
                <w:color w:val="auto"/>
                <w:sz w:val="21"/>
                <w:szCs w:val="21"/>
                <w:highlight w:val="none"/>
                <w:lang w:eastAsia="zh-CN"/>
              </w:rPr>
            </w:pPr>
            <w:r>
              <w:rPr>
                <w:rFonts w:ascii="宋体" w:hAnsi="宋体"/>
                <w:color w:val="auto"/>
                <w:sz w:val="21"/>
                <w:szCs w:val="21"/>
                <w:highlight w:val="none"/>
                <w:lang w:eastAsia="zh-CN"/>
              </w:rPr>
              <w:t>2.</w:t>
            </w:r>
            <w:r>
              <w:rPr>
                <w:rFonts w:hint="eastAsia" w:ascii="宋体" w:hAnsi="宋体"/>
                <w:color w:val="auto"/>
                <w:sz w:val="21"/>
                <w:szCs w:val="21"/>
                <w:highlight w:val="none"/>
                <w:lang w:eastAsia="zh-CN"/>
              </w:rPr>
              <w:t>在项目实施及售后服务期间，成交供应商派驻</w:t>
            </w:r>
            <w:r>
              <w:rPr>
                <w:rFonts w:ascii="宋体" w:hAnsi="宋体"/>
                <w:color w:val="auto"/>
                <w:sz w:val="21"/>
                <w:szCs w:val="21"/>
                <w:highlight w:val="none"/>
                <w:lang w:eastAsia="zh-CN"/>
              </w:rPr>
              <w:t>现</w:t>
            </w:r>
            <w:r>
              <w:rPr>
                <w:rFonts w:hint="eastAsia" w:ascii="宋体" w:hAnsi="宋体"/>
                <w:color w:val="auto"/>
                <w:sz w:val="21"/>
                <w:szCs w:val="21"/>
                <w:highlight w:val="none"/>
                <w:lang w:eastAsia="zh-CN"/>
              </w:rPr>
              <w:t>场实施或服务人员除了按实施章程规定做好安全施工服务外，还须服从遵守采购人各项管理规定和要求，采购人有权审查驻场人员资格及驻场表现，如驻场人员不符合驻场服务要求，成交供应商必须无条件更换符合要求人员，如因工作疏失造成信息安全等责任事故，必须承担相应责任，接受惩处，触犯刑法规定的，按照法律程序移交处理。实行施工进度工作汇报制度，驻场实施人员与采购人相关人员之间进行日常沟通、协调，周期向采购人主管部门交付各种实施文档和施工记录，包括但不限于日常会议记录、进货验收记录、安装实施记录、签证增补记录、设备进货单据、设备合格证书、现场技术检测报告、实施过程照片采集、隐蔽工程现场记录、设备调试及故障分析处理记录、培训和技术支持记录、以及定期工作总结等。。</w:t>
            </w:r>
          </w:p>
          <w:p w14:paraId="0BBD5E70">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3</w:t>
            </w:r>
            <w:r>
              <w:rPr>
                <w:rFonts w:ascii="宋体" w:hAnsi="宋体" w:cs="宋体"/>
                <w:color w:val="auto"/>
                <w:sz w:val="21"/>
                <w:szCs w:val="21"/>
                <w:highlight w:val="none"/>
                <w:lang w:eastAsia="zh-CN"/>
              </w:rPr>
              <w:t>.</w:t>
            </w:r>
            <w:r>
              <w:rPr>
                <w:rFonts w:hint="eastAsia" w:ascii="宋体" w:hAnsi="宋体" w:cs="宋体"/>
                <w:color w:val="auto"/>
                <w:sz w:val="21"/>
                <w:szCs w:val="21"/>
                <w:highlight w:val="none"/>
                <w:lang w:eastAsia="zh-CN"/>
              </w:rPr>
              <w:t>成交供应商提供服务过程中，对所接触到的所有信息负有保密义务，并签署相关保密协议，如因自身原因造成的信息泄露事件，采购人将追究其相关责任。</w:t>
            </w:r>
          </w:p>
          <w:p w14:paraId="7E8A9099">
            <w:pPr>
              <w:pStyle w:val="109"/>
              <w:adjustRightInd w:val="0"/>
              <w:spacing w:after="0" w:line="360" w:lineRule="exact"/>
              <w:ind w:firstLine="420" w:firstLineChars="200"/>
              <w:contextualSpacing/>
              <w:jc w:val="both"/>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4.本项目货物不接受进口产品竞标（即通过中国海关报关检验后进入中国境内且产地</w:t>
            </w:r>
            <w:r>
              <w:rPr>
                <w:rFonts w:ascii="宋体" w:hAnsi="宋体" w:cs="宋体"/>
                <w:color w:val="auto"/>
                <w:sz w:val="21"/>
                <w:szCs w:val="21"/>
                <w:highlight w:val="none"/>
                <w:lang w:eastAsia="zh-CN"/>
              </w:rPr>
              <w:t>来自</w:t>
            </w:r>
            <w:r>
              <w:rPr>
                <w:rFonts w:hint="eastAsia" w:ascii="宋体" w:hAnsi="宋体" w:cs="宋体"/>
                <w:color w:val="auto"/>
                <w:sz w:val="21"/>
                <w:szCs w:val="21"/>
                <w:highlight w:val="none"/>
                <w:lang w:eastAsia="zh-CN"/>
              </w:rPr>
              <w:t>关境外的产品），如有此类产品参与投标的作无效竞标处理。</w:t>
            </w:r>
          </w:p>
        </w:tc>
      </w:tr>
    </w:tbl>
    <w:p w14:paraId="07127158">
      <w:pPr>
        <w:rPr>
          <w:rFonts w:hint="eastAsia" w:ascii="宋体" w:hAnsi="宋体" w:cs="宋体"/>
          <w:color w:val="auto"/>
          <w:sz w:val="32"/>
          <w:szCs w:val="32"/>
          <w:highlight w:val="none"/>
        </w:rPr>
      </w:pPr>
    </w:p>
    <w:p w14:paraId="20432560">
      <w:pPr>
        <w:spacing w:line="428" w:lineRule="exact"/>
        <w:ind w:left="119"/>
        <w:rPr>
          <w:rFonts w:hint="eastAsia" w:ascii="宋体" w:hAnsi="宋体" w:cs="宋体"/>
          <w:color w:val="auto"/>
          <w:sz w:val="32"/>
          <w:szCs w:val="32"/>
          <w:highlight w:val="none"/>
        </w:rPr>
      </w:pPr>
    </w:p>
    <w:p w14:paraId="58C3D611">
      <w:pPr>
        <w:spacing w:line="428" w:lineRule="exact"/>
        <w:ind w:left="119"/>
        <w:rPr>
          <w:rFonts w:hint="eastAsia" w:ascii="宋体" w:hAnsi="宋体" w:cs="宋体"/>
          <w:color w:val="auto"/>
          <w:sz w:val="32"/>
          <w:szCs w:val="32"/>
          <w:highlight w:val="none"/>
        </w:rPr>
      </w:pPr>
    </w:p>
    <w:p w14:paraId="28C9F225">
      <w:pPr>
        <w:spacing w:line="428" w:lineRule="exact"/>
        <w:ind w:left="119"/>
        <w:rPr>
          <w:rFonts w:hint="eastAsia" w:ascii="宋体" w:hAnsi="宋体" w:cs="宋体"/>
          <w:color w:val="auto"/>
          <w:sz w:val="32"/>
          <w:szCs w:val="32"/>
          <w:highlight w:val="none"/>
        </w:rPr>
      </w:pPr>
    </w:p>
    <w:p w14:paraId="52452424">
      <w:pPr>
        <w:spacing w:line="428" w:lineRule="exact"/>
        <w:ind w:left="119"/>
        <w:rPr>
          <w:rFonts w:hint="eastAsia" w:ascii="宋体" w:hAnsi="宋体" w:cs="宋体"/>
          <w:color w:val="auto"/>
          <w:sz w:val="32"/>
          <w:szCs w:val="32"/>
          <w:highlight w:val="none"/>
        </w:rPr>
      </w:pPr>
    </w:p>
    <w:p w14:paraId="2CE5591C">
      <w:pPr>
        <w:spacing w:line="428" w:lineRule="exact"/>
        <w:ind w:left="119"/>
        <w:rPr>
          <w:rFonts w:hint="eastAsia" w:ascii="宋体" w:hAnsi="宋体" w:cs="宋体"/>
          <w:color w:val="auto"/>
          <w:sz w:val="32"/>
          <w:szCs w:val="32"/>
          <w:highlight w:val="none"/>
        </w:rPr>
      </w:pPr>
    </w:p>
    <w:p w14:paraId="79C23F6D">
      <w:pPr>
        <w:spacing w:line="428" w:lineRule="exact"/>
        <w:ind w:left="119"/>
        <w:rPr>
          <w:rFonts w:hint="eastAsia" w:ascii="宋体" w:hAnsi="宋体" w:cs="宋体"/>
          <w:color w:val="auto"/>
          <w:sz w:val="32"/>
          <w:szCs w:val="32"/>
          <w:highlight w:val="none"/>
        </w:rPr>
      </w:pPr>
    </w:p>
    <w:p w14:paraId="280BCFBA">
      <w:pPr>
        <w:spacing w:line="428" w:lineRule="exact"/>
        <w:ind w:left="119"/>
        <w:rPr>
          <w:rFonts w:hint="eastAsia" w:ascii="宋体" w:hAnsi="宋体" w:cs="宋体"/>
          <w:color w:val="auto"/>
          <w:sz w:val="32"/>
          <w:szCs w:val="32"/>
          <w:highlight w:val="none"/>
        </w:rPr>
      </w:pPr>
    </w:p>
    <w:p w14:paraId="3972E946">
      <w:pPr>
        <w:spacing w:line="428" w:lineRule="exact"/>
        <w:ind w:left="119"/>
        <w:rPr>
          <w:rFonts w:hint="eastAsia" w:ascii="宋体" w:hAnsi="宋体" w:cs="宋体"/>
          <w:color w:val="auto"/>
          <w:sz w:val="32"/>
          <w:szCs w:val="32"/>
          <w:highlight w:val="none"/>
        </w:rPr>
      </w:pPr>
    </w:p>
    <w:p w14:paraId="4192E9A1">
      <w:pPr>
        <w:spacing w:line="428" w:lineRule="exact"/>
        <w:ind w:left="119"/>
        <w:rPr>
          <w:rFonts w:hint="eastAsia" w:ascii="宋体" w:hAnsi="宋体" w:cs="宋体"/>
          <w:color w:val="auto"/>
          <w:sz w:val="32"/>
          <w:szCs w:val="32"/>
          <w:highlight w:val="none"/>
        </w:rPr>
      </w:pPr>
    </w:p>
    <w:p w14:paraId="6A4B85CC">
      <w:pPr>
        <w:spacing w:line="428" w:lineRule="exact"/>
        <w:ind w:left="119"/>
        <w:rPr>
          <w:rFonts w:hint="eastAsia" w:ascii="宋体" w:hAnsi="宋体" w:cs="宋体"/>
          <w:color w:val="auto"/>
          <w:sz w:val="32"/>
          <w:szCs w:val="32"/>
          <w:highlight w:val="none"/>
        </w:rPr>
      </w:pPr>
    </w:p>
    <w:p w14:paraId="0D943E11">
      <w:pPr>
        <w:spacing w:line="428" w:lineRule="exact"/>
        <w:ind w:left="119"/>
        <w:rPr>
          <w:rFonts w:hint="eastAsia" w:ascii="宋体" w:hAnsi="宋体" w:cs="宋体"/>
          <w:color w:val="auto"/>
          <w:sz w:val="32"/>
          <w:szCs w:val="32"/>
          <w:highlight w:val="none"/>
        </w:rPr>
      </w:pPr>
    </w:p>
    <w:p w14:paraId="23C29BE6">
      <w:pPr>
        <w:spacing w:line="428" w:lineRule="exact"/>
        <w:ind w:left="119"/>
        <w:rPr>
          <w:rFonts w:hint="eastAsia" w:ascii="宋体" w:hAnsi="宋体" w:cs="宋体"/>
          <w:color w:val="auto"/>
          <w:sz w:val="32"/>
          <w:szCs w:val="32"/>
          <w:highlight w:val="none"/>
        </w:rPr>
      </w:pPr>
    </w:p>
    <w:p w14:paraId="1725B970">
      <w:pPr>
        <w:spacing w:line="428" w:lineRule="exact"/>
        <w:ind w:left="119"/>
        <w:rPr>
          <w:rFonts w:hint="eastAsia" w:ascii="宋体" w:hAnsi="宋体" w:cs="宋体"/>
          <w:color w:val="auto"/>
          <w:sz w:val="32"/>
          <w:szCs w:val="32"/>
          <w:highlight w:val="none"/>
        </w:rPr>
      </w:pPr>
    </w:p>
    <w:p w14:paraId="4D69D6F0">
      <w:pPr>
        <w:spacing w:line="428" w:lineRule="exact"/>
        <w:ind w:left="119"/>
        <w:rPr>
          <w:rFonts w:ascii="宋体" w:hAnsi="宋体" w:cs="宋体"/>
          <w:color w:val="auto"/>
          <w:sz w:val="32"/>
          <w:szCs w:val="32"/>
          <w:highlight w:val="none"/>
        </w:rPr>
      </w:pPr>
      <w:r>
        <w:rPr>
          <w:rFonts w:hint="eastAsia" w:ascii="宋体" w:hAnsi="宋体" w:cs="宋体"/>
          <w:color w:val="auto"/>
          <w:sz w:val="32"/>
          <w:szCs w:val="32"/>
          <w:highlight w:val="none"/>
        </w:rPr>
        <w:t>附件1：</w:t>
      </w:r>
    </w:p>
    <w:p w14:paraId="437BC3CE">
      <w:pPr>
        <w:spacing w:before="7"/>
        <w:rPr>
          <w:rFonts w:ascii="宋体" w:hAnsi="宋体" w:cs="宋体"/>
          <w:color w:val="auto"/>
          <w:sz w:val="17"/>
          <w:szCs w:val="17"/>
          <w:highlight w:val="none"/>
        </w:rPr>
      </w:pPr>
    </w:p>
    <w:p w14:paraId="1CF73053">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节能产品政府采购品目清单</w:t>
      </w:r>
    </w:p>
    <w:p w14:paraId="0DE9AE8E">
      <w:pPr>
        <w:rPr>
          <w:rFonts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59264" behindDoc="0" locked="0" layoutInCell="1" allowOverlap="1">
                <wp:simplePos x="0" y="0"/>
                <wp:positionH relativeFrom="page">
                  <wp:posOffset>447040</wp:posOffset>
                </wp:positionH>
                <wp:positionV relativeFrom="paragraph">
                  <wp:posOffset>100965</wp:posOffset>
                </wp:positionV>
                <wp:extent cx="6403975" cy="7479030"/>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03975" cy="7479030"/>
                        </a:xfrm>
                        <a:prstGeom prst="rect">
                          <a:avLst/>
                        </a:prstGeom>
                        <a:noFill/>
                        <a:ln>
                          <a:noFill/>
                        </a:ln>
                        <a:effectLst/>
                      </wps:spPr>
                      <wps:txbx>
                        <w:txbxContent>
                          <w:tbl>
                            <w:tblPr>
                              <w:tblStyle w:val="29"/>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4E629395">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DB848B2">
                                  <w:pPr>
                                    <w:pStyle w:val="78"/>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noWrap w:val="0"/>
                                  <w:vAlign w:val="top"/>
                                </w:tcPr>
                                <w:p w14:paraId="40226965">
                                  <w:pPr>
                                    <w:pStyle w:val="78"/>
                                    <w:spacing w:before="4"/>
                                    <w:rPr>
                                      <w:rFonts w:ascii="宋体" w:hAnsi="宋体" w:cs="宋体"/>
                                      <w:sz w:val="16"/>
                                      <w:szCs w:val="16"/>
                                    </w:rPr>
                                  </w:pPr>
                                </w:p>
                                <w:p w14:paraId="4499F337">
                                  <w:pPr>
                                    <w:pStyle w:val="78"/>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424F3A1">
                                  <w:pPr>
                                    <w:pStyle w:val="78"/>
                                    <w:spacing w:before="4"/>
                                    <w:rPr>
                                      <w:rFonts w:ascii="宋体" w:hAnsi="宋体" w:cs="宋体"/>
                                      <w:sz w:val="16"/>
                                      <w:szCs w:val="16"/>
                                    </w:rPr>
                                  </w:pPr>
                                </w:p>
                                <w:p w14:paraId="21F4CBAD">
                                  <w:pPr>
                                    <w:pStyle w:val="78"/>
                                    <w:ind w:left="926"/>
                                    <w:rPr>
                                      <w:rFonts w:ascii="宋体" w:hAnsi="宋体" w:cs="宋体"/>
                                    </w:rPr>
                                  </w:pPr>
                                  <w:r>
                                    <w:rPr>
                                      <w:rFonts w:hint="eastAsia" w:ascii="宋体" w:hAnsi="宋体" w:cs="宋体"/>
                                      <w:b/>
                                      <w:bCs/>
                                      <w:w w:val="99"/>
                                    </w:rPr>
                                    <w:t>依据的标准</w:t>
                                  </w:r>
                                </w:p>
                              </w:tc>
                            </w:tr>
                            <w:tr w14:paraId="2B1D29AB">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D1AA9EB">
                                  <w:pPr>
                                    <w:pStyle w:val="78"/>
                                    <w:rPr>
                                      <w:rFonts w:ascii="宋体" w:hAnsi="宋体" w:cs="宋体"/>
                                      <w:sz w:val="20"/>
                                      <w:szCs w:val="20"/>
                                    </w:rPr>
                                  </w:pPr>
                                </w:p>
                                <w:p w14:paraId="77ECC20A">
                                  <w:pPr>
                                    <w:pStyle w:val="78"/>
                                    <w:rPr>
                                      <w:rFonts w:ascii="宋体" w:hAnsi="宋体" w:cs="宋体"/>
                                      <w:sz w:val="20"/>
                                      <w:szCs w:val="20"/>
                                    </w:rPr>
                                  </w:pPr>
                                </w:p>
                                <w:p w14:paraId="58F05837">
                                  <w:pPr>
                                    <w:pStyle w:val="78"/>
                                    <w:rPr>
                                      <w:rFonts w:ascii="宋体" w:hAnsi="宋体" w:cs="宋体"/>
                                      <w:sz w:val="20"/>
                                      <w:szCs w:val="20"/>
                                    </w:rPr>
                                  </w:pPr>
                                </w:p>
                                <w:p w14:paraId="7F599201">
                                  <w:pPr>
                                    <w:pStyle w:val="78"/>
                                    <w:spacing w:before="11"/>
                                    <w:rPr>
                                      <w:rFonts w:ascii="宋体" w:hAnsi="宋体" w:cs="宋体"/>
                                      <w:sz w:val="15"/>
                                      <w:szCs w:val="15"/>
                                    </w:rPr>
                                  </w:pPr>
                                </w:p>
                                <w:p w14:paraId="3BFA4EB3">
                                  <w:pPr>
                                    <w:pStyle w:val="78"/>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02BFF8F">
                                  <w:pPr>
                                    <w:pStyle w:val="78"/>
                                    <w:rPr>
                                      <w:rFonts w:ascii="宋体" w:hAnsi="宋体" w:cs="宋体"/>
                                      <w:sz w:val="20"/>
                                      <w:szCs w:val="20"/>
                                    </w:rPr>
                                  </w:pPr>
                                </w:p>
                                <w:p w14:paraId="06A9276C">
                                  <w:pPr>
                                    <w:pStyle w:val="78"/>
                                    <w:rPr>
                                      <w:rFonts w:ascii="宋体" w:hAnsi="宋体" w:cs="宋体"/>
                                      <w:sz w:val="20"/>
                                      <w:szCs w:val="20"/>
                                    </w:rPr>
                                  </w:pPr>
                                </w:p>
                                <w:p w14:paraId="4EE643F9">
                                  <w:pPr>
                                    <w:pStyle w:val="78"/>
                                    <w:spacing w:before="12"/>
                                    <w:rPr>
                                      <w:rFonts w:ascii="宋体" w:hAnsi="宋体" w:cs="宋体"/>
                                      <w:sz w:val="23"/>
                                      <w:szCs w:val="23"/>
                                    </w:rPr>
                                  </w:pPr>
                                </w:p>
                                <w:p w14:paraId="5BE246B8">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15B95127">
                                  <w:pPr>
                                    <w:pStyle w:val="78"/>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80D5AB4">
                                  <w:pPr>
                                    <w:pStyle w:val="78"/>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4672BCE">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5F0A47F1">
                                  <w:pPr>
                                    <w:pStyle w:val="78"/>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65E1297">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FBE6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4C2B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6FB7DF1">
                                  <w:pPr>
                                    <w:pStyle w:val="78"/>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849141A">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908F7C5">
                                  <w:pPr>
                                    <w:pStyle w:val="78"/>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101C203">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30A7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0FE7E">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F034FFB">
                                  <w:pPr>
                                    <w:pStyle w:val="78"/>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0EE9A5">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C8FC099">
                                  <w:pPr>
                                    <w:pStyle w:val="78"/>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2643C15">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6A296B6">
                                  <w:pPr>
                                    <w:pStyle w:val="78"/>
                                    <w:rPr>
                                      <w:rFonts w:ascii="宋体" w:hAnsi="宋体" w:cs="宋体"/>
                                      <w:sz w:val="20"/>
                                      <w:szCs w:val="20"/>
                                      <w:lang w:eastAsia="zh-CN"/>
                                    </w:rPr>
                                  </w:pPr>
                                </w:p>
                                <w:p w14:paraId="25959E77">
                                  <w:pPr>
                                    <w:pStyle w:val="78"/>
                                    <w:rPr>
                                      <w:rFonts w:ascii="宋体" w:hAnsi="宋体" w:cs="宋体"/>
                                      <w:sz w:val="20"/>
                                      <w:szCs w:val="20"/>
                                      <w:lang w:eastAsia="zh-CN"/>
                                    </w:rPr>
                                  </w:pPr>
                                </w:p>
                                <w:p w14:paraId="3C9A805B">
                                  <w:pPr>
                                    <w:pStyle w:val="78"/>
                                    <w:rPr>
                                      <w:rFonts w:ascii="宋体" w:hAnsi="宋体" w:cs="宋体"/>
                                      <w:sz w:val="20"/>
                                      <w:szCs w:val="20"/>
                                      <w:lang w:eastAsia="zh-CN"/>
                                    </w:rPr>
                                  </w:pPr>
                                </w:p>
                                <w:p w14:paraId="6BF82A3D">
                                  <w:pPr>
                                    <w:pStyle w:val="78"/>
                                    <w:rPr>
                                      <w:rFonts w:ascii="宋体" w:hAnsi="宋体" w:cs="宋体"/>
                                      <w:sz w:val="20"/>
                                      <w:szCs w:val="20"/>
                                      <w:lang w:eastAsia="zh-CN"/>
                                    </w:rPr>
                                  </w:pPr>
                                </w:p>
                                <w:p w14:paraId="25B19C1C">
                                  <w:pPr>
                                    <w:pStyle w:val="78"/>
                                    <w:rPr>
                                      <w:rFonts w:ascii="宋体" w:hAnsi="宋体" w:cs="宋体"/>
                                      <w:sz w:val="20"/>
                                      <w:szCs w:val="20"/>
                                      <w:lang w:eastAsia="zh-CN"/>
                                    </w:rPr>
                                  </w:pPr>
                                </w:p>
                                <w:p w14:paraId="00E3E27F">
                                  <w:pPr>
                                    <w:pStyle w:val="78"/>
                                    <w:rPr>
                                      <w:rFonts w:ascii="宋体" w:hAnsi="宋体" w:cs="宋体"/>
                                      <w:sz w:val="20"/>
                                      <w:szCs w:val="20"/>
                                      <w:lang w:eastAsia="zh-CN"/>
                                    </w:rPr>
                                  </w:pPr>
                                </w:p>
                                <w:p w14:paraId="0E062F71">
                                  <w:pPr>
                                    <w:pStyle w:val="78"/>
                                    <w:rPr>
                                      <w:rFonts w:ascii="宋体" w:hAnsi="宋体" w:cs="宋体"/>
                                      <w:sz w:val="20"/>
                                      <w:szCs w:val="20"/>
                                      <w:lang w:eastAsia="zh-CN"/>
                                    </w:rPr>
                                  </w:pPr>
                                </w:p>
                                <w:p w14:paraId="4174F7AF">
                                  <w:pPr>
                                    <w:pStyle w:val="78"/>
                                    <w:spacing w:before="2"/>
                                    <w:rPr>
                                      <w:rFonts w:ascii="宋体" w:hAnsi="宋体" w:cs="宋体"/>
                                      <w:sz w:val="14"/>
                                      <w:szCs w:val="14"/>
                                      <w:lang w:eastAsia="zh-CN"/>
                                    </w:rPr>
                                  </w:pPr>
                                </w:p>
                                <w:p w14:paraId="45C2DBC9">
                                  <w:pPr>
                                    <w:pStyle w:val="78"/>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85CEA16">
                                  <w:pPr>
                                    <w:pStyle w:val="78"/>
                                    <w:rPr>
                                      <w:rFonts w:ascii="宋体" w:hAnsi="宋体" w:cs="宋体"/>
                                      <w:sz w:val="20"/>
                                      <w:szCs w:val="20"/>
                                    </w:rPr>
                                  </w:pPr>
                                </w:p>
                                <w:p w14:paraId="6B96A779">
                                  <w:pPr>
                                    <w:pStyle w:val="78"/>
                                    <w:rPr>
                                      <w:rFonts w:ascii="宋体" w:hAnsi="宋体" w:cs="宋体"/>
                                      <w:sz w:val="20"/>
                                      <w:szCs w:val="20"/>
                                    </w:rPr>
                                  </w:pPr>
                                </w:p>
                                <w:p w14:paraId="232F38F4">
                                  <w:pPr>
                                    <w:pStyle w:val="78"/>
                                    <w:rPr>
                                      <w:rFonts w:ascii="宋体" w:hAnsi="宋体" w:cs="宋体"/>
                                      <w:sz w:val="20"/>
                                      <w:szCs w:val="20"/>
                                    </w:rPr>
                                  </w:pPr>
                                </w:p>
                                <w:p w14:paraId="21928FB5">
                                  <w:pPr>
                                    <w:pStyle w:val="78"/>
                                    <w:rPr>
                                      <w:rFonts w:ascii="宋体" w:hAnsi="宋体" w:cs="宋体"/>
                                      <w:sz w:val="20"/>
                                      <w:szCs w:val="20"/>
                                    </w:rPr>
                                  </w:pPr>
                                </w:p>
                                <w:p w14:paraId="3B9A3DBB">
                                  <w:pPr>
                                    <w:pStyle w:val="78"/>
                                    <w:rPr>
                                      <w:rFonts w:ascii="宋体" w:hAnsi="宋体" w:cs="宋体"/>
                                      <w:sz w:val="20"/>
                                      <w:szCs w:val="20"/>
                                    </w:rPr>
                                  </w:pPr>
                                </w:p>
                                <w:p w14:paraId="715C4BED">
                                  <w:pPr>
                                    <w:pStyle w:val="78"/>
                                    <w:rPr>
                                      <w:rFonts w:ascii="宋体" w:hAnsi="宋体" w:cs="宋体"/>
                                      <w:sz w:val="20"/>
                                      <w:szCs w:val="20"/>
                                    </w:rPr>
                                  </w:pPr>
                                </w:p>
                                <w:p w14:paraId="4806EF85">
                                  <w:pPr>
                                    <w:pStyle w:val="78"/>
                                    <w:spacing w:before="3"/>
                                    <w:rPr>
                                      <w:rFonts w:ascii="宋体" w:hAnsi="宋体" w:cs="宋体"/>
                                    </w:rPr>
                                  </w:pPr>
                                </w:p>
                                <w:p w14:paraId="62A70FEA">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7C15943">
                                  <w:pPr>
                                    <w:pStyle w:val="78"/>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09E3FA6">
                                  <w:pPr>
                                    <w:pStyle w:val="78"/>
                                    <w:rPr>
                                      <w:rFonts w:ascii="宋体" w:hAnsi="宋体" w:cs="宋体"/>
                                      <w:sz w:val="20"/>
                                      <w:szCs w:val="20"/>
                                    </w:rPr>
                                  </w:pPr>
                                </w:p>
                                <w:p w14:paraId="1AC6DE57">
                                  <w:pPr>
                                    <w:pStyle w:val="78"/>
                                    <w:rPr>
                                      <w:rFonts w:ascii="宋体" w:hAnsi="宋体" w:cs="宋体"/>
                                      <w:sz w:val="20"/>
                                      <w:szCs w:val="20"/>
                                    </w:rPr>
                                  </w:pPr>
                                </w:p>
                                <w:p w14:paraId="6759CD6D">
                                  <w:pPr>
                                    <w:pStyle w:val="78"/>
                                    <w:rPr>
                                      <w:rFonts w:ascii="宋体" w:hAnsi="宋体" w:cs="宋体"/>
                                      <w:sz w:val="20"/>
                                      <w:szCs w:val="20"/>
                                    </w:rPr>
                                  </w:pPr>
                                </w:p>
                                <w:p w14:paraId="45F1D040">
                                  <w:pPr>
                                    <w:pStyle w:val="78"/>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FF927B4">
                                  <w:pPr>
                                    <w:pStyle w:val="78"/>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06B4045D">
                                  <w:pPr>
                                    <w:pStyle w:val="78"/>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0F73880">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21EB51E">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37E0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A645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CAE96">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FF6541B">
                                  <w:pPr>
                                    <w:pStyle w:val="7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0BA0300C">
                                  <w:pPr>
                                    <w:pStyle w:val="78"/>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D65EE69">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485876">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04B7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7B6A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8D111">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AF804DE">
                                  <w:pPr>
                                    <w:pStyle w:val="7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48A76088">
                                  <w:pPr>
                                    <w:pStyle w:val="78"/>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D37DC08">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0EC85D2">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82A9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81936">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0C760C5">
                                  <w:pPr>
                                    <w:pStyle w:val="78"/>
                                    <w:spacing w:before="2"/>
                                    <w:rPr>
                                      <w:rFonts w:ascii="宋体" w:hAnsi="宋体" w:cs="宋体"/>
                                      <w:sz w:val="17"/>
                                      <w:szCs w:val="17"/>
                                      <w:lang w:eastAsia="zh-CN"/>
                                    </w:rPr>
                                  </w:pPr>
                                </w:p>
                                <w:p w14:paraId="54DD6D19">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4B353B6">
                                  <w:pPr>
                                    <w:pStyle w:val="78"/>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39C02126">
                                  <w:pPr>
                                    <w:pStyle w:val="78"/>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7AF6AFE">
                                  <w:pPr>
                                    <w:pStyle w:val="78"/>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EEF60F2">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226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3682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9FC73FF">
                                  <w:pPr>
                                    <w:pStyle w:val="78"/>
                                    <w:spacing w:before="8"/>
                                    <w:rPr>
                                      <w:rFonts w:ascii="宋体" w:hAnsi="宋体" w:cs="宋体"/>
                                      <w:sz w:val="27"/>
                                      <w:szCs w:val="27"/>
                                      <w:lang w:eastAsia="zh-CN"/>
                                    </w:rPr>
                                  </w:pPr>
                                </w:p>
                                <w:p w14:paraId="0FF3830A">
                                  <w:pPr>
                                    <w:pStyle w:val="7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0B1E8C7">
                                  <w:pPr>
                                    <w:pStyle w:val="78"/>
                                    <w:rPr>
                                      <w:rFonts w:ascii="宋体" w:hAnsi="宋体" w:cs="宋体"/>
                                      <w:sz w:val="20"/>
                                      <w:szCs w:val="20"/>
                                    </w:rPr>
                                  </w:pPr>
                                </w:p>
                                <w:p w14:paraId="60108A6E">
                                  <w:pPr>
                                    <w:pStyle w:val="78"/>
                                    <w:spacing w:before="7"/>
                                    <w:rPr>
                                      <w:rFonts w:ascii="宋体" w:hAnsi="宋体" w:cs="宋体"/>
                                      <w:sz w:val="19"/>
                                      <w:szCs w:val="19"/>
                                    </w:rPr>
                                  </w:pPr>
                                </w:p>
                                <w:p w14:paraId="5536EE8E">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482B90F">
                                  <w:pPr>
                                    <w:pStyle w:val="78"/>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53619298">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B04F68">
                                  <w:pPr>
                                    <w:pStyle w:val="78"/>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EDCBCCA">
                                  <w:pPr>
                                    <w:pStyle w:val="78"/>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12D0849">
                                  <w:pPr>
                                    <w:pStyle w:val="78"/>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A97961">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E7B497B">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35C736F">
                                  <w:pPr>
                                    <w:pStyle w:val="78"/>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1E5A05BC">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74CE91F">
                                  <w:pPr>
                                    <w:pStyle w:val="78"/>
                                    <w:spacing w:before="13"/>
                                    <w:rPr>
                                      <w:rFonts w:ascii="宋体" w:hAnsi="宋体" w:cs="宋体"/>
                                      <w:sz w:val="16"/>
                                      <w:szCs w:val="16"/>
                                      <w:lang w:eastAsia="zh-CN"/>
                                    </w:rPr>
                                  </w:pPr>
                                </w:p>
                                <w:p w14:paraId="1E1BE5F0">
                                  <w:pPr>
                                    <w:pStyle w:val="78"/>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44C4691">
                                  <w:pPr>
                                    <w:pStyle w:val="78"/>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9B83FAD">
                                  <w:pPr>
                                    <w:pStyle w:val="78"/>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6BD5F52">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413B9F4">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B4E5B01">
                                  <w:pPr>
                                    <w:pStyle w:val="78"/>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D07598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CBCC716">
                                  <w:pPr>
                                    <w:pStyle w:val="78"/>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13C4A6">
                                  <w:pPr>
                                    <w:pStyle w:val="7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7E3514F">
                                  <w:pPr>
                                    <w:pStyle w:val="7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41351E3">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885BCA1">
                                  <w:pPr>
                                    <w:pStyle w:val="7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6EF4F086">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57CE0F4">
                                  <w:pPr>
                                    <w:pStyle w:val="78"/>
                                    <w:rPr>
                                      <w:rFonts w:ascii="宋体" w:hAnsi="宋体" w:cs="宋体"/>
                                      <w:sz w:val="20"/>
                                      <w:szCs w:val="20"/>
                                      <w:lang w:eastAsia="zh-CN"/>
                                    </w:rPr>
                                  </w:pPr>
                                </w:p>
                                <w:p w14:paraId="260D4703">
                                  <w:pPr>
                                    <w:pStyle w:val="78"/>
                                    <w:rPr>
                                      <w:rFonts w:ascii="宋体" w:hAnsi="宋体" w:cs="宋体"/>
                                      <w:sz w:val="20"/>
                                      <w:szCs w:val="20"/>
                                      <w:lang w:eastAsia="zh-CN"/>
                                    </w:rPr>
                                  </w:pPr>
                                </w:p>
                                <w:p w14:paraId="6D37715A">
                                  <w:pPr>
                                    <w:pStyle w:val="78"/>
                                    <w:spacing w:before="7"/>
                                    <w:rPr>
                                      <w:rFonts w:ascii="宋体" w:hAnsi="宋体" w:cs="宋体"/>
                                      <w:sz w:val="26"/>
                                      <w:szCs w:val="26"/>
                                      <w:lang w:eastAsia="zh-CN"/>
                                    </w:rPr>
                                  </w:pPr>
                                </w:p>
                                <w:p w14:paraId="64735437">
                                  <w:pPr>
                                    <w:pStyle w:val="78"/>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041185C">
                                  <w:pPr>
                                    <w:pStyle w:val="78"/>
                                    <w:rPr>
                                      <w:rFonts w:ascii="宋体" w:hAnsi="宋体" w:cs="宋体"/>
                                      <w:sz w:val="20"/>
                                      <w:szCs w:val="20"/>
                                    </w:rPr>
                                  </w:pPr>
                                </w:p>
                                <w:p w14:paraId="70EA1CA0">
                                  <w:pPr>
                                    <w:pStyle w:val="78"/>
                                    <w:rPr>
                                      <w:rFonts w:ascii="宋体" w:hAnsi="宋体" w:cs="宋体"/>
                                      <w:sz w:val="20"/>
                                      <w:szCs w:val="20"/>
                                    </w:rPr>
                                  </w:pPr>
                                </w:p>
                                <w:p w14:paraId="293DDAE9">
                                  <w:pPr>
                                    <w:pStyle w:val="78"/>
                                    <w:spacing w:before="8"/>
                                    <w:rPr>
                                      <w:rFonts w:ascii="宋体" w:hAnsi="宋体" w:cs="宋体"/>
                                      <w:sz w:val="14"/>
                                      <w:szCs w:val="14"/>
                                    </w:rPr>
                                  </w:pPr>
                                </w:p>
                                <w:p w14:paraId="52EBDDAE">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47C095D">
                                  <w:pPr>
                                    <w:pStyle w:val="78"/>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068CF8D">
                                  <w:pPr>
                                    <w:pStyle w:val="78"/>
                                    <w:rPr>
                                      <w:rFonts w:ascii="宋体" w:hAnsi="宋体" w:cs="宋体"/>
                                      <w:sz w:val="20"/>
                                      <w:szCs w:val="20"/>
                                    </w:rPr>
                                  </w:pPr>
                                </w:p>
                                <w:p w14:paraId="77A3B4B3">
                                  <w:pPr>
                                    <w:pStyle w:val="78"/>
                                    <w:rPr>
                                      <w:rFonts w:ascii="宋体" w:hAnsi="宋体" w:cs="宋体"/>
                                      <w:sz w:val="20"/>
                                      <w:szCs w:val="20"/>
                                    </w:rPr>
                                  </w:pPr>
                                </w:p>
                                <w:p w14:paraId="6E43CEAD">
                                  <w:pPr>
                                    <w:pStyle w:val="78"/>
                                    <w:spacing w:before="8"/>
                                    <w:rPr>
                                      <w:rFonts w:ascii="宋体" w:hAnsi="宋体" w:cs="宋体"/>
                                      <w:sz w:val="14"/>
                                      <w:szCs w:val="14"/>
                                    </w:rPr>
                                  </w:pPr>
                                </w:p>
                                <w:p w14:paraId="62406876">
                                  <w:pPr>
                                    <w:pStyle w:val="78"/>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952AFB5">
                                  <w:pPr>
                                    <w:pStyle w:val="78"/>
                                    <w:rPr>
                                      <w:rFonts w:ascii="宋体" w:hAnsi="宋体" w:cs="宋体"/>
                                      <w:sz w:val="20"/>
                                      <w:szCs w:val="20"/>
                                    </w:rPr>
                                  </w:pPr>
                                </w:p>
                                <w:p w14:paraId="19BC7B89">
                                  <w:pPr>
                                    <w:pStyle w:val="78"/>
                                    <w:spacing w:before="1"/>
                                    <w:rPr>
                                      <w:rFonts w:ascii="宋体" w:hAnsi="宋体" w:cs="宋体"/>
                                      <w:sz w:val="18"/>
                                      <w:szCs w:val="18"/>
                                    </w:rPr>
                                  </w:pPr>
                                </w:p>
                                <w:p w14:paraId="0B9CB7BE">
                                  <w:pPr>
                                    <w:pStyle w:val="78"/>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F34A970">
                                  <w:pPr>
                                    <w:pStyle w:val="78"/>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16EAFBE">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401D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87A8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EF723">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1D41B19">
                                  <w:pPr>
                                    <w:pStyle w:val="78"/>
                                    <w:spacing w:before="12"/>
                                    <w:rPr>
                                      <w:rFonts w:ascii="宋体" w:hAnsi="宋体" w:cs="宋体"/>
                                      <w:sz w:val="15"/>
                                      <w:szCs w:val="15"/>
                                      <w:lang w:eastAsia="zh-CN"/>
                                    </w:rPr>
                                  </w:pPr>
                                </w:p>
                                <w:p w14:paraId="2585B3BB">
                                  <w:pPr>
                                    <w:pStyle w:val="78"/>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CDB2934">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CFF5FE8">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35.2pt;margin-top:7.95pt;height:588.9pt;width:504.25pt;mso-position-horizontal-relative:page;z-index:251659264;mso-width-relative:page;mso-height-relative:page;" filled="f" stroked="f" coordsize="21600,21600" o:gfxdata="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&#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bffiu2QAAAAsBAAAPAAAAAAAAAAEAIAAAACIAAABk&#10;cnMvZG93bnJldi54bWxQSwECFAAUAAAACACHTuJA8uvQEswBAACPAwAADgAAAAAAAAABACAAAAAo&#10;AQAAZHJzL2Uyb0RvYy54bWxQSwUGAAAAAAYABgBZAQAAZgUAAAAA&#10;">
                <v:fill on="f" focussize="0,0"/>
                <v:stroke on="f"/>
                <v:imagedata o:title=""/>
                <o:lock v:ext="edit" aspectratio="f"/>
                <v:textbox inset="0mm,0mm,0mm,0mm">
                  <w:txbxContent>
                    <w:tbl>
                      <w:tblPr>
                        <w:tblStyle w:val="29"/>
                        <w:tblW w:w="9125" w:type="dxa"/>
                        <w:tblInd w:w="632" w:type="dxa"/>
                        <w:tblLayout w:type="fixed"/>
                        <w:tblCellMar>
                          <w:top w:w="0" w:type="dxa"/>
                          <w:left w:w="0" w:type="dxa"/>
                          <w:bottom w:w="0" w:type="dxa"/>
                          <w:right w:w="0" w:type="dxa"/>
                        </w:tblCellMar>
                      </w:tblPr>
                      <w:tblGrid>
                        <w:gridCol w:w="574"/>
                        <w:gridCol w:w="1166"/>
                        <w:gridCol w:w="1800"/>
                        <w:gridCol w:w="1823"/>
                        <w:gridCol w:w="3762"/>
                      </w:tblGrid>
                      <w:tr w14:paraId="4E629395">
                        <w:tblPrEx>
                          <w:tblCellMar>
                            <w:top w:w="0" w:type="dxa"/>
                            <w:left w:w="0" w:type="dxa"/>
                            <w:bottom w:w="0" w:type="dxa"/>
                            <w:right w:w="0" w:type="dxa"/>
                          </w:tblCellMar>
                        </w:tblPrEx>
                        <w:trPr>
                          <w:trHeight w:val="782"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DB848B2">
                            <w:pPr>
                              <w:pStyle w:val="78"/>
                              <w:spacing w:before="57" w:line="254" w:lineRule="auto"/>
                              <w:ind w:left="59" w:right="60"/>
                              <w:rPr>
                                <w:rFonts w:ascii="宋体" w:hAnsi="宋体" w:cs="宋体"/>
                              </w:rPr>
                            </w:pPr>
                            <w:r>
                              <w:rPr>
                                <w:rFonts w:hint="eastAsia" w:ascii="宋体" w:hAnsi="宋体" w:cs="宋体"/>
                                <w:b/>
                                <w:bCs/>
                                <w:w w:val="99"/>
                              </w:rPr>
                              <w:t>品目序号</w:t>
                            </w:r>
                          </w:p>
                        </w:tc>
                        <w:tc>
                          <w:tcPr>
                            <w:tcW w:w="4789" w:type="dxa"/>
                            <w:gridSpan w:val="3"/>
                            <w:tcBorders>
                              <w:top w:val="single" w:color="000000" w:sz="4" w:space="0"/>
                              <w:left w:val="single" w:color="000000" w:sz="4" w:space="0"/>
                              <w:bottom w:val="single" w:color="000000" w:sz="4" w:space="0"/>
                              <w:right w:val="single" w:color="000000" w:sz="4" w:space="0"/>
                            </w:tcBorders>
                            <w:noWrap w:val="0"/>
                            <w:vAlign w:val="top"/>
                          </w:tcPr>
                          <w:p w14:paraId="40226965">
                            <w:pPr>
                              <w:pStyle w:val="78"/>
                              <w:spacing w:before="4"/>
                              <w:rPr>
                                <w:rFonts w:ascii="宋体" w:hAnsi="宋体" w:cs="宋体"/>
                                <w:sz w:val="16"/>
                                <w:szCs w:val="16"/>
                              </w:rPr>
                            </w:pPr>
                          </w:p>
                          <w:p w14:paraId="4499F337">
                            <w:pPr>
                              <w:pStyle w:val="78"/>
                              <w:jc w:val="center"/>
                              <w:rPr>
                                <w:rFonts w:ascii="宋体" w:hAnsi="宋体" w:cs="宋体"/>
                              </w:rPr>
                            </w:pPr>
                            <w:r>
                              <w:rPr>
                                <w:rFonts w:hint="eastAsia" w:ascii="宋体" w:hAnsi="宋体" w:cs="宋体"/>
                                <w:b/>
                                <w:bCs/>
                                <w:w w:val="99"/>
                              </w:rPr>
                              <w:t>名称</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424F3A1">
                            <w:pPr>
                              <w:pStyle w:val="78"/>
                              <w:spacing w:before="4"/>
                              <w:rPr>
                                <w:rFonts w:ascii="宋体" w:hAnsi="宋体" w:cs="宋体"/>
                                <w:sz w:val="16"/>
                                <w:szCs w:val="16"/>
                              </w:rPr>
                            </w:pPr>
                          </w:p>
                          <w:p w14:paraId="21F4CBAD">
                            <w:pPr>
                              <w:pStyle w:val="78"/>
                              <w:ind w:left="926"/>
                              <w:rPr>
                                <w:rFonts w:ascii="宋体" w:hAnsi="宋体" w:cs="宋体"/>
                              </w:rPr>
                            </w:pPr>
                            <w:r>
                              <w:rPr>
                                <w:rFonts w:hint="eastAsia" w:ascii="宋体" w:hAnsi="宋体" w:cs="宋体"/>
                                <w:b/>
                                <w:bCs/>
                                <w:w w:val="99"/>
                              </w:rPr>
                              <w:t>依据的标准</w:t>
                            </w:r>
                          </w:p>
                        </w:tc>
                      </w:tr>
                      <w:tr w14:paraId="2B1D29AB">
                        <w:tblPrEx>
                          <w:tblCellMar>
                            <w:top w:w="0" w:type="dxa"/>
                            <w:left w:w="0" w:type="dxa"/>
                            <w:bottom w:w="0" w:type="dxa"/>
                            <w:right w:w="0" w:type="dxa"/>
                          </w:tblCellMar>
                        </w:tblPrEx>
                        <w:trPr>
                          <w:trHeight w:val="821"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6D1AA9EB">
                            <w:pPr>
                              <w:pStyle w:val="78"/>
                              <w:rPr>
                                <w:rFonts w:ascii="宋体" w:hAnsi="宋体" w:cs="宋体"/>
                                <w:sz w:val="20"/>
                                <w:szCs w:val="20"/>
                              </w:rPr>
                            </w:pPr>
                          </w:p>
                          <w:p w14:paraId="77ECC20A">
                            <w:pPr>
                              <w:pStyle w:val="78"/>
                              <w:rPr>
                                <w:rFonts w:ascii="宋体" w:hAnsi="宋体" w:cs="宋体"/>
                                <w:sz w:val="20"/>
                                <w:szCs w:val="20"/>
                              </w:rPr>
                            </w:pPr>
                          </w:p>
                          <w:p w14:paraId="58F05837">
                            <w:pPr>
                              <w:pStyle w:val="78"/>
                              <w:rPr>
                                <w:rFonts w:ascii="宋体" w:hAnsi="宋体" w:cs="宋体"/>
                                <w:sz w:val="20"/>
                                <w:szCs w:val="20"/>
                              </w:rPr>
                            </w:pPr>
                          </w:p>
                          <w:p w14:paraId="7F599201">
                            <w:pPr>
                              <w:pStyle w:val="78"/>
                              <w:spacing w:before="11"/>
                              <w:rPr>
                                <w:rFonts w:ascii="宋体" w:hAnsi="宋体" w:cs="宋体"/>
                                <w:sz w:val="15"/>
                                <w:szCs w:val="15"/>
                              </w:rPr>
                            </w:pPr>
                          </w:p>
                          <w:p w14:paraId="3BFA4EB3">
                            <w:pPr>
                              <w:pStyle w:val="78"/>
                              <w:ind w:right="1"/>
                              <w:jc w:val="center"/>
                              <w:rPr>
                                <w:rFonts w:ascii="宋体" w:hAnsi="宋体" w:cs="宋体"/>
                                <w:sz w:val="20"/>
                                <w:szCs w:val="20"/>
                              </w:rPr>
                            </w:pPr>
                            <w:r>
                              <w:rPr>
                                <w:rFonts w:hint="eastAsia" w:ascii="宋体"/>
                                <w:w w:val="99"/>
                                <w:sz w:val="20"/>
                              </w:rPr>
                              <w:t>1</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502BFF8F">
                            <w:pPr>
                              <w:pStyle w:val="78"/>
                              <w:rPr>
                                <w:rFonts w:ascii="宋体" w:hAnsi="宋体" w:cs="宋体"/>
                                <w:sz w:val="20"/>
                                <w:szCs w:val="20"/>
                              </w:rPr>
                            </w:pPr>
                          </w:p>
                          <w:p w14:paraId="06A9276C">
                            <w:pPr>
                              <w:pStyle w:val="78"/>
                              <w:rPr>
                                <w:rFonts w:ascii="宋体" w:hAnsi="宋体" w:cs="宋体"/>
                                <w:sz w:val="20"/>
                                <w:szCs w:val="20"/>
                              </w:rPr>
                            </w:pPr>
                          </w:p>
                          <w:p w14:paraId="4EE643F9">
                            <w:pPr>
                              <w:pStyle w:val="78"/>
                              <w:spacing w:before="12"/>
                              <w:rPr>
                                <w:rFonts w:ascii="宋体" w:hAnsi="宋体" w:cs="宋体"/>
                                <w:sz w:val="23"/>
                                <w:szCs w:val="23"/>
                              </w:rPr>
                            </w:pPr>
                          </w:p>
                          <w:p w14:paraId="5BE246B8">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1计算</w:t>
                            </w:r>
                          </w:p>
                          <w:p w14:paraId="15B95127">
                            <w:pPr>
                              <w:pStyle w:val="78"/>
                              <w:spacing w:before="50"/>
                              <w:ind w:left="7"/>
                              <w:rPr>
                                <w:rFonts w:ascii="宋体" w:hAnsi="宋体" w:cs="宋体"/>
                                <w:sz w:val="20"/>
                                <w:szCs w:val="20"/>
                              </w:rPr>
                            </w:pPr>
                            <w:r>
                              <w:rPr>
                                <w:rFonts w:hint="eastAsia" w:ascii="宋体" w:hAnsi="宋体" w:cs="宋体"/>
                                <w:w w:val="99"/>
                                <w:sz w:val="20"/>
                                <w:szCs w:val="20"/>
                              </w:rPr>
                              <w:t>机设备</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80D5AB4">
                            <w:pPr>
                              <w:pStyle w:val="78"/>
                              <w:spacing w:before="93"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04台式计算机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4672BCE">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5F0A47F1">
                            <w:pPr>
                              <w:pStyle w:val="78"/>
                              <w:spacing w:before="9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065E1297">
                        <w:tblPrEx>
                          <w:tblCellMar>
                            <w:top w:w="0" w:type="dxa"/>
                            <w:left w:w="0" w:type="dxa"/>
                            <w:bottom w:w="0" w:type="dxa"/>
                            <w:right w:w="0" w:type="dxa"/>
                          </w:tblCellMar>
                        </w:tblPrEx>
                        <w:trPr>
                          <w:trHeight w:val="727"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7FBE6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94C2B3">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6FB7DF1">
                            <w:pPr>
                              <w:pStyle w:val="78"/>
                              <w:spacing w:before="44"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10</w:t>
                            </w:r>
                            <w:r>
                              <w:rPr>
                                <w:rFonts w:hint="eastAsia" w:ascii="宋体" w:hAnsi="宋体" w:cs="宋体"/>
                                <w:spacing w:val="1"/>
                                <w:w w:val="99"/>
                                <w:sz w:val="20"/>
                                <w:szCs w:val="20"/>
                              </w:rPr>
                              <w:t>1</w:t>
                            </w:r>
                            <w:r>
                              <w:rPr>
                                <w:rFonts w:hint="eastAsia" w:ascii="宋体" w:hAnsi="宋体" w:cs="宋体"/>
                                <w:w w:val="99"/>
                                <w:sz w:val="20"/>
                                <w:szCs w:val="20"/>
                              </w:rPr>
                              <w:t>05便携式计算机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849141A">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908F7C5">
                            <w:pPr>
                              <w:pStyle w:val="78"/>
                              <w:spacing w:before="4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7101C203">
                        <w:tblPrEx>
                          <w:tblCellMar>
                            <w:top w:w="0" w:type="dxa"/>
                            <w:left w:w="0" w:type="dxa"/>
                            <w:bottom w:w="0" w:type="dxa"/>
                            <w:right w:w="0" w:type="dxa"/>
                          </w:tblCellMar>
                        </w:tblPrEx>
                        <w:trPr>
                          <w:trHeight w:val="76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930A77">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E0FE7E">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4F034FFB">
                            <w:pPr>
                              <w:pStyle w:val="78"/>
                              <w:spacing w:before="64" w:line="280" w:lineRule="auto"/>
                              <w:ind w:left="7" w:right="5"/>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1"/>
                                <w:w w:val="99"/>
                                <w:sz w:val="20"/>
                                <w:szCs w:val="20"/>
                                <w:lang w:eastAsia="zh-CN"/>
                              </w:rPr>
                              <w:t>A020</w:t>
                            </w:r>
                            <w:r>
                              <w:rPr>
                                <w:rFonts w:hint="eastAsia" w:ascii="宋体" w:hAnsi="宋体" w:cs="宋体"/>
                                <w:w w:val="99"/>
                                <w:sz w:val="20"/>
                                <w:szCs w:val="20"/>
                                <w:lang w:eastAsia="zh-CN"/>
                              </w:rPr>
                              <w:t>10</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07平板式微型计</w:t>
                            </w:r>
                            <w:r>
                              <w:rPr>
                                <w:rFonts w:hint="eastAsia" w:ascii="宋体" w:hAnsi="宋体" w:cs="宋体"/>
                                <w:spacing w:val="2"/>
                                <w:w w:val="99"/>
                                <w:sz w:val="20"/>
                                <w:szCs w:val="20"/>
                                <w:lang w:eastAsia="zh-CN"/>
                              </w:rPr>
                              <w:t>算</w:t>
                            </w:r>
                            <w:r>
                              <w:rPr>
                                <w:rFonts w:hint="eastAsia" w:ascii="宋体" w:hAnsi="宋体" w:cs="宋体"/>
                                <w:w w:val="99"/>
                                <w:sz w:val="20"/>
                                <w:szCs w:val="20"/>
                                <w:lang w:eastAsia="zh-CN"/>
                              </w:rPr>
                              <w:t>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4A0EE9A5">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C8FC099">
                            <w:pPr>
                              <w:pStyle w:val="78"/>
                              <w:spacing w:before="6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《微型计算机能效限定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及能</w:t>
                            </w:r>
                            <w:r>
                              <w:rPr>
                                <w:rFonts w:hint="eastAsia" w:ascii="宋体" w:hAnsi="宋体" w:cs="宋体"/>
                                <w:w w:val="99"/>
                                <w:sz w:val="20"/>
                                <w:szCs w:val="20"/>
                                <w:lang w:eastAsia="zh-CN"/>
                              </w:rPr>
                              <w:t>效等级》（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28380</w:t>
                            </w:r>
                            <w:r>
                              <w:rPr>
                                <w:rFonts w:hint="eastAsia" w:ascii="宋体" w:hAnsi="宋体" w:cs="宋体"/>
                                <w:w w:val="99"/>
                                <w:sz w:val="20"/>
                                <w:szCs w:val="20"/>
                                <w:lang w:eastAsia="zh-CN"/>
                              </w:rPr>
                              <w:t>）</w:t>
                            </w:r>
                          </w:p>
                        </w:tc>
                      </w:tr>
                      <w:tr w14:paraId="12643C15">
                        <w:tblPrEx>
                          <w:tblCellMar>
                            <w:top w:w="0" w:type="dxa"/>
                            <w:left w:w="0" w:type="dxa"/>
                            <w:bottom w:w="0" w:type="dxa"/>
                            <w:right w:w="0" w:type="dxa"/>
                          </w:tblCellMar>
                        </w:tblPrEx>
                        <w:trPr>
                          <w:trHeight w:val="74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26A296B6">
                            <w:pPr>
                              <w:pStyle w:val="78"/>
                              <w:rPr>
                                <w:rFonts w:ascii="宋体" w:hAnsi="宋体" w:cs="宋体"/>
                                <w:sz w:val="20"/>
                                <w:szCs w:val="20"/>
                                <w:lang w:eastAsia="zh-CN"/>
                              </w:rPr>
                            </w:pPr>
                          </w:p>
                          <w:p w14:paraId="25959E77">
                            <w:pPr>
                              <w:pStyle w:val="78"/>
                              <w:rPr>
                                <w:rFonts w:ascii="宋体" w:hAnsi="宋体" w:cs="宋体"/>
                                <w:sz w:val="20"/>
                                <w:szCs w:val="20"/>
                                <w:lang w:eastAsia="zh-CN"/>
                              </w:rPr>
                            </w:pPr>
                          </w:p>
                          <w:p w14:paraId="3C9A805B">
                            <w:pPr>
                              <w:pStyle w:val="78"/>
                              <w:rPr>
                                <w:rFonts w:ascii="宋体" w:hAnsi="宋体" w:cs="宋体"/>
                                <w:sz w:val="20"/>
                                <w:szCs w:val="20"/>
                                <w:lang w:eastAsia="zh-CN"/>
                              </w:rPr>
                            </w:pPr>
                          </w:p>
                          <w:p w14:paraId="6BF82A3D">
                            <w:pPr>
                              <w:pStyle w:val="78"/>
                              <w:rPr>
                                <w:rFonts w:ascii="宋体" w:hAnsi="宋体" w:cs="宋体"/>
                                <w:sz w:val="20"/>
                                <w:szCs w:val="20"/>
                                <w:lang w:eastAsia="zh-CN"/>
                              </w:rPr>
                            </w:pPr>
                          </w:p>
                          <w:p w14:paraId="25B19C1C">
                            <w:pPr>
                              <w:pStyle w:val="78"/>
                              <w:rPr>
                                <w:rFonts w:ascii="宋体" w:hAnsi="宋体" w:cs="宋体"/>
                                <w:sz w:val="20"/>
                                <w:szCs w:val="20"/>
                                <w:lang w:eastAsia="zh-CN"/>
                              </w:rPr>
                            </w:pPr>
                          </w:p>
                          <w:p w14:paraId="00E3E27F">
                            <w:pPr>
                              <w:pStyle w:val="78"/>
                              <w:rPr>
                                <w:rFonts w:ascii="宋体" w:hAnsi="宋体" w:cs="宋体"/>
                                <w:sz w:val="20"/>
                                <w:szCs w:val="20"/>
                                <w:lang w:eastAsia="zh-CN"/>
                              </w:rPr>
                            </w:pPr>
                          </w:p>
                          <w:p w14:paraId="0E062F71">
                            <w:pPr>
                              <w:pStyle w:val="78"/>
                              <w:rPr>
                                <w:rFonts w:ascii="宋体" w:hAnsi="宋体" w:cs="宋体"/>
                                <w:sz w:val="20"/>
                                <w:szCs w:val="20"/>
                                <w:lang w:eastAsia="zh-CN"/>
                              </w:rPr>
                            </w:pPr>
                          </w:p>
                          <w:p w14:paraId="4174F7AF">
                            <w:pPr>
                              <w:pStyle w:val="78"/>
                              <w:spacing w:before="2"/>
                              <w:rPr>
                                <w:rFonts w:ascii="宋体" w:hAnsi="宋体" w:cs="宋体"/>
                                <w:sz w:val="14"/>
                                <w:szCs w:val="14"/>
                                <w:lang w:eastAsia="zh-CN"/>
                              </w:rPr>
                            </w:pPr>
                          </w:p>
                          <w:p w14:paraId="45C2DBC9">
                            <w:pPr>
                              <w:pStyle w:val="78"/>
                              <w:ind w:right="1"/>
                              <w:jc w:val="center"/>
                              <w:rPr>
                                <w:rFonts w:ascii="宋体" w:hAnsi="宋体" w:cs="宋体"/>
                                <w:sz w:val="20"/>
                                <w:szCs w:val="20"/>
                              </w:rPr>
                            </w:pPr>
                            <w:r>
                              <w:rPr>
                                <w:rFonts w:hint="eastAsia" w:ascii="宋体"/>
                                <w:w w:val="99"/>
                                <w:sz w:val="20"/>
                              </w:rPr>
                              <w:t>2</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685CEA16">
                            <w:pPr>
                              <w:pStyle w:val="78"/>
                              <w:rPr>
                                <w:rFonts w:ascii="宋体" w:hAnsi="宋体" w:cs="宋体"/>
                                <w:sz w:val="20"/>
                                <w:szCs w:val="20"/>
                              </w:rPr>
                            </w:pPr>
                          </w:p>
                          <w:p w14:paraId="6B96A779">
                            <w:pPr>
                              <w:pStyle w:val="78"/>
                              <w:rPr>
                                <w:rFonts w:ascii="宋体" w:hAnsi="宋体" w:cs="宋体"/>
                                <w:sz w:val="20"/>
                                <w:szCs w:val="20"/>
                              </w:rPr>
                            </w:pPr>
                          </w:p>
                          <w:p w14:paraId="232F38F4">
                            <w:pPr>
                              <w:pStyle w:val="78"/>
                              <w:rPr>
                                <w:rFonts w:ascii="宋体" w:hAnsi="宋体" w:cs="宋体"/>
                                <w:sz w:val="20"/>
                                <w:szCs w:val="20"/>
                              </w:rPr>
                            </w:pPr>
                          </w:p>
                          <w:p w14:paraId="21928FB5">
                            <w:pPr>
                              <w:pStyle w:val="78"/>
                              <w:rPr>
                                <w:rFonts w:ascii="宋体" w:hAnsi="宋体" w:cs="宋体"/>
                                <w:sz w:val="20"/>
                                <w:szCs w:val="20"/>
                              </w:rPr>
                            </w:pPr>
                          </w:p>
                          <w:p w14:paraId="3B9A3DBB">
                            <w:pPr>
                              <w:pStyle w:val="78"/>
                              <w:rPr>
                                <w:rFonts w:ascii="宋体" w:hAnsi="宋体" w:cs="宋体"/>
                                <w:sz w:val="20"/>
                                <w:szCs w:val="20"/>
                              </w:rPr>
                            </w:pPr>
                          </w:p>
                          <w:p w14:paraId="715C4BED">
                            <w:pPr>
                              <w:pStyle w:val="78"/>
                              <w:rPr>
                                <w:rFonts w:ascii="宋体" w:hAnsi="宋体" w:cs="宋体"/>
                                <w:sz w:val="20"/>
                                <w:szCs w:val="20"/>
                              </w:rPr>
                            </w:pPr>
                          </w:p>
                          <w:p w14:paraId="4806EF85">
                            <w:pPr>
                              <w:pStyle w:val="78"/>
                              <w:spacing w:before="3"/>
                              <w:rPr>
                                <w:rFonts w:ascii="宋体" w:hAnsi="宋体" w:cs="宋体"/>
                              </w:rPr>
                            </w:pPr>
                          </w:p>
                          <w:p w14:paraId="62A70FEA">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6输入</w:t>
                            </w:r>
                          </w:p>
                          <w:p w14:paraId="17C15943">
                            <w:pPr>
                              <w:pStyle w:val="78"/>
                              <w:spacing w:before="50"/>
                              <w:ind w:left="7"/>
                              <w:rPr>
                                <w:rFonts w:ascii="宋体" w:hAnsi="宋体" w:cs="宋体"/>
                                <w:sz w:val="20"/>
                                <w:szCs w:val="20"/>
                              </w:rPr>
                            </w:pPr>
                            <w:r>
                              <w:rPr>
                                <w:rFonts w:hint="eastAsia" w:ascii="宋体" w:hAnsi="宋体" w:cs="宋体"/>
                                <w:w w:val="99"/>
                                <w:sz w:val="20"/>
                                <w:szCs w:val="20"/>
                              </w:rPr>
                              <w:t>输出设备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409E3FA6">
                            <w:pPr>
                              <w:pStyle w:val="78"/>
                              <w:rPr>
                                <w:rFonts w:ascii="宋体" w:hAnsi="宋体" w:cs="宋体"/>
                                <w:sz w:val="20"/>
                                <w:szCs w:val="20"/>
                              </w:rPr>
                            </w:pPr>
                          </w:p>
                          <w:p w14:paraId="1AC6DE57">
                            <w:pPr>
                              <w:pStyle w:val="78"/>
                              <w:rPr>
                                <w:rFonts w:ascii="宋体" w:hAnsi="宋体" w:cs="宋体"/>
                                <w:sz w:val="20"/>
                                <w:szCs w:val="20"/>
                              </w:rPr>
                            </w:pPr>
                          </w:p>
                          <w:p w14:paraId="6759CD6D">
                            <w:pPr>
                              <w:pStyle w:val="78"/>
                              <w:rPr>
                                <w:rFonts w:ascii="宋体" w:hAnsi="宋体" w:cs="宋体"/>
                                <w:sz w:val="20"/>
                                <w:szCs w:val="20"/>
                              </w:rPr>
                            </w:pPr>
                          </w:p>
                          <w:p w14:paraId="45F1D040">
                            <w:pPr>
                              <w:pStyle w:val="78"/>
                              <w:spacing w:before="164"/>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601打印设备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FF927B4">
                            <w:pPr>
                              <w:pStyle w:val="78"/>
                              <w:spacing w:before="52"/>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10</w:t>
                            </w:r>
                            <w:r>
                              <w:rPr>
                                <w:rFonts w:hint="eastAsia" w:ascii="宋体" w:hAnsi="宋体" w:cs="宋体"/>
                                <w:w w:val="99"/>
                                <w:sz w:val="20"/>
                                <w:szCs w:val="20"/>
                              </w:rPr>
                              <w:t>1喷墨打</w:t>
                            </w:r>
                          </w:p>
                          <w:p w14:paraId="06B4045D">
                            <w:pPr>
                              <w:pStyle w:val="78"/>
                              <w:spacing w:before="50"/>
                              <w:ind w:left="7"/>
                              <w:rPr>
                                <w:rFonts w:ascii="宋体" w:hAnsi="宋体" w:cs="宋体"/>
                                <w:sz w:val="20"/>
                                <w:szCs w:val="20"/>
                              </w:rPr>
                            </w:pPr>
                            <w:r>
                              <w:rPr>
                                <w:rFonts w:hint="eastAsia" w:ascii="宋体" w:hAnsi="宋体" w:cs="宋体"/>
                                <w:w w:val="99"/>
                                <w:sz w:val="20"/>
                                <w:szCs w:val="20"/>
                              </w:rPr>
                              <w:t>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0F73880">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121EB51E">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437E08">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AA645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73CAE96">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FF6541B">
                            <w:pPr>
                              <w:pStyle w:val="7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02激光</w:t>
                            </w:r>
                          </w:p>
                          <w:p w14:paraId="0BA0300C">
                            <w:pPr>
                              <w:pStyle w:val="78"/>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D65EE69">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29485876">
                        <w:tblPrEx>
                          <w:tblCellMar>
                            <w:top w:w="0" w:type="dxa"/>
                            <w:left w:w="0" w:type="dxa"/>
                            <w:bottom w:w="0" w:type="dxa"/>
                            <w:right w:w="0" w:type="dxa"/>
                          </w:tblCellMar>
                        </w:tblPrEx>
                        <w:trPr>
                          <w:trHeight w:val="742"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804B70">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D7B6AC">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48D111">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AF804DE">
                            <w:pPr>
                              <w:pStyle w:val="78"/>
                              <w:spacing w:before="52"/>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1</w:t>
                            </w:r>
                            <w:r>
                              <w:rPr>
                                <w:rFonts w:hint="eastAsia" w:ascii="宋体" w:hAnsi="宋体" w:cs="宋体"/>
                                <w:w w:val="99"/>
                                <w:sz w:val="20"/>
                                <w:szCs w:val="20"/>
                              </w:rPr>
                              <w:t>04针式</w:t>
                            </w:r>
                          </w:p>
                          <w:p w14:paraId="48A76088">
                            <w:pPr>
                              <w:pStyle w:val="78"/>
                              <w:spacing w:before="50"/>
                              <w:ind w:left="7"/>
                              <w:rPr>
                                <w:rFonts w:ascii="宋体" w:hAnsi="宋体" w:cs="宋体"/>
                                <w:sz w:val="20"/>
                                <w:szCs w:val="20"/>
                              </w:rPr>
                            </w:pPr>
                            <w:r>
                              <w:rPr>
                                <w:rFonts w:hint="eastAsia" w:ascii="宋体" w:hAnsi="宋体" w:cs="宋体"/>
                                <w:w w:val="99"/>
                                <w:sz w:val="20"/>
                                <w:szCs w:val="20"/>
                              </w:rPr>
                              <w:t>打印机</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D37DC08">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0EC85D2">
                        <w:tblPrEx>
                          <w:tblCellMar>
                            <w:top w:w="0" w:type="dxa"/>
                            <w:left w:w="0" w:type="dxa"/>
                            <w:bottom w:w="0" w:type="dxa"/>
                            <w:right w:w="0" w:type="dxa"/>
                          </w:tblCellMar>
                        </w:tblPrEx>
                        <w:trPr>
                          <w:trHeight w:val="773"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482A9C">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381936">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0C760C5">
                            <w:pPr>
                              <w:pStyle w:val="78"/>
                              <w:spacing w:before="2"/>
                              <w:rPr>
                                <w:rFonts w:ascii="宋体" w:hAnsi="宋体" w:cs="宋体"/>
                                <w:sz w:val="17"/>
                                <w:szCs w:val="17"/>
                                <w:lang w:eastAsia="zh-CN"/>
                              </w:rPr>
                            </w:pPr>
                          </w:p>
                          <w:p w14:paraId="54DD6D19">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604显示设备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14B353B6">
                            <w:pPr>
                              <w:pStyle w:val="78"/>
                              <w:spacing w:before="6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4</w:t>
                            </w:r>
                            <w:r>
                              <w:rPr>
                                <w:rFonts w:hint="eastAsia" w:ascii="宋体" w:hAnsi="宋体" w:cs="宋体"/>
                                <w:w w:val="99"/>
                                <w:sz w:val="20"/>
                                <w:szCs w:val="20"/>
                              </w:rPr>
                              <w:t>01液晶</w:t>
                            </w:r>
                          </w:p>
                          <w:p w14:paraId="39C02126">
                            <w:pPr>
                              <w:pStyle w:val="78"/>
                              <w:spacing w:before="50"/>
                              <w:ind w:left="7"/>
                              <w:rPr>
                                <w:rFonts w:ascii="宋体" w:hAnsi="宋体" w:cs="宋体"/>
                                <w:sz w:val="20"/>
                                <w:szCs w:val="20"/>
                              </w:rPr>
                            </w:pPr>
                            <w:r>
                              <w:rPr>
                                <w:rFonts w:hint="eastAsia" w:ascii="宋体" w:hAnsi="宋体" w:cs="宋体"/>
                                <w:w w:val="99"/>
                                <w:sz w:val="20"/>
                                <w:szCs w:val="20"/>
                              </w:rPr>
                              <w:t>显示器</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77AF6AFE">
                            <w:pPr>
                              <w:pStyle w:val="78"/>
                              <w:spacing w:before="68"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《计算机显示器能效限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5EEF60F2">
                        <w:tblPrEx>
                          <w:tblCellMar>
                            <w:top w:w="0" w:type="dxa"/>
                            <w:left w:w="0" w:type="dxa"/>
                            <w:bottom w:w="0" w:type="dxa"/>
                            <w:right w:w="0" w:type="dxa"/>
                          </w:tblCellMar>
                        </w:tblPrEx>
                        <w:trPr>
                          <w:trHeight w:val="1161"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32269">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436824">
                            <w:pPr>
                              <w:widowControl/>
                              <w:jc w:val="left"/>
                              <w:rPr>
                                <w:rFonts w:ascii="宋体" w:hAnsi="宋体" w:eastAsia="Times New Roman" w:cs="宋体"/>
                                <w:kern w:val="0"/>
                                <w:sz w:val="20"/>
                                <w:szCs w:val="20"/>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9FC73FF">
                            <w:pPr>
                              <w:pStyle w:val="78"/>
                              <w:spacing w:before="8"/>
                              <w:rPr>
                                <w:rFonts w:ascii="宋体" w:hAnsi="宋体" w:cs="宋体"/>
                                <w:sz w:val="27"/>
                                <w:szCs w:val="27"/>
                                <w:lang w:eastAsia="zh-CN"/>
                              </w:rPr>
                            </w:pPr>
                          </w:p>
                          <w:p w14:paraId="0FF3830A">
                            <w:pPr>
                              <w:pStyle w:val="7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609图形图像输入设备</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0B1E8C7">
                            <w:pPr>
                              <w:pStyle w:val="78"/>
                              <w:rPr>
                                <w:rFonts w:ascii="宋体" w:hAnsi="宋体" w:cs="宋体"/>
                                <w:sz w:val="20"/>
                                <w:szCs w:val="20"/>
                              </w:rPr>
                            </w:pPr>
                          </w:p>
                          <w:p w14:paraId="60108A6E">
                            <w:pPr>
                              <w:pStyle w:val="78"/>
                              <w:spacing w:before="7"/>
                              <w:rPr>
                                <w:rFonts w:ascii="宋体" w:hAnsi="宋体" w:cs="宋体"/>
                                <w:sz w:val="19"/>
                                <w:szCs w:val="19"/>
                              </w:rPr>
                            </w:pPr>
                          </w:p>
                          <w:p w14:paraId="5536EE8E">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01</w:t>
                            </w:r>
                            <w:r>
                              <w:rPr>
                                <w:rFonts w:hint="eastAsia" w:ascii="宋体" w:hAnsi="宋体" w:cs="宋体"/>
                                <w:spacing w:val="1"/>
                                <w:w w:val="99"/>
                                <w:sz w:val="20"/>
                                <w:szCs w:val="20"/>
                              </w:rPr>
                              <w:t>0</w:t>
                            </w:r>
                            <w:r>
                              <w:rPr>
                                <w:rFonts w:hint="eastAsia" w:ascii="宋体" w:hAnsi="宋体" w:cs="宋体"/>
                                <w:w w:val="99"/>
                                <w:sz w:val="20"/>
                                <w:szCs w:val="20"/>
                              </w:rPr>
                              <w:t>60</w:t>
                            </w:r>
                            <w:r>
                              <w:rPr>
                                <w:rFonts w:hint="eastAsia" w:ascii="宋体" w:hAnsi="宋体" w:cs="宋体"/>
                                <w:spacing w:val="1"/>
                                <w:w w:val="99"/>
                                <w:sz w:val="20"/>
                                <w:szCs w:val="20"/>
                              </w:rPr>
                              <w:t>9</w:t>
                            </w:r>
                            <w:r>
                              <w:rPr>
                                <w:rFonts w:hint="eastAsia" w:ascii="宋体" w:hAnsi="宋体" w:cs="宋体"/>
                                <w:w w:val="99"/>
                                <w:sz w:val="20"/>
                                <w:szCs w:val="20"/>
                              </w:rPr>
                              <w:t>01扫描仪</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4482B90F">
                            <w:pPr>
                              <w:pStyle w:val="78"/>
                              <w:spacing w:before="49" w:line="280" w:lineRule="auto"/>
                              <w:ind w:left="7" w:right="7"/>
                              <w:rPr>
                                <w:rFonts w:ascii="宋体" w:hAnsi="宋体" w:cs="宋体"/>
                                <w:sz w:val="20"/>
                                <w:szCs w:val="20"/>
                                <w:lang w:eastAsia="zh-CN"/>
                              </w:rPr>
                            </w:pPr>
                            <w:r>
                              <w:rPr>
                                <w:rFonts w:hint="eastAsia" w:ascii="宋体" w:hAnsi="宋体" w:cs="宋体"/>
                                <w:w w:val="99"/>
                                <w:sz w:val="20"/>
                                <w:szCs w:val="20"/>
                                <w:lang w:eastAsia="zh-CN"/>
                              </w:rPr>
                              <w:t>参</w:t>
                            </w:r>
                            <w:r>
                              <w:rPr>
                                <w:rFonts w:hint="eastAsia" w:ascii="宋体" w:hAnsi="宋体" w:cs="宋体"/>
                                <w:spacing w:val="-29"/>
                                <w:w w:val="99"/>
                                <w:sz w:val="20"/>
                                <w:szCs w:val="20"/>
                                <w:lang w:eastAsia="zh-CN"/>
                              </w:rPr>
                              <w:t>照</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复</w:t>
                            </w:r>
                            <w:r>
                              <w:rPr>
                                <w:rFonts w:hint="eastAsia" w:ascii="宋体" w:hAnsi="宋体" w:cs="宋体"/>
                                <w:w w:val="99"/>
                                <w:sz w:val="20"/>
                                <w:szCs w:val="20"/>
                                <w:lang w:eastAsia="zh-CN"/>
                              </w:rPr>
                              <w:t>印</w:t>
                            </w:r>
                            <w:r>
                              <w:rPr>
                                <w:rFonts w:hint="eastAsia" w:ascii="宋体" w:hAnsi="宋体" w:cs="宋体"/>
                                <w:spacing w:val="2"/>
                                <w:w w:val="99"/>
                                <w:sz w:val="20"/>
                                <w:szCs w:val="20"/>
                                <w:lang w:eastAsia="zh-CN"/>
                              </w:rPr>
                              <w:t>机</w:t>
                            </w:r>
                            <w:r>
                              <w:rPr>
                                <w:rFonts w:hint="eastAsia" w:ascii="宋体" w:hAnsi="宋体" w:cs="宋体"/>
                                <w:spacing w:val="-29"/>
                                <w:w w:val="99"/>
                                <w:sz w:val="20"/>
                                <w:szCs w:val="20"/>
                                <w:lang w:eastAsia="zh-CN"/>
                              </w:rPr>
                              <w:t>、</w:t>
                            </w:r>
                            <w:r>
                              <w:rPr>
                                <w:rFonts w:hint="eastAsia" w:ascii="宋体" w:hAnsi="宋体" w:cs="宋体"/>
                                <w:w w:val="99"/>
                                <w:sz w:val="20"/>
                                <w:szCs w:val="20"/>
                                <w:lang w:eastAsia="zh-CN"/>
                              </w:rPr>
                              <w:t>打</w:t>
                            </w:r>
                            <w:r>
                              <w:rPr>
                                <w:rFonts w:hint="eastAsia" w:ascii="宋体" w:hAnsi="宋体" w:cs="宋体"/>
                                <w:spacing w:val="2"/>
                                <w:w w:val="99"/>
                                <w:sz w:val="20"/>
                                <w:szCs w:val="20"/>
                                <w:lang w:eastAsia="zh-CN"/>
                              </w:rPr>
                              <w:t>印</w:t>
                            </w:r>
                            <w:r>
                              <w:rPr>
                                <w:rFonts w:hint="eastAsia" w:ascii="宋体" w:hAnsi="宋体" w:cs="宋体"/>
                                <w:w w:val="99"/>
                                <w:sz w:val="20"/>
                                <w:szCs w:val="20"/>
                                <w:lang w:eastAsia="zh-CN"/>
                              </w:rPr>
                              <w:t>机和</w:t>
                            </w:r>
                            <w:r>
                              <w:rPr>
                                <w:rFonts w:hint="eastAsia" w:ascii="宋体" w:hAnsi="宋体" w:cs="宋体"/>
                                <w:spacing w:val="2"/>
                                <w:w w:val="99"/>
                                <w:sz w:val="20"/>
                                <w:szCs w:val="20"/>
                                <w:lang w:eastAsia="zh-CN"/>
                              </w:rPr>
                              <w:t>传</w:t>
                            </w:r>
                            <w:r>
                              <w:rPr>
                                <w:rFonts w:hint="eastAsia" w:ascii="宋体" w:hAnsi="宋体" w:cs="宋体"/>
                                <w:w w:val="99"/>
                                <w:sz w:val="20"/>
                                <w:szCs w:val="20"/>
                                <w:lang w:eastAsia="zh-CN"/>
                              </w:rPr>
                              <w:t>真机能效限定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2152</w:t>
                            </w:r>
                            <w:r>
                              <w:rPr>
                                <w:rFonts w:hint="eastAsia" w:ascii="宋体" w:hAnsi="宋体" w:cs="宋体"/>
                                <w:w w:val="99"/>
                                <w:sz w:val="20"/>
                                <w:szCs w:val="20"/>
                                <w:lang w:eastAsia="zh-CN"/>
                              </w:rPr>
                              <w:t>1）</w:t>
                            </w:r>
                            <w:r>
                              <w:rPr>
                                <w:rFonts w:hint="eastAsia" w:ascii="宋体" w:hAnsi="宋体" w:cs="宋体"/>
                                <w:spacing w:val="2"/>
                                <w:w w:val="99"/>
                                <w:sz w:val="20"/>
                                <w:szCs w:val="20"/>
                                <w:lang w:eastAsia="zh-CN"/>
                              </w:rPr>
                              <w:t>中</w:t>
                            </w:r>
                            <w:r>
                              <w:rPr>
                                <w:rFonts w:hint="eastAsia" w:ascii="宋体" w:hAnsi="宋体" w:cs="宋体"/>
                                <w:spacing w:val="4"/>
                                <w:w w:val="99"/>
                                <w:sz w:val="20"/>
                                <w:szCs w:val="20"/>
                                <w:lang w:eastAsia="zh-CN"/>
                              </w:rPr>
                              <w:t>打印速</w:t>
                            </w:r>
                            <w:r>
                              <w:rPr>
                                <w:rFonts w:hint="eastAsia" w:ascii="宋体" w:hAnsi="宋体" w:cs="宋体"/>
                                <w:spacing w:val="2"/>
                                <w:w w:val="99"/>
                                <w:sz w:val="20"/>
                                <w:szCs w:val="20"/>
                                <w:lang w:eastAsia="zh-CN"/>
                              </w:rPr>
                              <w:t>度</w:t>
                            </w:r>
                            <w:r>
                              <w:rPr>
                                <w:rFonts w:hint="eastAsia" w:ascii="宋体" w:hAnsi="宋体" w:cs="宋体"/>
                                <w:w w:val="99"/>
                                <w:sz w:val="20"/>
                                <w:szCs w:val="20"/>
                                <w:lang w:eastAsia="zh-CN"/>
                              </w:rPr>
                              <w:t>为</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5</w:t>
                            </w:r>
                            <w:r>
                              <w:rPr>
                                <w:rFonts w:hint="eastAsia" w:ascii="宋体" w:hAnsi="宋体" w:cs="宋体"/>
                                <w:spacing w:val="2"/>
                                <w:w w:val="99"/>
                                <w:sz w:val="20"/>
                                <w:szCs w:val="20"/>
                                <w:lang w:eastAsia="zh-CN"/>
                              </w:rPr>
                              <w:t>页</w:t>
                            </w:r>
                            <w:r>
                              <w:rPr>
                                <w:rFonts w:hint="eastAsia" w:ascii="宋体" w:hAnsi="宋体" w:cs="宋体"/>
                                <w:spacing w:val="5"/>
                                <w:w w:val="99"/>
                                <w:sz w:val="20"/>
                                <w:szCs w:val="20"/>
                                <w:lang w:eastAsia="zh-CN"/>
                              </w:rPr>
                              <w:t>/</w:t>
                            </w:r>
                            <w:r>
                              <w:rPr>
                                <w:rFonts w:hint="eastAsia" w:ascii="宋体" w:hAnsi="宋体" w:cs="宋体"/>
                                <w:spacing w:val="4"/>
                                <w:w w:val="99"/>
                                <w:sz w:val="20"/>
                                <w:szCs w:val="20"/>
                                <w:lang w:eastAsia="zh-CN"/>
                              </w:rPr>
                              <w:t>分的</w:t>
                            </w:r>
                            <w:r>
                              <w:rPr>
                                <w:rFonts w:hint="eastAsia" w:ascii="宋体" w:hAnsi="宋体" w:cs="宋体"/>
                                <w:spacing w:val="2"/>
                                <w:w w:val="99"/>
                                <w:sz w:val="20"/>
                                <w:szCs w:val="20"/>
                                <w:lang w:eastAsia="zh-CN"/>
                              </w:rPr>
                              <w:t>针</w:t>
                            </w:r>
                            <w:r>
                              <w:rPr>
                                <w:rFonts w:hint="eastAsia" w:ascii="宋体" w:hAnsi="宋体" w:cs="宋体"/>
                                <w:spacing w:val="4"/>
                                <w:w w:val="99"/>
                                <w:sz w:val="20"/>
                                <w:szCs w:val="20"/>
                                <w:lang w:eastAsia="zh-CN"/>
                              </w:rPr>
                              <w:t>式</w:t>
                            </w:r>
                            <w:r>
                              <w:rPr>
                                <w:rFonts w:hint="eastAsia" w:ascii="宋体" w:hAnsi="宋体" w:cs="宋体"/>
                                <w:w w:val="99"/>
                                <w:sz w:val="20"/>
                                <w:szCs w:val="20"/>
                                <w:lang w:eastAsia="zh-CN"/>
                              </w:rPr>
                              <w:t>打印机相</w:t>
                            </w:r>
                            <w:r>
                              <w:rPr>
                                <w:rFonts w:hint="eastAsia" w:ascii="宋体" w:hAnsi="宋体" w:cs="宋体"/>
                                <w:spacing w:val="2"/>
                                <w:w w:val="99"/>
                                <w:sz w:val="20"/>
                                <w:szCs w:val="20"/>
                                <w:lang w:eastAsia="zh-CN"/>
                              </w:rPr>
                              <w:t>关</w:t>
                            </w:r>
                            <w:r>
                              <w:rPr>
                                <w:rFonts w:hint="eastAsia" w:ascii="宋体" w:hAnsi="宋体" w:cs="宋体"/>
                                <w:w w:val="99"/>
                                <w:sz w:val="20"/>
                                <w:szCs w:val="20"/>
                                <w:lang w:eastAsia="zh-CN"/>
                              </w:rPr>
                              <w:t>要求</w:t>
                            </w:r>
                          </w:p>
                        </w:tc>
                      </w:tr>
                      <w:tr w14:paraId="53619298">
                        <w:tblPrEx>
                          <w:tblCellMar>
                            <w:top w:w="0" w:type="dxa"/>
                            <w:left w:w="0" w:type="dxa"/>
                            <w:bottom w:w="0" w:type="dxa"/>
                            <w:right w:w="0" w:type="dxa"/>
                          </w:tblCellMar>
                        </w:tblPrEx>
                        <w:trPr>
                          <w:trHeight w:val="684"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21B04F68">
                            <w:pPr>
                              <w:pStyle w:val="78"/>
                              <w:spacing w:before="179"/>
                              <w:ind w:right="1"/>
                              <w:jc w:val="center"/>
                              <w:rPr>
                                <w:rFonts w:ascii="宋体" w:hAnsi="宋体" w:cs="宋体"/>
                                <w:sz w:val="20"/>
                                <w:szCs w:val="20"/>
                              </w:rPr>
                            </w:pPr>
                            <w:r>
                              <w:rPr>
                                <w:rFonts w:hint="eastAsia" w:ascii="宋体"/>
                                <w:w w:val="99"/>
                                <w:sz w:val="20"/>
                              </w:rPr>
                              <w:t>3</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7EDCBCCA">
                            <w:pPr>
                              <w:pStyle w:val="78"/>
                              <w:spacing w:before="23"/>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2投影</w:t>
                            </w:r>
                          </w:p>
                          <w:p w14:paraId="512D0849">
                            <w:pPr>
                              <w:pStyle w:val="78"/>
                              <w:spacing w:before="50"/>
                              <w:ind w:left="7"/>
                              <w:rPr>
                                <w:rFonts w:ascii="宋体" w:hAnsi="宋体" w:cs="宋体"/>
                                <w:sz w:val="20"/>
                                <w:szCs w:val="20"/>
                              </w:rPr>
                            </w:pPr>
                            <w:r>
                              <w:rPr>
                                <w:rFonts w:hint="eastAsia" w:ascii="宋体" w:hAnsi="宋体" w:cs="宋体"/>
                                <w:w w:val="99"/>
                                <w:sz w:val="20"/>
                                <w:szCs w:val="20"/>
                              </w:rPr>
                              <w:t>仪</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31A97961">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0E7B497B">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235C736F">
                            <w:pPr>
                              <w:pStyle w:val="78"/>
                              <w:spacing w:before="23"/>
                              <w:ind w:left="7"/>
                              <w:rPr>
                                <w:rFonts w:ascii="宋体" w:hAnsi="宋体" w:cs="宋体"/>
                                <w:sz w:val="20"/>
                                <w:szCs w:val="20"/>
                                <w:lang w:eastAsia="zh-CN"/>
                              </w:rPr>
                            </w:pPr>
                            <w:r>
                              <w:rPr>
                                <w:rFonts w:hint="eastAsia" w:ascii="宋体" w:hAnsi="宋体" w:cs="宋体"/>
                                <w:w w:val="99"/>
                                <w:sz w:val="20"/>
                                <w:szCs w:val="20"/>
                                <w:lang w:eastAsia="zh-CN"/>
                              </w:rPr>
                              <w:t>《投影</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20</w:t>
                            </w:r>
                            <w:r>
                              <w:rPr>
                                <w:rFonts w:hint="eastAsia" w:ascii="宋体" w:hAnsi="宋体" w:cs="宋体"/>
                                <w:spacing w:val="1"/>
                                <w:w w:val="99"/>
                                <w:sz w:val="20"/>
                                <w:szCs w:val="20"/>
                                <w:lang w:eastAsia="zh-CN"/>
                              </w:rPr>
                              <w:t>28</w:t>
                            </w:r>
                            <w:r>
                              <w:rPr>
                                <w:rFonts w:hint="eastAsia" w:ascii="宋体" w:hAnsi="宋体" w:cs="宋体"/>
                                <w:w w:val="99"/>
                                <w:sz w:val="20"/>
                                <w:szCs w:val="20"/>
                                <w:lang w:eastAsia="zh-CN"/>
                              </w:rPr>
                              <w:t>）</w:t>
                            </w:r>
                          </w:p>
                        </w:tc>
                      </w:tr>
                      <w:tr w14:paraId="1E5A05BC">
                        <w:tblPrEx>
                          <w:tblCellMar>
                            <w:top w:w="0" w:type="dxa"/>
                            <w:left w:w="0" w:type="dxa"/>
                            <w:bottom w:w="0" w:type="dxa"/>
                            <w:right w:w="0" w:type="dxa"/>
                          </w:tblCellMar>
                        </w:tblPrEx>
                        <w:trPr>
                          <w:trHeight w:val="770"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674CE91F">
                            <w:pPr>
                              <w:pStyle w:val="78"/>
                              <w:spacing w:before="13"/>
                              <w:rPr>
                                <w:rFonts w:ascii="宋体" w:hAnsi="宋体" w:cs="宋体"/>
                                <w:sz w:val="16"/>
                                <w:szCs w:val="16"/>
                                <w:lang w:eastAsia="zh-CN"/>
                              </w:rPr>
                            </w:pPr>
                          </w:p>
                          <w:p w14:paraId="1E1BE5F0">
                            <w:pPr>
                              <w:pStyle w:val="78"/>
                              <w:ind w:right="1"/>
                              <w:jc w:val="center"/>
                              <w:rPr>
                                <w:rFonts w:ascii="宋体" w:hAnsi="宋体" w:cs="宋体"/>
                                <w:sz w:val="20"/>
                                <w:szCs w:val="20"/>
                              </w:rPr>
                            </w:pPr>
                            <w:r>
                              <w:rPr>
                                <w:rFonts w:hint="eastAsia" w:ascii="宋体"/>
                                <w:w w:val="99"/>
                                <w:sz w:val="20"/>
                              </w:rPr>
                              <w:t>4</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644C4691">
                            <w:pPr>
                              <w:pStyle w:val="78"/>
                              <w:spacing w:before="66"/>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02</w:t>
                            </w:r>
                            <w:r>
                              <w:rPr>
                                <w:rFonts w:hint="eastAsia" w:ascii="宋体" w:hAnsi="宋体" w:cs="宋体"/>
                                <w:spacing w:val="1"/>
                                <w:w w:val="99"/>
                                <w:sz w:val="20"/>
                                <w:szCs w:val="20"/>
                              </w:rPr>
                              <w:t>0</w:t>
                            </w:r>
                            <w:r>
                              <w:rPr>
                                <w:rFonts w:hint="eastAsia" w:ascii="宋体" w:hAnsi="宋体" w:cs="宋体"/>
                                <w:w w:val="99"/>
                                <w:sz w:val="20"/>
                                <w:szCs w:val="20"/>
                              </w:rPr>
                              <w:t>4多功</w:t>
                            </w:r>
                          </w:p>
                          <w:p w14:paraId="09B83FAD">
                            <w:pPr>
                              <w:pStyle w:val="78"/>
                              <w:spacing w:before="50"/>
                              <w:ind w:left="7"/>
                              <w:rPr>
                                <w:rFonts w:ascii="宋体" w:hAnsi="宋体" w:cs="宋体"/>
                                <w:sz w:val="20"/>
                                <w:szCs w:val="20"/>
                              </w:rPr>
                            </w:pPr>
                            <w:r>
                              <w:rPr>
                                <w:rFonts w:hint="eastAsia" w:ascii="宋体" w:hAnsi="宋体" w:cs="宋体"/>
                                <w:w w:val="99"/>
                                <w:sz w:val="20"/>
                                <w:szCs w:val="20"/>
                              </w:rPr>
                              <w:t>能一体机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06BD5F52">
                            <w:pPr>
                              <w:rPr>
                                <w:rFonts w:ascii="Calibri" w:hAnsi="Calibri"/>
                                <w:sz w:val="22"/>
                                <w:szCs w:val="22"/>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2413B9F4">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1B4E5B01">
                            <w:pPr>
                              <w:pStyle w:val="78"/>
                              <w:spacing w:before="66" w:line="280" w:lineRule="auto"/>
                              <w:ind w:left="7" w:right="7"/>
                              <w:rPr>
                                <w:rFonts w:ascii="宋体" w:hAnsi="宋体" w:cs="宋体"/>
                                <w:sz w:val="20"/>
                                <w:szCs w:val="20"/>
                                <w:lang w:eastAsia="zh-CN"/>
                              </w:rPr>
                            </w:pPr>
                            <w:r>
                              <w:rPr>
                                <w:rFonts w:hint="eastAsia" w:ascii="宋体" w:hAnsi="宋体" w:cs="宋体"/>
                                <w:w w:val="99"/>
                                <w:sz w:val="20"/>
                                <w:szCs w:val="20"/>
                                <w:lang w:eastAsia="zh-CN"/>
                              </w:rPr>
                              <w:t>《复印</w:t>
                            </w:r>
                            <w:r>
                              <w:rPr>
                                <w:rFonts w:hint="eastAsia" w:ascii="宋体" w:hAnsi="宋体" w:cs="宋体"/>
                                <w:spacing w:val="2"/>
                                <w:w w:val="99"/>
                                <w:sz w:val="20"/>
                                <w:szCs w:val="20"/>
                                <w:lang w:eastAsia="zh-CN"/>
                              </w:rPr>
                              <w:t>机</w:t>
                            </w:r>
                            <w:r>
                              <w:rPr>
                                <w:rFonts w:hint="eastAsia" w:ascii="宋体" w:hAnsi="宋体" w:cs="宋体"/>
                                <w:spacing w:val="-58"/>
                                <w:w w:val="99"/>
                                <w:sz w:val="20"/>
                                <w:szCs w:val="20"/>
                                <w:lang w:eastAsia="zh-CN"/>
                              </w:rPr>
                              <w:t>、</w:t>
                            </w:r>
                            <w:r>
                              <w:rPr>
                                <w:rFonts w:hint="eastAsia" w:ascii="宋体" w:hAnsi="宋体" w:cs="宋体"/>
                                <w:spacing w:val="2"/>
                                <w:w w:val="99"/>
                                <w:sz w:val="20"/>
                                <w:szCs w:val="20"/>
                                <w:lang w:eastAsia="zh-CN"/>
                              </w:rPr>
                              <w:t>打</w:t>
                            </w:r>
                            <w:r>
                              <w:rPr>
                                <w:rFonts w:hint="eastAsia" w:ascii="宋体" w:hAnsi="宋体" w:cs="宋体"/>
                                <w:w w:val="99"/>
                                <w:sz w:val="20"/>
                                <w:szCs w:val="20"/>
                                <w:lang w:eastAsia="zh-CN"/>
                              </w:rPr>
                              <w:t>印机</w:t>
                            </w:r>
                            <w:r>
                              <w:rPr>
                                <w:rFonts w:hint="eastAsia" w:ascii="宋体" w:hAnsi="宋体" w:cs="宋体"/>
                                <w:spacing w:val="2"/>
                                <w:w w:val="99"/>
                                <w:sz w:val="20"/>
                                <w:szCs w:val="20"/>
                                <w:lang w:eastAsia="zh-CN"/>
                              </w:rPr>
                              <w:t>和</w:t>
                            </w:r>
                            <w:r>
                              <w:rPr>
                                <w:rFonts w:hint="eastAsia" w:ascii="宋体" w:hAnsi="宋体" w:cs="宋体"/>
                                <w:w w:val="99"/>
                                <w:sz w:val="20"/>
                                <w:szCs w:val="20"/>
                                <w:lang w:eastAsia="zh-CN"/>
                              </w:rPr>
                              <w:t>传真</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D07598D">
                        <w:tblPrEx>
                          <w:tblCellMar>
                            <w:top w:w="0" w:type="dxa"/>
                            <w:left w:w="0" w:type="dxa"/>
                            <w:bottom w:w="0" w:type="dxa"/>
                            <w:right w:w="0" w:type="dxa"/>
                          </w:tblCellMar>
                        </w:tblPrEx>
                        <w:trPr>
                          <w:trHeight w:val="646" w:hRule="exact"/>
                        </w:trPr>
                        <w:tc>
                          <w:tcPr>
                            <w:tcW w:w="574" w:type="dxa"/>
                            <w:tcBorders>
                              <w:top w:val="single" w:color="000000" w:sz="4" w:space="0"/>
                              <w:left w:val="single" w:color="000000" w:sz="4" w:space="0"/>
                              <w:bottom w:val="single" w:color="000000" w:sz="4" w:space="0"/>
                              <w:right w:val="single" w:color="000000" w:sz="4" w:space="0"/>
                            </w:tcBorders>
                            <w:noWrap w:val="0"/>
                            <w:vAlign w:val="top"/>
                          </w:tcPr>
                          <w:p w14:paraId="5CBCC716">
                            <w:pPr>
                              <w:pStyle w:val="78"/>
                              <w:spacing w:before="160"/>
                              <w:ind w:right="1"/>
                              <w:jc w:val="center"/>
                              <w:rPr>
                                <w:rFonts w:ascii="宋体" w:hAnsi="宋体" w:cs="宋体"/>
                                <w:sz w:val="20"/>
                                <w:szCs w:val="20"/>
                              </w:rPr>
                            </w:pPr>
                            <w:r>
                              <w:rPr>
                                <w:rFonts w:hint="eastAsia" w:ascii="宋体"/>
                                <w:w w:val="99"/>
                                <w:sz w:val="20"/>
                              </w:rPr>
                              <w:t>5</w:t>
                            </w:r>
                          </w:p>
                        </w:tc>
                        <w:tc>
                          <w:tcPr>
                            <w:tcW w:w="1166" w:type="dxa"/>
                            <w:tcBorders>
                              <w:top w:val="single" w:color="000000" w:sz="4" w:space="0"/>
                              <w:left w:val="single" w:color="000000" w:sz="4" w:space="0"/>
                              <w:bottom w:val="single" w:color="000000" w:sz="4" w:space="0"/>
                              <w:right w:val="single" w:color="000000" w:sz="4" w:space="0"/>
                            </w:tcBorders>
                            <w:noWrap w:val="0"/>
                            <w:vAlign w:val="top"/>
                          </w:tcPr>
                          <w:p w14:paraId="3313C4A6">
                            <w:pPr>
                              <w:pStyle w:val="7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9泵</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7E3514F">
                            <w:pPr>
                              <w:pStyle w:val="78"/>
                              <w:spacing w:before="160"/>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1</w:t>
                            </w:r>
                            <w:r>
                              <w:rPr>
                                <w:rFonts w:hint="eastAsia" w:ascii="宋体" w:hAnsi="宋体" w:cs="宋体"/>
                                <w:w w:val="99"/>
                                <w:sz w:val="20"/>
                                <w:szCs w:val="20"/>
                              </w:rPr>
                              <w:t>901离心泵</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541351E3">
                            <w:pPr>
                              <w:rPr>
                                <w:rFonts w:ascii="Calibri" w:hAnsi="Calibri"/>
                                <w:sz w:val="22"/>
                                <w:szCs w:val="22"/>
                              </w:rPr>
                            </w:pP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885BCA1">
                            <w:pPr>
                              <w:pStyle w:val="7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《清水离心泵能效限定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及节</w:t>
                            </w:r>
                            <w:r>
                              <w:rPr>
                                <w:rFonts w:hint="eastAsia" w:ascii="宋体" w:hAnsi="宋体" w:cs="宋体"/>
                                <w:w w:val="99"/>
                                <w:sz w:val="20"/>
                                <w:szCs w:val="20"/>
                                <w:lang w:eastAsia="zh-CN"/>
                              </w:rPr>
                              <w:t>能评价值</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76</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w:t>
                            </w:r>
                          </w:p>
                        </w:tc>
                      </w:tr>
                      <w:tr w14:paraId="6EF4F086">
                        <w:tblPrEx>
                          <w:tblCellMar>
                            <w:top w:w="0" w:type="dxa"/>
                            <w:left w:w="0" w:type="dxa"/>
                            <w:bottom w:w="0" w:type="dxa"/>
                            <w:right w:w="0" w:type="dxa"/>
                          </w:tblCellMar>
                        </w:tblPrEx>
                        <w:trPr>
                          <w:trHeight w:val="1322" w:hRule="exact"/>
                        </w:trPr>
                        <w:tc>
                          <w:tcPr>
                            <w:tcW w:w="574" w:type="dxa"/>
                            <w:vMerge w:val="restart"/>
                            <w:tcBorders>
                              <w:top w:val="single" w:color="000000" w:sz="4" w:space="0"/>
                              <w:left w:val="single" w:color="000000" w:sz="4" w:space="0"/>
                              <w:bottom w:val="single" w:color="000000" w:sz="4" w:space="0"/>
                              <w:right w:val="single" w:color="000000" w:sz="4" w:space="0"/>
                            </w:tcBorders>
                            <w:noWrap w:val="0"/>
                            <w:vAlign w:val="top"/>
                          </w:tcPr>
                          <w:p w14:paraId="557CE0F4">
                            <w:pPr>
                              <w:pStyle w:val="78"/>
                              <w:rPr>
                                <w:rFonts w:ascii="宋体" w:hAnsi="宋体" w:cs="宋体"/>
                                <w:sz w:val="20"/>
                                <w:szCs w:val="20"/>
                                <w:lang w:eastAsia="zh-CN"/>
                              </w:rPr>
                            </w:pPr>
                          </w:p>
                          <w:p w14:paraId="260D4703">
                            <w:pPr>
                              <w:pStyle w:val="78"/>
                              <w:rPr>
                                <w:rFonts w:ascii="宋体" w:hAnsi="宋体" w:cs="宋体"/>
                                <w:sz w:val="20"/>
                                <w:szCs w:val="20"/>
                                <w:lang w:eastAsia="zh-CN"/>
                              </w:rPr>
                            </w:pPr>
                          </w:p>
                          <w:p w14:paraId="6D37715A">
                            <w:pPr>
                              <w:pStyle w:val="78"/>
                              <w:spacing w:before="7"/>
                              <w:rPr>
                                <w:rFonts w:ascii="宋体" w:hAnsi="宋体" w:cs="宋体"/>
                                <w:sz w:val="26"/>
                                <w:szCs w:val="26"/>
                                <w:lang w:eastAsia="zh-CN"/>
                              </w:rPr>
                            </w:pPr>
                          </w:p>
                          <w:p w14:paraId="64735437">
                            <w:pPr>
                              <w:pStyle w:val="78"/>
                              <w:ind w:right="1"/>
                              <w:jc w:val="center"/>
                              <w:rPr>
                                <w:rFonts w:ascii="宋体" w:hAnsi="宋体" w:cs="宋体"/>
                                <w:sz w:val="20"/>
                                <w:szCs w:val="20"/>
                              </w:rPr>
                            </w:pPr>
                            <w:r>
                              <w:rPr>
                                <w:rFonts w:hint="eastAsia" w:ascii="宋体"/>
                                <w:w w:val="99"/>
                                <w:sz w:val="20"/>
                              </w:rPr>
                              <w:t>6</w:t>
                            </w:r>
                          </w:p>
                        </w:tc>
                        <w:tc>
                          <w:tcPr>
                            <w:tcW w:w="1166" w:type="dxa"/>
                            <w:vMerge w:val="restart"/>
                            <w:tcBorders>
                              <w:top w:val="single" w:color="000000" w:sz="4" w:space="0"/>
                              <w:left w:val="single" w:color="000000" w:sz="4" w:space="0"/>
                              <w:bottom w:val="single" w:color="000000" w:sz="4" w:space="0"/>
                              <w:right w:val="single" w:color="000000" w:sz="4" w:space="0"/>
                            </w:tcBorders>
                            <w:noWrap w:val="0"/>
                            <w:vAlign w:val="top"/>
                          </w:tcPr>
                          <w:p w14:paraId="2041185C">
                            <w:pPr>
                              <w:pStyle w:val="78"/>
                              <w:rPr>
                                <w:rFonts w:ascii="宋体" w:hAnsi="宋体" w:cs="宋体"/>
                                <w:sz w:val="20"/>
                                <w:szCs w:val="20"/>
                              </w:rPr>
                            </w:pPr>
                          </w:p>
                          <w:p w14:paraId="70EA1CA0">
                            <w:pPr>
                              <w:pStyle w:val="78"/>
                              <w:rPr>
                                <w:rFonts w:ascii="宋体" w:hAnsi="宋体" w:cs="宋体"/>
                                <w:sz w:val="20"/>
                                <w:szCs w:val="20"/>
                              </w:rPr>
                            </w:pPr>
                          </w:p>
                          <w:p w14:paraId="293DDAE9">
                            <w:pPr>
                              <w:pStyle w:val="78"/>
                              <w:spacing w:before="8"/>
                              <w:rPr>
                                <w:rFonts w:ascii="宋体" w:hAnsi="宋体" w:cs="宋体"/>
                                <w:sz w:val="14"/>
                                <w:szCs w:val="14"/>
                              </w:rPr>
                            </w:pPr>
                          </w:p>
                          <w:p w14:paraId="52EBDDAE">
                            <w:pPr>
                              <w:pStyle w:val="78"/>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05</w:t>
                            </w:r>
                            <w:r>
                              <w:rPr>
                                <w:rFonts w:hint="eastAsia" w:ascii="宋体" w:hAnsi="宋体" w:cs="宋体"/>
                                <w:spacing w:val="1"/>
                                <w:w w:val="99"/>
                                <w:sz w:val="20"/>
                                <w:szCs w:val="20"/>
                              </w:rPr>
                              <w:t>2</w:t>
                            </w:r>
                            <w:r>
                              <w:rPr>
                                <w:rFonts w:hint="eastAsia" w:ascii="宋体" w:hAnsi="宋体" w:cs="宋体"/>
                                <w:w w:val="99"/>
                                <w:sz w:val="20"/>
                                <w:szCs w:val="20"/>
                              </w:rPr>
                              <w:t>3制冷</w:t>
                            </w:r>
                          </w:p>
                          <w:p w14:paraId="747C095D">
                            <w:pPr>
                              <w:pStyle w:val="78"/>
                              <w:spacing w:before="50"/>
                              <w:ind w:left="7"/>
                              <w:rPr>
                                <w:rFonts w:ascii="宋体" w:hAnsi="宋体" w:cs="宋体"/>
                                <w:sz w:val="20"/>
                                <w:szCs w:val="20"/>
                              </w:rPr>
                            </w:pPr>
                            <w:r>
                              <w:rPr>
                                <w:rFonts w:hint="eastAsia" w:ascii="宋体" w:hAnsi="宋体" w:cs="宋体"/>
                                <w:w w:val="99"/>
                                <w:sz w:val="20"/>
                                <w:szCs w:val="20"/>
                              </w:rPr>
                              <w:t>空调设备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068CF8D">
                            <w:pPr>
                              <w:pStyle w:val="78"/>
                              <w:rPr>
                                <w:rFonts w:ascii="宋体" w:hAnsi="宋体" w:cs="宋体"/>
                                <w:sz w:val="20"/>
                                <w:szCs w:val="20"/>
                              </w:rPr>
                            </w:pPr>
                          </w:p>
                          <w:p w14:paraId="77A3B4B3">
                            <w:pPr>
                              <w:pStyle w:val="78"/>
                              <w:rPr>
                                <w:rFonts w:ascii="宋体" w:hAnsi="宋体" w:cs="宋体"/>
                                <w:sz w:val="20"/>
                                <w:szCs w:val="20"/>
                              </w:rPr>
                            </w:pPr>
                          </w:p>
                          <w:p w14:paraId="6E43CEAD">
                            <w:pPr>
                              <w:pStyle w:val="78"/>
                              <w:spacing w:before="8"/>
                              <w:rPr>
                                <w:rFonts w:ascii="宋体" w:hAnsi="宋体" w:cs="宋体"/>
                                <w:sz w:val="14"/>
                                <w:szCs w:val="14"/>
                              </w:rPr>
                            </w:pPr>
                          </w:p>
                          <w:p w14:paraId="62406876">
                            <w:pPr>
                              <w:pStyle w:val="78"/>
                              <w:spacing w:line="280" w:lineRule="auto"/>
                              <w:ind w:left="7" w:right="5"/>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52</w:t>
                            </w:r>
                            <w:r>
                              <w:rPr>
                                <w:rFonts w:hint="eastAsia" w:ascii="宋体" w:hAnsi="宋体" w:cs="宋体"/>
                                <w:spacing w:val="1"/>
                                <w:w w:val="99"/>
                                <w:sz w:val="20"/>
                                <w:szCs w:val="20"/>
                              </w:rPr>
                              <w:t>3</w:t>
                            </w:r>
                            <w:r>
                              <w:rPr>
                                <w:rFonts w:hint="eastAsia" w:ascii="宋体" w:hAnsi="宋体" w:cs="宋体"/>
                                <w:w w:val="99"/>
                                <w:sz w:val="20"/>
                                <w:szCs w:val="20"/>
                              </w:rPr>
                              <w:t>01制冷压缩机</w:t>
                            </w: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7952AFB5">
                            <w:pPr>
                              <w:pStyle w:val="78"/>
                              <w:rPr>
                                <w:rFonts w:ascii="宋体" w:hAnsi="宋体" w:cs="宋体"/>
                                <w:sz w:val="20"/>
                                <w:szCs w:val="20"/>
                              </w:rPr>
                            </w:pPr>
                          </w:p>
                          <w:p w14:paraId="19BC7B89">
                            <w:pPr>
                              <w:pStyle w:val="78"/>
                              <w:spacing w:before="1"/>
                              <w:rPr>
                                <w:rFonts w:ascii="宋体" w:hAnsi="宋体" w:cs="宋体"/>
                                <w:sz w:val="18"/>
                                <w:szCs w:val="18"/>
                              </w:rPr>
                            </w:pPr>
                          </w:p>
                          <w:p w14:paraId="0B9CB7BE">
                            <w:pPr>
                              <w:pStyle w:val="78"/>
                              <w:ind w:left="7"/>
                              <w:rPr>
                                <w:rFonts w:ascii="宋体" w:hAnsi="宋体" w:cs="宋体"/>
                                <w:sz w:val="20"/>
                                <w:szCs w:val="20"/>
                              </w:rPr>
                            </w:pPr>
                            <w:r>
                              <w:rPr>
                                <w:rFonts w:hint="eastAsia" w:ascii="宋体" w:hAnsi="宋体" w:cs="宋体"/>
                                <w:w w:val="99"/>
                                <w:sz w:val="20"/>
                                <w:szCs w:val="20"/>
                              </w:rPr>
                              <w:t>冷水机组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6F34A970">
                            <w:pPr>
                              <w:pStyle w:val="78"/>
                              <w:spacing w:before="30" w:line="280" w:lineRule="auto"/>
                              <w:ind w:left="7" w:right="4"/>
                              <w:jc w:val="both"/>
                              <w:rPr>
                                <w:rFonts w:ascii="宋体" w:hAnsi="宋体" w:cs="宋体"/>
                                <w:sz w:val="20"/>
                                <w:szCs w:val="20"/>
                                <w:lang w:eastAsia="zh-CN"/>
                              </w:rPr>
                            </w:pPr>
                            <w:r>
                              <w:rPr>
                                <w:rFonts w:hint="eastAsia" w:ascii="宋体" w:hAnsi="宋体" w:cs="宋体"/>
                                <w:spacing w:val="12"/>
                                <w:w w:val="99"/>
                                <w:sz w:val="20"/>
                                <w:szCs w:val="20"/>
                                <w:lang w:eastAsia="zh-CN"/>
                              </w:rPr>
                              <w:t>《冷水机组能效限定值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195</w:t>
                            </w:r>
                            <w:r>
                              <w:rPr>
                                <w:rFonts w:hint="eastAsia" w:ascii="宋体" w:hAnsi="宋体" w:cs="宋体"/>
                                <w:w w:val="99"/>
                                <w:sz w:val="20"/>
                                <w:szCs w:val="20"/>
                                <w:lang w:eastAsia="zh-CN"/>
                              </w:rPr>
                              <w:t>77</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《低</w:t>
                            </w:r>
                            <w:r>
                              <w:rPr>
                                <w:rFonts w:hint="eastAsia" w:ascii="宋体" w:hAnsi="宋体" w:cs="宋体"/>
                                <w:spacing w:val="2"/>
                                <w:w w:val="99"/>
                                <w:sz w:val="20"/>
                                <w:szCs w:val="20"/>
                                <w:lang w:eastAsia="zh-CN"/>
                              </w:rPr>
                              <w:t>环</w:t>
                            </w:r>
                            <w:r>
                              <w:rPr>
                                <w:rFonts w:hint="eastAsia" w:ascii="宋体" w:hAnsi="宋体" w:cs="宋体"/>
                                <w:w w:val="99"/>
                                <w:sz w:val="20"/>
                                <w:szCs w:val="20"/>
                                <w:lang w:eastAsia="zh-CN"/>
                              </w:rPr>
                              <w:t>境温度空气源</w:t>
                            </w:r>
                            <w:r>
                              <w:rPr>
                                <w:rFonts w:hint="eastAsia" w:ascii="宋体" w:hAnsi="宋体" w:cs="宋体"/>
                                <w:spacing w:val="2"/>
                                <w:w w:val="99"/>
                                <w:sz w:val="20"/>
                                <w:szCs w:val="20"/>
                                <w:lang w:eastAsia="zh-CN"/>
                              </w:rPr>
                              <w:t>热</w:t>
                            </w:r>
                            <w:r>
                              <w:rPr>
                                <w:rFonts w:hint="eastAsia" w:ascii="宋体" w:hAnsi="宋体" w:cs="宋体"/>
                                <w:spacing w:val="-29"/>
                                <w:w w:val="99"/>
                                <w:sz w:val="20"/>
                                <w:szCs w:val="20"/>
                                <w:lang w:eastAsia="zh-CN"/>
                              </w:rPr>
                              <w:t>泵</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冷水</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机组</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效限定值及能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w:t>
                            </w:r>
                            <w:r>
                              <w:rPr>
                                <w:rFonts w:hint="eastAsia" w:ascii="宋体" w:hAnsi="宋体" w:cs="宋体"/>
                                <w:w w:val="99"/>
                                <w:sz w:val="20"/>
                                <w:szCs w:val="20"/>
                                <w:lang w:eastAsia="zh-CN"/>
                              </w:rPr>
                              <w:t>48</w:t>
                            </w:r>
                            <w:r>
                              <w:rPr>
                                <w:rFonts w:hint="eastAsia" w:ascii="宋体" w:hAnsi="宋体" w:cs="宋体"/>
                                <w:spacing w:val="-2"/>
                                <w:w w:val="99"/>
                                <w:sz w:val="20"/>
                                <w:szCs w:val="20"/>
                                <w:lang w:eastAsia="zh-CN"/>
                              </w:rPr>
                              <w:t>0</w:t>
                            </w:r>
                            <w:r>
                              <w:rPr>
                                <w:rFonts w:hint="eastAsia" w:ascii="宋体" w:hAnsi="宋体" w:cs="宋体"/>
                                <w:w w:val="99"/>
                                <w:sz w:val="20"/>
                                <w:szCs w:val="20"/>
                                <w:lang w:eastAsia="zh-CN"/>
                              </w:rPr>
                              <w:t>）</w:t>
                            </w:r>
                          </w:p>
                        </w:tc>
                      </w:tr>
                      <w:tr w14:paraId="316EAFBE">
                        <w:tblPrEx>
                          <w:tblCellMar>
                            <w:top w:w="0" w:type="dxa"/>
                            <w:left w:w="0" w:type="dxa"/>
                            <w:bottom w:w="0" w:type="dxa"/>
                            <w:right w:w="0" w:type="dxa"/>
                          </w:tblCellMar>
                        </w:tblPrEx>
                        <w:trPr>
                          <w:trHeight w:val="744" w:hRule="exact"/>
                        </w:trPr>
                        <w:tc>
                          <w:tcPr>
                            <w:tcW w:w="5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0401DE">
                            <w:pPr>
                              <w:widowControl/>
                              <w:jc w:val="left"/>
                              <w:rPr>
                                <w:rFonts w:ascii="宋体" w:hAnsi="宋体" w:eastAsia="Times New Roman" w:cs="宋体"/>
                                <w:kern w:val="0"/>
                                <w:sz w:val="20"/>
                                <w:szCs w:val="20"/>
                              </w:rPr>
                            </w:pPr>
                          </w:p>
                        </w:tc>
                        <w:tc>
                          <w:tcPr>
                            <w:tcW w:w="11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E87A83">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7EF723">
                            <w:pPr>
                              <w:widowControl/>
                              <w:jc w:val="left"/>
                              <w:rPr>
                                <w:rFonts w:ascii="宋体" w:hAnsi="宋体" w:eastAsia="Times New Roman" w:cs="宋体"/>
                                <w:kern w:val="0"/>
                                <w:sz w:val="20"/>
                                <w:szCs w:val="20"/>
                              </w:rPr>
                            </w:pPr>
                          </w:p>
                        </w:tc>
                        <w:tc>
                          <w:tcPr>
                            <w:tcW w:w="1823" w:type="dxa"/>
                            <w:tcBorders>
                              <w:top w:val="single" w:color="000000" w:sz="4" w:space="0"/>
                              <w:left w:val="single" w:color="000000" w:sz="4" w:space="0"/>
                              <w:bottom w:val="single" w:color="000000" w:sz="4" w:space="0"/>
                              <w:right w:val="single" w:color="000000" w:sz="4" w:space="0"/>
                            </w:tcBorders>
                            <w:noWrap w:val="0"/>
                            <w:vAlign w:val="top"/>
                          </w:tcPr>
                          <w:p w14:paraId="31D41B19">
                            <w:pPr>
                              <w:pStyle w:val="78"/>
                              <w:spacing w:before="12"/>
                              <w:rPr>
                                <w:rFonts w:ascii="宋体" w:hAnsi="宋体" w:cs="宋体"/>
                                <w:sz w:val="15"/>
                                <w:szCs w:val="15"/>
                                <w:lang w:eastAsia="zh-CN"/>
                              </w:rPr>
                            </w:pPr>
                          </w:p>
                          <w:p w14:paraId="2585B3BB">
                            <w:pPr>
                              <w:pStyle w:val="78"/>
                              <w:ind w:left="7"/>
                              <w:rPr>
                                <w:rFonts w:ascii="宋体" w:hAnsi="宋体" w:cs="宋体"/>
                                <w:sz w:val="20"/>
                                <w:szCs w:val="20"/>
                              </w:rPr>
                            </w:pPr>
                            <w:r>
                              <w:rPr>
                                <w:rFonts w:hint="eastAsia" w:ascii="宋体" w:hAnsi="宋体" w:cs="宋体"/>
                                <w:w w:val="99"/>
                                <w:sz w:val="20"/>
                                <w:szCs w:val="20"/>
                              </w:rPr>
                              <w:t>水源热</w:t>
                            </w:r>
                            <w:r>
                              <w:rPr>
                                <w:rFonts w:hint="eastAsia" w:ascii="宋体" w:hAnsi="宋体" w:cs="宋体"/>
                                <w:spacing w:val="2"/>
                                <w:w w:val="99"/>
                                <w:sz w:val="20"/>
                                <w:szCs w:val="20"/>
                              </w:rPr>
                              <w:t>泵</w:t>
                            </w:r>
                            <w:r>
                              <w:rPr>
                                <w:rFonts w:hint="eastAsia" w:ascii="宋体" w:hAnsi="宋体" w:cs="宋体"/>
                                <w:w w:val="99"/>
                                <w:sz w:val="20"/>
                                <w:szCs w:val="20"/>
                              </w:rPr>
                              <w:t>机组</w:t>
                            </w:r>
                          </w:p>
                        </w:tc>
                        <w:tc>
                          <w:tcPr>
                            <w:tcW w:w="3762" w:type="dxa"/>
                            <w:tcBorders>
                              <w:top w:val="single" w:color="000000" w:sz="4" w:space="0"/>
                              <w:left w:val="single" w:color="000000" w:sz="4" w:space="0"/>
                              <w:bottom w:val="single" w:color="000000" w:sz="4" w:space="0"/>
                              <w:right w:val="single" w:color="000000" w:sz="4" w:space="0"/>
                            </w:tcBorders>
                            <w:noWrap w:val="0"/>
                            <w:vAlign w:val="top"/>
                          </w:tcPr>
                          <w:p w14:paraId="0CDB2934">
                            <w:pPr>
                              <w:pStyle w:val="78"/>
                              <w:spacing w:before="52"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9"/>
                                <w:w w:val="99"/>
                                <w:sz w:val="20"/>
                                <w:szCs w:val="20"/>
                                <w:lang w:eastAsia="zh-CN"/>
                              </w:rPr>
                              <w:t>水</w:t>
                            </w:r>
                            <w:r>
                              <w:rPr>
                                <w:rFonts w:hint="eastAsia" w:ascii="宋体" w:hAnsi="宋体" w:cs="宋体"/>
                                <w:w w:val="99"/>
                                <w:sz w:val="20"/>
                                <w:szCs w:val="20"/>
                                <w:lang w:eastAsia="zh-CN"/>
                              </w:rPr>
                              <w:t>（</w:t>
                            </w:r>
                            <w:r>
                              <w:rPr>
                                <w:rFonts w:hint="eastAsia" w:ascii="宋体" w:hAnsi="宋体" w:cs="宋体"/>
                                <w:spacing w:val="2"/>
                                <w:w w:val="99"/>
                                <w:sz w:val="20"/>
                                <w:szCs w:val="20"/>
                                <w:lang w:eastAsia="zh-CN"/>
                              </w:rPr>
                              <w:t>地</w:t>
                            </w:r>
                            <w:r>
                              <w:rPr>
                                <w:rFonts w:hint="eastAsia" w:ascii="宋体" w:hAnsi="宋体" w:cs="宋体"/>
                                <w:spacing w:val="-29"/>
                                <w:w w:val="99"/>
                                <w:sz w:val="20"/>
                                <w:szCs w:val="20"/>
                                <w:lang w:eastAsia="zh-CN"/>
                              </w:rPr>
                              <w:t>）</w:t>
                            </w:r>
                            <w:r>
                              <w:rPr>
                                <w:rFonts w:hint="eastAsia" w:ascii="宋体" w:hAnsi="宋体" w:cs="宋体"/>
                                <w:spacing w:val="2"/>
                                <w:w w:val="99"/>
                                <w:sz w:val="20"/>
                                <w:szCs w:val="20"/>
                                <w:lang w:eastAsia="zh-CN"/>
                              </w:rPr>
                              <w:t>源</w:t>
                            </w: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组能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30721</w:t>
                            </w:r>
                            <w:r>
                              <w:rPr>
                                <w:rFonts w:hint="eastAsia" w:ascii="宋体" w:hAnsi="宋体" w:cs="宋体"/>
                                <w:w w:val="99"/>
                                <w:sz w:val="20"/>
                                <w:szCs w:val="20"/>
                                <w:lang w:eastAsia="zh-CN"/>
                              </w:rPr>
                              <w:t>）</w:t>
                            </w:r>
                          </w:p>
                        </w:tc>
                      </w:tr>
                    </w:tbl>
                    <w:p w14:paraId="3CFF5FE8">
                      <w:pPr>
                        <w:rPr>
                          <w:rFonts w:ascii="Calibri" w:hAnsi="Calibri"/>
                          <w:sz w:val="22"/>
                          <w:szCs w:val="22"/>
                        </w:rPr>
                      </w:pPr>
                    </w:p>
                  </w:txbxContent>
                </v:textbox>
              </v:shape>
            </w:pict>
          </mc:Fallback>
        </mc:AlternateContent>
      </w:r>
    </w:p>
    <w:p w14:paraId="54CC5064">
      <w:pPr>
        <w:rPr>
          <w:rFonts w:ascii="宋体" w:hAnsi="宋体" w:cs="宋体"/>
          <w:color w:val="auto"/>
          <w:sz w:val="20"/>
          <w:szCs w:val="20"/>
          <w:highlight w:val="none"/>
        </w:rPr>
      </w:pPr>
    </w:p>
    <w:p w14:paraId="421DCB41">
      <w:pPr>
        <w:rPr>
          <w:rFonts w:ascii="宋体" w:hAnsi="宋体" w:cs="宋体"/>
          <w:color w:val="auto"/>
          <w:sz w:val="20"/>
          <w:szCs w:val="20"/>
          <w:highlight w:val="none"/>
        </w:rPr>
      </w:pPr>
    </w:p>
    <w:p w14:paraId="1C9B8C55">
      <w:pPr>
        <w:rPr>
          <w:rFonts w:ascii="宋体" w:hAnsi="宋体" w:cs="宋体"/>
          <w:color w:val="auto"/>
          <w:sz w:val="20"/>
          <w:szCs w:val="20"/>
          <w:highlight w:val="none"/>
        </w:rPr>
      </w:pPr>
    </w:p>
    <w:p w14:paraId="5D3559DA">
      <w:pPr>
        <w:rPr>
          <w:rFonts w:ascii="宋体" w:hAnsi="宋体" w:cs="宋体"/>
          <w:color w:val="auto"/>
          <w:sz w:val="20"/>
          <w:szCs w:val="20"/>
          <w:highlight w:val="none"/>
        </w:rPr>
      </w:pPr>
    </w:p>
    <w:p w14:paraId="02270D1B">
      <w:pPr>
        <w:rPr>
          <w:rFonts w:ascii="宋体" w:hAnsi="宋体" w:cs="宋体"/>
          <w:color w:val="auto"/>
          <w:sz w:val="20"/>
          <w:szCs w:val="20"/>
          <w:highlight w:val="none"/>
        </w:rPr>
      </w:pPr>
    </w:p>
    <w:p w14:paraId="42B25382">
      <w:pPr>
        <w:rPr>
          <w:rFonts w:ascii="宋体" w:hAnsi="宋体" w:cs="宋体"/>
          <w:color w:val="auto"/>
          <w:sz w:val="20"/>
          <w:szCs w:val="20"/>
          <w:highlight w:val="none"/>
        </w:rPr>
      </w:pPr>
    </w:p>
    <w:p w14:paraId="0165A627">
      <w:pPr>
        <w:rPr>
          <w:rFonts w:ascii="宋体" w:hAnsi="宋体" w:cs="宋体"/>
          <w:color w:val="auto"/>
          <w:sz w:val="20"/>
          <w:szCs w:val="20"/>
          <w:highlight w:val="none"/>
        </w:rPr>
      </w:pPr>
    </w:p>
    <w:p w14:paraId="1E6EBC1F">
      <w:pPr>
        <w:rPr>
          <w:rFonts w:ascii="宋体" w:hAnsi="宋体" w:cs="宋体"/>
          <w:color w:val="auto"/>
          <w:sz w:val="20"/>
          <w:szCs w:val="20"/>
          <w:highlight w:val="none"/>
        </w:rPr>
      </w:pPr>
    </w:p>
    <w:p w14:paraId="4BEF9F10">
      <w:pPr>
        <w:rPr>
          <w:rFonts w:ascii="宋体" w:hAnsi="宋体" w:cs="宋体"/>
          <w:color w:val="auto"/>
          <w:sz w:val="20"/>
          <w:szCs w:val="20"/>
          <w:highlight w:val="none"/>
        </w:rPr>
      </w:pPr>
    </w:p>
    <w:p w14:paraId="2E3D7646">
      <w:pPr>
        <w:rPr>
          <w:rFonts w:ascii="宋体" w:hAnsi="宋体" w:cs="宋体"/>
          <w:color w:val="auto"/>
          <w:sz w:val="20"/>
          <w:szCs w:val="20"/>
          <w:highlight w:val="none"/>
        </w:rPr>
      </w:pPr>
    </w:p>
    <w:p w14:paraId="01428F90">
      <w:pPr>
        <w:rPr>
          <w:rFonts w:ascii="宋体" w:hAnsi="宋体" w:cs="宋体"/>
          <w:color w:val="auto"/>
          <w:sz w:val="20"/>
          <w:szCs w:val="20"/>
          <w:highlight w:val="none"/>
        </w:rPr>
      </w:pPr>
    </w:p>
    <w:p w14:paraId="424E8602">
      <w:pPr>
        <w:rPr>
          <w:rFonts w:ascii="宋体" w:hAnsi="宋体" w:cs="宋体"/>
          <w:color w:val="auto"/>
          <w:sz w:val="20"/>
          <w:szCs w:val="20"/>
          <w:highlight w:val="none"/>
        </w:rPr>
      </w:pPr>
    </w:p>
    <w:p w14:paraId="15C3B1A0">
      <w:pPr>
        <w:rPr>
          <w:rFonts w:ascii="宋体" w:hAnsi="宋体" w:cs="宋体"/>
          <w:color w:val="auto"/>
          <w:sz w:val="20"/>
          <w:szCs w:val="20"/>
          <w:highlight w:val="none"/>
        </w:rPr>
      </w:pPr>
    </w:p>
    <w:p w14:paraId="19AFFE0E">
      <w:pPr>
        <w:rPr>
          <w:rFonts w:ascii="宋体" w:hAnsi="宋体" w:cs="宋体"/>
          <w:color w:val="auto"/>
          <w:sz w:val="20"/>
          <w:szCs w:val="20"/>
          <w:highlight w:val="none"/>
        </w:rPr>
      </w:pPr>
    </w:p>
    <w:p w14:paraId="0EF429FF">
      <w:pPr>
        <w:rPr>
          <w:rFonts w:ascii="宋体" w:hAnsi="宋体" w:cs="宋体"/>
          <w:color w:val="auto"/>
          <w:sz w:val="20"/>
          <w:szCs w:val="20"/>
          <w:highlight w:val="none"/>
        </w:rPr>
      </w:pPr>
    </w:p>
    <w:p w14:paraId="6F9A26BC">
      <w:pPr>
        <w:rPr>
          <w:rFonts w:ascii="宋体" w:hAnsi="宋体" w:cs="宋体"/>
          <w:color w:val="auto"/>
          <w:sz w:val="20"/>
          <w:szCs w:val="20"/>
          <w:highlight w:val="none"/>
        </w:rPr>
      </w:pPr>
    </w:p>
    <w:p w14:paraId="26B662FE">
      <w:pPr>
        <w:rPr>
          <w:rFonts w:ascii="宋体" w:hAnsi="宋体" w:cs="宋体"/>
          <w:color w:val="auto"/>
          <w:sz w:val="20"/>
          <w:szCs w:val="20"/>
          <w:highlight w:val="none"/>
        </w:rPr>
      </w:pPr>
    </w:p>
    <w:p w14:paraId="5BCB04B8">
      <w:pPr>
        <w:spacing w:before="16"/>
        <w:rPr>
          <w:rFonts w:ascii="宋体" w:hAnsi="宋体" w:cs="宋体"/>
          <w:color w:val="auto"/>
          <w:sz w:val="17"/>
          <w:szCs w:val="17"/>
          <w:highlight w:val="none"/>
        </w:rPr>
      </w:pPr>
    </w:p>
    <w:p w14:paraId="213F83E6">
      <w:pPr>
        <w:rPr>
          <w:rFonts w:ascii="宋体" w:hAnsi="宋体" w:cs="宋体"/>
          <w:color w:val="auto"/>
          <w:sz w:val="20"/>
          <w:szCs w:val="20"/>
          <w:highlight w:val="none"/>
        </w:rPr>
      </w:pPr>
    </w:p>
    <w:p w14:paraId="4C8C3228">
      <w:pPr>
        <w:rPr>
          <w:rFonts w:ascii="宋体" w:hAnsi="宋体" w:cs="宋体"/>
          <w:color w:val="auto"/>
          <w:sz w:val="20"/>
          <w:szCs w:val="20"/>
          <w:highlight w:val="none"/>
        </w:rPr>
      </w:pPr>
    </w:p>
    <w:p w14:paraId="65777AAC">
      <w:pPr>
        <w:spacing w:before="3"/>
        <w:rPr>
          <w:rFonts w:ascii="宋体" w:hAnsi="宋体" w:cs="宋体"/>
          <w:color w:val="auto"/>
          <w:sz w:val="15"/>
          <w:szCs w:val="15"/>
          <w:highlight w:val="none"/>
        </w:rPr>
      </w:pPr>
    </w:p>
    <w:p w14:paraId="680F30F6">
      <w:pPr>
        <w:widowControl/>
        <w:jc w:val="left"/>
        <w:rPr>
          <w:rFonts w:ascii="宋体" w:hAnsi="宋体" w:cs="宋体"/>
          <w:color w:val="auto"/>
          <w:sz w:val="20"/>
          <w:szCs w:val="20"/>
          <w:highlight w:val="none"/>
        </w:rPr>
        <w:sectPr>
          <w:footerReference r:id="rId5" w:type="default"/>
          <w:pgSz w:w="11910" w:h="16840"/>
          <w:pgMar w:top="1520" w:right="1500" w:bottom="1502" w:left="1680" w:header="720" w:footer="720" w:gutter="0"/>
          <w:pgNumType w:fmt="decimal" w:start="1"/>
          <w:cols w:space="720" w:num="1"/>
        </w:sectPr>
      </w:pPr>
    </w:p>
    <w:p w14:paraId="3E96A44E">
      <w:pPr>
        <w:rPr>
          <w:rFonts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page">
                  <wp:posOffset>856615</wp:posOffset>
                </wp:positionH>
                <wp:positionV relativeFrom="paragraph">
                  <wp:posOffset>43815</wp:posOffset>
                </wp:positionV>
                <wp:extent cx="6165850" cy="852424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165850" cy="8524240"/>
                        </a:xfrm>
                        <a:prstGeom prst="rect">
                          <a:avLst/>
                        </a:prstGeom>
                        <a:noFill/>
                        <a:ln>
                          <a:noFill/>
                        </a:ln>
                        <a:effectLst/>
                      </wps:spPr>
                      <wps:txbx>
                        <w:txbxContent>
                          <w:tbl>
                            <w:tblPr>
                              <w:tblStyle w:val="29"/>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2323B2EF">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28FF9B9">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6EB794CD">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0B931B9">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73DEBC7A">
                                  <w:pPr>
                                    <w:pStyle w:val="78"/>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noWrap w:val="0"/>
                                  <w:vAlign w:val="top"/>
                                </w:tcPr>
                                <w:p w14:paraId="5AA48101">
                                  <w:pPr>
                                    <w:pStyle w:val="78"/>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4E142BC7">
                                  <w:pPr>
                                    <w:pStyle w:val="7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37C4CBCE">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11A9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F71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B2B9C">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03AC7AF7">
                                  <w:pPr>
                                    <w:pStyle w:val="78"/>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noWrap w:val="0"/>
                                  <w:vAlign w:val="top"/>
                                </w:tcPr>
                                <w:p w14:paraId="3434ABE8">
                                  <w:pPr>
                                    <w:pStyle w:val="78"/>
                                    <w:spacing w:line="256" w:lineRule="exact"/>
                                    <w:ind w:left="7"/>
                                    <w:rPr>
                                      <w:rFonts w:ascii="宋体" w:hAnsi="宋体" w:cs="宋体"/>
                                      <w:sz w:val="20"/>
                                      <w:szCs w:val="20"/>
                                      <w:lang w:eastAsia="zh-CN"/>
                                    </w:rPr>
                                  </w:pPr>
                                </w:p>
                              </w:tc>
                            </w:tr>
                            <w:tr w14:paraId="438DB1CB">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1A24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101D6">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9AD028E">
                                  <w:pPr>
                                    <w:pStyle w:val="78"/>
                                    <w:rPr>
                                      <w:rFonts w:ascii="宋体" w:hAnsi="宋体" w:cs="宋体"/>
                                      <w:sz w:val="20"/>
                                      <w:szCs w:val="20"/>
                                      <w:lang w:eastAsia="zh-CN"/>
                                    </w:rPr>
                                  </w:pPr>
                                </w:p>
                                <w:p w14:paraId="3446CF1F">
                                  <w:pPr>
                                    <w:pStyle w:val="78"/>
                                    <w:rPr>
                                      <w:rFonts w:ascii="宋体" w:hAnsi="宋体" w:cs="宋体"/>
                                      <w:sz w:val="20"/>
                                      <w:szCs w:val="20"/>
                                      <w:lang w:eastAsia="zh-CN"/>
                                    </w:rPr>
                                  </w:pPr>
                                </w:p>
                                <w:p w14:paraId="2DC88A2A">
                                  <w:pPr>
                                    <w:pStyle w:val="78"/>
                                    <w:spacing w:before="3"/>
                                    <w:rPr>
                                      <w:rFonts w:ascii="宋体" w:hAnsi="宋体" w:cs="宋体"/>
                                      <w:sz w:val="21"/>
                                      <w:szCs w:val="21"/>
                                      <w:lang w:eastAsia="zh-CN"/>
                                    </w:rPr>
                                  </w:pPr>
                                </w:p>
                                <w:p w14:paraId="6A3CB4F2">
                                  <w:pPr>
                                    <w:pStyle w:val="78"/>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23B6A29A">
                                  <w:pPr>
                                    <w:pStyle w:val="78"/>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24E1F47D">
                                  <w:pPr>
                                    <w:pStyle w:val="7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82EADA6">
                                  <w:pPr>
                                    <w:pStyle w:val="7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5F5B53A2">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8935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F8FB1">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D59EB">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1BBCDBBF">
                                  <w:pPr>
                                    <w:pStyle w:val="78"/>
                                    <w:spacing w:before="7"/>
                                    <w:rPr>
                                      <w:rFonts w:ascii="宋体" w:hAnsi="宋体" w:cs="宋体"/>
                                      <w:sz w:val="24"/>
                                      <w:szCs w:val="24"/>
                                      <w:lang w:eastAsia="zh-CN"/>
                                    </w:rPr>
                                  </w:pPr>
                                </w:p>
                                <w:p w14:paraId="4BB8FFEE">
                                  <w:pPr>
                                    <w:pStyle w:val="7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32857292">
                                  <w:pPr>
                                    <w:pStyle w:val="78"/>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39D4F270">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5FC3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5E36F">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9ED97">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5C1565A6">
                                  <w:pPr>
                                    <w:pStyle w:val="78"/>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noWrap w:val="0"/>
                                  <w:vAlign w:val="top"/>
                                </w:tcPr>
                                <w:p w14:paraId="3A1151F1">
                                  <w:pPr>
                                    <w:pStyle w:val="78"/>
                                    <w:spacing w:line="256" w:lineRule="exact"/>
                                    <w:rPr>
                                      <w:rFonts w:ascii="宋体" w:hAnsi="宋体" w:cs="宋体"/>
                                      <w:sz w:val="20"/>
                                      <w:szCs w:val="20"/>
                                      <w:lang w:eastAsia="zh-CN"/>
                                    </w:rPr>
                                  </w:pPr>
                                </w:p>
                              </w:tc>
                            </w:tr>
                            <w:tr w14:paraId="1573BC1A">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E4606">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1D20A">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58DD6349">
                                  <w:pPr>
                                    <w:pStyle w:val="78"/>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1BCD4DC7">
                                  <w:pPr>
                                    <w:pStyle w:val="78"/>
                                    <w:spacing w:before="1"/>
                                    <w:rPr>
                                      <w:rFonts w:ascii="宋体" w:hAnsi="宋体" w:cs="宋体"/>
                                      <w:sz w:val="18"/>
                                      <w:szCs w:val="18"/>
                                    </w:rPr>
                                  </w:pPr>
                                </w:p>
                                <w:p w14:paraId="585580D7">
                                  <w:pPr>
                                    <w:pStyle w:val="78"/>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7AB8052F">
                                  <w:pPr>
                                    <w:pStyle w:val="78"/>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2D7EA4B7">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8023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6D47E">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78BEBBC8">
                                  <w:pPr>
                                    <w:pStyle w:val="78"/>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8C6E0">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4E963E85">
                                  <w:pPr>
                                    <w:pStyle w:val="7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7BB65ED2">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7E96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E7DF5">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22A96FA6">
                                  <w:pPr>
                                    <w:pStyle w:val="78"/>
                                    <w:rPr>
                                      <w:rFonts w:ascii="宋体" w:hAnsi="宋体" w:cs="宋体"/>
                                      <w:sz w:val="20"/>
                                      <w:szCs w:val="20"/>
                                      <w:lang w:eastAsia="zh-CN"/>
                                    </w:rPr>
                                  </w:pPr>
                                </w:p>
                                <w:p w14:paraId="0CD00A29">
                                  <w:pPr>
                                    <w:pStyle w:val="78"/>
                                    <w:spacing w:before="9"/>
                                    <w:rPr>
                                      <w:rFonts w:ascii="宋体" w:hAnsi="宋体" w:cs="宋体"/>
                                      <w:sz w:val="20"/>
                                      <w:szCs w:val="20"/>
                                      <w:lang w:eastAsia="zh-CN"/>
                                    </w:rPr>
                                  </w:pPr>
                                </w:p>
                                <w:p w14:paraId="2EA13CF4">
                                  <w:pPr>
                                    <w:pStyle w:val="78"/>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44856D39">
                                  <w:pPr>
                                    <w:pStyle w:val="78"/>
                                    <w:rPr>
                                      <w:rFonts w:ascii="宋体" w:hAnsi="宋体" w:cs="宋体"/>
                                      <w:sz w:val="20"/>
                                      <w:szCs w:val="20"/>
                                    </w:rPr>
                                  </w:pPr>
                                </w:p>
                                <w:p w14:paraId="71010500">
                                  <w:pPr>
                                    <w:pStyle w:val="78"/>
                                    <w:rPr>
                                      <w:rFonts w:ascii="宋体" w:hAnsi="宋体" w:cs="宋体"/>
                                      <w:sz w:val="20"/>
                                      <w:szCs w:val="20"/>
                                    </w:rPr>
                                  </w:pPr>
                                </w:p>
                                <w:p w14:paraId="0BC5B8E8">
                                  <w:pPr>
                                    <w:pStyle w:val="78"/>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noWrap w:val="0"/>
                                  <w:vAlign w:val="top"/>
                                </w:tcPr>
                                <w:p w14:paraId="0B9C54E7">
                                  <w:pPr>
                                    <w:pStyle w:val="78"/>
                                    <w:spacing w:before="11"/>
                                    <w:rPr>
                                      <w:rFonts w:ascii="宋体" w:hAnsi="宋体" w:cs="宋体"/>
                                      <w:sz w:val="16"/>
                                      <w:szCs w:val="16"/>
                                      <w:lang w:eastAsia="zh-CN"/>
                                    </w:rPr>
                                  </w:pPr>
                                </w:p>
                                <w:p w14:paraId="6908179E">
                                  <w:pPr>
                                    <w:pStyle w:val="78"/>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698CCAB8">
                                  <w:pPr>
                                    <w:pStyle w:val="78"/>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0564AD1C">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2AFD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13ECF">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3B67B99B">
                                  <w:pPr>
                                    <w:pStyle w:val="7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5D090">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noWrap w:val="0"/>
                                  <w:vAlign w:val="top"/>
                                </w:tcPr>
                                <w:p w14:paraId="13AF530C">
                                  <w:pPr>
                                    <w:pStyle w:val="78"/>
                                    <w:spacing w:line="256" w:lineRule="exact"/>
                                    <w:ind w:left="7"/>
                                    <w:rPr>
                                      <w:rFonts w:ascii="宋体" w:hAnsi="宋体" w:cs="宋体"/>
                                      <w:sz w:val="20"/>
                                      <w:szCs w:val="20"/>
                                      <w:lang w:eastAsia="zh-CN"/>
                                    </w:rPr>
                                  </w:pPr>
                                </w:p>
                              </w:tc>
                            </w:tr>
                            <w:tr w14:paraId="61303F79">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00DA03B0">
                                  <w:pPr>
                                    <w:pStyle w:val="78"/>
                                    <w:spacing w:before="12"/>
                                    <w:rPr>
                                      <w:rFonts w:ascii="宋体" w:hAnsi="宋体" w:cs="宋体"/>
                                      <w:sz w:val="15"/>
                                      <w:szCs w:val="15"/>
                                      <w:lang w:eastAsia="zh-CN"/>
                                    </w:rPr>
                                  </w:pPr>
                                </w:p>
                                <w:p w14:paraId="7AF9505C">
                                  <w:pPr>
                                    <w:pStyle w:val="78"/>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57B49BA">
                                  <w:pPr>
                                    <w:pStyle w:val="78"/>
                                    <w:spacing w:before="12"/>
                                    <w:rPr>
                                      <w:rFonts w:ascii="宋体" w:hAnsi="宋体" w:cs="宋体"/>
                                      <w:sz w:val="15"/>
                                      <w:szCs w:val="15"/>
                                    </w:rPr>
                                  </w:pPr>
                                </w:p>
                                <w:p w14:paraId="6E7F6657">
                                  <w:pPr>
                                    <w:pStyle w:val="78"/>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F37D3C4">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F77E383">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3DF9DED">
                                  <w:pPr>
                                    <w:pStyle w:val="78"/>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696EA6BB">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1A37A7F5">
                                  <w:pPr>
                                    <w:pStyle w:val="78"/>
                                    <w:spacing w:before="3"/>
                                    <w:rPr>
                                      <w:rFonts w:ascii="宋体" w:hAnsi="宋体" w:cs="宋体"/>
                                      <w:sz w:val="14"/>
                                      <w:szCs w:val="14"/>
                                      <w:lang w:eastAsia="zh-CN"/>
                                    </w:rPr>
                                  </w:pPr>
                                </w:p>
                                <w:p w14:paraId="67A40B9A">
                                  <w:pPr>
                                    <w:pStyle w:val="78"/>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noWrap w:val="0"/>
                                  <w:vAlign w:val="top"/>
                                </w:tcPr>
                                <w:p w14:paraId="22A96A60">
                                  <w:pPr>
                                    <w:pStyle w:val="78"/>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128FE88">
                                  <w:pPr>
                                    <w:pStyle w:val="78"/>
                                    <w:spacing w:before="3"/>
                                    <w:rPr>
                                      <w:rFonts w:ascii="宋体" w:hAnsi="宋体" w:cs="宋体"/>
                                      <w:sz w:val="14"/>
                                      <w:szCs w:val="14"/>
                                    </w:rPr>
                                  </w:pPr>
                                </w:p>
                                <w:p w14:paraId="39831CA1">
                                  <w:pPr>
                                    <w:pStyle w:val="78"/>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32EEDFA9">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7C3314F6">
                                  <w:pPr>
                                    <w:pStyle w:val="78"/>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129F95D5">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D047">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4570E225">
                                  <w:pPr>
                                    <w:pStyle w:val="7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80749">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891A">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7F6A366A">
                                  <w:pPr>
                                    <w:pStyle w:val="78"/>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29211816">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4D548FA">
                                  <w:pPr>
                                    <w:pStyle w:val="78"/>
                                    <w:spacing w:before="8"/>
                                    <w:rPr>
                                      <w:rFonts w:ascii="宋体" w:hAnsi="宋体" w:cs="宋体"/>
                                      <w:sz w:val="21"/>
                                      <w:szCs w:val="21"/>
                                    </w:rPr>
                                  </w:pPr>
                                </w:p>
                                <w:p w14:paraId="3A2F4DBC">
                                  <w:pPr>
                                    <w:pStyle w:val="78"/>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noWrap w:val="0"/>
                                  <w:vAlign w:val="top"/>
                                </w:tcPr>
                                <w:p w14:paraId="3FF8182D">
                                  <w:pPr>
                                    <w:pStyle w:val="78"/>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90A0A57">
                                  <w:pPr>
                                    <w:pStyle w:val="78"/>
                                    <w:spacing w:before="8"/>
                                    <w:rPr>
                                      <w:rFonts w:ascii="宋体" w:hAnsi="宋体" w:cs="宋体"/>
                                      <w:sz w:val="21"/>
                                      <w:szCs w:val="21"/>
                                    </w:rPr>
                                  </w:pPr>
                                </w:p>
                                <w:p w14:paraId="77EE7F5A">
                                  <w:pPr>
                                    <w:pStyle w:val="78"/>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67E894BC">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noWrap w:val="0"/>
                                  <w:vAlign w:val="top"/>
                                </w:tcPr>
                                <w:p w14:paraId="5F2237F9">
                                  <w:pPr>
                                    <w:pStyle w:val="78"/>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4ED74BC6">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4B61C">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1821773C">
                                  <w:pPr>
                                    <w:pStyle w:val="7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F5688">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1CD77">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noWrap w:val="0"/>
                                  <w:vAlign w:val="top"/>
                                </w:tcPr>
                                <w:p w14:paraId="45F564AE">
                                  <w:pPr>
                                    <w:pStyle w:val="78"/>
                                    <w:spacing w:line="256" w:lineRule="exact"/>
                                    <w:ind w:left="7"/>
                                    <w:rPr>
                                      <w:rFonts w:ascii="宋体" w:hAnsi="宋体" w:cs="宋体"/>
                                      <w:sz w:val="20"/>
                                      <w:szCs w:val="20"/>
                                      <w:lang w:eastAsia="zh-CN"/>
                                    </w:rPr>
                                  </w:pPr>
                                </w:p>
                              </w:tc>
                            </w:tr>
                            <w:tr w14:paraId="3B2B3499">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2FCD6151">
                                  <w:pPr>
                                    <w:pStyle w:val="78"/>
                                    <w:rPr>
                                      <w:rFonts w:ascii="宋体" w:hAnsi="宋体" w:cs="宋体"/>
                                      <w:sz w:val="20"/>
                                      <w:szCs w:val="20"/>
                                      <w:lang w:eastAsia="zh-CN"/>
                                    </w:rPr>
                                  </w:pPr>
                                </w:p>
                                <w:p w14:paraId="5D59532E">
                                  <w:pPr>
                                    <w:pStyle w:val="78"/>
                                    <w:rPr>
                                      <w:rFonts w:ascii="宋体" w:hAnsi="宋体" w:cs="宋体"/>
                                      <w:sz w:val="20"/>
                                      <w:szCs w:val="20"/>
                                      <w:lang w:eastAsia="zh-CN"/>
                                    </w:rPr>
                                  </w:pPr>
                                </w:p>
                                <w:p w14:paraId="72F1317F">
                                  <w:pPr>
                                    <w:pStyle w:val="78"/>
                                    <w:rPr>
                                      <w:rFonts w:ascii="宋体" w:hAnsi="宋体" w:cs="宋体"/>
                                      <w:sz w:val="20"/>
                                      <w:szCs w:val="20"/>
                                      <w:lang w:eastAsia="zh-CN"/>
                                    </w:rPr>
                                  </w:pPr>
                                </w:p>
                                <w:p w14:paraId="1E06F3C3">
                                  <w:pPr>
                                    <w:pStyle w:val="78"/>
                                    <w:rPr>
                                      <w:rFonts w:ascii="宋体" w:hAnsi="宋体" w:cs="宋体"/>
                                      <w:sz w:val="20"/>
                                      <w:szCs w:val="20"/>
                                      <w:lang w:eastAsia="zh-CN"/>
                                    </w:rPr>
                                  </w:pPr>
                                </w:p>
                                <w:p w14:paraId="6B7603FA">
                                  <w:pPr>
                                    <w:pStyle w:val="78"/>
                                    <w:rPr>
                                      <w:rFonts w:ascii="宋体" w:hAnsi="宋体" w:cs="宋体"/>
                                      <w:sz w:val="20"/>
                                      <w:szCs w:val="20"/>
                                      <w:lang w:eastAsia="zh-CN"/>
                                    </w:rPr>
                                  </w:pPr>
                                </w:p>
                                <w:p w14:paraId="18C172E5">
                                  <w:pPr>
                                    <w:pStyle w:val="78"/>
                                    <w:rPr>
                                      <w:rFonts w:ascii="宋体" w:hAnsi="宋体" w:cs="宋体"/>
                                      <w:sz w:val="20"/>
                                      <w:szCs w:val="20"/>
                                      <w:lang w:eastAsia="zh-CN"/>
                                    </w:rPr>
                                  </w:pPr>
                                </w:p>
                                <w:p w14:paraId="15D34B31">
                                  <w:pPr>
                                    <w:pStyle w:val="78"/>
                                    <w:rPr>
                                      <w:rFonts w:ascii="宋体" w:hAnsi="宋体" w:cs="宋体"/>
                                      <w:sz w:val="20"/>
                                      <w:szCs w:val="20"/>
                                      <w:lang w:eastAsia="zh-CN"/>
                                    </w:rPr>
                                  </w:pPr>
                                </w:p>
                                <w:p w14:paraId="750AB9F9">
                                  <w:pPr>
                                    <w:pStyle w:val="78"/>
                                    <w:rPr>
                                      <w:rFonts w:ascii="宋体" w:hAnsi="宋体" w:cs="宋体"/>
                                      <w:sz w:val="20"/>
                                      <w:szCs w:val="20"/>
                                      <w:lang w:eastAsia="zh-CN"/>
                                    </w:rPr>
                                  </w:pPr>
                                </w:p>
                                <w:p w14:paraId="748323C2">
                                  <w:pPr>
                                    <w:pStyle w:val="78"/>
                                    <w:rPr>
                                      <w:rFonts w:ascii="宋体" w:hAnsi="宋体" w:cs="宋体"/>
                                      <w:sz w:val="20"/>
                                      <w:szCs w:val="20"/>
                                      <w:lang w:eastAsia="zh-CN"/>
                                    </w:rPr>
                                  </w:pPr>
                                </w:p>
                                <w:p w14:paraId="2D6AE5CB">
                                  <w:pPr>
                                    <w:pStyle w:val="78"/>
                                    <w:spacing w:before="5"/>
                                    <w:rPr>
                                      <w:rFonts w:ascii="宋体" w:hAnsi="宋体" w:cs="宋体"/>
                                      <w:sz w:val="18"/>
                                      <w:szCs w:val="18"/>
                                      <w:lang w:eastAsia="zh-CN"/>
                                    </w:rPr>
                                  </w:pPr>
                                </w:p>
                                <w:p w14:paraId="0F98E156">
                                  <w:pPr>
                                    <w:pStyle w:val="78"/>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40A039B4">
                                  <w:pPr>
                                    <w:pStyle w:val="78"/>
                                    <w:rPr>
                                      <w:rFonts w:ascii="宋体" w:hAnsi="宋体" w:cs="宋体"/>
                                      <w:sz w:val="20"/>
                                      <w:szCs w:val="20"/>
                                    </w:rPr>
                                  </w:pPr>
                                </w:p>
                                <w:p w14:paraId="65144979">
                                  <w:pPr>
                                    <w:pStyle w:val="78"/>
                                    <w:rPr>
                                      <w:rFonts w:ascii="宋体" w:hAnsi="宋体" w:cs="宋体"/>
                                      <w:sz w:val="20"/>
                                      <w:szCs w:val="20"/>
                                    </w:rPr>
                                  </w:pPr>
                                </w:p>
                                <w:p w14:paraId="447A1A62">
                                  <w:pPr>
                                    <w:pStyle w:val="78"/>
                                    <w:rPr>
                                      <w:rFonts w:ascii="宋体" w:hAnsi="宋体" w:cs="宋体"/>
                                      <w:sz w:val="20"/>
                                      <w:szCs w:val="20"/>
                                    </w:rPr>
                                  </w:pPr>
                                </w:p>
                                <w:p w14:paraId="6C9CE4D5">
                                  <w:pPr>
                                    <w:pStyle w:val="78"/>
                                    <w:rPr>
                                      <w:rFonts w:ascii="宋体" w:hAnsi="宋体" w:cs="宋体"/>
                                      <w:sz w:val="20"/>
                                      <w:szCs w:val="20"/>
                                    </w:rPr>
                                  </w:pPr>
                                </w:p>
                                <w:p w14:paraId="3633B6ED">
                                  <w:pPr>
                                    <w:pStyle w:val="78"/>
                                    <w:rPr>
                                      <w:rFonts w:ascii="宋体" w:hAnsi="宋体" w:cs="宋体"/>
                                      <w:sz w:val="20"/>
                                      <w:szCs w:val="20"/>
                                    </w:rPr>
                                  </w:pPr>
                                </w:p>
                                <w:p w14:paraId="1E1F92A2">
                                  <w:pPr>
                                    <w:pStyle w:val="78"/>
                                    <w:rPr>
                                      <w:rFonts w:ascii="宋体" w:hAnsi="宋体" w:cs="宋体"/>
                                      <w:sz w:val="20"/>
                                      <w:szCs w:val="20"/>
                                    </w:rPr>
                                  </w:pPr>
                                </w:p>
                                <w:p w14:paraId="13F2778A">
                                  <w:pPr>
                                    <w:pStyle w:val="78"/>
                                    <w:rPr>
                                      <w:rFonts w:ascii="宋体" w:hAnsi="宋体" w:cs="宋体"/>
                                      <w:sz w:val="20"/>
                                      <w:szCs w:val="20"/>
                                    </w:rPr>
                                  </w:pPr>
                                </w:p>
                                <w:p w14:paraId="23CB2A3C">
                                  <w:pPr>
                                    <w:pStyle w:val="78"/>
                                    <w:rPr>
                                      <w:rFonts w:ascii="宋体" w:hAnsi="宋体" w:cs="宋体"/>
                                      <w:sz w:val="20"/>
                                      <w:szCs w:val="20"/>
                                    </w:rPr>
                                  </w:pPr>
                                </w:p>
                                <w:p w14:paraId="575409A1">
                                  <w:pPr>
                                    <w:pStyle w:val="78"/>
                                    <w:spacing w:before="6"/>
                                    <w:rPr>
                                      <w:rFonts w:ascii="宋体" w:hAnsi="宋体" w:cs="宋体"/>
                                      <w:sz w:val="26"/>
                                      <w:szCs w:val="26"/>
                                    </w:rPr>
                                  </w:pPr>
                                </w:p>
                                <w:p w14:paraId="7E26446A">
                                  <w:pPr>
                                    <w:pStyle w:val="78"/>
                                    <w:ind w:left="7"/>
                                    <w:rPr>
                                      <w:rFonts w:ascii="宋体" w:hAnsi="宋体" w:cs="宋体"/>
                                      <w:sz w:val="20"/>
                                      <w:szCs w:val="20"/>
                                    </w:rPr>
                                  </w:pPr>
                                  <w:r>
                                    <w:rPr>
                                      <w:rFonts w:hint="eastAsia" w:ascii="宋体" w:hAnsi="宋体" w:cs="宋体"/>
                                      <w:w w:val="99"/>
                                      <w:sz w:val="20"/>
                                      <w:szCs w:val="20"/>
                                    </w:rPr>
                                    <w:t>A020618生活</w:t>
                                  </w:r>
                                </w:p>
                                <w:p w14:paraId="6F534FED">
                                  <w:pPr>
                                    <w:pStyle w:val="7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35AC102">
                                  <w:pPr>
                                    <w:pStyle w:val="78"/>
                                    <w:spacing w:before="1"/>
                                    <w:rPr>
                                      <w:rFonts w:ascii="宋体" w:hAnsi="宋体" w:cs="宋体"/>
                                      <w:sz w:val="16"/>
                                      <w:szCs w:val="16"/>
                                    </w:rPr>
                                  </w:pPr>
                                </w:p>
                                <w:p w14:paraId="7838C84E">
                                  <w:pPr>
                                    <w:pStyle w:val="78"/>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2802E13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7BE5AC4D">
                                  <w:pPr>
                                    <w:pStyle w:val="78"/>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5E8F0819">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A7031">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6F729">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FFA70B5">
                                  <w:pPr>
                                    <w:pStyle w:val="78"/>
                                    <w:rPr>
                                      <w:rFonts w:ascii="宋体" w:hAnsi="宋体" w:cs="宋体"/>
                                      <w:sz w:val="20"/>
                                      <w:szCs w:val="20"/>
                                      <w:lang w:eastAsia="zh-CN"/>
                                    </w:rPr>
                                  </w:pPr>
                                </w:p>
                                <w:p w14:paraId="6D17E00F">
                                  <w:pPr>
                                    <w:pStyle w:val="78"/>
                                    <w:rPr>
                                      <w:rFonts w:ascii="宋体" w:hAnsi="宋体" w:cs="宋体"/>
                                      <w:sz w:val="20"/>
                                      <w:szCs w:val="20"/>
                                      <w:lang w:eastAsia="zh-CN"/>
                                    </w:rPr>
                                  </w:pPr>
                                </w:p>
                                <w:p w14:paraId="56AA6147">
                                  <w:pPr>
                                    <w:pStyle w:val="78"/>
                                    <w:rPr>
                                      <w:rFonts w:ascii="宋体" w:hAnsi="宋体" w:cs="宋体"/>
                                      <w:sz w:val="20"/>
                                      <w:szCs w:val="20"/>
                                      <w:lang w:eastAsia="zh-CN"/>
                                    </w:rPr>
                                  </w:pPr>
                                </w:p>
                                <w:p w14:paraId="723DB904">
                                  <w:pPr>
                                    <w:pStyle w:val="78"/>
                                    <w:rPr>
                                      <w:rFonts w:ascii="宋体" w:hAnsi="宋体" w:cs="宋体"/>
                                      <w:sz w:val="20"/>
                                      <w:szCs w:val="20"/>
                                      <w:lang w:eastAsia="zh-CN"/>
                                    </w:rPr>
                                  </w:pPr>
                                </w:p>
                                <w:p w14:paraId="08484B26">
                                  <w:pPr>
                                    <w:pStyle w:val="78"/>
                                    <w:rPr>
                                      <w:rFonts w:ascii="宋体" w:hAnsi="宋体" w:cs="宋体"/>
                                      <w:sz w:val="20"/>
                                      <w:szCs w:val="20"/>
                                      <w:lang w:eastAsia="zh-CN"/>
                                    </w:rPr>
                                  </w:pPr>
                                </w:p>
                                <w:p w14:paraId="7E8E8F16">
                                  <w:pPr>
                                    <w:pStyle w:val="78"/>
                                    <w:rPr>
                                      <w:rFonts w:ascii="宋体" w:hAnsi="宋体" w:cs="宋体"/>
                                      <w:sz w:val="20"/>
                                      <w:szCs w:val="20"/>
                                      <w:lang w:eastAsia="zh-CN"/>
                                    </w:rPr>
                                  </w:pPr>
                                </w:p>
                                <w:p w14:paraId="5D79A3FA">
                                  <w:pPr>
                                    <w:pStyle w:val="78"/>
                                    <w:spacing w:before="171"/>
                                    <w:ind w:left="7"/>
                                    <w:rPr>
                                      <w:rFonts w:ascii="宋体" w:hAnsi="宋体" w:cs="宋体"/>
                                      <w:sz w:val="20"/>
                                      <w:szCs w:val="20"/>
                                    </w:rPr>
                                  </w:pPr>
                                  <w:r>
                                    <w:rPr>
                                      <w:rFonts w:hint="eastAsia" w:ascii="宋体" w:hAnsi="宋体" w:cs="宋体"/>
                                      <w:w w:val="99"/>
                                      <w:sz w:val="20"/>
                                      <w:szCs w:val="20"/>
                                    </w:rPr>
                                    <w:t>★A0206180203空调</w:t>
                                  </w:r>
                                </w:p>
                                <w:p w14:paraId="47199C57">
                                  <w:pPr>
                                    <w:pStyle w:val="78"/>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3154FFB5">
                                  <w:pPr>
                                    <w:pStyle w:val="78"/>
                                    <w:rPr>
                                      <w:rFonts w:ascii="宋体" w:hAnsi="宋体" w:cs="宋体"/>
                                      <w:sz w:val="20"/>
                                      <w:szCs w:val="20"/>
                                    </w:rPr>
                                  </w:pPr>
                                </w:p>
                                <w:p w14:paraId="67AD4123">
                                  <w:pPr>
                                    <w:pStyle w:val="78"/>
                                    <w:rPr>
                                      <w:rFonts w:ascii="宋体" w:hAnsi="宋体" w:cs="宋体"/>
                                      <w:sz w:val="20"/>
                                      <w:szCs w:val="20"/>
                                    </w:rPr>
                                  </w:pPr>
                                </w:p>
                                <w:p w14:paraId="13F6FE04">
                                  <w:pPr>
                                    <w:pStyle w:val="78"/>
                                    <w:spacing w:before="12"/>
                                    <w:rPr>
                                      <w:rFonts w:ascii="宋体" w:hAnsi="宋体" w:cs="宋体"/>
                                      <w:sz w:val="19"/>
                                      <w:szCs w:val="19"/>
                                    </w:rPr>
                                  </w:pPr>
                                </w:p>
                                <w:p w14:paraId="7DC656CB">
                                  <w:pPr>
                                    <w:pStyle w:val="78"/>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42EF17F">
                                  <w:pPr>
                                    <w:pStyle w:val="78"/>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6E084902">
                                  <w:pPr>
                                    <w:pStyle w:val="7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3F4C2951">
                                  <w:pPr>
                                    <w:pStyle w:val="78"/>
                                    <w:spacing w:line="256" w:lineRule="exact"/>
                                    <w:ind w:left="7"/>
                                    <w:rPr>
                                      <w:rFonts w:ascii="宋体" w:hAnsi="宋体" w:cs="宋体"/>
                                      <w:sz w:val="20"/>
                                      <w:szCs w:val="20"/>
                                    </w:rPr>
                                  </w:pPr>
                                  <w:r>
                                    <w:rPr>
                                      <w:rFonts w:hint="eastAsia" w:ascii="宋体" w:hAnsi="宋体" w:cs="宋体"/>
                                      <w:w w:val="99"/>
                                      <w:sz w:val="20"/>
                                      <w:szCs w:val="20"/>
                                    </w:rPr>
                                    <w:t>实施。</w:t>
                                  </w:r>
                                </w:p>
                              </w:tc>
                            </w:tr>
                            <w:tr w14:paraId="0E808221">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030A4">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7AC80">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8B47F">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3E243DA8">
                                  <w:pPr>
                                    <w:pStyle w:val="7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6D1B765">
                                  <w:pPr>
                                    <w:pStyle w:val="7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52E90744">
                              <w:tblPrEx>
                                <w:tblCellMar>
                                  <w:top w:w="0" w:type="dxa"/>
                                  <w:left w:w="0" w:type="dxa"/>
                                  <w:bottom w:w="0" w:type="dxa"/>
                                  <w:right w:w="0" w:type="dxa"/>
                                </w:tblCellMar>
                              </w:tblPrEx>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28F4">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727F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01D04">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76FA6F8C">
                                  <w:pPr>
                                    <w:pStyle w:val="78"/>
                                    <w:spacing w:before="2"/>
                                    <w:rPr>
                                      <w:rFonts w:ascii="宋体" w:hAnsi="宋体" w:cs="宋体"/>
                                      <w:sz w:val="24"/>
                                      <w:szCs w:val="24"/>
                                      <w:lang w:eastAsia="zh-CN"/>
                                    </w:rPr>
                                  </w:pPr>
                                </w:p>
                                <w:p w14:paraId="1018B052">
                                  <w:pPr>
                                    <w:pStyle w:val="7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70BB323F">
                                  <w:pPr>
                                    <w:pStyle w:val="78"/>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5A3D6A09">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534BF">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9C4C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B29DF">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1730645C">
                                  <w:pPr>
                                    <w:pStyle w:val="78"/>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noWrap w:val="0"/>
                                  <w:vAlign w:val="top"/>
                                </w:tcPr>
                                <w:p w14:paraId="7C163F2D">
                                  <w:pPr>
                                    <w:pStyle w:val="78"/>
                                    <w:spacing w:line="256" w:lineRule="exact"/>
                                    <w:ind w:left="7"/>
                                    <w:rPr>
                                      <w:rFonts w:ascii="宋体" w:hAnsi="宋体" w:cs="宋体"/>
                                      <w:sz w:val="20"/>
                                      <w:szCs w:val="20"/>
                                      <w:lang w:eastAsia="zh-CN"/>
                                    </w:rPr>
                                  </w:pPr>
                                </w:p>
                              </w:tc>
                            </w:tr>
                            <w:tr w14:paraId="3B96BFC4">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66529">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317D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6BF9E12">
                                  <w:pPr>
                                    <w:pStyle w:val="78"/>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5DACDCB6">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1D913317">
                                  <w:pPr>
                                    <w:pStyle w:val="78"/>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4CB95AD7">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67.45pt;margin-top:3.45pt;height:671.2pt;width:485.5pt;mso-position-horizontal-relative:page;z-index:251660288;mso-width-relative:page;mso-height-relative:page;" filled="f" stroked="f" coordsize="21600,21600" o:gfxdata="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Mj9s7XAAAACwEAAA8AAAAAAAAAAQAgAAAAIgAAAGRycy9k&#10;b3ducmV2LnhtbFBLAQIUABQAAAAIAIdO4kB2eEUrygEAAI8DAAAOAAAAAAAAAAEAIAAAACYBAABk&#10;cnMvZTJvRG9jLnhtbFBLBQYAAAAABgAGAFkBAABiBQAAAAA=&#10;">
                <v:fill on="f" focussize="0,0"/>
                <v:stroke on="f"/>
                <v:imagedata o:title=""/>
                <o:lock v:ext="edit" aspectratio="f"/>
                <v:textbox inset="0mm,0mm,0mm,0mm">
                  <w:txbxContent>
                    <w:tbl>
                      <w:tblPr>
                        <w:tblStyle w:val="29"/>
                        <w:tblW w:w="9105" w:type="dxa"/>
                        <w:tblInd w:w="7" w:type="dxa"/>
                        <w:tblLayout w:type="fixed"/>
                        <w:tblCellMar>
                          <w:top w:w="0" w:type="dxa"/>
                          <w:left w:w="0" w:type="dxa"/>
                          <w:bottom w:w="0" w:type="dxa"/>
                          <w:right w:w="0" w:type="dxa"/>
                        </w:tblCellMar>
                      </w:tblPr>
                      <w:tblGrid>
                        <w:gridCol w:w="570"/>
                        <w:gridCol w:w="1163"/>
                        <w:gridCol w:w="1800"/>
                        <w:gridCol w:w="1792"/>
                        <w:gridCol w:w="3780"/>
                      </w:tblGrid>
                      <w:tr w14:paraId="2323B2EF">
                        <w:tblPrEx>
                          <w:tblCellMar>
                            <w:top w:w="0" w:type="dxa"/>
                            <w:left w:w="0" w:type="dxa"/>
                            <w:bottom w:w="0" w:type="dxa"/>
                            <w:right w:w="0" w:type="dxa"/>
                          </w:tblCellMar>
                        </w:tblPrEx>
                        <w:trPr>
                          <w:trHeight w:val="416"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28FF9B9">
                            <w:pPr>
                              <w:rPr>
                                <w:rFonts w:ascii="Calibri" w:hAnsi="Calibri"/>
                                <w:sz w:val="22"/>
                                <w:szCs w:val="22"/>
                              </w:rPr>
                            </w:pP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6EB794CD">
                            <w:pPr>
                              <w:rPr>
                                <w:rFonts w:ascii="Calibri" w:hAnsi="Calibri"/>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50B931B9">
                            <w:pPr>
                              <w:rPr>
                                <w:rFonts w:ascii="Calibri" w:hAnsi="Calibri"/>
                                <w:sz w:val="22"/>
                                <w:szCs w:val="22"/>
                              </w:rPr>
                            </w:pPr>
                          </w:p>
                        </w:tc>
                        <w:tc>
                          <w:tcPr>
                            <w:tcW w:w="1792" w:type="dxa"/>
                            <w:tcBorders>
                              <w:top w:val="single" w:color="000000" w:sz="4" w:space="0"/>
                              <w:left w:val="single" w:color="000000" w:sz="4" w:space="0"/>
                              <w:bottom w:val="nil"/>
                              <w:right w:val="single" w:color="000000" w:sz="4" w:space="0"/>
                            </w:tcBorders>
                            <w:noWrap w:val="0"/>
                            <w:vAlign w:val="top"/>
                          </w:tcPr>
                          <w:p w14:paraId="73DEBC7A">
                            <w:pPr>
                              <w:pStyle w:val="78"/>
                              <w:spacing w:before="93"/>
                              <w:ind w:left="7"/>
                              <w:rPr>
                                <w:rFonts w:ascii="宋体" w:hAnsi="宋体" w:cs="宋体"/>
                                <w:sz w:val="20"/>
                                <w:szCs w:val="20"/>
                              </w:rPr>
                            </w:pPr>
                            <w:r>
                              <w:rPr>
                                <w:rFonts w:hint="eastAsia" w:ascii="宋体" w:hAnsi="宋体" w:cs="宋体"/>
                                <w:w w:val="99"/>
                                <w:sz w:val="20"/>
                                <w:szCs w:val="20"/>
                              </w:rPr>
                              <w:t>溴化锂吸收式冷水机</w:t>
                            </w:r>
                          </w:p>
                        </w:tc>
                        <w:tc>
                          <w:tcPr>
                            <w:tcW w:w="3780" w:type="dxa"/>
                            <w:vMerge w:val="restart"/>
                            <w:tcBorders>
                              <w:top w:val="single" w:color="000000" w:sz="4" w:space="0"/>
                              <w:left w:val="single" w:color="000000" w:sz="4" w:space="0"/>
                              <w:right w:val="single" w:color="000000" w:sz="4" w:space="0"/>
                            </w:tcBorders>
                            <w:noWrap w:val="0"/>
                            <w:vAlign w:val="top"/>
                          </w:tcPr>
                          <w:p w14:paraId="5AA48101">
                            <w:pPr>
                              <w:pStyle w:val="78"/>
                              <w:spacing w:before="93"/>
                              <w:ind w:left="7"/>
                              <w:rPr>
                                <w:rFonts w:ascii="宋体" w:hAnsi="宋体" w:cs="宋体"/>
                                <w:w w:val="99"/>
                                <w:sz w:val="20"/>
                                <w:szCs w:val="20"/>
                                <w:lang w:eastAsia="zh-CN"/>
                              </w:rPr>
                            </w:pPr>
                            <w:r>
                              <w:rPr>
                                <w:rFonts w:hint="eastAsia" w:ascii="宋体" w:hAnsi="宋体" w:cs="宋体"/>
                                <w:w w:val="99"/>
                                <w:sz w:val="20"/>
                                <w:szCs w:val="20"/>
                                <w:lang w:eastAsia="zh-CN"/>
                              </w:rPr>
                              <w:t>《溴化锂吸收式冷水机组能效限</w:t>
                            </w:r>
                          </w:p>
                          <w:p w14:paraId="4E142BC7">
                            <w:pPr>
                              <w:pStyle w:val="78"/>
                              <w:spacing w:line="256" w:lineRule="exact"/>
                              <w:ind w:left="7"/>
                              <w:rPr>
                                <w:rFonts w:ascii="宋体" w:hAnsi="宋体" w:cs="宋体"/>
                                <w:sz w:val="20"/>
                                <w:szCs w:val="20"/>
                                <w:lang w:eastAsia="zh-CN"/>
                              </w:rPr>
                            </w:pPr>
                            <w:r>
                              <w:rPr>
                                <w:rFonts w:hint="eastAsia" w:ascii="宋体" w:hAnsi="宋体" w:cs="宋体"/>
                                <w:w w:val="99"/>
                                <w:sz w:val="20"/>
                                <w:szCs w:val="20"/>
                                <w:lang w:eastAsia="zh-CN"/>
                              </w:rPr>
                              <w:t>定值及能效等级》（GB29540）</w:t>
                            </w:r>
                          </w:p>
                        </w:tc>
                      </w:tr>
                      <w:tr w14:paraId="37C4CBCE">
                        <w:tblPrEx>
                          <w:tblCellMar>
                            <w:top w:w="0" w:type="dxa"/>
                            <w:left w:w="0" w:type="dxa"/>
                            <w:bottom w:w="0" w:type="dxa"/>
                            <w:right w:w="0" w:type="dxa"/>
                          </w:tblCellMar>
                        </w:tblPrEx>
                        <w:trPr>
                          <w:trHeight w:val="40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11A9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DF714">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BB2B9C">
                            <w:pPr>
                              <w:widowControl/>
                              <w:jc w:val="left"/>
                              <w:rPr>
                                <w:rFonts w:ascii="Calibri" w:hAnsi="Calibri" w:eastAsia="Times New Roman"/>
                                <w:sz w:val="22"/>
                                <w:szCs w:val="22"/>
                              </w:rPr>
                            </w:pPr>
                          </w:p>
                        </w:tc>
                        <w:tc>
                          <w:tcPr>
                            <w:tcW w:w="1792" w:type="dxa"/>
                            <w:tcBorders>
                              <w:top w:val="nil"/>
                              <w:left w:val="single" w:color="000000" w:sz="4" w:space="0"/>
                              <w:bottom w:val="single" w:color="000000" w:sz="4" w:space="0"/>
                              <w:right w:val="single" w:color="000000" w:sz="4" w:space="0"/>
                            </w:tcBorders>
                            <w:noWrap w:val="0"/>
                            <w:vAlign w:val="top"/>
                          </w:tcPr>
                          <w:p w14:paraId="03AC7AF7">
                            <w:pPr>
                              <w:pStyle w:val="78"/>
                              <w:spacing w:line="256" w:lineRule="exact"/>
                              <w:ind w:left="7"/>
                              <w:rPr>
                                <w:rFonts w:ascii="宋体" w:hAnsi="宋体" w:cs="宋体"/>
                                <w:sz w:val="20"/>
                                <w:szCs w:val="20"/>
                              </w:rPr>
                            </w:pPr>
                            <w:r>
                              <w:rPr>
                                <w:rFonts w:hint="eastAsia" w:ascii="宋体" w:hAnsi="宋体" w:cs="宋体"/>
                                <w:w w:val="99"/>
                                <w:sz w:val="20"/>
                                <w:szCs w:val="20"/>
                              </w:rPr>
                              <w:t>组</w:t>
                            </w:r>
                          </w:p>
                        </w:tc>
                        <w:tc>
                          <w:tcPr>
                            <w:tcW w:w="3780" w:type="dxa"/>
                            <w:vMerge w:val="continue"/>
                            <w:tcBorders>
                              <w:left w:val="single" w:color="000000" w:sz="4" w:space="0"/>
                              <w:bottom w:val="single" w:color="000000" w:sz="4" w:space="0"/>
                              <w:right w:val="single" w:color="000000" w:sz="4" w:space="0"/>
                            </w:tcBorders>
                            <w:noWrap w:val="0"/>
                            <w:vAlign w:val="top"/>
                          </w:tcPr>
                          <w:p w14:paraId="3434ABE8">
                            <w:pPr>
                              <w:pStyle w:val="78"/>
                              <w:spacing w:line="256" w:lineRule="exact"/>
                              <w:ind w:left="7"/>
                              <w:rPr>
                                <w:rFonts w:ascii="宋体" w:hAnsi="宋体" w:cs="宋体"/>
                                <w:sz w:val="20"/>
                                <w:szCs w:val="20"/>
                                <w:lang w:eastAsia="zh-CN"/>
                              </w:rPr>
                            </w:pPr>
                          </w:p>
                        </w:tc>
                      </w:tr>
                      <w:tr w14:paraId="438DB1CB">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71A24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101D6">
                            <w:pPr>
                              <w:widowControl/>
                              <w:jc w:val="left"/>
                              <w:rPr>
                                <w:rFonts w:ascii="Calibri" w:hAnsi="Calibri" w:eastAsia="Times New Roman"/>
                                <w:sz w:val="22"/>
                                <w:szCs w:val="22"/>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19AD028E">
                            <w:pPr>
                              <w:pStyle w:val="78"/>
                              <w:rPr>
                                <w:rFonts w:ascii="宋体" w:hAnsi="宋体" w:cs="宋体"/>
                                <w:sz w:val="20"/>
                                <w:szCs w:val="20"/>
                                <w:lang w:eastAsia="zh-CN"/>
                              </w:rPr>
                            </w:pPr>
                          </w:p>
                          <w:p w14:paraId="3446CF1F">
                            <w:pPr>
                              <w:pStyle w:val="78"/>
                              <w:rPr>
                                <w:rFonts w:ascii="宋体" w:hAnsi="宋体" w:cs="宋体"/>
                                <w:sz w:val="20"/>
                                <w:szCs w:val="20"/>
                                <w:lang w:eastAsia="zh-CN"/>
                              </w:rPr>
                            </w:pPr>
                          </w:p>
                          <w:p w14:paraId="2DC88A2A">
                            <w:pPr>
                              <w:pStyle w:val="78"/>
                              <w:spacing w:before="3"/>
                              <w:rPr>
                                <w:rFonts w:ascii="宋体" w:hAnsi="宋体" w:cs="宋体"/>
                                <w:sz w:val="21"/>
                                <w:szCs w:val="21"/>
                                <w:lang w:eastAsia="zh-CN"/>
                              </w:rPr>
                            </w:pPr>
                          </w:p>
                          <w:p w14:paraId="6A3CB4F2">
                            <w:pPr>
                              <w:pStyle w:val="78"/>
                              <w:spacing w:line="280" w:lineRule="auto"/>
                              <w:ind w:left="7" w:right="5"/>
                              <w:rPr>
                                <w:rFonts w:ascii="宋体" w:hAnsi="宋体" w:cs="宋体"/>
                                <w:sz w:val="20"/>
                                <w:szCs w:val="20"/>
                              </w:rPr>
                            </w:pPr>
                            <w:r>
                              <w:rPr>
                                <w:rFonts w:hint="eastAsia" w:ascii="宋体" w:hAnsi="宋体" w:cs="宋体"/>
                                <w:w w:val="99"/>
                                <w:sz w:val="20"/>
                                <w:szCs w:val="20"/>
                              </w:rPr>
                              <w:t>★A02052305空调机组</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23B6A29A">
                            <w:pPr>
                              <w:pStyle w:val="78"/>
                              <w:spacing w:before="4" w:line="280" w:lineRule="auto"/>
                              <w:ind w:left="7" w:right="7"/>
                              <w:jc w:val="both"/>
                              <w:rPr>
                                <w:rFonts w:ascii="宋体" w:hAnsi="宋体" w:cs="宋体"/>
                                <w:w w:val="99"/>
                                <w:sz w:val="20"/>
                                <w:szCs w:val="20"/>
                                <w:lang w:eastAsia="zh-CN"/>
                              </w:rPr>
                            </w:pPr>
                            <w:r>
                              <w:rPr>
                                <w:rFonts w:hint="eastAsia" w:ascii="宋体" w:hAnsi="宋体" w:cs="宋体"/>
                                <w:w w:val="99"/>
                                <w:sz w:val="20"/>
                                <w:szCs w:val="20"/>
                                <w:lang w:eastAsia="zh-CN"/>
                              </w:rPr>
                              <w:t>多联式空调（热泵）机组</w:t>
                            </w:r>
                          </w:p>
                          <w:p w14:paraId="24E1F47D">
                            <w:pPr>
                              <w:pStyle w:val="7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（制冷量&gt;14000W）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482EADA6">
                            <w:pPr>
                              <w:pStyle w:val="7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5F5B53A2">
                        <w:tblPrEx>
                          <w:tblCellMar>
                            <w:top w:w="0" w:type="dxa"/>
                            <w:left w:w="0" w:type="dxa"/>
                            <w:bottom w:w="0" w:type="dxa"/>
                            <w:right w:w="0" w:type="dxa"/>
                          </w:tblCellMar>
                        </w:tblPrEx>
                        <w:trPr>
                          <w:trHeight w:val="644"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A8935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39F8FB1">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DD59EB">
                            <w:pPr>
                              <w:widowControl/>
                              <w:jc w:val="left"/>
                              <w:rPr>
                                <w:rFonts w:ascii="宋体" w:hAnsi="宋体" w:eastAsia="Times New Roman" w:cs="宋体"/>
                                <w:kern w:val="0"/>
                                <w:sz w:val="20"/>
                                <w:szCs w:val="20"/>
                              </w:rPr>
                            </w:pPr>
                          </w:p>
                        </w:tc>
                        <w:tc>
                          <w:tcPr>
                            <w:tcW w:w="1792" w:type="dxa"/>
                            <w:tcBorders>
                              <w:top w:val="single" w:color="000000" w:sz="4" w:space="0"/>
                              <w:left w:val="single" w:color="000000" w:sz="4" w:space="0"/>
                              <w:bottom w:val="nil"/>
                              <w:right w:val="single" w:color="000000" w:sz="4" w:space="0"/>
                            </w:tcBorders>
                            <w:noWrap w:val="0"/>
                            <w:vAlign w:val="top"/>
                          </w:tcPr>
                          <w:p w14:paraId="1BBCDBBF">
                            <w:pPr>
                              <w:pStyle w:val="78"/>
                              <w:spacing w:before="7"/>
                              <w:rPr>
                                <w:rFonts w:ascii="宋体" w:hAnsi="宋体" w:cs="宋体"/>
                                <w:sz w:val="24"/>
                                <w:szCs w:val="24"/>
                                <w:lang w:eastAsia="zh-CN"/>
                              </w:rPr>
                            </w:pPr>
                          </w:p>
                          <w:p w14:paraId="4BB8FFEE">
                            <w:pPr>
                              <w:pStyle w:val="7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32857292">
                            <w:pPr>
                              <w:pStyle w:val="78"/>
                              <w:spacing w:before="9" w:line="280" w:lineRule="auto"/>
                              <w:ind w:left="7" w:right="4"/>
                              <w:rPr>
                                <w:rFonts w:ascii="宋体" w:hAnsi="宋体" w:cs="宋体"/>
                                <w:sz w:val="20"/>
                                <w:szCs w:val="20"/>
                                <w:lang w:eastAsia="zh-CN"/>
                              </w:rPr>
                            </w:pPr>
                            <w:r>
                              <w:rPr>
                                <w:rFonts w:hint="eastAsia" w:ascii="宋体" w:hAnsi="宋体" w:cs="宋体"/>
                                <w:w w:val="99"/>
                                <w:sz w:val="20"/>
                                <w:szCs w:val="20"/>
                                <w:lang w:eastAsia="zh-CN"/>
                              </w:rPr>
                              <w:t>《单元式空气调节机能效限定值及能效等级》（GB19576）《风管送风式空调机组能效限定值及能效等级》（GB37479）</w:t>
                            </w:r>
                          </w:p>
                        </w:tc>
                      </w:tr>
                      <w:tr w14:paraId="39D4F270">
                        <w:tblPrEx>
                          <w:tblCellMar>
                            <w:top w:w="0" w:type="dxa"/>
                            <w:left w:w="0" w:type="dxa"/>
                            <w:bottom w:w="0" w:type="dxa"/>
                            <w:right w:w="0" w:type="dxa"/>
                          </w:tblCellMar>
                        </w:tblPrEx>
                        <w:trPr>
                          <w:trHeight w:val="402"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75FC3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55E36F">
                            <w:pPr>
                              <w:widowControl/>
                              <w:jc w:val="left"/>
                              <w:rPr>
                                <w:rFonts w:ascii="Calibri" w:hAnsi="Calibri" w:eastAsia="Times New Roman"/>
                                <w:sz w:val="22"/>
                                <w:szCs w:val="22"/>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9ED97">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5C1565A6">
                            <w:pPr>
                              <w:pStyle w:val="78"/>
                              <w:spacing w:line="256" w:lineRule="exact"/>
                              <w:ind w:left="7"/>
                              <w:rPr>
                                <w:rFonts w:ascii="宋体" w:hAnsi="宋体" w:cs="宋体"/>
                                <w:sz w:val="20"/>
                                <w:szCs w:val="20"/>
                              </w:rPr>
                            </w:pPr>
                            <w:r>
                              <w:rPr>
                                <w:rFonts w:hint="eastAsia" w:ascii="宋体" w:hAnsi="宋体" w:cs="宋体"/>
                                <w:w w:val="99"/>
                                <w:sz w:val="20"/>
                                <w:szCs w:val="20"/>
                              </w:rPr>
                              <w:t>（制冷量&gt;14000W）</w:t>
                            </w:r>
                          </w:p>
                        </w:tc>
                        <w:tc>
                          <w:tcPr>
                            <w:tcW w:w="3780" w:type="dxa"/>
                            <w:vMerge w:val="continue"/>
                            <w:tcBorders>
                              <w:left w:val="single" w:color="000000" w:sz="4" w:space="0"/>
                              <w:right w:val="single" w:color="000000" w:sz="4" w:space="0"/>
                            </w:tcBorders>
                            <w:noWrap w:val="0"/>
                            <w:vAlign w:val="top"/>
                          </w:tcPr>
                          <w:p w14:paraId="3A1151F1">
                            <w:pPr>
                              <w:pStyle w:val="78"/>
                              <w:spacing w:line="256" w:lineRule="exact"/>
                              <w:rPr>
                                <w:rFonts w:ascii="宋体" w:hAnsi="宋体" w:cs="宋体"/>
                                <w:sz w:val="20"/>
                                <w:szCs w:val="20"/>
                                <w:lang w:eastAsia="zh-CN"/>
                              </w:rPr>
                            </w:pPr>
                          </w:p>
                        </w:tc>
                      </w:tr>
                      <w:tr w14:paraId="1573BC1A">
                        <w:tblPrEx>
                          <w:tblCellMar>
                            <w:top w:w="0" w:type="dxa"/>
                            <w:left w:w="0" w:type="dxa"/>
                            <w:bottom w:w="0" w:type="dxa"/>
                            <w:right w:w="0" w:type="dxa"/>
                          </w:tblCellMar>
                        </w:tblPrEx>
                        <w:trPr>
                          <w:trHeight w:val="40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AE4606">
                            <w:pPr>
                              <w:widowControl/>
                              <w:jc w:val="left"/>
                              <w:rPr>
                                <w:rFonts w:ascii="Calibri" w:hAnsi="Calibri" w:eastAsia="Times New Roman"/>
                                <w:sz w:val="22"/>
                                <w:szCs w:val="22"/>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1D20A">
                            <w:pPr>
                              <w:widowControl/>
                              <w:jc w:val="left"/>
                              <w:rPr>
                                <w:rFonts w:ascii="Calibri" w:hAnsi="Calibri" w:eastAsia="Times New Roman"/>
                                <w:sz w:val="22"/>
                                <w:szCs w:val="22"/>
                                <w:lang w:eastAsia="en-US"/>
                              </w:rPr>
                            </w:pPr>
                          </w:p>
                        </w:tc>
                        <w:tc>
                          <w:tcPr>
                            <w:tcW w:w="1800" w:type="dxa"/>
                            <w:tcBorders>
                              <w:top w:val="single" w:color="000000" w:sz="4" w:space="0"/>
                              <w:left w:val="single" w:color="000000" w:sz="4" w:space="0"/>
                              <w:bottom w:val="nil"/>
                              <w:right w:val="single" w:color="000000" w:sz="4" w:space="0"/>
                            </w:tcBorders>
                            <w:noWrap w:val="0"/>
                            <w:vAlign w:val="top"/>
                          </w:tcPr>
                          <w:p w14:paraId="58DD6349">
                            <w:pPr>
                              <w:pStyle w:val="78"/>
                              <w:spacing w:before="83"/>
                              <w:ind w:left="7"/>
                              <w:rPr>
                                <w:rFonts w:ascii="宋体" w:hAnsi="宋体" w:cs="宋体"/>
                                <w:sz w:val="20"/>
                                <w:szCs w:val="20"/>
                              </w:rPr>
                            </w:pPr>
                            <w:r>
                              <w:rPr>
                                <w:rFonts w:hint="eastAsia" w:ascii="宋体" w:hAnsi="宋体" w:cs="宋体"/>
                                <w:w w:val="99"/>
                                <w:sz w:val="20"/>
                                <w:szCs w:val="20"/>
                              </w:rPr>
                              <w:t>★A02052309专用制</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1BCD4DC7">
                            <w:pPr>
                              <w:pStyle w:val="78"/>
                              <w:spacing w:before="1"/>
                              <w:rPr>
                                <w:rFonts w:ascii="宋体" w:hAnsi="宋体" w:cs="宋体"/>
                                <w:sz w:val="18"/>
                                <w:szCs w:val="18"/>
                              </w:rPr>
                            </w:pPr>
                          </w:p>
                          <w:p w14:paraId="585580D7">
                            <w:pPr>
                              <w:pStyle w:val="78"/>
                              <w:ind w:left="7"/>
                              <w:rPr>
                                <w:rFonts w:ascii="宋体" w:hAnsi="宋体" w:cs="宋体"/>
                                <w:sz w:val="20"/>
                                <w:szCs w:val="20"/>
                              </w:rPr>
                            </w:pPr>
                            <w:r>
                              <w:rPr>
                                <w:rFonts w:hint="eastAsia" w:ascii="宋体" w:hAnsi="宋体" w:cs="宋体"/>
                                <w:w w:val="99"/>
                                <w:sz w:val="20"/>
                                <w:szCs w:val="20"/>
                              </w:rPr>
                              <w:t>机房空调</w:t>
                            </w:r>
                          </w:p>
                        </w:tc>
                        <w:tc>
                          <w:tcPr>
                            <w:tcW w:w="3780" w:type="dxa"/>
                            <w:tcBorders>
                              <w:top w:val="single" w:color="000000" w:sz="4" w:space="0"/>
                              <w:left w:val="single" w:color="000000" w:sz="4" w:space="0"/>
                              <w:bottom w:val="nil"/>
                              <w:right w:val="single" w:color="000000" w:sz="4" w:space="0"/>
                            </w:tcBorders>
                            <w:noWrap w:val="0"/>
                            <w:vAlign w:val="top"/>
                          </w:tcPr>
                          <w:p w14:paraId="7AB8052F">
                            <w:pPr>
                              <w:pStyle w:val="78"/>
                              <w:spacing w:before="83"/>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w:t>
                            </w:r>
                          </w:p>
                        </w:tc>
                      </w:tr>
                      <w:tr w14:paraId="2D7EA4B7">
                        <w:tblPrEx>
                          <w:tblCellMar>
                            <w:top w:w="0" w:type="dxa"/>
                            <w:left w:w="0" w:type="dxa"/>
                            <w:bottom w:w="0" w:type="dxa"/>
                            <w:right w:w="0" w:type="dxa"/>
                          </w:tblCellMar>
                        </w:tblPrEx>
                        <w:trPr>
                          <w:trHeight w:val="39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D80235">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D6D47E">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78BEBBC8">
                            <w:pPr>
                              <w:pStyle w:val="78"/>
                              <w:spacing w:line="254" w:lineRule="exact"/>
                              <w:ind w:left="7"/>
                              <w:rPr>
                                <w:rFonts w:ascii="宋体" w:hAnsi="宋体" w:cs="宋体"/>
                                <w:sz w:val="20"/>
                                <w:szCs w:val="20"/>
                              </w:rPr>
                            </w:pPr>
                            <w:r>
                              <w:rPr>
                                <w:rFonts w:hint="eastAsia" w:ascii="宋体" w:hAnsi="宋体" w:cs="宋体"/>
                                <w:w w:val="99"/>
                                <w:sz w:val="20"/>
                                <w:szCs w:val="20"/>
                              </w:rPr>
                              <w:t>冷、空调设备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28C6E0">
                            <w:pPr>
                              <w:widowControl/>
                              <w:jc w:val="left"/>
                              <w:rPr>
                                <w:rFonts w:ascii="宋体" w:hAnsi="宋体" w:eastAsia="Times New Roman" w:cs="宋体"/>
                                <w:kern w:val="0"/>
                                <w:sz w:val="20"/>
                                <w:szCs w:val="20"/>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4E963E85">
                            <w:pPr>
                              <w:pStyle w:val="78"/>
                              <w:spacing w:line="254" w:lineRule="exact"/>
                              <w:ind w:left="7"/>
                              <w:rPr>
                                <w:rFonts w:ascii="宋体" w:hAnsi="宋体" w:cs="宋体"/>
                                <w:sz w:val="20"/>
                                <w:szCs w:val="20"/>
                                <w:lang w:eastAsia="zh-CN"/>
                              </w:rPr>
                            </w:pPr>
                            <w:r>
                              <w:rPr>
                                <w:rFonts w:hint="eastAsia" w:ascii="宋体" w:hAnsi="宋体" w:cs="宋体"/>
                                <w:w w:val="99"/>
                                <w:sz w:val="20"/>
                                <w:szCs w:val="20"/>
                                <w:lang w:eastAsia="zh-CN"/>
                              </w:rPr>
                              <w:t>及能效等级》（GB19576）</w:t>
                            </w:r>
                          </w:p>
                        </w:tc>
                      </w:tr>
                      <w:tr w14:paraId="7BB65ED2">
                        <w:tblPrEx>
                          <w:tblCellMar>
                            <w:top w:w="0" w:type="dxa"/>
                            <w:left w:w="0" w:type="dxa"/>
                            <w:bottom w:w="0" w:type="dxa"/>
                            <w:right w:w="0" w:type="dxa"/>
                          </w:tblCellMar>
                        </w:tblPrEx>
                        <w:trPr>
                          <w:trHeight w:val="54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7E96E">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CE7DF5">
                            <w:pPr>
                              <w:widowControl/>
                              <w:jc w:val="left"/>
                              <w:rPr>
                                <w:rFonts w:ascii="Calibri" w:hAnsi="Calibri" w:eastAsia="Times New Roman"/>
                                <w:sz w:val="22"/>
                                <w:szCs w:val="22"/>
                              </w:rPr>
                            </w:pPr>
                          </w:p>
                        </w:tc>
                        <w:tc>
                          <w:tcPr>
                            <w:tcW w:w="1800" w:type="dxa"/>
                            <w:tcBorders>
                              <w:top w:val="single" w:color="000000" w:sz="4" w:space="0"/>
                              <w:left w:val="single" w:color="000000" w:sz="4" w:space="0"/>
                              <w:bottom w:val="nil"/>
                              <w:right w:val="single" w:color="000000" w:sz="4" w:space="0"/>
                            </w:tcBorders>
                            <w:noWrap w:val="0"/>
                            <w:vAlign w:val="top"/>
                          </w:tcPr>
                          <w:p w14:paraId="22A96FA6">
                            <w:pPr>
                              <w:pStyle w:val="78"/>
                              <w:rPr>
                                <w:rFonts w:ascii="宋体" w:hAnsi="宋体" w:cs="宋体"/>
                                <w:sz w:val="20"/>
                                <w:szCs w:val="20"/>
                                <w:lang w:eastAsia="zh-CN"/>
                              </w:rPr>
                            </w:pPr>
                          </w:p>
                          <w:p w14:paraId="0CD00A29">
                            <w:pPr>
                              <w:pStyle w:val="78"/>
                              <w:spacing w:before="9"/>
                              <w:rPr>
                                <w:rFonts w:ascii="宋体" w:hAnsi="宋体" w:cs="宋体"/>
                                <w:sz w:val="20"/>
                                <w:szCs w:val="20"/>
                                <w:lang w:eastAsia="zh-CN"/>
                              </w:rPr>
                            </w:pPr>
                          </w:p>
                          <w:p w14:paraId="2EA13CF4">
                            <w:pPr>
                              <w:pStyle w:val="78"/>
                              <w:ind w:left="7"/>
                              <w:rPr>
                                <w:rFonts w:ascii="宋体" w:hAnsi="宋体" w:cs="宋体"/>
                                <w:sz w:val="20"/>
                                <w:szCs w:val="20"/>
                              </w:rPr>
                            </w:pPr>
                            <w:r>
                              <w:rPr>
                                <w:rFonts w:hint="eastAsia" w:ascii="宋体" w:hAnsi="宋体" w:cs="宋体"/>
                                <w:w w:val="99"/>
                                <w:sz w:val="20"/>
                                <w:szCs w:val="20"/>
                              </w:rPr>
                              <w:t>A02052399其他制冷</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44856D39">
                            <w:pPr>
                              <w:pStyle w:val="78"/>
                              <w:rPr>
                                <w:rFonts w:ascii="宋体" w:hAnsi="宋体" w:cs="宋体"/>
                                <w:sz w:val="20"/>
                                <w:szCs w:val="20"/>
                              </w:rPr>
                            </w:pPr>
                          </w:p>
                          <w:p w14:paraId="71010500">
                            <w:pPr>
                              <w:pStyle w:val="78"/>
                              <w:rPr>
                                <w:rFonts w:ascii="宋体" w:hAnsi="宋体" w:cs="宋体"/>
                                <w:sz w:val="20"/>
                                <w:szCs w:val="20"/>
                              </w:rPr>
                            </w:pPr>
                          </w:p>
                          <w:p w14:paraId="0BC5B8E8">
                            <w:pPr>
                              <w:pStyle w:val="78"/>
                              <w:spacing w:before="164"/>
                              <w:ind w:left="7"/>
                              <w:rPr>
                                <w:rFonts w:ascii="宋体" w:hAnsi="宋体" w:cs="宋体"/>
                                <w:sz w:val="20"/>
                                <w:szCs w:val="20"/>
                              </w:rPr>
                            </w:pPr>
                            <w:r>
                              <w:rPr>
                                <w:rFonts w:hint="eastAsia" w:ascii="宋体" w:hAnsi="宋体" w:cs="宋体"/>
                                <w:w w:val="99"/>
                                <w:sz w:val="20"/>
                                <w:szCs w:val="20"/>
                              </w:rPr>
                              <w:t>冷却塔</w:t>
                            </w:r>
                          </w:p>
                        </w:tc>
                        <w:tc>
                          <w:tcPr>
                            <w:tcW w:w="3780" w:type="dxa"/>
                            <w:vMerge w:val="restart"/>
                            <w:tcBorders>
                              <w:top w:val="single" w:color="000000" w:sz="4" w:space="0"/>
                              <w:left w:val="single" w:color="000000" w:sz="4" w:space="0"/>
                              <w:right w:val="single" w:color="000000" w:sz="4" w:space="0"/>
                            </w:tcBorders>
                            <w:noWrap w:val="0"/>
                            <w:vAlign w:val="top"/>
                          </w:tcPr>
                          <w:p w14:paraId="0B9C54E7">
                            <w:pPr>
                              <w:pStyle w:val="78"/>
                              <w:spacing w:before="11"/>
                              <w:rPr>
                                <w:rFonts w:ascii="宋体" w:hAnsi="宋体" w:cs="宋体"/>
                                <w:sz w:val="16"/>
                                <w:szCs w:val="16"/>
                                <w:lang w:eastAsia="zh-CN"/>
                              </w:rPr>
                            </w:pPr>
                          </w:p>
                          <w:p w14:paraId="6908179E">
                            <w:pPr>
                              <w:pStyle w:val="78"/>
                              <w:ind w:left="7"/>
                              <w:rPr>
                                <w:rFonts w:ascii="宋体" w:hAnsi="宋体" w:cs="宋体"/>
                                <w:sz w:val="20"/>
                                <w:szCs w:val="20"/>
                                <w:lang w:eastAsia="zh-CN"/>
                              </w:rPr>
                            </w:pPr>
                            <w:r>
                              <w:rPr>
                                <w:rFonts w:hint="eastAsia" w:ascii="宋体" w:hAnsi="宋体" w:cs="宋体"/>
                                <w:w w:val="99"/>
                                <w:sz w:val="20"/>
                                <w:szCs w:val="20"/>
                                <w:lang w:eastAsia="zh-CN"/>
                              </w:rPr>
                              <w:t>《机械通风冷却塔第1部分：中小型开式冷却塔》（GB/T7190.1）</w:t>
                            </w:r>
                          </w:p>
                          <w:p w14:paraId="698CCAB8">
                            <w:pPr>
                              <w:pStyle w:val="78"/>
                              <w:spacing w:line="256" w:lineRule="exact"/>
                              <w:rPr>
                                <w:rFonts w:ascii="宋体" w:hAnsi="宋体" w:cs="宋体"/>
                                <w:sz w:val="20"/>
                                <w:szCs w:val="20"/>
                                <w:lang w:eastAsia="zh-CN"/>
                              </w:rPr>
                            </w:pPr>
                            <w:r>
                              <w:rPr>
                                <w:rFonts w:hint="eastAsia" w:ascii="宋体" w:hAnsi="宋体" w:cs="宋体"/>
                                <w:w w:val="99"/>
                                <w:sz w:val="20"/>
                                <w:szCs w:val="20"/>
                                <w:lang w:eastAsia="zh-CN"/>
                              </w:rPr>
                              <w:t>《机械通风冷却塔第2部分：大型开式冷却塔》（GB/T7190.2）</w:t>
                            </w:r>
                          </w:p>
                        </w:tc>
                      </w:tr>
                      <w:tr w14:paraId="0564AD1C">
                        <w:tblPrEx>
                          <w:tblCellMar>
                            <w:top w:w="0" w:type="dxa"/>
                            <w:left w:w="0" w:type="dxa"/>
                            <w:bottom w:w="0" w:type="dxa"/>
                            <w:right w:w="0" w:type="dxa"/>
                          </w:tblCellMar>
                        </w:tblPrEx>
                        <w:trPr>
                          <w:trHeight w:val="71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2AFD4">
                            <w:pPr>
                              <w:widowControl/>
                              <w:jc w:val="left"/>
                              <w:rPr>
                                <w:rFonts w:ascii="Calibri" w:hAnsi="Calibri" w:eastAsia="Times New Roman"/>
                                <w:sz w:val="22"/>
                                <w:szCs w:val="22"/>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813ECF">
                            <w:pPr>
                              <w:widowControl/>
                              <w:jc w:val="left"/>
                              <w:rPr>
                                <w:rFonts w:ascii="Calibri" w:hAnsi="Calibri" w:eastAsia="Times New Roman"/>
                                <w:sz w:val="22"/>
                                <w:szCs w:val="22"/>
                              </w:rPr>
                            </w:pPr>
                          </w:p>
                        </w:tc>
                        <w:tc>
                          <w:tcPr>
                            <w:tcW w:w="1800" w:type="dxa"/>
                            <w:tcBorders>
                              <w:top w:val="nil"/>
                              <w:left w:val="single" w:color="000000" w:sz="4" w:space="0"/>
                              <w:bottom w:val="single" w:color="000000" w:sz="4" w:space="0"/>
                              <w:right w:val="single" w:color="000000" w:sz="4" w:space="0"/>
                            </w:tcBorders>
                            <w:noWrap w:val="0"/>
                            <w:vAlign w:val="top"/>
                          </w:tcPr>
                          <w:p w14:paraId="3B67B99B">
                            <w:pPr>
                              <w:pStyle w:val="78"/>
                              <w:spacing w:line="256" w:lineRule="exact"/>
                              <w:ind w:left="7"/>
                              <w:rPr>
                                <w:rFonts w:ascii="宋体" w:hAnsi="宋体" w:cs="宋体"/>
                                <w:sz w:val="20"/>
                                <w:szCs w:val="20"/>
                              </w:rPr>
                            </w:pPr>
                            <w:r>
                              <w:rPr>
                                <w:rFonts w:hint="eastAsia" w:ascii="宋体" w:hAnsi="宋体" w:cs="宋体"/>
                                <w:w w:val="99"/>
                                <w:sz w:val="20"/>
                                <w:szCs w:val="20"/>
                              </w:rPr>
                              <w:t>空调设备</w:t>
                            </w: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C5D090">
                            <w:pPr>
                              <w:widowControl/>
                              <w:jc w:val="left"/>
                              <w:rPr>
                                <w:rFonts w:ascii="宋体" w:hAnsi="宋体" w:eastAsia="Times New Roman" w:cs="宋体"/>
                                <w:kern w:val="0"/>
                                <w:sz w:val="20"/>
                                <w:szCs w:val="20"/>
                                <w:lang w:eastAsia="en-US"/>
                              </w:rPr>
                            </w:pPr>
                          </w:p>
                        </w:tc>
                        <w:tc>
                          <w:tcPr>
                            <w:tcW w:w="3780" w:type="dxa"/>
                            <w:vMerge w:val="continue"/>
                            <w:tcBorders>
                              <w:left w:val="single" w:color="000000" w:sz="4" w:space="0"/>
                              <w:right w:val="single" w:color="000000" w:sz="4" w:space="0"/>
                            </w:tcBorders>
                            <w:noWrap w:val="0"/>
                            <w:vAlign w:val="top"/>
                          </w:tcPr>
                          <w:p w14:paraId="13AF530C">
                            <w:pPr>
                              <w:pStyle w:val="78"/>
                              <w:spacing w:line="256" w:lineRule="exact"/>
                              <w:ind w:left="7"/>
                              <w:rPr>
                                <w:rFonts w:ascii="宋体" w:hAnsi="宋体" w:cs="宋体"/>
                                <w:sz w:val="20"/>
                                <w:szCs w:val="20"/>
                                <w:lang w:eastAsia="zh-CN"/>
                              </w:rPr>
                            </w:pPr>
                          </w:p>
                        </w:tc>
                      </w:tr>
                      <w:tr w14:paraId="61303F79">
                        <w:tblPrEx>
                          <w:tblCellMar>
                            <w:top w:w="0" w:type="dxa"/>
                            <w:left w:w="0" w:type="dxa"/>
                            <w:bottom w:w="0" w:type="dxa"/>
                            <w:right w:w="0" w:type="dxa"/>
                          </w:tblCellMar>
                        </w:tblPrEx>
                        <w:trPr>
                          <w:trHeight w:val="742" w:hRule="exact"/>
                        </w:trPr>
                        <w:tc>
                          <w:tcPr>
                            <w:tcW w:w="570" w:type="dxa"/>
                            <w:tcBorders>
                              <w:top w:val="single" w:color="000000" w:sz="4" w:space="0"/>
                              <w:left w:val="single" w:color="000000" w:sz="4" w:space="0"/>
                              <w:bottom w:val="single" w:color="000000" w:sz="4" w:space="0"/>
                              <w:right w:val="single" w:color="000000" w:sz="4" w:space="0"/>
                            </w:tcBorders>
                            <w:noWrap w:val="0"/>
                            <w:vAlign w:val="top"/>
                          </w:tcPr>
                          <w:p w14:paraId="00DA03B0">
                            <w:pPr>
                              <w:pStyle w:val="78"/>
                              <w:spacing w:before="12"/>
                              <w:rPr>
                                <w:rFonts w:ascii="宋体" w:hAnsi="宋体" w:cs="宋体"/>
                                <w:sz w:val="15"/>
                                <w:szCs w:val="15"/>
                                <w:lang w:eastAsia="zh-CN"/>
                              </w:rPr>
                            </w:pPr>
                          </w:p>
                          <w:p w14:paraId="7AF9505C">
                            <w:pPr>
                              <w:pStyle w:val="78"/>
                              <w:ind w:right="1"/>
                              <w:jc w:val="center"/>
                              <w:rPr>
                                <w:rFonts w:ascii="宋体" w:hAnsi="宋体" w:cs="宋体"/>
                                <w:sz w:val="20"/>
                                <w:szCs w:val="20"/>
                              </w:rPr>
                            </w:pPr>
                            <w:r>
                              <w:rPr>
                                <w:rFonts w:hint="eastAsia" w:ascii="宋体"/>
                                <w:w w:val="99"/>
                                <w:sz w:val="20"/>
                              </w:rPr>
                              <w:t>7</w:t>
                            </w:r>
                          </w:p>
                        </w:tc>
                        <w:tc>
                          <w:tcPr>
                            <w:tcW w:w="1163" w:type="dxa"/>
                            <w:tcBorders>
                              <w:top w:val="single" w:color="000000" w:sz="4" w:space="0"/>
                              <w:left w:val="single" w:color="000000" w:sz="4" w:space="0"/>
                              <w:bottom w:val="single" w:color="000000" w:sz="4" w:space="0"/>
                              <w:right w:val="single" w:color="000000" w:sz="4" w:space="0"/>
                            </w:tcBorders>
                            <w:noWrap w:val="0"/>
                            <w:vAlign w:val="top"/>
                          </w:tcPr>
                          <w:p w14:paraId="457B49BA">
                            <w:pPr>
                              <w:pStyle w:val="78"/>
                              <w:spacing w:before="12"/>
                              <w:rPr>
                                <w:rFonts w:ascii="宋体" w:hAnsi="宋体" w:cs="宋体"/>
                                <w:sz w:val="15"/>
                                <w:szCs w:val="15"/>
                              </w:rPr>
                            </w:pPr>
                          </w:p>
                          <w:p w14:paraId="6E7F6657">
                            <w:pPr>
                              <w:pStyle w:val="78"/>
                              <w:ind w:left="7"/>
                              <w:rPr>
                                <w:rFonts w:ascii="宋体" w:hAnsi="宋体" w:cs="宋体"/>
                                <w:sz w:val="20"/>
                                <w:szCs w:val="20"/>
                              </w:rPr>
                            </w:pPr>
                            <w:r>
                              <w:rPr>
                                <w:rFonts w:hint="eastAsia" w:ascii="宋体" w:hAnsi="宋体" w:cs="宋体"/>
                                <w:w w:val="99"/>
                                <w:sz w:val="20"/>
                                <w:szCs w:val="20"/>
                              </w:rPr>
                              <w:t>A020601电机</w:t>
                            </w: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7F37D3C4">
                            <w:pPr>
                              <w:rPr>
                                <w:rFonts w:ascii="Calibri" w:hAnsi="Calibri"/>
                                <w:sz w:val="22"/>
                                <w:szCs w:val="22"/>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7F77E383">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63DF9DED">
                            <w:pPr>
                              <w:pStyle w:val="78"/>
                              <w:spacing w:before="52" w:line="280" w:lineRule="auto"/>
                              <w:ind w:left="7" w:right="4"/>
                              <w:rPr>
                                <w:rFonts w:ascii="宋体" w:hAnsi="宋体" w:cs="宋体"/>
                                <w:sz w:val="20"/>
                                <w:szCs w:val="20"/>
                                <w:lang w:eastAsia="zh-CN"/>
                              </w:rPr>
                            </w:pPr>
                            <w:r>
                              <w:rPr>
                                <w:rFonts w:hint="eastAsia" w:ascii="宋体" w:hAnsi="宋体" w:cs="宋体"/>
                                <w:w w:val="99"/>
                                <w:sz w:val="20"/>
                                <w:szCs w:val="20"/>
                                <w:lang w:eastAsia="zh-CN"/>
                              </w:rPr>
                              <w:t>《中小型三相异步电动机能效限定值及能效等级》（GB18613）</w:t>
                            </w:r>
                          </w:p>
                        </w:tc>
                      </w:tr>
                      <w:tr w14:paraId="696EA6BB">
                        <w:tblPrEx>
                          <w:tblCellMar>
                            <w:top w:w="0" w:type="dxa"/>
                            <w:left w:w="0" w:type="dxa"/>
                            <w:bottom w:w="0" w:type="dxa"/>
                            <w:right w:w="0" w:type="dxa"/>
                          </w:tblCellMar>
                        </w:tblPrEx>
                        <w:trPr>
                          <w:trHeight w:val="353"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1A37A7F5">
                            <w:pPr>
                              <w:pStyle w:val="78"/>
                              <w:spacing w:before="3"/>
                              <w:rPr>
                                <w:rFonts w:ascii="宋体" w:hAnsi="宋体" w:cs="宋体"/>
                                <w:sz w:val="14"/>
                                <w:szCs w:val="14"/>
                                <w:lang w:eastAsia="zh-CN"/>
                              </w:rPr>
                            </w:pPr>
                          </w:p>
                          <w:p w14:paraId="67A40B9A">
                            <w:pPr>
                              <w:pStyle w:val="78"/>
                              <w:ind w:right="1"/>
                              <w:jc w:val="center"/>
                              <w:rPr>
                                <w:rFonts w:ascii="宋体" w:hAnsi="宋体" w:cs="宋体"/>
                                <w:sz w:val="20"/>
                                <w:szCs w:val="20"/>
                              </w:rPr>
                            </w:pPr>
                            <w:r>
                              <w:rPr>
                                <w:rFonts w:hint="eastAsia" w:ascii="宋体"/>
                                <w:w w:val="99"/>
                                <w:sz w:val="20"/>
                              </w:rPr>
                              <w:t>8</w:t>
                            </w:r>
                          </w:p>
                        </w:tc>
                        <w:tc>
                          <w:tcPr>
                            <w:tcW w:w="1163" w:type="dxa"/>
                            <w:tcBorders>
                              <w:top w:val="single" w:color="000000" w:sz="4" w:space="0"/>
                              <w:left w:val="single" w:color="000000" w:sz="4" w:space="0"/>
                              <w:bottom w:val="nil"/>
                              <w:right w:val="single" w:color="000000" w:sz="4" w:space="0"/>
                            </w:tcBorders>
                            <w:noWrap w:val="0"/>
                            <w:vAlign w:val="top"/>
                          </w:tcPr>
                          <w:p w14:paraId="22A96A60">
                            <w:pPr>
                              <w:pStyle w:val="78"/>
                              <w:spacing w:before="30"/>
                              <w:ind w:left="7"/>
                              <w:rPr>
                                <w:rFonts w:ascii="宋体" w:hAnsi="宋体" w:cs="宋体"/>
                                <w:sz w:val="20"/>
                                <w:szCs w:val="20"/>
                              </w:rPr>
                            </w:pPr>
                            <w:r>
                              <w:rPr>
                                <w:rFonts w:hint="eastAsia" w:ascii="宋体" w:hAnsi="宋体" w:cs="宋体"/>
                                <w:w w:val="99"/>
                                <w:sz w:val="20"/>
                                <w:szCs w:val="20"/>
                              </w:rPr>
                              <w:t>A020602变压</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7128FE88">
                            <w:pPr>
                              <w:pStyle w:val="78"/>
                              <w:spacing w:before="3"/>
                              <w:rPr>
                                <w:rFonts w:ascii="宋体" w:hAnsi="宋体" w:cs="宋体"/>
                                <w:sz w:val="14"/>
                                <w:szCs w:val="14"/>
                              </w:rPr>
                            </w:pPr>
                          </w:p>
                          <w:p w14:paraId="39831CA1">
                            <w:pPr>
                              <w:pStyle w:val="78"/>
                              <w:ind w:left="7"/>
                              <w:rPr>
                                <w:rFonts w:ascii="宋体" w:hAnsi="宋体" w:cs="宋体"/>
                                <w:sz w:val="20"/>
                                <w:szCs w:val="20"/>
                              </w:rPr>
                            </w:pPr>
                            <w:r>
                              <w:rPr>
                                <w:rFonts w:hint="eastAsia" w:ascii="宋体" w:hAnsi="宋体" w:cs="宋体"/>
                                <w:w w:val="99"/>
                                <w:sz w:val="20"/>
                                <w:szCs w:val="20"/>
                              </w:rPr>
                              <w:t>配电变压器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32EEDFA9">
                            <w:pPr>
                              <w:rPr>
                                <w:rFonts w:ascii="Calibri" w:hAnsi="Calibri"/>
                                <w:sz w:val="22"/>
                                <w:szCs w:val="22"/>
                              </w:rPr>
                            </w:pPr>
                          </w:p>
                        </w:tc>
                        <w:tc>
                          <w:tcPr>
                            <w:tcW w:w="3780" w:type="dxa"/>
                            <w:tcBorders>
                              <w:top w:val="single" w:color="000000" w:sz="4" w:space="0"/>
                              <w:left w:val="single" w:color="000000" w:sz="4" w:space="0"/>
                              <w:bottom w:val="nil"/>
                              <w:right w:val="single" w:color="000000" w:sz="4" w:space="0"/>
                            </w:tcBorders>
                            <w:noWrap w:val="0"/>
                            <w:vAlign w:val="top"/>
                          </w:tcPr>
                          <w:p w14:paraId="7C3314F6">
                            <w:pPr>
                              <w:pStyle w:val="78"/>
                              <w:spacing w:before="30"/>
                              <w:ind w:left="7"/>
                              <w:rPr>
                                <w:rFonts w:ascii="宋体" w:hAnsi="宋体" w:cs="宋体"/>
                                <w:sz w:val="20"/>
                                <w:szCs w:val="20"/>
                                <w:lang w:eastAsia="zh-CN"/>
                              </w:rPr>
                            </w:pPr>
                            <w:r>
                              <w:rPr>
                                <w:rFonts w:hint="eastAsia" w:ascii="宋体" w:hAnsi="宋体" w:cs="宋体"/>
                                <w:w w:val="99"/>
                                <w:sz w:val="20"/>
                                <w:szCs w:val="20"/>
                                <w:lang w:eastAsia="zh-CN"/>
                              </w:rPr>
                              <w:t>《三相配电变压器能效限定值及</w:t>
                            </w:r>
                          </w:p>
                        </w:tc>
                      </w:tr>
                      <w:tr w14:paraId="129F95D5">
                        <w:tblPrEx>
                          <w:tblCellMar>
                            <w:top w:w="0" w:type="dxa"/>
                            <w:left w:w="0" w:type="dxa"/>
                            <w:bottom w:w="0" w:type="dxa"/>
                            <w:right w:w="0" w:type="dxa"/>
                          </w:tblCellMar>
                        </w:tblPrEx>
                        <w:trPr>
                          <w:trHeight w:val="345"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4FD047">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4570E225">
                            <w:pPr>
                              <w:pStyle w:val="78"/>
                              <w:spacing w:line="256" w:lineRule="exact"/>
                              <w:ind w:left="7"/>
                              <w:rPr>
                                <w:rFonts w:ascii="宋体" w:hAnsi="宋体" w:cs="宋体"/>
                                <w:sz w:val="20"/>
                                <w:szCs w:val="20"/>
                              </w:rPr>
                            </w:pPr>
                            <w:r>
                              <w:rPr>
                                <w:rFonts w:hint="eastAsia" w:ascii="宋体" w:hAnsi="宋体" w:cs="宋体"/>
                                <w:w w:val="99"/>
                                <w:sz w:val="20"/>
                                <w:szCs w:val="20"/>
                              </w:rPr>
                              <w:t>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80749">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802891A">
                            <w:pPr>
                              <w:widowControl/>
                              <w:jc w:val="left"/>
                              <w:rPr>
                                <w:rFonts w:ascii="Calibri" w:hAnsi="Calibri" w:eastAsia="Times New Roman"/>
                                <w:sz w:val="22"/>
                                <w:szCs w:val="22"/>
                                <w:lang w:eastAsia="en-US"/>
                              </w:rPr>
                            </w:pPr>
                          </w:p>
                        </w:tc>
                        <w:tc>
                          <w:tcPr>
                            <w:tcW w:w="3780" w:type="dxa"/>
                            <w:tcBorders>
                              <w:top w:val="nil"/>
                              <w:left w:val="single" w:color="000000" w:sz="4" w:space="0"/>
                              <w:bottom w:val="single" w:color="000000" w:sz="4" w:space="0"/>
                              <w:right w:val="single" w:color="000000" w:sz="4" w:space="0"/>
                            </w:tcBorders>
                            <w:noWrap w:val="0"/>
                            <w:vAlign w:val="top"/>
                          </w:tcPr>
                          <w:p w14:paraId="7F6A366A">
                            <w:pPr>
                              <w:pStyle w:val="78"/>
                              <w:spacing w:line="256" w:lineRule="exact"/>
                              <w:ind w:left="7"/>
                              <w:rPr>
                                <w:rFonts w:ascii="宋体" w:hAnsi="宋体" w:cs="宋体"/>
                                <w:sz w:val="20"/>
                                <w:szCs w:val="20"/>
                              </w:rPr>
                            </w:pPr>
                            <w:r>
                              <w:rPr>
                                <w:rFonts w:hint="eastAsia" w:ascii="宋体" w:hAnsi="宋体" w:cs="宋体"/>
                                <w:w w:val="99"/>
                                <w:sz w:val="20"/>
                                <w:szCs w:val="20"/>
                              </w:rPr>
                              <w:t>能效等级》（GB20052）</w:t>
                            </w:r>
                          </w:p>
                        </w:tc>
                      </w:tr>
                      <w:tr w14:paraId="29211816">
                        <w:tblPrEx>
                          <w:tblCellMar>
                            <w:top w:w="0" w:type="dxa"/>
                            <w:left w:w="0" w:type="dxa"/>
                            <w:bottom w:w="0" w:type="dxa"/>
                            <w:right w:w="0" w:type="dxa"/>
                          </w:tblCellMar>
                        </w:tblPrEx>
                        <w:trPr>
                          <w:trHeight w:val="449"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54D548FA">
                            <w:pPr>
                              <w:pStyle w:val="78"/>
                              <w:spacing w:before="8"/>
                              <w:rPr>
                                <w:rFonts w:ascii="宋体" w:hAnsi="宋体" w:cs="宋体"/>
                                <w:sz w:val="21"/>
                                <w:szCs w:val="21"/>
                              </w:rPr>
                            </w:pPr>
                          </w:p>
                          <w:p w14:paraId="3A2F4DBC">
                            <w:pPr>
                              <w:pStyle w:val="78"/>
                              <w:ind w:right="1"/>
                              <w:jc w:val="center"/>
                              <w:rPr>
                                <w:rFonts w:ascii="宋体" w:hAnsi="宋体" w:cs="宋体"/>
                                <w:sz w:val="20"/>
                                <w:szCs w:val="20"/>
                              </w:rPr>
                            </w:pPr>
                            <w:r>
                              <w:rPr>
                                <w:rFonts w:hint="eastAsia" w:ascii="宋体"/>
                                <w:w w:val="99"/>
                                <w:sz w:val="20"/>
                              </w:rPr>
                              <w:t>9</w:t>
                            </w:r>
                          </w:p>
                        </w:tc>
                        <w:tc>
                          <w:tcPr>
                            <w:tcW w:w="1163" w:type="dxa"/>
                            <w:tcBorders>
                              <w:top w:val="single" w:color="000000" w:sz="4" w:space="0"/>
                              <w:left w:val="single" w:color="000000" w:sz="4" w:space="0"/>
                              <w:bottom w:val="nil"/>
                              <w:right w:val="single" w:color="000000" w:sz="4" w:space="0"/>
                            </w:tcBorders>
                            <w:noWrap w:val="0"/>
                            <w:vAlign w:val="top"/>
                          </w:tcPr>
                          <w:p w14:paraId="3FF8182D">
                            <w:pPr>
                              <w:pStyle w:val="78"/>
                              <w:spacing w:before="126"/>
                              <w:ind w:left="7"/>
                              <w:rPr>
                                <w:rFonts w:ascii="宋体" w:hAnsi="宋体" w:cs="宋体"/>
                                <w:sz w:val="20"/>
                                <w:szCs w:val="20"/>
                              </w:rPr>
                            </w:pPr>
                            <w:r>
                              <w:rPr>
                                <w:rFonts w:hint="eastAsia" w:ascii="宋体" w:hAnsi="宋体" w:cs="宋体"/>
                                <w:w w:val="99"/>
                                <w:sz w:val="20"/>
                                <w:szCs w:val="20"/>
                              </w:rPr>
                              <w:t>★A020609镇</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090A0A57">
                            <w:pPr>
                              <w:pStyle w:val="78"/>
                              <w:spacing w:before="8"/>
                              <w:rPr>
                                <w:rFonts w:ascii="宋体" w:hAnsi="宋体" w:cs="宋体"/>
                                <w:sz w:val="21"/>
                                <w:szCs w:val="21"/>
                              </w:rPr>
                            </w:pPr>
                          </w:p>
                          <w:p w14:paraId="77EE7F5A">
                            <w:pPr>
                              <w:pStyle w:val="78"/>
                              <w:ind w:left="7"/>
                              <w:rPr>
                                <w:rFonts w:ascii="宋体" w:hAnsi="宋体" w:cs="宋体"/>
                                <w:sz w:val="20"/>
                                <w:szCs w:val="20"/>
                              </w:rPr>
                            </w:pPr>
                            <w:r>
                              <w:rPr>
                                <w:rFonts w:hint="eastAsia" w:ascii="宋体" w:hAnsi="宋体" w:cs="宋体"/>
                                <w:w w:val="99"/>
                                <w:sz w:val="20"/>
                                <w:szCs w:val="20"/>
                              </w:rPr>
                              <w:t>管型荧光灯镇流器</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67E894BC">
                            <w:pPr>
                              <w:rPr>
                                <w:rFonts w:ascii="Calibri" w:hAnsi="Calibri"/>
                                <w:sz w:val="22"/>
                                <w:szCs w:val="22"/>
                              </w:rPr>
                            </w:pPr>
                          </w:p>
                        </w:tc>
                        <w:tc>
                          <w:tcPr>
                            <w:tcW w:w="3780" w:type="dxa"/>
                            <w:vMerge w:val="restart"/>
                            <w:tcBorders>
                              <w:top w:val="single" w:color="000000" w:sz="4" w:space="0"/>
                              <w:left w:val="single" w:color="000000" w:sz="4" w:space="0"/>
                              <w:right w:val="single" w:color="000000" w:sz="4" w:space="0"/>
                            </w:tcBorders>
                            <w:noWrap w:val="0"/>
                            <w:vAlign w:val="top"/>
                          </w:tcPr>
                          <w:p w14:paraId="5F2237F9">
                            <w:pPr>
                              <w:pStyle w:val="78"/>
                              <w:spacing w:before="126"/>
                              <w:ind w:left="7"/>
                              <w:rPr>
                                <w:rFonts w:ascii="宋体" w:hAnsi="宋体" w:cs="宋体"/>
                                <w:sz w:val="20"/>
                                <w:szCs w:val="20"/>
                                <w:lang w:eastAsia="zh-CN"/>
                              </w:rPr>
                            </w:pPr>
                            <w:r>
                              <w:rPr>
                                <w:rFonts w:hint="eastAsia" w:ascii="宋体" w:hAnsi="宋体" w:cs="宋体"/>
                                <w:w w:val="99"/>
                                <w:sz w:val="20"/>
                                <w:szCs w:val="20"/>
                                <w:lang w:eastAsia="zh-CN"/>
                              </w:rPr>
                              <w:t>《管形荧光灯镇流器能效限定值及能效等级》（GB17896）</w:t>
                            </w:r>
                          </w:p>
                        </w:tc>
                      </w:tr>
                      <w:tr w14:paraId="4ED74BC6">
                        <w:tblPrEx>
                          <w:tblCellMar>
                            <w:top w:w="0" w:type="dxa"/>
                            <w:left w:w="0" w:type="dxa"/>
                            <w:bottom w:w="0" w:type="dxa"/>
                            <w:right w:w="0" w:type="dxa"/>
                          </w:tblCellMar>
                        </w:tblPrEx>
                        <w:trPr>
                          <w:trHeight w:val="441"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14B61C">
                            <w:pPr>
                              <w:widowControl/>
                              <w:jc w:val="left"/>
                              <w:rPr>
                                <w:rFonts w:ascii="宋体" w:hAnsi="宋体" w:eastAsia="Times New Roman" w:cs="宋体"/>
                                <w:kern w:val="0"/>
                                <w:sz w:val="20"/>
                                <w:szCs w:val="20"/>
                              </w:rPr>
                            </w:pPr>
                          </w:p>
                        </w:tc>
                        <w:tc>
                          <w:tcPr>
                            <w:tcW w:w="1163" w:type="dxa"/>
                            <w:tcBorders>
                              <w:top w:val="nil"/>
                              <w:left w:val="single" w:color="000000" w:sz="4" w:space="0"/>
                              <w:bottom w:val="single" w:color="000000" w:sz="4" w:space="0"/>
                              <w:right w:val="single" w:color="000000" w:sz="4" w:space="0"/>
                            </w:tcBorders>
                            <w:noWrap w:val="0"/>
                            <w:vAlign w:val="top"/>
                          </w:tcPr>
                          <w:p w14:paraId="1821773C">
                            <w:pPr>
                              <w:pStyle w:val="78"/>
                              <w:spacing w:line="256" w:lineRule="exact"/>
                              <w:ind w:left="7"/>
                              <w:rPr>
                                <w:rFonts w:ascii="宋体" w:hAnsi="宋体" w:cs="宋体"/>
                                <w:sz w:val="20"/>
                                <w:szCs w:val="20"/>
                              </w:rPr>
                            </w:pPr>
                            <w:r>
                              <w:rPr>
                                <w:rFonts w:hint="eastAsia" w:ascii="宋体" w:hAnsi="宋体" w:cs="宋体"/>
                                <w:w w:val="99"/>
                                <w:sz w:val="20"/>
                                <w:szCs w:val="20"/>
                              </w:rPr>
                              <w:t>流器</w:t>
                            </w: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AF5688">
                            <w:pPr>
                              <w:widowControl/>
                              <w:jc w:val="left"/>
                              <w:rPr>
                                <w:rFonts w:ascii="宋体" w:hAnsi="宋体" w:eastAsia="Times New Roman" w:cs="宋体"/>
                                <w:kern w:val="0"/>
                                <w:sz w:val="20"/>
                                <w:szCs w:val="20"/>
                                <w:lang w:eastAsia="en-US"/>
                              </w:rPr>
                            </w:pPr>
                          </w:p>
                        </w:tc>
                        <w:tc>
                          <w:tcPr>
                            <w:tcW w:w="179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61CD77">
                            <w:pPr>
                              <w:widowControl/>
                              <w:jc w:val="left"/>
                              <w:rPr>
                                <w:rFonts w:ascii="Calibri" w:hAnsi="Calibri" w:eastAsia="Times New Roman"/>
                                <w:sz w:val="22"/>
                                <w:szCs w:val="22"/>
                                <w:lang w:eastAsia="en-US"/>
                              </w:rPr>
                            </w:pPr>
                          </w:p>
                        </w:tc>
                        <w:tc>
                          <w:tcPr>
                            <w:tcW w:w="3780" w:type="dxa"/>
                            <w:vMerge w:val="continue"/>
                            <w:tcBorders>
                              <w:left w:val="single" w:color="000000" w:sz="4" w:space="0"/>
                              <w:bottom w:val="single" w:color="000000" w:sz="4" w:space="0"/>
                              <w:right w:val="single" w:color="000000" w:sz="4" w:space="0"/>
                            </w:tcBorders>
                            <w:noWrap w:val="0"/>
                            <w:vAlign w:val="top"/>
                          </w:tcPr>
                          <w:p w14:paraId="45F564AE">
                            <w:pPr>
                              <w:pStyle w:val="78"/>
                              <w:spacing w:line="256" w:lineRule="exact"/>
                              <w:ind w:left="7"/>
                              <w:rPr>
                                <w:rFonts w:ascii="宋体" w:hAnsi="宋体" w:cs="宋体"/>
                                <w:sz w:val="20"/>
                                <w:szCs w:val="20"/>
                                <w:lang w:eastAsia="zh-CN"/>
                              </w:rPr>
                            </w:pPr>
                          </w:p>
                        </w:tc>
                      </w:tr>
                      <w:tr w14:paraId="3B2B3499">
                        <w:tblPrEx>
                          <w:tblCellMar>
                            <w:top w:w="0" w:type="dxa"/>
                            <w:left w:w="0" w:type="dxa"/>
                            <w:bottom w:w="0" w:type="dxa"/>
                            <w:right w:w="0" w:type="dxa"/>
                          </w:tblCellMar>
                        </w:tblPrEx>
                        <w:trPr>
                          <w:trHeight w:val="752" w:hRule="exact"/>
                        </w:trPr>
                        <w:tc>
                          <w:tcPr>
                            <w:tcW w:w="570" w:type="dxa"/>
                            <w:vMerge w:val="restart"/>
                            <w:tcBorders>
                              <w:top w:val="single" w:color="000000" w:sz="4" w:space="0"/>
                              <w:left w:val="single" w:color="000000" w:sz="4" w:space="0"/>
                              <w:bottom w:val="single" w:color="000000" w:sz="4" w:space="0"/>
                              <w:right w:val="single" w:color="000000" w:sz="4" w:space="0"/>
                            </w:tcBorders>
                            <w:noWrap w:val="0"/>
                            <w:vAlign w:val="top"/>
                          </w:tcPr>
                          <w:p w14:paraId="2FCD6151">
                            <w:pPr>
                              <w:pStyle w:val="78"/>
                              <w:rPr>
                                <w:rFonts w:ascii="宋体" w:hAnsi="宋体" w:cs="宋体"/>
                                <w:sz w:val="20"/>
                                <w:szCs w:val="20"/>
                                <w:lang w:eastAsia="zh-CN"/>
                              </w:rPr>
                            </w:pPr>
                          </w:p>
                          <w:p w14:paraId="5D59532E">
                            <w:pPr>
                              <w:pStyle w:val="78"/>
                              <w:rPr>
                                <w:rFonts w:ascii="宋体" w:hAnsi="宋体" w:cs="宋体"/>
                                <w:sz w:val="20"/>
                                <w:szCs w:val="20"/>
                                <w:lang w:eastAsia="zh-CN"/>
                              </w:rPr>
                            </w:pPr>
                          </w:p>
                          <w:p w14:paraId="72F1317F">
                            <w:pPr>
                              <w:pStyle w:val="78"/>
                              <w:rPr>
                                <w:rFonts w:ascii="宋体" w:hAnsi="宋体" w:cs="宋体"/>
                                <w:sz w:val="20"/>
                                <w:szCs w:val="20"/>
                                <w:lang w:eastAsia="zh-CN"/>
                              </w:rPr>
                            </w:pPr>
                          </w:p>
                          <w:p w14:paraId="1E06F3C3">
                            <w:pPr>
                              <w:pStyle w:val="78"/>
                              <w:rPr>
                                <w:rFonts w:ascii="宋体" w:hAnsi="宋体" w:cs="宋体"/>
                                <w:sz w:val="20"/>
                                <w:szCs w:val="20"/>
                                <w:lang w:eastAsia="zh-CN"/>
                              </w:rPr>
                            </w:pPr>
                          </w:p>
                          <w:p w14:paraId="6B7603FA">
                            <w:pPr>
                              <w:pStyle w:val="78"/>
                              <w:rPr>
                                <w:rFonts w:ascii="宋体" w:hAnsi="宋体" w:cs="宋体"/>
                                <w:sz w:val="20"/>
                                <w:szCs w:val="20"/>
                                <w:lang w:eastAsia="zh-CN"/>
                              </w:rPr>
                            </w:pPr>
                          </w:p>
                          <w:p w14:paraId="18C172E5">
                            <w:pPr>
                              <w:pStyle w:val="78"/>
                              <w:rPr>
                                <w:rFonts w:ascii="宋体" w:hAnsi="宋体" w:cs="宋体"/>
                                <w:sz w:val="20"/>
                                <w:szCs w:val="20"/>
                                <w:lang w:eastAsia="zh-CN"/>
                              </w:rPr>
                            </w:pPr>
                          </w:p>
                          <w:p w14:paraId="15D34B31">
                            <w:pPr>
                              <w:pStyle w:val="78"/>
                              <w:rPr>
                                <w:rFonts w:ascii="宋体" w:hAnsi="宋体" w:cs="宋体"/>
                                <w:sz w:val="20"/>
                                <w:szCs w:val="20"/>
                                <w:lang w:eastAsia="zh-CN"/>
                              </w:rPr>
                            </w:pPr>
                          </w:p>
                          <w:p w14:paraId="750AB9F9">
                            <w:pPr>
                              <w:pStyle w:val="78"/>
                              <w:rPr>
                                <w:rFonts w:ascii="宋体" w:hAnsi="宋体" w:cs="宋体"/>
                                <w:sz w:val="20"/>
                                <w:szCs w:val="20"/>
                                <w:lang w:eastAsia="zh-CN"/>
                              </w:rPr>
                            </w:pPr>
                          </w:p>
                          <w:p w14:paraId="748323C2">
                            <w:pPr>
                              <w:pStyle w:val="78"/>
                              <w:rPr>
                                <w:rFonts w:ascii="宋体" w:hAnsi="宋体" w:cs="宋体"/>
                                <w:sz w:val="20"/>
                                <w:szCs w:val="20"/>
                                <w:lang w:eastAsia="zh-CN"/>
                              </w:rPr>
                            </w:pPr>
                          </w:p>
                          <w:p w14:paraId="2D6AE5CB">
                            <w:pPr>
                              <w:pStyle w:val="78"/>
                              <w:spacing w:before="5"/>
                              <w:rPr>
                                <w:rFonts w:ascii="宋体" w:hAnsi="宋体" w:cs="宋体"/>
                                <w:sz w:val="18"/>
                                <w:szCs w:val="18"/>
                                <w:lang w:eastAsia="zh-CN"/>
                              </w:rPr>
                            </w:pPr>
                          </w:p>
                          <w:p w14:paraId="0F98E156">
                            <w:pPr>
                              <w:pStyle w:val="78"/>
                              <w:ind w:left="182"/>
                              <w:rPr>
                                <w:rFonts w:ascii="宋体" w:hAnsi="宋体" w:cs="宋体"/>
                                <w:sz w:val="20"/>
                                <w:szCs w:val="20"/>
                              </w:rPr>
                            </w:pPr>
                            <w:r>
                              <w:rPr>
                                <w:rFonts w:hint="eastAsia" w:ascii="宋体"/>
                                <w:w w:val="99"/>
                                <w:sz w:val="20"/>
                              </w:rPr>
                              <w:t>10</w:t>
                            </w:r>
                          </w:p>
                        </w:tc>
                        <w:tc>
                          <w:tcPr>
                            <w:tcW w:w="1163" w:type="dxa"/>
                            <w:vMerge w:val="restart"/>
                            <w:tcBorders>
                              <w:top w:val="single" w:color="000000" w:sz="4" w:space="0"/>
                              <w:left w:val="single" w:color="000000" w:sz="4" w:space="0"/>
                              <w:bottom w:val="single" w:color="000000" w:sz="4" w:space="0"/>
                              <w:right w:val="single" w:color="000000" w:sz="4" w:space="0"/>
                            </w:tcBorders>
                            <w:noWrap w:val="0"/>
                            <w:vAlign w:val="top"/>
                          </w:tcPr>
                          <w:p w14:paraId="40A039B4">
                            <w:pPr>
                              <w:pStyle w:val="78"/>
                              <w:rPr>
                                <w:rFonts w:ascii="宋体" w:hAnsi="宋体" w:cs="宋体"/>
                                <w:sz w:val="20"/>
                                <w:szCs w:val="20"/>
                              </w:rPr>
                            </w:pPr>
                          </w:p>
                          <w:p w14:paraId="65144979">
                            <w:pPr>
                              <w:pStyle w:val="78"/>
                              <w:rPr>
                                <w:rFonts w:ascii="宋体" w:hAnsi="宋体" w:cs="宋体"/>
                                <w:sz w:val="20"/>
                                <w:szCs w:val="20"/>
                              </w:rPr>
                            </w:pPr>
                          </w:p>
                          <w:p w14:paraId="447A1A62">
                            <w:pPr>
                              <w:pStyle w:val="78"/>
                              <w:rPr>
                                <w:rFonts w:ascii="宋体" w:hAnsi="宋体" w:cs="宋体"/>
                                <w:sz w:val="20"/>
                                <w:szCs w:val="20"/>
                              </w:rPr>
                            </w:pPr>
                          </w:p>
                          <w:p w14:paraId="6C9CE4D5">
                            <w:pPr>
                              <w:pStyle w:val="78"/>
                              <w:rPr>
                                <w:rFonts w:ascii="宋体" w:hAnsi="宋体" w:cs="宋体"/>
                                <w:sz w:val="20"/>
                                <w:szCs w:val="20"/>
                              </w:rPr>
                            </w:pPr>
                          </w:p>
                          <w:p w14:paraId="3633B6ED">
                            <w:pPr>
                              <w:pStyle w:val="78"/>
                              <w:rPr>
                                <w:rFonts w:ascii="宋体" w:hAnsi="宋体" w:cs="宋体"/>
                                <w:sz w:val="20"/>
                                <w:szCs w:val="20"/>
                              </w:rPr>
                            </w:pPr>
                          </w:p>
                          <w:p w14:paraId="1E1F92A2">
                            <w:pPr>
                              <w:pStyle w:val="78"/>
                              <w:rPr>
                                <w:rFonts w:ascii="宋体" w:hAnsi="宋体" w:cs="宋体"/>
                                <w:sz w:val="20"/>
                                <w:szCs w:val="20"/>
                              </w:rPr>
                            </w:pPr>
                          </w:p>
                          <w:p w14:paraId="13F2778A">
                            <w:pPr>
                              <w:pStyle w:val="78"/>
                              <w:rPr>
                                <w:rFonts w:ascii="宋体" w:hAnsi="宋体" w:cs="宋体"/>
                                <w:sz w:val="20"/>
                                <w:szCs w:val="20"/>
                              </w:rPr>
                            </w:pPr>
                          </w:p>
                          <w:p w14:paraId="23CB2A3C">
                            <w:pPr>
                              <w:pStyle w:val="78"/>
                              <w:rPr>
                                <w:rFonts w:ascii="宋体" w:hAnsi="宋体" w:cs="宋体"/>
                                <w:sz w:val="20"/>
                                <w:szCs w:val="20"/>
                              </w:rPr>
                            </w:pPr>
                          </w:p>
                          <w:p w14:paraId="575409A1">
                            <w:pPr>
                              <w:pStyle w:val="78"/>
                              <w:spacing w:before="6"/>
                              <w:rPr>
                                <w:rFonts w:ascii="宋体" w:hAnsi="宋体" w:cs="宋体"/>
                                <w:sz w:val="26"/>
                                <w:szCs w:val="26"/>
                              </w:rPr>
                            </w:pPr>
                          </w:p>
                          <w:p w14:paraId="7E26446A">
                            <w:pPr>
                              <w:pStyle w:val="78"/>
                              <w:ind w:left="7"/>
                              <w:rPr>
                                <w:rFonts w:ascii="宋体" w:hAnsi="宋体" w:cs="宋体"/>
                                <w:sz w:val="20"/>
                                <w:szCs w:val="20"/>
                              </w:rPr>
                            </w:pPr>
                            <w:r>
                              <w:rPr>
                                <w:rFonts w:hint="eastAsia" w:ascii="宋体" w:hAnsi="宋体" w:cs="宋体"/>
                                <w:w w:val="99"/>
                                <w:sz w:val="20"/>
                                <w:szCs w:val="20"/>
                              </w:rPr>
                              <w:t>A020618生活</w:t>
                            </w:r>
                          </w:p>
                          <w:p w14:paraId="6F534FED">
                            <w:pPr>
                              <w:pStyle w:val="78"/>
                              <w:spacing w:before="50"/>
                              <w:ind w:left="7"/>
                              <w:rPr>
                                <w:rFonts w:ascii="宋体" w:hAnsi="宋体" w:cs="宋体"/>
                                <w:sz w:val="20"/>
                                <w:szCs w:val="20"/>
                              </w:rPr>
                            </w:pPr>
                            <w:r>
                              <w:rPr>
                                <w:rFonts w:hint="eastAsia" w:ascii="宋体" w:hAnsi="宋体" w:cs="宋体"/>
                                <w:w w:val="99"/>
                                <w:sz w:val="20"/>
                                <w:szCs w:val="20"/>
                              </w:rPr>
                              <w:t>用电器</w:t>
                            </w: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35AC102">
                            <w:pPr>
                              <w:pStyle w:val="78"/>
                              <w:spacing w:before="1"/>
                              <w:rPr>
                                <w:rFonts w:ascii="宋体" w:hAnsi="宋体" w:cs="宋体"/>
                                <w:sz w:val="16"/>
                                <w:szCs w:val="16"/>
                              </w:rPr>
                            </w:pPr>
                          </w:p>
                          <w:p w14:paraId="7838C84E">
                            <w:pPr>
                              <w:pStyle w:val="78"/>
                              <w:ind w:left="7"/>
                              <w:rPr>
                                <w:rFonts w:ascii="宋体" w:hAnsi="宋体" w:cs="宋体"/>
                                <w:sz w:val="20"/>
                                <w:szCs w:val="20"/>
                              </w:rPr>
                            </w:pPr>
                            <w:r>
                              <w:rPr>
                                <w:rFonts w:hint="eastAsia" w:ascii="宋体" w:hAnsi="宋体" w:cs="宋体"/>
                                <w:w w:val="99"/>
                                <w:sz w:val="20"/>
                                <w:szCs w:val="20"/>
                              </w:rPr>
                              <w:t>A0206180101电冰箱</w:t>
                            </w:r>
                          </w:p>
                        </w:tc>
                        <w:tc>
                          <w:tcPr>
                            <w:tcW w:w="1792" w:type="dxa"/>
                            <w:vMerge w:val="restart"/>
                            <w:tcBorders>
                              <w:top w:val="single" w:color="000000" w:sz="4" w:space="0"/>
                              <w:left w:val="single" w:color="000000" w:sz="4" w:space="0"/>
                              <w:bottom w:val="single" w:color="000000" w:sz="4" w:space="0"/>
                              <w:right w:val="single" w:color="000000" w:sz="4" w:space="0"/>
                            </w:tcBorders>
                            <w:noWrap w:val="0"/>
                            <w:vAlign w:val="top"/>
                          </w:tcPr>
                          <w:p w14:paraId="2802E137">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7BE5AC4D">
                            <w:pPr>
                              <w:pStyle w:val="78"/>
                              <w:spacing w:before="126"/>
                              <w:ind w:left="7"/>
                              <w:rPr>
                                <w:rFonts w:ascii="宋体" w:hAnsi="宋体" w:cs="宋体"/>
                                <w:w w:val="99"/>
                                <w:sz w:val="20"/>
                                <w:szCs w:val="20"/>
                                <w:lang w:eastAsia="zh-CN"/>
                              </w:rPr>
                            </w:pPr>
                            <w:r>
                              <w:rPr>
                                <w:rFonts w:hint="eastAsia" w:ascii="宋体" w:hAnsi="宋体" w:cs="宋体"/>
                                <w:w w:val="99"/>
                                <w:sz w:val="20"/>
                                <w:szCs w:val="20"/>
                                <w:lang w:eastAsia="zh-CN"/>
                              </w:rPr>
                              <w:t>《家用电冰箱耗电量限定值及能效等级》（GB12021.2）</w:t>
                            </w:r>
                          </w:p>
                        </w:tc>
                      </w:tr>
                      <w:tr w14:paraId="5E8F0819">
                        <w:tblPrEx>
                          <w:tblCellMar>
                            <w:top w:w="0" w:type="dxa"/>
                            <w:left w:w="0" w:type="dxa"/>
                            <w:bottom w:w="0" w:type="dxa"/>
                            <w:right w:w="0" w:type="dxa"/>
                          </w:tblCellMar>
                        </w:tblPrEx>
                        <w:trPr>
                          <w:trHeight w:val="1299"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EA7031">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26F729">
                            <w:pPr>
                              <w:widowControl/>
                              <w:jc w:val="left"/>
                              <w:rPr>
                                <w:rFonts w:ascii="宋体" w:hAnsi="宋体" w:eastAsia="Times New Roman" w:cs="宋体"/>
                                <w:kern w:val="0"/>
                                <w:sz w:val="20"/>
                                <w:szCs w:val="20"/>
                              </w:rPr>
                            </w:pPr>
                          </w:p>
                        </w:tc>
                        <w:tc>
                          <w:tcPr>
                            <w:tcW w:w="1800" w:type="dxa"/>
                            <w:vMerge w:val="restart"/>
                            <w:tcBorders>
                              <w:top w:val="single" w:color="000000" w:sz="4" w:space="0"/>
                              <w:left w:val="single" w:color="000000" w:sz="4" w:space="0"/>
                              <w:bottom w:val="single" w:color="000000" w:sz="4" w:space="0"/>
                              <w:right w:val="single" w:color="000000" w:sz="4" w:space="0"/>
                            </w:tcBorders>
                            <w:noWrap w:val="0"/>
                            <w:vAlign w:val="top"/>
                          </w:tcPr>
                          <w:p w14:paraId="3FFA70B5">
                            <w:pPr>
                              <w:pStyle w:val="78"/>
                              <w:rPr>
                                <w:rFonts w:ascii="宋体" w:hAnsi="宋体" w:cs="宋体"/>
                                <w:sz w:val="20"/>
                                <w:szCs w:val="20"/>
                                <w:lang w:eastAsia="zh-CN"/>
                              </w:rPr>
                            </w:pPr>
                          </w:p>
                          <w:p w14:paraId="6D17E00F">
                            <w:pPr>
                              <w:pStyle w:val="78"/>
                              <w:rPr>
                                <w:rFonts w:ascii="宋体" w:hAnsi="宋体" w:cs="宋体"/>
                                <w:sz w:val="20"/>
                                <w:szCs w:val="20"/>
                                <w:lang w:eastAsia="zh-CN"/>
                              </w:rPr>
                            </w:pPr>
                          </w:p>
                          <w:p w14:paraId="56AA6147">
                            <w:pPr>
                              <w:pStyle w:val="78"/>
                              <w:rPr>
                                <w:rFonts w:ascii="宋体" w:hAnsi="宋体" w:cs="宋体"/>
                                <w:sz w:val="20"/>
                                <w:szCs w:val="20"/>
                                <w:lang w:eastAsia="zh-CN"/>
                              </w:rPr>
                            </w:pPr>
                          </w:p>
                          <w:p w14:paraId="723DB904">
                            <w:pPr>
                              <w:pStyle w:val="78"/>
                              <w:rPr>
                                <w:rFonts w:ascii="宋体" w:hAnsi="宋体" w:cs="宋体"/>
                                <w:sz w:val="20"/>
                                <w:szCs w:val="20"/>
                                <w:lang w:eastAsia="zh-CN"/>
                              </w:rPr>
                            </w:pPr>
                          </w:p>
                          <w:p w14:paraId="08484B26">
                            <w:pPr>
                              <w:pStyle w:val="78"/>
                              <w:rPr>
                                <w:rFonts w:ascii="宋体" w:hAnsi="宋体" w:cs="宋体"/>
                                <w:sz w:val="20"/>
                                <w:szCs w:val="20"/>
                                <w:lang w:eastAsia="zh-CN"/>
                              </w:rPr>
                            </w:pPr>
                          </w:p>
                          <w:p w14:paraId="7E8E8F16">
                            <w:pPr>
                              <w:pStyle w:val="78"/>
                              <w:rPr>
                                <w:rFonts w:ascii="宋体" w:hAnsi="宋体" w:cs="宋体"/>
                                <w:sz w:val="20"/>
                                <w:szCs w:val="20"/>
                                <w:lang w:eastAsia="zh-CN"/>
                              </w:rPr>
                            </w:pPr>
                          </w:p>
                          <w:p w14:paraId="5D79A3FA">
                            <w:pPr>
                              <w:pStyle w:val="78"/>
                              <w:spacing w:before="171"/>
                              <w:ind w:left="7"/>
                              <w:rPr>
                                <w:rFonts w:ascii="宋体" w:hAnsi="宋体" w:cs="宋体"/>
                                <w:sz w:val="20"/>
                                <w:szCs w:val="20"/>
                              </w:rPr>
                            </w:pPr>
                            <w:r>
                              <w:rPr>
                                <w:rFonts w:hint="eastAsia" w:ascii="宋体" w:hAnsi="宋体" w:cs="宋体"/>
                                <w:w w:val="99"/>
                                <w:sz w:val="20"/>
                                <w:szCs w:val="20"/>
                              </w:rPr>
                              <w:t>★A0206180203空调</w:t>
                            </w:r>
                          </w:p>
                          <w:p w14:paraId="47199C57">
                            <w:pPr>
                              <w:pStyle w:val="78"/>
                              <w:spacing w:before="50"/>
                              <w:ind w:left="7"/>
                              <w:rPr>
                                <w:rFonts w:ascii="宋体" w:hAnsi="宋体" w:cs="宋体"/>
                                <w:sz w:val="20"/>
                                <w:szCs w:val="20"/>
                              </w:rPr>
                            </w:pPr>
                            <w:r>
                              <w:rPr>
                                <w:rFonts w:hint="eastAsia" w:ascii="宋体" w:hAnsi="宋体" w:cs="宋体"/>
                                <w:w w:val="99"/>
                                <w:sz w:val="20"/>
                                <w:szCs w:val="20"/>
                              </w:rPr>
                              <w:t>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3154FFB5">
                            <w:pPr>
                              <w:pStyle w:val="78"/>
                              <w:rPr>
                                <w:rFonts w:ascii="宋体" w:hAnsi="宋体" w:cs="宋体"/>
                                <w:sz w:val="20"/>
                                <w:szCs w:val="20"/>
                              </w:rPr>
                            </w:pPr>
                          </w:p>
                          <w:p w14:paraId="67AD4123">
                            <w:pPr>
                              <w:pStyle w:val="78"/>
                              <w:rPr>
                                <w:rFonts w:ascii="宋体" w:hAnsi="宋体" w:cs="宋体"/>
                                <w:sz w:val="20"/>
                                <w:szCs w:val="20"/>
                              </w:rPr>
                            </w:pPr>
                          </w:p>
                          <w:p w14:paraId="13F6FE04">
                            <w:pPr>
                              <w:pStyle w:val="78"/>
                              <w:spacing w:before="12"/>
                              <w:rPr>
                                <w:rFonts w:ascii="宋体" w:hAnsi="宋体" w:cs="宋体"/>
                                <w:sz w:val="19"/>
                                <w:szCs w:val="19"/>
                              </w:rPr>
                            </w:pPr>
                          </w:p>
                          <w:p w14:paraId="7DC656CB">
                            <w:pPr>
                              <w:pStyle w:val="78"/>
                              <w:ind w:left="7"/>
                              <w:rPr>
                                <w:rFonts w:ascii="宋体" w:hAnsi="宋体" w:cs="宋体"/>
                                <w:sz w:val="20"/>
                                <w:szCs w:val="20"/>
                              </w:rPr>
                            </w:pPr>
                            <w:r>
                              <w:rPr>
                                <w:rFonts w:hint="eastAsia" w:ascii="宋体" w:hAnsi="宋体" w:cs="宋体"/>
                                <w:w w:val="99"/>
                                <w:sz w:val="20"/>
                                <w:szCs w:val="20"/>
                              </w:rPr>
                              <w:t>房间空气调节器</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42EF17F">
                            <w:pPr>
                              <w:pStyle w:val="78"/>
                              <w:spacing w:before="4"/>
                              <w:ind w:left="7"/>
                              <w:rPr>
                                <w:rFonts w:ascii="宋体" w:hAnsi="宋体" w:cs="宋体"/>
                                <w:w w:val="99"/>
                                <w:sz w:val="20"/>
                                <w:szCs w:val="20"/>
                                <w:lang w:eastAsia="zh-CN"/>
                              </w:rPr>
                            </w:pPr>
                            <w:r>
                              <w:rPr>
                                <w:rFonts w:hint="eastAsia" w:ascii="宋体" w:hAnsi="宋体" w:cs="宋体"/>
                                <w:w w:val="99"/>
                                <w:sz w:val="20"/>
                                <w:szCs w:val="20"/>
                                <w:lang w:eastAsia="zh-CN"/>
                              </w:rPr>
                              <w:t>《转速可控型房间空气调节器能</w:t>
                            </w:r>
                          </w:p>
                          <w:p w14:paraId="6E084902">
                            <w:pPr>
                              <w:pStyle w:val="78"/>
                              <w:spacing w:line="256" w:lineRule="exact"/>
                              <w:ind w:left="7"/>
                              <w:rPr>
                                <w:rFonts w:ascii="宋体" w:hAnsi="宋体" w:cs="宋体"/>
                                <w:sz w:val="20"/>
                                <w:szCs w:val="20"/>
                                <w:lang w:eastAsia="zh-CN"/>
                              </w:rPr>
                            </w:pPr>
                            <w:r>
                              <w:rPr>
                                <w:rFonts w:hint="eastAsia" w:ascii="宋体" w:hAnsi="宋体" w:cs="宋体"/>
                                <w:w w:val="99"/>
                                <w:sz w:val="20"/>
                                <w:szCs w:val="20"/>
                                <w:lang w:eastAsia="zh-CN"/>
                              </w:rPr>
                              <w:t>效限定值及能效等级》（GB21455-2013），待2019年修订发布后，按《房间空气调节器能效限定值及能效等级》（GB21455-2019）</w:t>
                            </w:r>
                          </w:p>
                          <w:p w14:paraId="3F4C2951">
                            <w:pPr>
                              <w:pStyle w:val="78"/>
                              <w:spacing w:line="256" w:lineRule="exact"/>
                              <w:ind w:left="7"/>
                              <w:rPr>
                                <w:rFonts w:ascii="宋体" w:hAnsi="宋体" w:cs="宋体"/>
                                <w:sz w:val="20"/>
                                <w:szCs w:val="20"/>
                              </w:rPr>
                            </w:pPr>
                            <w:r>
                              <w:rPr>
                                <w:rFonts w:hint="eastAsia" w:ascii="宋体" w:hAnsi="宋体" w:cs="宋体"/>
                                <w:w w:val="99"/>
                                <w:sz w:val="20"/>
                                <w:szCs w:val="20"/>
                              </w:rPr>
                              <w:t>实施。</w:t>
                            </w:r>
                          </w:p>
                        </w:tc>
                      </w:tr>
                      <w:tr w14:paraId="0E808221">
                        <w:tblPrEx>
                          <w:tblCellMar>
                            <w:top w:w="0" w:type="dxa"/>
                            <w:left w:w="0" w:type="dxa"/>
                            <w:bottom w:w="0" w:type="dxa"/>
                            <w:right w:w="0" w:type="dxa"/>
                          </w:tblCellMar>
                        </w:tblPrEx>
                        <w:trPr>
                          <w:trHeight w:val="958"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7030A4">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67AC80">
                            <w:pPr>
                              <w:widowControl/>
                              <w:jc w:val="left"/>
                              <w:rPr>
                                <w:rFonts w:ascii="宋体" w:hAnsi="宋体" w:eastAsia="Times New Roman" w:cs="宋体"/>
                                <w:kern w:val="0"/>
                                <w:sz w:val="20"/>
                                <w:szCs w:val="20"/>
                                <w:lang w:eastAsia="en-US"/>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D8B47F">
                            <w:pPr>
                              <w:widowControl/>
                              <w:jc w:val="left"/>
                              <w:rPr>
                                <w:rFonts w:ascii="宋体" w:hAnsi="宋体" w:eastAsia="Times New Roman" w:cs="宋体"/>
                                <w:kern w:val="0"/>
                                <w:sz w:val="20"/>
                                <w:szCs w:val="20"/>
                                <w:lang w:eastAsia="en-US"/>
                              </w:rPr>
                            </w:pP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3E243DA8">
                            <w:pPr>
                              <w:pStyle w:val="78"/>
                              <w:spacing w:before="4" w:line="280" w:lineRule="auto"/>
                              <w:ind w:left="7" w:right="7"/>
                              <w:jc w:val="both"/>
                              <w:rPr>
                                <w:rFonts w:ascii="宋体" w:hAnsi="宋体" w:cs="宋体"/>
                                <w:sz w:val="20"/>
                                <w:szCs w:val="20"/>
                                <w:lang w:eastAsia="zh-CN"/>
                              </w:rPr>
                            </w:pPr>
                            <w:r>
                              <w:rPr>
                                <w:rFonts w:hint="eastAsia" w:ascii="宋体" w:hAnsi="宋体" w:cs="宋体"/>
                                <w:w w:val="99"/>
                                <w:sz w:val="20"/>
                                <w:szCs w:val="20"/>
                                <w:lang w:eastAsia="zh-CN"/>
                              </w:rPr>
                              <w:t>多联式空调（热泵）机组（制冷量≤ 14000W）</w:t>
                            </w: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36D1B765">
                            <w:pPr>
                              <w:pStyle w:val="78"/>
                              <w:spacing w:before="160" w:line="280" w:lineRule="auto"/>
                              <w:ind w:left="7" w:right="7"/>
                              <w:rPr>
                                <w:rFonts w:ascii="宋体" w:hAnsi="宋体" w:cs="宋体"/>
                                <w:sz w:val="20"/>
                                <w:szCs w:val="20"/>
                                <w:lang w:eastAsia="zh-CN"/>
                              </w:rPr>
                            </w:pPr>
                            <w:r>
                              <w:rPr>
                                <w:rFonts w:hint="eastAsia" w:ascii="宋体" w:hAnsi="宋体" w:cs="宋体"/>
                                <w:w w:val="99"/>
                                <w:sz w:val="20"/>
                                <w:szCs w:val="20"/>
                                <w:lang w:eastAsia="zh-CN"/>
                              </w:rPr>
                              <w:t>《多联式空调（热泵）机组能效限定值及能源效率等级》（GB21454</w:t>
                            </w:r>
                          </w:p>
                        </w:tc>
                      </w:tr>
                      <w:tr w14:paraId="52E90744">
                        <w:trPr>
                          <w:trHeight w:val="32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6028F4">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E727FF">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01D04">
                            <w:pPr>
                              <w:widowControl/>
                              <w:jc w:val="left"/>
                              <w:rPr>
                                <w:rFonts w:ascii="宋体" w:hAnsi="宋体" w:eastAsia="Times New Roman" w:cs="宋体"/>
                                <w:kern w:val="0"/>
                                <w:sz w:val="20"/>
                                <w:szCs w:val="20"/>
                              </w:rPr>
                            </w:pPr>
                          </w:p>
                        </w:tc>
                        <w:tc>
                          <w:tcPr>
                            <w:tcW w:w="1792" w:type="dxa"/>
                            <w:vMerge w:val="restart"/>
                            <w:tcBorders>
                              <w:top w:val="single" w:color="000000" w:sz="4" w:space="0"/>
                              <w:left w:val="single" w:color="000000" w:sz="4" w:space="0"/>
                              <w:bottom w:val="nil"/>
                              <w:right w:val="single" w:color="000000" w:sz="4" w:space="0"/>
                            </w:tcBorders>
                            <w:noWrap w:val="0"/>
                            <w:vAlign w:val="top"/>
                          </w:tcPr>
                          <w:p w14:paraId="76FA6F8C">
                            <w:pPr>
                              <w:pStyle w:val="78"/>
                              <w:spacing w:before="2"/>
                              <w:rPr>
                                <w:rFonts w:ascii="宋体" w:hAnsi="宋体" w:cs="宋体"/>
                                <w:sz w:val="24"/>
                                <w:szCs w:val="24"/>
                                <w:lang w:eastAsia="zh-CN"/>
                              </w:rPr>
                            </w:pPr>
                          </w:p>
                          <w:p w14:paraId="1018B052">
                            <w:pPr>
                              <w:pStyle w:val="78"/>
                              <w:ind w:left="7"/>
                              <w:rPr>
                                <w:rFonts w:ascii="宋体" w:hAnsi="宋体" w:cs="宋体"/>
                                <w:sz w:val="20"/>
                                <w:szCs w:val="20"/>
                              </w:rPr>
                            </w:pPr>
                            <w:r>
                              <w:rPr>
                                <w:rFonts w:hint="eastAsia" w:ascii="宋体" w:hAnsi="宋体" w:cs="宋体"/>
                                <w:w w:val="99"/>
                                <w:sz w:val="20"/>
                                <w:szCs w:val="20"/>
                              </w:rPr>
                              <w:t>单元式空气调节机</w:t>
                            </w:r>
                          </w:p>
                        </w:tc>
                        <w:tc>
                          <w:tcPr>
                            <w:tcW w:w="3780" w:type="dxa"/>
                            <w:vMerge w:val="restart"/>
                            <w:tcBorders>
                              <w:top w:val="single" w:color="000000" w:sz="4" w:space="0"/>
                              <w:left w:val="single" w:color="000000" w:sz="4" w:space="0"/>
                              <w:right w:val="single" w:color="000000" w:sz="4" w:space="0"/>
                            </w:tcBorders>
                            <w:noWrap w:val="0"/>
                            <w:vAlign w:val="top"/>
                          </w:tcPr>
                          <w:p w14:paraId="70BB323F">
                            <w:pPr>
                              <w:pStyle w:val="78"/>
                              <w:spacing w:before="4"/>
                              <w:ind w:left="7"/>
                              <w:rPr>
                                <w:rFonts w:ascii="宋体" w:hAnsi="宋体" w:cs="宋体"/>
                                <w:sz w:val="20"/>
                                <w:szCs w:val="20"/>
                                <w:lang w:eastAsia="zh-CN"/>
                              </w:rPr>
                            </w:pPr>
                            <w:r>
                              <w:rPr>
                                <w:rFonts w:hint="eastAsia" w:ascii="宋体" w:hAnsi="宋体" w:cs="宋体"/>
                                <w:w w:val="99"/>
                                <w:sz w:val="20"/>
                                <w:szCs w:val="20"/>
                                <w:lang w:eastAsia="zh-CN"/>
                              </w:rPr>
                              <w:t>《单元式空气调节机能效限定值及能源效率等级》（GB19576）《风管送风式空调机组能效限定值及能效等级》（GB37479）</w:t>
                            </w:r>
                          </w:p>
                        </w:tc>
                      </w:tr>
                      <w:tr w14:paraId="5A3D6A09">
                        <w:tblPrEx>
                          <w:tblCellMar>
                            <w:top w:w="0" w:type="dxa"/>
                            <w:left w:w="0" w:type="dxa"/>
                            <w:bottom w:w="0" w:type="dxa"/>
                            <w:right w:w="0" w:type="dxa"/>
                          </w:tblCellMar>
                        </w:tblPrEx>
                        <w:trPr>
                          <w:trHeight w:val="657"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6534BF">
                            <w:pPr>
                              <w:widowControl/>
                              <w:jc w:val="left"/>
                              <w:rPr>
                                <w:rFonts w:ascii="宋体" w:hAnsi="宋体" w:eastAsia="Times New Roman" w:cs="宋体"/>
                                <w:kern w:val="0"/>
                                <w:sz w:val="20"/>
                                <w:szCs w:val="20"/>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C9C4CB">
                            <w:pPr>
                              <w:widowControl/>
                              <w:jc w:val="left"/>
                              <w:rPr>
                                <w:rFonts w:ascii="宋体" w:hAnsi="宋体" w:eastAsia="Times New Roman" w:cs="宋体"/>
                                <w:kern w:val="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9B29DF">
                            <w:pPr>
                              <w:widowControl/>
                              <w:jc w:val="left"/>
                              <w:rPr>
                                <w:rFonts w:ascii="宋体" w:hAnsi="宋体" w:eastAsia="Times New Roman" w:cs="宋体"/>
                                <w:kern w:val="0"/>
                                <w:sz w:val="20"/>
                                <w:szCs w:val="20"/>
                              </w:rPr>
                            </w:pPr>
                          </w:p>
                        </w:tc>
                        <w:tc>
                          <w:tcPr>
                            <w:tcW w:w="1792" w:type="dxa"/>
                            <w:tcBorders>
                              <w:top w:val="nil"/>
                              <w:left w:val="single" w:color="000000" w:sz="4" w:space="0"/>
                              <w:bottom w:val="single" w:color="000000" w:sz="4" w:space="0"/>
                              <w:right w:val="single" w:color="000000" w:sz="4" w:space="0"/>
                            </w:tcBorders>
                            <w:noWrap w:val="0"/>
                            <w:vAlign w:val="top"/>
                          </w:tcPr>
                          <w:p w14:paraId="1730645C">
                            <w:pPr>
                              <w:pStyle w:val="78"/>
                              <w:spacing w:line="256" w:lineRule="exact"/>
                              <w:ind w:left="7"/>
                              <w:rPr>
                                <w:rFonts w:ascii="宋体" w:hAnsi="宋体" w:cs="宋体"/>
                                <w:sz w:val="20"/>
                                <w:szCs w:val="20"/>
                              </w:rPr>
                            </w:pPr>
                            <w:r>
                              <w:rPr>
                                <w:rFonts w:hint="eastAsia" w:ascii="宋体" w:hAnsi="宋体" w:cs="宋体"/>
                                <w:w w:val="99"/>
                                <w:sz w:val="20"/>
                                <w:szCs w:val="20"/>
                              </w:rPr>
                              <w:t>（制冷量≤14000W）</w:t>
                            </w:r>
                          </w:p>
                        </w:tc>
                        <w:tc>
                          <w:tcPr>
                            <w:tcW w:w="3780" w:type="dxa"/>
                            <w:vMerge w:val="continue"/>
                            <w:tcBorders>
                              <w:left w:val="single" w:color="000000" w:sz="4" w:space="0"/>
                              <w:right w:val="single" w:color="000000" w:sz="4" w:space="0"/>
                            </w:tcBorders>
                            <w:noWrap w:val="0"/>
                            <w:vAlign w:val="top"/>
                          </w:tcPr>
                          <w:p w14:paraId="7C163F2D">
                            <w:pPr>
                              <w:pStyle w:val="78"/>
                              <w:spacing w:line="256" w:lineRule="exact"/>
                              <w:ind w:left="7"/>
                              <w:rPr>
                                <w:rFonts w:ascii="宋体" w:hAnsi="宋体" w:cs="宋体"/>
                                <w:sz w:val="20"/>
                                <w:szCs w:val="20"/>
                                <w:lang w:eastAsia="zh-CN"/>
                              </w:rPr>
                            </w:pPr>
                          </w:p>
                        </w:tc>
                      </w:tr>
                      <w:tr w14:paraId="3B96BFC4">
                        <w:tblPrEx>
                          <w:tblCellMar>
                            <w:top w:w="0" w:type="dxa"/>
                            <w:left w:w="0" w:type="dxa"/>
                            <w:bottom w:w="0" w:type="dxa"/>
                            <w:right w:w="0" w:type="dxa"/>
                          </w:tblCellMar>
                        </w:tblPrEx>
                        <w:trPr>
                          <w:trHeight w:val="653" w:hRule="exact"/>
                        </w:trPr>
                        <w:tc>
                          <w:tcPr>
                            <w:tcW w:w="5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366529">
                            <w:pPr>
                              <w:widowControl/>
                              <w:jc w:val="left"/>
                              <w:rPr>
                                <w:rFonts w:ascii="宋体" w:hAnsi="宋体" w:eastAsia="Times New Roman" w:cs="宋体"/>
                                <w:kern w:val="0"/>
                                <w:sz w:val="20"/>
                                <w:szCs w:val="20"/>
                                <w:lang w:eastAsia="en-US"/>
                              </w:rPr>
                            </w:pPr>
                          </w:p>
                        </w:tc>
                        <w:tc>
                          <w:tcPr>
                            <w:tcW w:w="116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2317D6">
                            <w:pPr>
                              <w:widowControl/>
                              <w:jc w:val="left"/>
                              <w:rPr>
                                <w:rFonts w:ascii="宋体" w:hAnsi="宋体" w:eastAsia="Times New Roman" w:cs="宋体"/>
                                <w:kern w:val="0"/>
                                <w:sz w:val="20"/>
                                <w:szCs w:val="20"/>
                                <w:lang w:eastAsia="en-US"/>
                              </w:rPr>
                            </w:pPr>
                          </w:p>
                        </w:tc>
                        <w:tc>
                          <w:tcPr>
                            <w:tcW w:w="1800" w:type="dxa"/>
                            <w:tcBorders>
                              <w:top w:val="single" w:color="000000" w:sz="4" w:space="0"/>
                              <w:left w:val="single" w:color="000000" w:sz="4" w:space="0"/>
                              <w:bottom w:val="single" w:color="000000" w:sz="4" w:space="0"/>
                              <w:right w:val="single" w:color="000000" w:sz="4" w:space="0"/>
                            </w:tcBorders>
                            <w:noWrap w:val="0"/>
                            <w:vAlign w:val="top"/>
                          </w:tcPr>
                          <w:p w14:paraId="56BF9E12">
                            <w:pPr>
                              <w:pStyle w:val="78"/>
                              <w:spacing w:before="162"/>
                              <w:ind w:left="7"/>
                              <w:rPr>
                                <w:rFonts w:ascii="宋体" w:hAnsi="宋体" w:cs="宋体"/>
                                <w:sz w:val="20"/>
                                <w:szCs w:val="20"/>
                              </w:rPr>
                            </w:pPr>
                            <w:r>
                              <w:rPr>
                                <w:rFonts w:hint="eastAsia" w:ascii="宋体" w:hAnsi="宋体" w:cs="宋体"/>
                                <w:w w:val="99"/>
                                <w:sz w:val="20"/>
                                <w:szCs w:val="20"/>
                              </w:rPr>
                              <w:t>A0206180301洗衣机</w:t>
                            </w:r>
                          </w:p>
                        </w:tc>
                        <w:tc>
                          <w:tcPr>
                            <w:tcW w:w="1792" w:type="dxa"/>
                            <w:tcBorders>
                              <w:top w:val="single" w:color="000000" w:sz="4" w:space="0"/>
                              <w:left w:val="single" w:color="000000" w:sz="4" w:space="0"/>
                              <w:bottom w:val="single" w:color="000000" w:sz="4" w:space="0"/>
                              <w:right w:val="single" w:color="000000" w:sz="4" w:space="0"/>
                            </w:tcBorders>
                            <w:noWrap w:val="0"/>
                            <w:vAlign w:val="top"/>
                          </w:tcPr>
                          <w:p w14:paraId="5DACDCB6">
                            <w:pPr>
                              <w:rPr>
                                <w:rFonts w:ascii="Calibri" w:hAnsi="Calibri"/>
                                <w:sz w:val="22"/>
                                <w:szCs w:val="22"/>
                              </w:rPr>
                            </w:pPr>
                          </w:p>
                        </w:tc>
                        <w:tc>
                          <w:tcPr>
                            <w:tcW w:w="3780" w:type="dxa"/>
                            <w:tcBorders>
                              <w:top w:val="single" w:color="000000" w:sz="4" w:space="0"/>
                              <w:left w:val="single" w:color="000000" w:sz="4" w:space="0"/>
                              <w:bottom w:val="single" w:color="000000" w:sz="4" w:space="0"/>
                              <w:right w:val="single" w:color="000000" w:sz="4" w:space="0"/>
                            </w:tcBorders>
                            <w:noWrap w:val="0"/>
                            <w:vAlign w:val="top"/>
                          </w:tcPr>
                          <w:p w14:paraId="1D913317">
                            <w:pPr>
                              <w:pStyle w:val="78"/>
                              <w:spacing w:before="6" w:line="280" w:lineRule="auto"/>
                              <w:ind w:left="7" w:right="4"/>
                              <w:rPr>
                                <w:rFonts w:ascii="宋体" w:hAnsi="宋体" w:cs="宋体"/>
                                <w:sz w:val="20"/>
                                <w:szCs w:val="20"/>
                                <w:lang w:eastAsia="zh-CN"/>
                              </w:rPr>
                            </w:pPr>
                            <w:r>
                              <w:rPr>
                                <w:rFonts w:hint="eastAsia" w:ascii="宋体" w:hAnsi="宋体" w:cs="宋体"/>
                                <w:w w:val="99"/>
                                <w:sz w:val="20"/>
                                <w:szCs w:val="20"/>
                                <w:lang w:eastAsia="zh-CN"/>
                              </w:rPr>
                              <w:t>《电动洗衣机能效水效限定值及等级》（GB12021.4）</w:t>
                            </w:r>
                          </w:p>
                        </w:tc>
                      </w:tr>
                    </w:tbl>
                    <w:p w14:paraId="4CB95AD7">
                      <w:pPr>
                        <w:rPr>
                          <w:rFonts w:ascii="Calibri" w:hAnsi="Calibri"/>
                          <w:sz w:val="22"/>
                          <w:szCs w:val="22"/>
                        </w:rPr>
                      </w:pPr>
                    </w:p>
                  </w:txbxContent>
                </v:textbox>
              </v:shape>
            </w:pict>
          </mc:Fallback>
        </mc:AlternateContent>
      </w:r>
    </w:p>
    <w:p w14:paraId="4F71799B">
      <w:pPr>
        <w:rPr>
          <w:rFonts w:ascii="宋体" w:hAnsi="宋体" w:cs="宋体"/>
          <w:color w:val="auto"/>
          <w:sz w:val="20"/>
          <w:szCs w:val="20"/>
          <w:highlight w:val="none"/>
        </w:rPr>
      </w:pPr>
    </w:p>
    <w:p w14:paraId="6329F71E">
      <w:pPr>
        <w:rPr>
          <w:rFonts w:ascii="宋体" w:hAnsi="宋体" w:cs="宋体"/>
          <w:color w:val="auto"/>
          <w:sz w:val="20"/>
          <w:szCs w:val="20"/>
          <w:highlight w:val="none"/>
        </w:rPr>
      </w:pPr>
    </w:p>
    <w:p w14:paraId="5E7FE500">
      <w:pPr>
        <w:rPr>
          <w:rFonts w:ascii="宋体" w:hAnsi="宋体" w:cs="宋体"/>
          <w:color w:val="auto"/>
          <w:sz w:val="20"/>
          <w:szCs w:val="20"/>
          <w:highlight w:val="none"/>
        </w:rPr>
      </w:pPr>
    </w:p>
    <w:p w14:paraId="52C44730">
      <w:pPr>
        <w:spacing w:before="2"/>
        <w:rPr>
          <w:rFonts w:ascii="宋体" w:hAnsi="宋体" w:cs="宋体"/>
          <w:color w:val="auto"/>
          <w:sz w:val="23"/>
          <w:szCs w:val="23"/>
          <w:highlight w:val="none"/>
        </w:rPr>
      </w:pPr>
    </w:p>
    <w:p w14:paraId="23F1DF4D">
      <w:pPr>
        <w:rPr>
          <w:rFonts w:ascii="宋体" w:hAnsi="宋体" w:cs="宋体"/>
          <w:color w:val="auto"/>
          <w:sz w:val="20"/>
          <w:szCs w:val="20"/>
          <w:highlight w:val="none"/>
        </w:rPr>
      </w:pPr>
    </w:p>
    <w:p w14:paraId="103A3DE5">
      <w:pPr>
        <w:rPr>
          <w:rFonts w:ascii="宋体" w:hAnsi="宋体" w:cs="宋体"/>
          <w:color w:val="auto"/>
          <w:sz w:val="20"/>
          <w:szCs w:val="20"/>
          <w:highlight w:val="none"/>
        </w:rPr>
      </w:pPr>
    </w:p>
    <w:p w14:paraId="2DEF5E92">
      <w:pPr>
        <w:rPr>
          <w:rFonts w:ascii="宋体" w:hAnsi="宋体" w:cs="宋体"/>
          <w:color w:val="auto"/>
          <w:sz w:val="20"/>
          <w:szCs w:val="20"/>
          <w:highlight w:val="none"/>
        </w:rPr>
      </w:pPr>
    </w:p>
    <w:p w14:paraId="51200AF7">
      <w:pPr>
        <w:rPr>
          <w:rFonts w:ascii="宋体" w:hAnsi="宋体" w:cs="宋体"/>
          <w:color w:val="auto"/>
          <w:sz w:val="20"/>
          <w:szCs w:val="20"/>
          <w:highlight w:val="none"/>
        </w:rPr>
      </w:pPr>
    </w:p>
    <w:p w14:paraId="36C7E0E8">
      <w:pPr>
        <w:rPr>
          <w:rFonts w:ascii="宋体" w:hAnsi="宋体" w:cs="宋体"/>
          <w:color w:val="auto"/>
          <w:sz w:val="20"/>
          <w:szCs w:val="20"/>
          <w:highlight w:val="none"/>
        </w:rPr>
      </w:pPr>
    </w:p>
    <w:p w14:paraId="4E8C4FB5">
      <w:pPr>
        <w:rPr>
          <w:rFonts w:ascii="宋体" w:hAnsi="宋体" w:cs="宋体"/>
          <w:color w:val="auto"/>
          <w:sz w:val="20"/>
          <w:szCs w:val="20"/>
          <w:highlight w:val="none"/>
        </w:rPr>
      </w:pPr>
    </w:p>
    <w:p w14:paraId="36E3D7B7">
      <w:pPr>
        <w:rPr>
          <w:rFonts w:ascii="宋体" w:hAnsi="宋体" w:cs="宋体"/>
          <w:color w:val="auto"/>
          <w:sz w:val="20"/>
          <w:szCs w:val="20"/>
          <w:highlight w:val="none"/>
        </w:rPr>
      </w:pPr>
    </w:p>
    <w:p w14:paraId="74AA3189">
      <w:pPr>
        <w:rPr>
          <w:rFonts w:ascii="宋体" w:hAnsi="宋体" w:cs="宋体"/>
          <w:color w:val="auto"/>
          <w:sz w:val="20"/>
          <w:szCs w:val="20"/>
          <w:highlight w:val="none"/>
        </w:rPr>
      </w:pPr>
    </w:p>
    <w:p w14:paraId="7B457CFB">
      <w:pPr>
        <w:rPr>
          <w:rFonts w:ascii="宋体" w:hAnsi="宋体" w:cs="宋体"/>
          <w:color w:val="auto"/>
          <w:sz w:val="20"/>
          <w:szCs w:val="20"/>
          <w:highlight w:val="none"/>
        </w:rPr>
      </w:pPr>
    </w:p>
    <w:p w14:paraId="1591FA7C">
      <w:pPr>
        <w:rPr>
          <w:rFonts w:ascii="宋体" w:hAnsi="宋体" w:cs="宋体"/>
          <w:color w:val="auto"/>
          <w:sz w:val="20"/>
          <w:szCs w:val="20"/>
          <w:highlight w:val="none"/>
        </w:rPr>
      </w:pPr>
    </w:p>
    <w:p w14:paraId="6745EF93">
      <w:pPr>
        <w:rPr>
          <w:rFonts w:ascii="宋体" w:hAnsi="宋体" w:cs="宋体"/>
          <w:color w:val="auto"/>
          <w:sz w:val="20"/>
          <w:szCs w:val="20"/>
          <w:highlight w:val="none"/>
        </w:rPr>
      </w:pPr>
    </w:p>
    <w:p w14:paraId="1E6EF9B1">
      <w:pPr>
        <w:rPr>
          <w:rFonts w:ascii="宋体" w:hAnsi="宋体" w:cs="宋体"/>
          <w:color w:val="auto"/>
          <w:sz w:val="20"/>
          <w:szCs w:val="20"/>
          <w:highlight w:val="none"/>
        </w:rPr>
      </w:pPr>
    </w:p>
    <w:p w14:paraId="3D130AA9">
      <w:pPr>
        <w:rPr>
          <w:rFonts w:ascii="宋体" w:hAnsi="宋体" w:cs="宋体"/>
          <w:color w:val="auto"/>
          <w:sz w:val="20"/>
          <w:szCs w:val="20"/>
          <w:highlight w:val="none"/>
        </w:rPr>
      </w:pPr>
    </w:p>
    <w:p w14:paraId="0613151B">
      <w:pPr>
        <w:rPr>
          <w:rFonts w:ascii="宋体" w:hAnsi="宋体" w:cs="宋体"/>
          <w:color w:val="auto"/>
          <w:sz w:val="20"/>
          <w:szCs w:val="20"/>
          <w:highlight w:val="none"/>
        </w:rPr>
      </w:pPr>
    </w:p>
    <w:p w14:paraId="02E17843">
      <w:pPr>
        <w:rPr>
          <w:rFonts w:ascii="宋体" w:hAnsi="宋体" w:cs="宋体"/>
          <w:color w:val="auto"/>
          <w:sz w:val="20"/>
          <w:szCs w:val="20"/>
          <w:highlight w:val="none"/>
        </w:rPr>
      </w:pPr>
    </w:p>
    <w:p w14:paraId="2C7182A7">
      <w:pPr>
        <w:rPr>
          <w:rFonts w:ascii="宋体" w:hAnsi="宋体" w:cs="宋体"/>
          <w:color w:val="auto"/>
          <w:sz w:val="20"/>
          <w:szCs w:val="20"/>
          <w:highlight w:val="none"/>
        </w:rPr>
      </w:pPr>
    </w:p>
    <w:p w14:paraId="58EFBB55">
      <w:pPr>
        <w:spacing w:before="6"/>
        <w:rPr>
          <w:rFonts w:ascii="宋体" w:hAnsi="宋体" w:cs="宋体"/>
          <w:color w:val="auto"/>
          <w:sz w:val="29"/>
          <w:szCs w:val="29"/>
          <w:highlight w:val="none"/>
        </w:rPr>
      </w:pPr>
    </w:p>
    <w:p w14:paraId="350D0C4A">
      <w:pPr>
        <w:rPr>
          <w:rFonts w:ascii="宋体" w:hAnsi="宋体" w:cs="宋体"/>
          <w:color w:val="auto"/>
          <w:sz w:val="20"/>
          <w:szCs w:val="20"/>
          <w:highlight w:val="none"/>
        </w:rPr>
      </w:pPr>
    </w:p>
    <w:p w14:paraId="74CF6E1E">
      <w:pPr>
        <w:rPr>
          <w:rFonts w:ascii="宋体" w:hAnsi="宋体" w:cs="宋体"/>
          <w:color w:val="auto"/>
          <w:sz w:val="20"/>
          <w:szCs w:val="20"/>
          <w:highlight w:val="none"/>
        </w:rPr>
      </w:pPr>
    </w:p>
    <w:p w14:paraId="42CDB49C">
      <w:pPr>
        <w:spacing w:before="3"/>
        <w:rPr>
          <w:rFonts w:ascii="宋体" w:hAnsi="宋体" w:cs="宋体"/>
          <w:color w:val="auto"/>
          <w:sz w:val="22"/>
          <w:szCs w:val="22"/>
          <w:highlight w:val="none"/>
        </w:rPr>
      </w:pPr>
    </w:p>
    <w:p w14:paraId="2F157186">
      <w:pPr>
        <w:widowControl/>
        <w:jc w:val="left"/>
        <w:rPr>
          <w:rFonts w:ascii="宋体" w:hAnsi="宋体" w:cs="宋体"/>
          <w:color w:val="auto"/>
          <w:sz w:val="20"/>
          <w:szCs w:val="20"/>
          <w:highlight w:val="none"/>
        </w:rPr>
        <w:sectPr>
          <w:pgSz w:w="11910" w:h="16840"/>
          <w:pgMar w:top="1340" w:right="1500" w:bottom="280" w:left="1680" w:header="720" w:footer="720" w:gutter="0"/>
          <w:pgNumType w:fmt="decimal"/>
          <w:cols w:space="720" w:num="1"/>
        </w:sectPr>
      </w:pPr>
    </w:p>
    <w:p w14:paraId="44BF782A">
      <w:pPr>
        <w:rPr>
          <w:rFonts w:ascii="宋体" w:hAnsi="宋体" w:cs="宋体"/>
          <w:color w:val="auto"/>
          <w:sz w:val="20"/>
          <w:szCs w:val="20"/>
          <w:highlight w:val="none"/>
        </w:rPr>
      </w:pPr>
    </w:p>
    <w:p w14:paraId="1A830D42">
      <w:pPr>
        <w:rPr>
          <w:rFonts w:ascii="宋体" w:hAnsi="宋体" w:cs="宋体"/>
          <w:color w:val="auto"/>
          <w:sz w:val="20"/>
          <w:szCs w:val="20"/>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page">
                  <wp:posOffset>827405</wp:posOffset>
                </wp:positionH>
                <wp:positionV relativeFrom="paragraph">
                  <wp:posOffset>45720</wp:posOffset>
                </wp:positionV>
                <wp:extent cx="5994400" cy="827532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994400" cy="8275320"/>
                        </a:xfrm>
                        <a:prstGeom prst="rect">
                          <a:avLst/>
                        </a:prstGeom>
                        <a:noFill/>
                        <a:ln>
                          <a:noFill/>
                        </a:ln>
                        <a:effectLst/>
                      </wps:spPr>
                      <wps:txbx>
                        <w:txbxContent>
                          <w:tbl>
                            <w:tblPr>
                              <w:tblStyle w:val="29"/>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3C98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7E4C6847">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390379E8">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top"/>
                                </w:tcPr>
                                <w:p w14:paraId="048A2F88">
                                  <w:pPr>
                                    <w:pStyle w:val="78"/>
                                    <w:rPr>
                                      <w:rFonts w:ascii="宋体" w:hAnsi="宋体" w:cs="宋体"/>
                                      <w:sz w:val="20"/>
                                      <w:szCs w:val="20"/>
                                    </w:rPr>
                                  </w:pPr>
                                </w:p>
                                <w:p w14:paraId="052F70C2">
                                  <w:pPr>
                                    <w:pStyle w:val="78"/>
                                    <w:rPr>
                                      <w:rFonts w:ascii="宋体" w:hAnsi="宋体" w:cs="宋体"/>
                                      <w:sz w:val="20"/>
                                      <w:szCs w:val="20"/>
                                    </w:rPr>
                                  </w:pPr>
                                </w:p>
                                <w:p w14:paraId="69AA3C2F">
                                  <w:pPr>
                                    <w:pStyle w:val="78"/>
                                    <w:rPr>
                                      <w:rFonts w:ascii="宋体" w:hAnsi="宋体" w:cs="宋体"/>
                                      <w:sz w:val="20"/>
                                      <w:szCs w:val="20"/>
                                    </w:rPr>
                                  </w:pPr>
                                </w:p>
                                <w:p w14:paraId="641750F9">
                                  <w:pPr>
                                    <w:pStyle w:val="78"/>
                                    <w:rPr>
                                      <w:rFonts w:ascii="宋体" w:hAnsi="宋体" w:cs="宋体"/>
                                      <w:sz w:val="20"/>
                                      <w:szCs w:val="20"/>
                                    </w:rPr>
                                  </w:pPr>
                                </w:p>
                                <w:p w14:paraId="6AC0D17D">
                                  <w:pPr>
                                    <w:pStyle w:val="78"/>
                                    <w:rPr>
                                      <w:rFonts w:ascii="宋体" w:hAnsi="宋体" w:cs="宋体"/>
                                      <w:sz w:val="20"/>
                                      <w:szCs w:val="20"/>
                                    </w:rPr>
                                  </w:pPr>
                                </w:p>
                                <w:p w14:paraId="6C92B157">
                                  <w:pPr>
                                    <w:pStyle w:val="78"/>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CDD4672">
                                  <w:pPr>
                                    <w:pStyle w:val="78"/>
                                    <w:spacing w:before="12"/>
                                    <w:rPr>
                                      <w:rFonts w:ascii="宋体" w:hAnsi="宋体" w:cs="宋体"/>
                                      <w:sz w:val="15"/>
                                      <w:szCs w:val="15"/>
                                    </w:rPr>
                                  </w:pPr>
                                </w:p>
                                <w:p w14:paraId="0DF4FE25">
                                  <w:pPr>
                                    <w:pStyle w:val="78"/>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5729881">
                                  <w:pPr>
                                    <w:pStyle w:val="78"/>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117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997747">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D42A906">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6EE0624B">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477408A">
                                  <w:pPr>
                                    <w:pStyle w:val="78"/>
                                    <w:spacing w:before="2"/>
                                    <w:rPr>
                                      <w:rFonts w:ascii="宋体" w:hAnsi="宋体" w:cs="宋体"/>
                                      <w:sz w:val="24"/>
                                      <w:szCs w:val="24"/>
                                      <w:lang w:eastAsia="zh-CN"/>
                                    </w:rPr>
                                  </w:pPr>
                                </w:p>
                                <w:p w14:paraId="47878E35">
                                  <w:pPr>
                                    <w:pStyle w:val="78"/>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B974854">
                                  <w:pPr>
                                    <w:pStyle w:val="7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00B3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4432D0">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FCBFCA3">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18D9A21F">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69812C2">
                                  <w:pPr>
                                    <w:pStyle w:val="78"/>
                                    <w:rPr>
                                      <w:rFonts w:ascii="宋体" w:hAnsi="宋体" w:cs="宋体"/>
                                      <w:sz w:val="19"/>
                                      <w:szCs w:val="19"/>
                                      <w:lang w:eastAsia="zh-CN"/>
                                    </w:rPr>
                                  </w:pPr>
                                </w:p>
                                <w:p w14:paraId="10D5EE3B">
                                  <w:pPr>
                                    <w:pStyle w:val="78"/>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C413FF3">
                                  <w:pPr>
                                    <w:pStyle w:val="78"/>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AD6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94D1D9">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B68ED66">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2CCCBD22">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781FE47">
                                  <w:pPr>
                                    <w:pStyle w:val="78"/>
                                    <w:spacing w:before="12"/>
                                    <w:rPr>
                                      <w:rFonts w:ascii="宋体" w:hAnsi="宋体" w:cs="宋体"/>
                                      <w:sz w:val="15"/>
                                      <w:szCs w:val="15"/>
                                      <w:lang w:eastAsia="zh-CN"/>
                                    </w:rPr>
                                  </w:pPr>
                                </w:p>
                                <w:p w14:paraId="04610EF8">
                                  <w:pPr>
                                    <w:pStyle w:val="78"/>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7A0E8112">
                                  <w:pPr>
                                    <w:pStyle w:val="7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977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332963AB">
                                  <w:pPr>
                                    <w:pStyle w:val="78"/>
                                    <w:rPr>
                                      <w:rFonts w:ascii="宋体" w:hAnsi="宋体" w:cs="宋体"/>
                                      <w:sz w:val="20"/>
                                      <w:szCs w:val="20"/>
                                      <w:lang w:eastAsia="zh-CN"/>
                                    </w:rPr>
                                  </w:pPr>
                                </w:p>
                                <w:p w14:paraId="12885CE7">
                                  <w:pPr>
                                    <w:pStyle w:val="78"/>
                                    <w:rPr>
                                      <w:rFonts w:ascii="宋体" w:hAnsi="宋体" w:cs="宋体"/>
                                      <w:sz w:val="20"/>
                                      <w:szCs w:val="20"/>
                                      <w:lang w:eastAsia="zh-CN"/>
                                    </w:rPr>
                                  </w:pPr>
                                </w:p>
                                <w:p w14:paraId="306637CC">
                                  <w:pPr>
                                    <w:pStyle w:val="78"/>
                                    <w:rPr>
                                      <w:rFonts w:ascii="宋体" w:hAnsi="宋体" w:cs="宋体"/>
                                      <w:sz w:val="20"/>
                                      <w:szCs w:val="20"/>
                                      <w:lang w:eastAsia="zh-CN"/>
                                    </w:rPr>
                                  </w:pPr>
                                </w:p>
                                <w:p w14:paraId="76B75CB9">
                                  <w:pPr>
                                    <w:pStyle w:val="78"/>
                                    <w:rPr>
                                      <w:rFonts w:ascii="宋体" w:hAnsi="宋体" w:cs="宋体"/>
                                      <w:sz w:val="20"/>
                                      <w:szCs w:val="20"/>
                                      <w:lang w:eastAsia="zh-CN"/>
                                    </w:rPr>
                                  </w:pPr>
                                </w:p>
                                <w:p w14:paraId="0159FCA9">
                                  <w:pPr>
                                    <w:pStyle w:val="78"/>
                                    <w:rPr>
                                      <w:rFonts w:ascii="宋体" w:hAnsi="宋体" w:cs="宋体"/>
                                      <w:sz w:val="20"/>
                                      <w:szCs w:val="20"/>
                                      <w:lang w:eastAsia="zh-CN"/>
                                    </w:rPr>
                                  </w:pPr>
                                </w:p>
                                <w:p w14:paraId="72C9FB6B">
                                  <w:pPr>
                                    <w:pStyle w:val="78"/>
                                    <w:spacing w:before="12"/>
                                    <w:rPr>
                                      <w:rFonts w:ascii="宋体" w:hAnsi="宋体" w:cs="宋体"/>
                                      <w:sz w:val="23"/>
                                      <w:szCs w:val="23"/>
                                      <w:lang w:eastAsia="zh-CN"/>
                                    </w:rPr>
                                  </w:pPr>
                                </w:p>
                                <w:p w14:paraId="00AFB685">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5C98430C">
                                  <w:pPr>
                                    <w:pStyle w:val="78"/>
                                    <w:rPr>
                                      <w:rFonts w:ascii="宋体" w:hAnsi="宋体" w:cs="宋体"/>
                                      <w:sz w:val="20"/>
                                      <w:szCs w:val="20"/>
                                    </w:rPr>
                                  </w:pPr>
                                </w:p>
                                <w:p w14:paraId="68678529">
                                  <w:pPr>
                                    <w:pStyle w:val="78"/>
                                    <w:rPr>
                                      <w:rFonts w:ascii="宋体" w:hAnsi="宋体" w:cs="宋体"/>
                                      <w:sz w:val="20"/>
                                      <w:szCs w:val="20"/>
                                    </w:rPr>
                                  </w:pPr>
                                </w:p>
                                <w:p w14:paraId="62160D86">
                                  <w:pPr>
                                    <w:pStyle w:val="78"/>
                                    <w:rPr>
                                      <w:rFonts w:ascii="宋体" w:hAnsi="宋体" w:cs="宋体"/>
                                      <w:sz w:val="20"/>
                                      <w:szCs w:val="20"/>
                                    </w:rPr>
                                  </w:pPr>
                                </w:p>
                                <w:p w14:paraId="4FB8F9E5">
                                  <w:pPr>
                                    <w:pStyle w:val="78"/>
                                    <w:rPr>
                                      <w:rFonts w:ascii="宋体" w:hAnsi="宋体" w:cs="宋体"/>
                                      <w:sz w:val="20"/>
                                      <w:szCs w:val="20"/>
                                    </w:rPr>
                                  </w:pPr>
                                </w:p>
                                <w:p w14:paraId="75977D16">
                                  <w:pPr>
                                    <w:pStyle w:val="78"/>
                                    <w:rPr>
                                      <w:rFonts w:ascii="宋体" w:hAnsi="宋体" w:cs="宋体"/>
                                      <w:sz w:val="20"/>
                                      <w:szCs w:val="20"/>
                                    </w:rPr>
                                  </w:pPr>
                                </w:p>
                                <w:p w14:paraId="7C006138">
                                  <w:pPr>
                                    <w:pStyle w:val="78"/>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1EDEB7A">
                                  <w:pPr>
                                    <w:pStyle w:val="78"/>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144AD4DC">
                                  <w:pPr>
                                    <w:pStyle w:val="78"/>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3CDC4414">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78C78829">
                                  <w:pPr>
                                    <w:pStyle w:val="78"/>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B32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1CCB4D">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6F9C5E6">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675329F">
                                  <w:pPr>
                                    <w:pStyle w:val="78"/>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98F5FF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F752EA7">
                                  <w:pPr>
                                    <w:pStyle w:val="78"/>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B1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CDF62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7F1665F">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5124D37">
                                  <w:pPr>
                                    <w:pStyle w:val="78"/>
                                    <w:spacing w:before="4"/>
                                    <w:rPr>
                                      <w:rFonts w:ascii="宋体" w:hAnsi="宋体" w:cs="宋体"/>
                                      <w:sz w:val="18"/>
                                      <w:szCs w:val="18"/>
                                      <w:lang w:eastAsia="zh-CN"/>
                                    </w:rPr>
                                  </w:pPr>
                                </w:p>
                                <w:p w14:paraId="68BA71C2">
                                  <w:pPr>
                                    <w:pStyle w:val="78"/>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9C964C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116B78EE">
                                  <w:pPr>
                                    <w:pStyle w:val="78"/>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74B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F936E9">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CBDD613">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6085443">
                                  <w:pPr>
                                    <w:pStyle w:val="78"/>
                                    <w:spacing w:before="5"/>
                                    <w:rPr>
                                      <w:rFonts w:ascii="宋体" w:hAnsi="宋体" w:cs="宋体"/>
                                      <w:sz w:val="15"/>
                                      <w:szCs w:val="15"/>
                                      <w:lang w:eastAsia="zh-CN"/>
                                    </w:rPr>
                                  </w:pPr>
                                </w:p>
                                <w:p w14:paraId="0CE7F6B8">
                                  <w:pPr>
                                    <w:pStyle w:val="78"/>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0891A17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F6DA2D8">
                                  <w:pPr>
                                    <w:pStyle w:val="78"/>
                                    <w:spacing w:before="5"/>
                                    <w:rPr>
                                      <w:rFonts w:ascii="宋体" w:hAnsi="宋体" w:cs="宋体"/>
                                      <w:sz w:val="15"/>
                                      <w:szCs w:val="15"/>
                                      <w:lang w:eastAsia="zh-CN"/>
                                    </w:rPr>
                                  </w:pPr>
                                </w:p>
                                <w:p w14:paraId="7DF41E6D">
                                  <w:pPr>
                                    <w:pStyle w:val="78"/>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7A3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6BCA4A15">
                                  <w:pPr>
                                    <w:pStyle w:val="78"/>
                                    <w:spacing w:before="1"/>
                                    <w:rPr>
                                      <w:rFonts w:ascii="宋体" w:hAnsi="宋体" w:cs="宋体"/>
                                      <w:sz w:val="18"/>
                                      <w:szCs w:val="18"/>
                                      <w:lang w:eastAsia="zh-CN"/>
                                    </w:rPr>
                                  </w:pPr>
                                </w:p>
                                <w:p w14:paraId="37602609">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6D2501EA">
                                  <w:pPr>
                                    <w:pStyle w:val="78"/>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EFF70B2">
                                  <w:pPr>
                                    <w:pStyle w:val="78"/>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6FDA1ECB">
                                  <w:pPr>
                                    <w:pStyle w:val="78"/>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2E7BAC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5DE16B5">
                                  <w:pPr>
                                    <w:pStyle w:val="78"/>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3E43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3C03A142">
                                  <w:pPr>
                                    <w:pStyle w:val="78"/>
                                    <w:rPr>
                                      <w:rFonts w:ascii="宋体" w:hAnsi="宋体" w:cs="宋体"/>
                                      <w:sz w:val="20"/>
                                      <w:szCs w:val="20"/>
                                      <w:lang w:eastAsia="zh-CN"/>
                                    </w:rPr>
                                  </w:pPr>
                                </w:p>
                                <w:p w14:paraId="77DE165C">
                                  <w:pPr>
                                    <w:pStyle w:val="78"/>
                                    <w:rPr>
                                      <w:rFonts w:ascii="宋体" w:hAnsi="宋体" w:cs="宋体"/>
                                      <w:sz w:val="20"/>
                                      <w:szCs w:val="20"/>
                                      <w:lang w:eastAsia="zh-CN"/>
                                    </w:rPr>
                                  </w:pPr>
                                </w:p>
                                <w:p w14:paraId="7C045FC6">
                                  <w:pPr>
                                    <w:pStyle w:val="78"/>
                                    <w:spacing w:before="10"/>
                                    <w:rPr>
                                      <w:rFonts w:ascii="宋体" w:hAnsi="宋体" w:cs="宋体"/>
                                      <w:sz w:val="21"/>
                                      <w:szCs w:val="21"/>
                                      <w:lang w:eastAsia="zh-CN"/>
                                    </w:rPr>
                                  </w:pPr>
                                </w:p>
                                <w:p w14:paraId="189324CB">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2695315E">
                                  <w:pPr>
                                    <w:pStyle w:val="78"/>
                                    <w:rPr>
                                      <w:rFonts w:ascii="宋体" w:hAnsi="宋体" w:cs="宋体"/>
                                      <w:sz w:val="20"/>
                                      <w:szCs w:val="20"/>
                                    </w:rPr>
                                  </w:pPr>
                                </w:p>
                                <w:p w14:paraId="5A1C0AA5">
                                  <w:pPr>
                                    <w:pStyle w:val="78"/>
                                    <w:spacing w:before="11"/>
                                    <w:rPr>
                                      <w:rFonts w:ascii="宋体" w:hAnsi="宋体" w:cs="宋体"/>
                                      <w:sz w:val="29"/>
                                      <w:szCs w:val="29"/>
                                    </w:rPr>
                                  </w:pPr>
                                </w:p>
                                <w:p w14:paraId="6692BE81">
                                  <w:pPr>
                                    <w:pStyle w:val="7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46865FD">
                                  <w:pPr>
                                    <w:pStyle w:val="78"/>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DFBCD16">
                                  <w:pPr>
                                    <w:pStyle w:val="78"/>
                                    <w:rPr>
                                      <w:rFonts w:ascii="宋体" w:hAnsi="宋体" w:cs="宋体"/>
                                      <w:sz w:val="20"/>
                                      <w:szCs w:val="20"/>
                                    </w:rPr>
                                  </w:pPr>
                                </w:p>
                                <w:p w14:paraId="710A7F86">
                                  <w:pPr>
                                    <w:pStyle w:val="78"/>
                                    <w:spacing w:before="11"/>
                                    <w:rPr>
                                      <w:rFonts w:ascii="宋体" w:hAnsi="宋体" w:cs="宋体"/>
                                      <w:sz w:val="29"/>
                                      <w:szCs w:val="29"/>
                                    </w:rPr>
                                  </w:pPr>
                                </w:p>
                                <w:p w14:paraId="0CF365DB">
                                  <w:pPr>
                                    <w:pStyle w:val="7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A77C885">
                                  <w:pPr>
                                    <w:pStyle w:val="78"/>
                                    <w:rPr>
                                      <w:rFonts w:ascii="宋体" w:hAnsi="宋体" w:cs="宋体"/>
                                      <w:sz w:val="20"/>
                                      <w:szCs w:val="20"/>
                                    </w:rPr>
                                  </w:pPr>
                                </w:p>
                                <w:p w14:paraId="54F0CD54">
                                  <w:pPr>
                                    <w:pStyle w:val="78"/>
                                    <w:rPr>
                                      <w:rFonts w:ascii="宋体" w:hAnsi="宋体" w:cs="宋体"/>
                                      <w:sz w:val="20"/>
                                      <w:szCs w:val="20"/>
                                    </w:rPr>
                                  </w:pPr>
                                </w:p>
                                <w:p w14:paraId="1A03B0ED">
                                  <w:pPr>
                                    <w:pStyle w:val="78"/>
                                    <w:spacing w:before="10"/>
                                    <w:rPr>
                                      <w:rFonts w:ascii="宋体" w:hAnsi="宋体" w:cs="宋体"/>
                                      <w:sz w:val="21"/>
                                      <w:szCs w:val="21"/>
                                    </w:rPr>
                                  </w:pPr>
                                </w:p>
                                <w:p w14:paraId="4D4662BD">
                                  <w:pPr>
                                    <w:pStyle w:val="78"/>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5FA0AA37">
                                  <w:pPr>
                                    <w:pStyle w:val="78"/>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15C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5D7E30E3">
                                  <w:pPr>
                                    <w:pStyle w:val="78"/>
                                    <w:spacing w:before="10"/>
                                    <w:rPr>
                                      <w:rFonts w:ascii="宋体" w:hAnsi="宋体" w:cs="宋体"/>
                                      <w:sz w:val="17"/>
                                      <w:szCs w:val="17"/>
                                      <w:lang w:eastAsia="zh-CN"/>
                                    </w:rPr>
                                  </w:pPr>
                                </w:p>
                                <w:p w14:paraId="11BA19A6">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12A628E2">
                                  <w:pPr>
                                    <w:pStyle w:val="78"/>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B64C7B1">
                                  <w:pPr>
                                    <w:pStyle w:val="78"/>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59406BD">
                                  <w:pPr>
                                    <w:pStyle w:val="78"/>
                                    <w:spacing w:before="10"/>
                                    <w:rPr>
                                      <w:rFonts w:ascii="宋体" w:hAnsi="宋体" w:cs="宋体"/>
                                      <w:sz w:val="17"/>
                                      <w:szCs w:val="17"/>
                                    </w:rPr>
                                  </w:pPr>
                                </w:p>
                                <w:p w14:paraId="77721FA2">
                                  <w:pPr>
                                    <w:pStyle w:val="78"/>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EB957A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04F162A7">
                                  <w:pPr>
                                    <w:pStyle w:val="78"/>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DC5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45DC2AAE">
                                  <w:pPr>
                                    <w:pStyle w:val="78"/>
                                    <w:rPr>
                                      <w:rFonts w:ascii="宋体" w:hAnsi="宋体" w:cs="宋体"/>
                                      <w:sz w:val="20"/>
                                      <w:szCs w:val="20"/>
                                      <w:lang w:eastAsia="zh-CN"/>
                                    </w:rPr>
                                  </w:pPr>
                                </w:p>
                                <w:p w14:paraId="04EECC48">
                                  <w:pPr>
                                    <w:pStyle w:val="78"/>
                                    <w:rPr>
                                      <w:rFonts w:ascii="宋体" w:hAnsi="宋体" w:cs="宋体"/>
                                      <w:sz w:val="20"/>
                                      <w:szCs w:val="20"/>
                                      <w:lang w:eastAsia="zh-CN"/>
                                    </w:rPr>
                                  </w:pPr>
                                </w:p>
                                <w:p w14:paraId="1D8FC00D">
                                  <w:pPr>
                                    <w:pStyle w:val="78"/>
                                    <w:rPr>
                                      <w:rFonts w:ascii="宋体" w:hAnsi="宋体" w:cs="宋体"/>
                                      <w:sz w:val="20"/>
                                      <w:szCs w:val="20"/>
                                      <w:lang w:eastAsia="zh-CN"/>
                                    </w:rPr>
                                  </w:pPr>
                                </w:p>
                                <w:p w14:paraId="2E897340">
                                  <w:pPr>
                                    <w:pStyle w:val="78"/>
                                    <w:spacing w:before="1"/>
                                    <w:rPr>
                                      <w:rFonts w:ascii="宋体" w:hAnsi="宋体" w:cs="宋体"/>
                                      <w:sz w:val="29"/>
                                      <w:szCs w:val="29"/>
                                      <w:lang w:eastAsia="zh-CN"/>
                                    </w:rPr>
                                  </w:pPr>
                                </w:p>
                                <w:p w14:paraId="0CA98746">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0871B214">
                                  <w:pPr>
                                    <w:pStyle w:val="78"/>
                                    <w:rPr>
                                      <w:rFonts w:ascii="宋体" w:hAnsi="宋体" w:cs="宋体"/>
                                      <w:sz w:val="20"/>
                                      <w:szCs w:val="20"/>
                                    </w:rPr>
                                  </w:pPr>
                                </w:p>
                                <w:p w14:paraId="479C71C9">
                                  <w:pPr>
                                    <w:pStyle w:val="78"/>
                                    <w:rPr>
                                      <w:rFonts w:ascii="宋体" w:hAnsi="宋体" w:cs="宋体"/>
                                      <w:sz w:val="20"/>
                                      <w:szCs w:val="20"/>
                                    </w:rPr>
                                  </w:pPr>
                                </w:p>
                                <w:p w14:paraId="472D17F4">
                                  <w:pPr>
                                    <w:pStyle w:val="78"/>
                                    <w:spacing w:before="9"/>
                                    <w:rPr>
                                      <w:rFonts w:ascii="宋体" w:hAnsi="宋体" w:cs="宋体"/>
                                      <w:sz w:val="17"/>
                                      <w:szCs w:val="17"/>
                                    </w:rPr>
                                  </w:pPr>
                                </w:p>
                                <w:p w14:paraId="637B30EF">
                                  <w:pPr>
                                    <w:pStyle w:val="78"/>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1CD5FC30">
                                  <w:pPr>
                                    <w:pStyle w:val="78"/>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223F5D87">
                                  <w:pPr>
                                    <w:pStyle w:val="78"/>
                                    <w:spacing w:before="5"/>
                                    <w:rPr>
                                      <w:rFonts w:ascii="宋体" w:hAnsi="宋体" w:cs="宋体"/>
                                      <w:sz w:val="21"/>
                                      <w:szCs w:val="21"/>
                                    </w:rPr>
                                  </w:pPr>
                                </w:p>
                                <w:p w14:paraId="72F176DD">
                                  <w:pPr>
                                    <w:pStyle w:val="78"/>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24CF12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41D58CDC">
                                  <w:pPr>
                                    <w:pStyle w:val="78"/>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0751E2D">
                                  <w:pPr>
                                    <w:pStyle w:val="78"/>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A98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9E9294">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40084B5">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8E87BEB">
                                  <w:pPr>
                                    <w:pStyle w:val="78"/>
                                    <w:spacing w:before="5"/>
                                    <w:rPr>
                                      <w:rFonts w:ascii="宋体" w:hAnsi="宋体" w:cs="宋体"/>
                                      <w:sz w:val="21"/>
                                      <w:szCs w:val="21"/>
                                    </w:rPr>
                                  </w:pPr>
                                </w:p>
                                <w:p w14:paraId="7DBB80F0">
                                  <w:pPr>
                                    <w:pStyle w:val="78"/>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B1D542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99E711D">
                                  <w:pPr>
                                    <w:pStyle w:val="7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126B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C903F1">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9C07D0E">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D5B1AB4">
                                  <w:pPr>
                                    <w:pStyle w:val="78"/>
                                    <w:spacing w:before="5"/>
                                    <w:rPr>
                                      <w:rFonts w:ascii="宋体" w:hAnsi="宋体" w:cs="宋体"/>
                                      <w:sz w:val="21"/>
                                      <w:szCs w:val="21"/>
                                      <w:lang w:eastAsia="zh-CN"/>
                                    </w:rPr>
                                  </w:pPr>
                                </w:p>
                                <w:p w14:paraId="3B30A9CE">
                                  <w:pPr>
                                    <w:pStyle w:val="78"/>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2C0122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41E56EF">
                                  <w:pPr>
                                    <w:pStyle w:val="7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16EFC6C2">
                            <w:pPr>
                              <w:rPr>
                                <w:rFonts w:ascii="Calibri" w:hAnsi="Calibri"/>
                                <w:sz w:val="22"/>
                                <w:szCs w:val="22"/>
                              </w:rPr>
                            </w:pPr>
                          </w:p>
                        </w:txbxContent>
                      </wps:txbx>
                      <wps:bodyPr wrap="square" lIns="0" tIns="0" rIns="0" bIns="0" upright="1"/>
                    </wps:wsp>
                  </a:graphicData>
                </a:graphic>
              </wp:anchor>
            </w:drawing>
          </mc:Choice>
          <mc:Fallback>
            <w:pict>
              <v:shape id="_x0000_s1026" o:spid="_x0000_s1026" o:spt="202" type="#_x0000_t202" style="position:absolute;left:0pt;margin-left:65.15pt;margin-top:3.6pt;height:651.6pt;width:472pt;mso-position-horizontal-relative:page;z-index:251661312;mso-width-relative:page;mso-height-relative:page;" filled="f" stroked="f" coordsize="21600,21600" o:gfxdata="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6Nwl0NgAAAALAQAADwAAAAAAAAABACAAAAAiAAAAZHJz&#10;L2Rvd25yZXYueG1sUEsBAhQAFAAAAAgAh07iQCLdQ5DLAQAAjwMAAA4AAAAAAAAAAQAgAAAAJwEA&#10;AGRycy9lMm9Eb2MueG1sUEsFBgAAAAAGAAYAWQEAAGQFAAAAAA==&#10;">
                <v:fill on="f" focussize="0,0"/>
                <v:stroke on="f"/>
                <v:imagedata o:title=""/>
                <o:lock v:ext="edit" aspectratio="f"/>
                <v:textbox inset="0mm,0mm,0mm,0mm">
                  <w:txbxContent>
                    <w:tbl>
                      <w:tblPr>
                        <w:tblStyle w:val="29"/>
                        <w:tblW w:w="9090" w:type="dxa"/>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5"/>
                        <w:gridCol w:w="1305"/>
                        <w:gridCol w:w="1665"/>
                        <w:gridCol w:w="1770"/>
                        <w:gridCol w:w="3765"/>
                      </w:tblGrid>
                      <w:tr w14:paraId="3C98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7E4C6847">
                            <w:pPr>
                              <w:rPr>
                                <w:rFonts w:ascii="Calibri" w:hAnsi="Calibri"/>
                                <w:sz w:val="22"/>
                                <w:szCs w:val="22"/>
                              </w:rPr>
                            </w:pP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390379E8">
                            <w:pPr>
                              <w:rPr>
                                <w:rFonts w:ascii="Calibri" w:hAnsi="Calibri"/>
                                <w:sz w:val="22"/>
                                <w:szCs w:val="22"/>
                              </w:rPr>
                            </w:pPr>
                          </w:p>
                        </w:tc>
                        <w:tc>
                          <w:tcPr>
                            <w:tcW w:w="1665" w:type="dxa"/>
                            <w:vMerge w:val="restart"/>
                            <w:tcBorders>
                              <w:top w:val="single" w:color="auto" w:sz="4" w:space="0"/>
                              <w:left w:val="single" w:color="auto" w:sz="4" w:space="0"/>
                              <w:bottom w:val="single" w:color="auto" w:sz="4" w:space="0"/>
                              <w:right w:val="single" w:color="auto" w:sz="4" w:space="0"/>
                            </w:tcBorders>
                            <w:noWrap w:val="0"/>
                            <w:vAlign w:val="top"/>
                          </w:tcPr>
                          <w:p w14:paraId="048A2F88">
                            <w:pPr>
                              <w:pStyle w:val="78"/>
                              <w:rPr>
                                <w:rFonts w:ascii="宋体" w:hAnsi="宋体" w:cs="宋体"/>
                                <w:sz w:val="20"/>
                                <w:szCs w:val="20"/>
                              </w:rPr>
                            </w:pPr>
                          </w:p>
                          <w:p w14:paraId="052F70C2">
                            <w:pPr>
                              <w:pStyle w:val="78"/>
                              <w:rPr>
                                <w:rFonts w:ascii="宋体" w:hAnsi="宋体" w:cs="宋体"/>
                                <w:sz w:val="20"/>
                                <w:szCs w:val="20"/>
                              </w:rPr>
                            </w:pPr>
                          </w:p>
                          <w:p w14:paraId="69AA3C2F">
                            <w:pPr>
                              <w:pStyle w:val="78"/>
                              <w:rPr>
                                <w:rFonts w:ascii="宋体" w:hAnsi="宋体" w:cs="宋体"/>
                                <w:sz w:val="20"/>
                                <w:szCs w:val="20"/>
                              </w:rPr>
                            </w:pPr>
                          </w:p>
                          <w:p w14:paraId="641750F9">
                            <w:pPr>
                              <w:pStyle w:val="78"/>
                              <w:rPr>
                                <w:rFonts w:ascii="宋体" w:hAnsi="宋体" w:cs="宋体"/>
                                <w:sz w:val="20"/>
                                <w:szCs w:val="20"/>
                              </w:rPr>
                            </w:pPr>
                          </w:p>
                          <w:p w14:paraId="6AC0D17D">
                            <w:pPr>
                              <w:pStyle w:val="78"/>
                              <w:rPr>
                                <w:rFonts w:ascii="宋体" w:hAnsi="宋体" w:cs="宋体"/>
                                <w:sz w:val="20"/>
                                <w:szCs w:val="20"/>
                              </w:rPr>
                            </w:pPr>
                          </w:p>
                          <w:p w14:paraId="6C92B157">
                            <w:pPr>
                              <w:pStyle w:val="78"/>
                              <w:spacing w:before="161"/>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808热水器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CDD4672">
                            <w:pPr>
                              <w:pStyle w:val="78"/>
                              <w:spacing w:before="12"/>
                              <w:rPr>
                                <w:rFonts w:ascii="宋体" w:hAnsi="宋体" w:cs="宋体"/>
                                <w:sz w:val="15"/>
                                <w:szCs w:val="15"/>
                              </w:rPr>
                            </w:pPr>
                          </w:p>
                          <w:p w14:paraId="0DF4FE25">
                            <w:pPr>
                              <w:pStyle w:val="78"/>
                              <w:ind w:left="7"/>
                              <w:rPr>
                                <w:rFonts w:ascii="宋体" w:hAnsi="宋体" w:cs="宋体"/>
                                <w:sz w:val="20"/>
                                <w:szCs w:val="20"/>
                              </w:rPr>
                            </w:pPr>
                            <w:r>
                              <w:rPr>
                                <w:rFonts w:hint="eastAsia" w:ascii="宋体" w:hAnsi="宋体" w:cs="宋体"/>
                                <w:w w:val="99"/>
                                <w:sz w:val="20"/>
                                <w:szCs w:val="20"/>
                              </w:rPr>
                              <w:t>★电热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65729881">
                            <w:pPr>
                              <w:pStyle w:val="78"/>
                              <w:tabs>
                                <w:tab w:val="left" w:pos="1608"/>
                              </w:tabs>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《储水式电热水器能效</w:t>
                            </w:r>
                            <w:r>
                              <w:rPr>
                                <w:rFonts w:hint="eastAsia" w:ascii="宋体" w:hAnsi="宋体" w:cs="宋体"/>
                                <w:spacing w:val="9"/>
                                <w:w w:val="99"/>
                                <w:sz w:val="20"/>
                                <w:szCs w:val="20"/>
                                <w:lang w:eastAsia="zh-CN"/>
                              </w:rPr>
                              <w:t>限</w:t>
                            </w:r>
                            <w:r>
                              <w:rPr>
                                <w:rFonts w:hint="eastAsia" w:ascii="宋体" w:hAnsi="宋体" w:cs="宋体"/>
                                <w:spacing w:val="12"/>
                                <w:w w:val="99"/>
                                <w:sz w:val="20"/>
                                <w:szCs w:val="20"/>
                                <w:lang w:eastAsia="zh-CN"/>
                              </w:rPr>
                              <w:t>定值</w:t>
                            </w:r>
                            <w:r>
                              <w:rPr>
                                <w:rFonts w:hint="eastAsia" w:ascii="宋体" w:hAnsi="宋体" w:cs="宋体"/>
                                <w:w w:val="99"/>
                                <w:sz w:val="20"/>
                                <w:szCs w:val="20"/>
                                <w:lang w:eastAsia="zh-CN"/>
                              </w:rPr>
                              <w:t>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51</w:t>
                            </w:r>
                            <w:r>
                              <w:rPr>
                                <w:rFonts w:hint="eastAsia" w:ascii="宋体" w:hAnsi="宋体" w:cs="宋体"/>
                                <w:spacing w:val="1"/>
                                <w:w w:val="99"/>
                                <w:sz w:val="20"/>
                                <w:szCs w:val="20"/>
                                <w:lang w:eastAsia="zh-CN"/>
                              </w:rPr>
                              <w:t>9</w:t>
                            </w:r>
                            <w:r>
                              <w:rPr>
                                <w:rFonts w:hint="eastAsia" w:ascii="宋体" w:hAnsi="宋体" w:cs="宋体"/>
                                <w:w w:val="99"/>
                                <w:sz w:val="20"/>
                                <w:szCs w:val="20"/>
                                <w:lang w:eastAsia="zh-CN"/>
                              </w:rPr>
                              <w:t>）</w:t>
                            </w:r>
                          </w:p>
                        </w:tc>
                      </w:tr>
                      <w:tr w14:paraId="11763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38997747">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D42A906">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6EE0624B">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477408A">
                            <w:pPr>
                              <w:pStyle w:val="78"/>
                              <w:spacing w:before="2"/>
                              <w:rPr>
                                <w:rFonts w:ascii="宋体" w:hAnsi="宋体" w:cs="宋体"/>
                                <w:sz w:val="24"/>
                                <w:szCs w:val="24"/>
                                <w:lang w:eastAsia="zh-CN"/>
                              </w:rPr>
                            </w:pPr>
                          </w:p>
                          <w:p w14:paraId="47878E35">
                            <w:pPr>
                              <w:pStyle w:val="78"/>
                              <w:ind w:left="7"/>
                              <w:rPr>
                                <w:rFonts w:ascii="宋体" w:hAnsi="宋体" w:cs="宋体"/>
                                <w:sz w:val="20"/>
                                <w:szCs w:val="20"/>
                              </w:rPr>
                            </w:pPr>
                            <w:r>
                              <w:rPr>
                                <w:rFonts w:hint="eastAsia" w:ascii="宋体" w:hAnsi="宋体" w:cs="宋体"/>
                                <w:w w:val="99"/>
                                <w:sz w:val="20"/>
                                <w:szCs w:val="20"/>
                              </w:rPr>
                              <w:t>燃气热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0B974854">
                            <w:pPr>
                              <w:pStyle w:val="78"/>
                              <w:spacing w:before="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《家用燃气快速热水器</w:t>
                            </w:r>
                            <w:r>
                              <w:rPr>
                                <w:rFonts w:hint="eastAsia" w:ascii="宋体" w:hAnsi="宋体" w:cs="宋体"/>
                                <w:spacing w:val="9"/>
                                <w:w w:val="99"/>
                                <w:sz w:val="20"/>
                                <w:szCs w:val="20"/>
                                <w:lang w:eastAsia="zh-CN"/>
                              </w:rPr>
                              <w:t>和</w:t>
                            </w:r>
                            <w:r>
                              <w:rPr>
                                <w:rFonts w:hint="eastAsia" w:ascii="宋体" w:hAnsi="宋体" w:cs="宋体"/>
                                <w:spacing w:val="12"/>
                                <w:w w:val="99"/>
                                <w:sz w:val="20"/>
                                <w:szCs w:val="20"/>
                                <w:lang w:eastAsia="zh-CN"/>
                              </w:rPr>
                              <w:t>燃气</w:t>
                            </w:r>
                            <w:r>
                              <w:rPr>
                                <w:rFonts w:hint="eastAsia" w:ascii="宋体" w:hAnsi="宋体" w:cs="宋体"/>
                                <w:w w:val="99"/>
                                <w:sz w:val="20"/>
                                <w:szCs w:val="20"/>
                                <w:lang w:eastAsia="zh-CN"/>
                              </w:rPr>
                              <w:t>采暖热水</w:t>
                            </w:r>
                            <w:r>
                              <w:rPr>
                                <w:rFonts w:hint="eastAsia" w:ascii="宋体" w:hAnsi="宋体" w:cs="宋体"/>
                                <w:spacing w:val="2"/>
                                <w:w w:val="99"/>
                                <w:sz w:val="20"/>
                                <w:szCs w:val="20"/>
                                <w:lang w:eastAsia="zh-CN"/>
                              </w:rPr>
                              <w:t>炉</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w:t>
                            </w:r>
                            <w:r>
                              <w:rPr>
                                <w:rFonts w:hint="eastAsia" w:ascii="宋体" w:hAnsi="宋体" w:cs="宋体"/>
                                <w:w w:val="99"/>
                                <w:sz w:val="20"/>
                                <w:szCs w:val="20"/>
                                <w:lang w:eastAsia="zh-CN"/>
                              </w:rPr>
                              <w:t>06</w:t>
                            </w:r>
                            <w:r>
                              <w:rPr>
                                <w:rFonts w:hint="eastAsia" w:ascii="宋体" w:hAnsi="宋体" w:cs="宋体"/>
                                <w:spacing w:val="1"/>
                                <w:w w:val="99"/>
                                <w:sz w:val="20"/>
                                <w:szCs w:val="20"/>
                                <w:lang w:eastAsia="zh-CN"/>
                              </w:rPr>
                              <w:t>65</w:t>
                            </w:r>
                            <w:r>
                              <w:rPr>
                                <w:rFonts w:hint="eastAsia" w:ascii="宋体" w:hAnsi="宋体" w:cs="宋体"/>
                                <w:w w:val="99"/>
                                <w:sz w:val="20"/>
                                <w:szCs w:val="20"/>
                                <w:lang w:eastAsia="zh-CN"/>
                              </w:rPr>
                              <w:t>）</w:t>
                            </w:r>
                          </w:p>
                        </w:tc>
                      </w:tr>
                      <w:tr w14:paraId="00B3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494432D0">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FCBFCA3">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18D9A21F">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69812C2">
                            <w:pPr>
                              <w:pStyle w:val="78"/>
                              <w:rPr>
                                <w:rFonts w:ascii="宋体" w:hAnsi="宋体" w:cs="宋体"/>
                                <w:sz w:val="19"/>
                                <w:szCs w:val="19"/>
                                <w:lang w:eastAsia="zh-CN"/>
                              </w:rPr>
                            </w:pPr>
                          </w:p>
                          <w:p w14:paraId="10D5EE3B">
                            <w:pPr>
                              <w:pStyle w:val="78"/>
                              <w:ind w:left="7"/>
                              <w:rPr>
                                <w:rFonts w:ascii="宋体" w:hAnsi="宋体" w:cs="宋体"/>
                                <w:sz w:val="20"/>
                                <w:szCs w:val="20"/>
                              </w:rPr>
                            </w:pPr>
                            <w:r>
                              <w:rPr>
                                <w:rFonts w:hint="eastAsia" w:ascii="宋体" w:hAnsi="宋体" w:cs="宋体"/>
                                <w:w w:val="99"/>
                                <w:sz w:val="20"/>
                                <w:szCs w:val="20"/>
                              </w:rPr>
                              <w:t>热泵热</w:t>
                            </w:r>
                            <w:r>
                              <w:rPr>
                                <w:rFonts w:hint="eastAsia" w:ascii="宋体" w:hAnsi="宋体" w:cs="宋体"/>
                                <w:spacing w:val="2"/>
                                <w:w w:val="99"/>
                                <w:sz w:val="20"/>
                                <w:szCs w:val="20"/>
                              </w:rPr>
                              <w:t>水</w:t>
                            </w:r>
                            <w:r>
                              <w:rPr>
                                <w:rFonts w:hint="eastAsia" w:ascii="宋体" w:hAnsi="宋体" w:cs="宋体"/>
                                <w:w w:val="99"/>
                                <w:sz w:val="20"/>
                                <w:szCs w:val="20"/>
                              </w:rPr>
                              <w:t>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1C413FF3">
                            <w:pPr>
                              <w:pStyle w:val="78"/>
                              <w:spacing w:before="93" w:line="280" w:lineRule="auto"/>
                              <w:ind w:left="7" w:right="7"/>
                              <w:rPr>
                                <w:rFonts w:ascii="宋体" w:hAnsi="宋体" w:cs="宋体"/>
                                <w:sz w:val="20"/>
                                <w:szCs w:val="20"/>
                                <w:lang w:eastAsia="zh-CN"/>
                              </w:rPr>
                            </w:pPr>
                            <w:r>
                              <w:rPr>
                                <w:rFonts w:hint="eastAsia" w:ascii="宋体" w:hAnsi="宋体" w:cs="宋体"/>
                                <w:w w:val="99"/>
                                <w:sz w:val="20"/>
                                <w:szCs w:val="20"/>
                                <w:lang w:eastAsia="zh-CN"/>
                              </w:rPr>
                              <w:t>《热泵</w:t>
                            </w:r>
                            <w:r>
                              <w:rPr>
                                <w:rFonts w:hint="eastAsia" w:ascii="宋体" w:hAnsi="宋体" w:cs="宋体"/>
                                <w:spacing w:val="2"/>
                                <w:w w:val="99"/>
                                <w:sz w:val="20"/>
                                <w:szCs w:val="20"/>
                                <w:lang w:eastAsia="zh-CN"/>
                              </w:rPr>
                              <w:t>热</w:t>
                            </w:r>
                            <w:r>
                              <w:rPr>
                                <w:rFonts w:hint="eastAsia" w:ascii="宋体" w:hAnsi="宋体" w:cs="宋体"/>
                                <w:w w:val="99"/>
                                <w:sz w:val="20"/>
                                <w:szCs w:val="20"/>
                                <w:lang w:eastAsia="zh-CN"/>
                              </w:rPr>
                              <w:t>水</w:t>
                            </w:r>
                            <w:r>
                              <w:rPr>
                                <w:rFonts w:hint="eastAsia" w:ascii="宋体" w:hAnsi="宋体" w:cs="宋体"/>
                                <w:spacing w:val="-27"/>
                                <w:w w:val="99"/>
                                <w:sz w:val="20"/>
                                <w:szCs w:val="20"/>
                                <w:lang w:eastAsia="zh-CN"/>
                              </w:rPr>
                              <w:t>机</w:t>
                            </w:r>
                            <w:r>
                              <w:rPr>
                                <w:rFonts w:hint="eastAsia" w:ascii="宋体" w:hAnsi="宋体" w:cs="宋体"/>
                                <w:w w:val="99"/>
                                <w:sz w:val="20"/>
                                <w:szCs w:val="20"/>
                                <w:lang w:eastAsia="zh-CN"/>
                              </w:rPr>
                              <w:t>（器</w:t>
                            </w:r>
                            <w:r>
                              <w:rPr>
                                <w:rFonts w:hint="eastAsia" w:ascii="宋体" w:hAnsi="宋体" w:cs="宋体"/>
                                <w:spacing w:val="-27"/>
                                <w:w w:val="99"/>
                                <w:sz w:val="20"/>
                                <w:szCs w:val="20"/>
                                <w:lang w:eastAsia="zh-CN"/>
                              </w:rPr>
                              <w:t>）</w:t>
                            </w:r>
                            <w:r>
                              <w:rPr>
                                <w:rFonts w:hint="eastAsia" w:ascii="宋体" w:hAnsi="宋体" w:cs="宋体"/>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295</w:t>
                            </w:r>
                            <w:r>
                              <w:rPr>
                                <w:rFonts w:hint="eastAsia" w:ascii="宋体" w:hAnsi="宋体" w:cs="宋体"/>
                                <w:w w:val="99"/>
                                <w:sz w:val="20"/>
                                <w:szCs w:val="20"/>
                                <w:lang w:eastAsia="zh-CN"/>
                              </w:rPr>
                              <w:t>4</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4AD6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094D1D9">
                            <w:pPr>
                              <w:widowControl/>
                              <w:jc w:val="left"/>
                              <w:rPr>
                                <w:rFonts w:ascii="Calibri" w:hAnsi="Calibri" w:eastAsia="Times New Roman"/>
                                <w:sz w:val="22"/>
                                <w:szCs w:val="22"/>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4B68ED66">
                            <w:pPr>
                              <w:widowControl/>
                              <w:jc w:val="left"/>
                              <w:rPr>
                                <w:rFonts w:ascii="Calibri" w:hAnsi="Calibri" w:eastAsia="Times New Roman"/>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noWrap w:val="0"/>
                            <w:vAlign w:val="center"/>
                          </w:tcPr>
                          <w:p w14:paraId="2CCCBD22">
                            <w:pPr>
                              <w:widowControl/>
                              <w:jc w:val="left"/>
                              <w:rPr>
                                <w:rFonts w:ascii="宋体" w:hAnsi="宋体" w:eastAsia="Times New Roman" w:cs="宋体"/>
                                <w:kern w:val="0"/>
                                <w:sz w:val="20"/>
                                <w:szCs w:val="20"/>
                              </w:rPr>
                            </w:pPr>
                          </w:p>
                        </w:tc>
                        <w:tc>
                          <w:tcPr>
                            <w:tcW w:w="1770" w:type="dxa"/>
                            <w:tcBorders>
                              <w:top w:val="single" w:color="auto" w:sz="4" w:space="0"/>
                              <w:left w:val="single" w:color="auto" w:sz="4" w:space="0"/>
                              <w:bottom w:val="single" w:color="auto" w:sz="4" w:space="0"/>
                              <w:right w:val="single" w:color="auto" w:sz="4" w:space="0"/>
                            </w:tcBorders>
                            <w:noWrap w:val="0"/>
                            <w:vAlign w:val="top"/>
                          </w:tcPr>
                          <w:p w14:paraId="6781FE47">
                            <w:pPr>
                              <w:pStyle w:val="78"/>
                              <w:spacing w:before="12"/>
                              <w:rPr>
                                <w:rFonts w:ascii="宋体" w:hAnsi="宋体" w:cs="宋体"/>
                                <w:sz w:val="15"/>
                                <w:szCs w:val="15"/>
                                <w:lang w:eastAsia="zh-CN"/>
                              </w:rPr>
                            </w:pPr>
                          </w:p>
                          <w:p w14:paraId="04610EF8">
                            <w:pPr>
                              <w:pStyle w:val="78"/>
                              <w:ind w:left="7"/>
                              <w:rPr>
                                <w:rFonts w:ascii="宋体" w:hAnsi="宋体" w:cs="宋体"/>
                                <w:sz w:val="20"/>
                                <w:szCs w:val="20"/>
                              </w:rPr>
                            </w:pPr>
                            <w:r>
                              <w:rPr>
                                <w:rFonts w:hint="eastAsia" w:ascii="宋体" w:hAnsi="宋体" w:cs="宋体"/>
                                <w:w w:val="99"/>
                                <w:sz w:val="20"/>
                                <w:szCs w:val="20"/>
                              </w:rPr>
                              <w:t>太阳能</w:t>
                            </w:r>
                            <w:r>
                              <w:rPr>
                                <w:rFonts w:hint="eastAsia" w:ascii="宋体" w:hAnsi="宋体" w:cs="宋体"/>
                                <w:spacing w:val="2"/>
                                <w:w w:val="99"/>
                                <w:sz w:val="20"/>
                                <w:szCs w:val="20"/>
                              </w:rPr>
                              <w:t>热</w:t>
                            </w:r>
                            <w:r>
                              <w:rPr>
                                <w:rFonts w:hint="eastAsia" w:ascii="宋体" w:hAnsi="宋体" w:cs="宋体"/>
                                <w:w w:val="99"/>
                                <w:sz w:val="20"/>
                                <w:szCs w:val="20"/>
                              </w:rPr>
                              <w:t>水系统</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7A0E8112">
                            <w:pPr>
                              <w:pStyle w:val="78"/>
                              <w:spacing w:before="52"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《家用太阳能热水系统</w:t>
                            </w:r>
                            <w:r>
                              <w:rPr>
                                <w:rFonts w:hint="eastAsia" w:ascii="宋体" w:hAnsi="宋体" w:cs="宋体"/>
                                <w:spacing w:val="9"/>
                                <w:w w:val="99"/>
                                <w:sz w:val="20"/>
                                <w:szCs w:val="20"/>
                                <w:lang w:eastAsia="zh-CN"/>
                              </w:rPr>
                              <w:t>能</w:t>
                            </w:r>
                            <w:r>
                              <w:rPr>
                                <w:rFonts w:hint="eastAsia" w:ascii="宋体" w:hAnsi="宋体" w:cs="宋体"/>
                                <w:spacing w:val="12"/>
                                <w:w w:val="99"/>
                                <w:sz w:val="20"/>
                                <w:szCs w:val="20"/>
                                <w:lang w:eastAsia="zh-CN"/>
                              </w:rPr>
                              <w:t>效限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26</w:t>
                            </w:r>
                            <w:r>
                              <w:rPr>
                                <w:rFonts w:hint="eastAsia" w:ascii="宋体" w:hAnsi="宋体" w:cs="宋体"/>
                                <w:w w:val="99"/>
                                <w:sz w:val="20"/>
                                <w:szCs w:val="20"/>
                                <w:lang w:eastAsia="zh-CN"/>
                              </w:rPr>
                              <w:t>96</w:t>
                            </w:r>
                            <w:r>
                              <w:rPr>
                                <w:rFonts w:hint="eastAsia" w:ascii="宋体" w:hAnsi="宋体" w:cs="宋体"/>
                                <w:spacing w:val="-2"/>
                                <w:w w:val="99"/>
                                <w:sz w:val="20"/>
                                <w:szCs w:val="20"/>
                                <w:lang w:eastAsia="zh-CN"/>
                              </w:rPr>
                              <w:t>9</w:t>
                            </w:r>
                            <w:r>
                              <w:rPr>
                                <w:rFonts w:hint="eastAsia" w:ascii="宋体" w:hAnsi="宋体" w:cs="宋体"/>
                                <w:w w:val="99"/>
                                <w:sz w:val="20"/>
                                <w:szCs w:val="20"/>
                                <w:lang w:eastAsia="zh-CN"/>
                              </w:rPr>
                              <w:t>）</w:t>
                            </w:r>
                          </w:p>
                        </w:tc>
                      </w:tr>
                      <w:tr w14:paraId="4977D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2"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332963AB">
                            <w:pPr>
                              <w:pStyle w:val="78"/>
                              <w:rPr>
                                <w:rFonts w:ascii="宋体" w:hAnsi="宋体" w:cs="宋体"/>
                                <w:sz w:val="20"/>
                                <w:szCs w:val="20"/>
                                <w:lang w:eastAsia="zh-CN"/>
                              </w:rPr>
                            </w:pPr>
                          </w:p>
                          <w:p w14:paraId="12885CE7">
                            <w:pPr>
                              <w:pStyle w:val="78"/>
                              <w:rPr>
                                <w:rFonts w:ascii="宋体" w:hAnsi="宋体" w:cs="宋体"/>
                                <w:sz w:val="20"/>
                                <w:szCs w:val="20"/>
                                <w:lang w:eastAsia="zh-CN"/>
                              </w:rPr>
                            </w:pPr>
                          </w:p>
                          <w:p w14:paraId="306637CC">
                            <w:pPr>
                              <w:pStyle w:val="78"/>
                              <w:rPr>
                                <w:rFonts w:ascii="宋体" w:hAnsi="宋体" w:cs="宋体"/>
                                <w:sz w:val="20"/>
                                <w:szCs w:val="20"/>
                                <w:lang w:eastAsia="zh-CN"/>
                              </w:rPr>
                            </w:pPr>
                          </w:p>
                          <w:p w14:paraId="76B75CB9">
                            <w:pPr>
                              <w:pStyle w:val="78"/>
                              <w:rPr>
                                <w:rFonts w:ascii="宋体" w:hAnsi="宋体" w:cs="宋体"/>
                                <w:sz w:val="20"/>
                                <w:szCs w:val="20"/>
                                <w:lang w:eastAsia="zh-CN"/>
                              </w:rPr>
                            </w:pPr>
                          </w:p>
                          <w:p w14:paraId="0159FCA9">
                            <w:pPr>
                              <w:pStyle w:val="78"/>
                              <w:rPr>
                                <w:rFonts w:ascii="宋体" w:hAnsi="宋体" w:cs="宋体"/>
                                <w:sz w:val="20"/>
                                <w:szCs w:val="20"/>
                                <w:lang w:eastAsia="zh-CN"/>
                              </w:rPr>
                            </w:pPr>
                          </w:p>
                          <w:p w14:paraId="72C9FB6B">
                            <w:pPr>
                              <w:pStyle w:val="78"/>
                              <w:spacing w:before="12"/>
                              <w:rPr>
                                <w:rFonts w:ascii="宋体" w:hAnsi="宋体" w:cs="宋体"/>
                                <w:sz w:val="23"/>
                                <w:szCs w:val="23"/>
                                <w:lang w:eastAsia="zh-CN"/>
                              </w:rPr>
                            </w:pPr>
                          </w:p>
                          <w:p w14:paraId="00AFB685">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1</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5C98430C">
                            <w:pPr>
                              <w:pStyle w:val="78"/>
                              <w:rPr>
                                <w:rFonts w:ascii="宋体" w:hAnsi="宋体" w:cs="宋体"/>
                                <w:sz w:val="20"/>
                                <w:szCs w:val="20"/>
                              </w:rPr>
                            </w:pPr>
                          </w:p>
                          <w:p w14:paraId="68678529">
                            <w:pPr>
                              <w:pStyle w:val="78"/>
                              <w:rPr>
                                <w:rFonts w:ascii="宋体" w:hAnsi="宋体" w:cs="宋体"/>
                                <w:sz w:val="20"/>
                                <w:szCs w:val="20"/>
                              </w:rPr>
                            </w:pPr>
                          </w:p>
                          <w:p w14:paraId="62160D86">
                            <w:pPr>
                              <w:pStyle w:val="78"/>
                              <w:rPr>
                                <w:rFonts w:ascii="宋体" w:hAnsi="宋体" w:cs="宋体"/>
                                <w:sz w:val="20"/>
                                <w:szCs w:val="20"/>
                              </w:rPr>
                            </w:pPr>
                          </w:p>
                          <w:p w14:paraId="4FB8F9E5">
                            <w:pPr>
                              <w:pStyle w:val="78"/>
                              <w:rPr>
                                <w:rFonts w:ascii="宋体" w:hAnsi="宋体" w:cs="宋体"/>
                                <w:sz w:val="20"/>
                                <w:szCs w:val="20"/>
                              </w:rPr>
                            </w:pPr>
                          </w:p>
                          <w:p w14:paraId="75977D16">
                            <w:pPr>
                              <w:pStyle w:val="78"/>
                              <w:rPr>
                                <w:rFonts w:ascii="宋体" w:hAnsi="宋体" w:cs="宋体"/>
                                <w:sz w:val="20"/>
                                <w:szCs w:val="20"/>
                              </w:rPr>
                            </w:pPr>
                          </w:p>
                          <w:p w14:paraId="7C006138">
                            <w:pPr>
                              <w:pStyle w:val="78"/>
                              <w:spacing w:before="157"/>
                              <w:ind w:left="7"/>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06</w:t>
                            </w:r>
                            <w:r>
                              <w:rPr>
                                <w:rFonts w:hint="eastAsia" w:ascii="宋体" w:hAnsi="宋体" w:cs="宋体"/>
                                <w:spacing w:val="1"/>
                                <w:w w:val="99"/>
                                <w:sz w:val="20"/>
                                <w:szCs w:val="20"/>
                              </w:rPr>
                              <w:t>1</w:t>
                            </w:r>
                            <w:r>
                              <w:rPr>
                                <w:rFonts w:hint="eastAsia" w:ascii="宋体" w:hAnsi="宋体" w:cs="宋体"/>
                                <w:w w:val="99"/>
                                <w:sz w:val="20"/>
                                <w:szCs w:val="20"/>
                              </w:rPr>
                              <w:t>9照明</w:t>
                            </w:r>
                          </w:p>
                          <w:p w14:paraId="11EDEB7A">
                            <w:pPr>
                              <w:pStyle w:val="78"/>
                              <w:spacing w:before="50"/>
                              <w:ind w:left="7"/>
                              <w:rPr>
                                <w:rFonts w:ascii="宋体" w:hAnsi="宋体" w:cs="宋体"/>
                                <w:sz w:val="20"/>
                                <w:szCs w:val="20"/>
                              </w:rPr>
                            </w:pPr>
                            <w:r>
                              <w:rPr>
                                <w:rFonts w:hint="eastAsia" w:ascii="宋体" w:hAnsi="宋体" w:cs="宋体"/>
                                <w:w w:val="99"/>
                                <w:sz w:val="20"/>
                                <w:szCs w:val="20"/>
                              </w:rPr>
                              <w:t>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144AD4DC">
                            <w:pPr>
                              <w:pStyle w:val="78"/>
                              <w:spacing w:before="133" w:line="280" w:lineRule="auto"/>
                              <w:ind w:left="7" w:right="7"/>
                              <w:rPr>
                                <w:rFonts w:ascii="宋体" w:hAnsi="宋体" w:cs="宋体"/>
                                <w:sz w:val="20"/>
                                <w:szCs w:val="20"/>
                                <w:lang w:eastAsia="zh-CN"/>
                              </w:rPr>
                            </w:pPr>
                            <w:r>
                              <w:rPr>
                                <w:rFonts w:hint="eastAsia" w:ascii="宋体" w:hAnsi="宋体" w:cs="宋体"/>
                                <w:w w:val="99"/>
                                <w:sz w:val="20"/>
                                <w:szCs w:val="20"/>
                                <w:lang w:eastAsia="zh-CN"/>
                              </w:rPr>
                              <w:t>★</w:t>
                            </w:r>
                            <w:r>
                              <w:rPr>
                                <w:rFonts w:hint="eastAsia" w:ascii="宋体" w:hAnsi="宋体" w:cs="宋体"/>
                                <w:spacing w:val="24"/>
                                <w:w w:val="99"/>
                                <w:sz w:val="20"/>
                                <w:szCs w:val="20"/>
                                <w:lang w:eastAsia="zh-CN"/>
                              </w:rPr>
                              <w:t>普</w:t>
                            </w:r>
                            <w:r>
                              <w:rPr>
                                <w:rFonts w:hint="eastAsia" w:ascii="宋体" w:hAnsi="宋体" w:cs="宋体"/>
                                <w:w w:val="99"/>
                                <w:sz w:val="20"/>
                                <w:szCs w:val="20"/>
                                <w:lang w:eastAsia="zh-CN"/>
                              </w:rPr>
                              <w:t>通照明用</w:t>
                            </w:r>
                            <w:r>
                              <w:rPr>
                                <w:rFonts w:hint="eastAsia" w:ascii="宋体" w:hAnsi="宋体" w:cs="宋体"/>
                                <w:spacing w:val="24"/>
                                <w:w w:val="99"/>
                                <w:sz w:val="20"/>
                                <w:szCs w:val="20"/>
                                <w:lang w:eastAsia="zh-CN"/>
                              </w:rPr>
                              <w:t>双</w:t>
                            </w:r>
                            <w:r>
                              <w:rPr>
                                <w:rFonts w:hint="eastAsia" w:ascii="宋体" w:hAnsi="宋体" w:cs="宋体"/>
                                <w:w w:val="99"/>
                                <w:sz w:val="20"/>
                                <w:szCs w:val="20"/>
                                <w:lang w:eastAsia="zh-CN"/>
                              </w:rPr>
                              <w:t>端荧光灯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3CDC4414">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78C78829">
                            <w:pPr>
                              <w:pStyle w:val="78"/>
                              <w:spacing w:before="133"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《普通照明用双端荧光</w:t>
                            </w:r>
                            <w:r>
                              <w:rPr>
                                <w:rFonts w:hint="eastAsia" w:ascii="宋体" w:hAnsi="宋体" w:cs="宋体"/>
                                <w:spacing w:val="9"/>
                                <w:w w:val="99"/>
                                <w:sz w:val="20"/>
                                <w:szCs w:val="20"/>
                                <w:lang w:eastAsia="zh-CN"/>
                              </w:rPr>
                              <w:t>灯</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19</w:t>
                            </w:r>
                            <w:r>
                              <w:rPr>
                                <w:rFonts w:hint="eastAsia" w:ascii="宋体" w:hAnsi="宋体" w:cs="宋体"/>
                                <w:w w:val="99"/>
                                <w:sz w:val="20"/>
                                <w:szCs w:val="20"/>
                                <w:lang w:eastAsia="zh-CN"/>
                              </w:rPr>
                              <w:t>04</w:t>
                            </w:r>
                            <w:r>
                              <w:rPr>
                                <w:rFonts w:hint="eastAsia" w:ascii="宋体" w:hAnsi="宋体" w:cs="宋体"/>
                                <w:spacing w:val="1"/>
                                <w:w w:val="99"/>
                                <w:sz w:val="20"/>
                                <w:szCs w:val="20"/>
                                <w:lang w:eastAsia="zh-CN"/>
                              </w:rPr>
                              <w:t>3</w:t>
                            </w:r>
                            <w:r>
                              <w:rPr>
                                <w:rFonts w:hint="eastAsia" w:ascii="宋体" w:hAnsi="宋体" w:cs="宋体"/>
                                <w:w w:val="99"/>
                                <w:sz w:val="20"/>
                                <w:szCs w:val="20"/>
                                <w:lang w:eastAsia="zh-CN"/>
                              </w:rPr>
                              <w:t>）</w:t>
                            </w:r>
                          </w:p>
                        </w:tc>
                      </w:tr>
                      <w:tr w14:paraId="2B32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1"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661CCB4D">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6F9C5E6">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675329F">
                            <w:pPr>
                              <w:pStyle w:val="78"/>
                              <w:spacing w:before="92" w:line="280" w:lineRule="auto"/>
                              <w:ind w:left="7" w:right="2"/>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w:t>
                            </w:r>
                            <w:r>
                              <w:rPr>
                                <w:rFonts w:hint="eastAsia" w:ascii="宋体" w:hAnsi="宋体" w:cs="宋体"/>
                                <w:spacing w:val="12"/>
                                <w:w w:val="99"/>
                                <w:sz w:val="20"/>
                                <w:szCs w:val="20"/>
                              </w:rPr>
                              <w:t>道</w:t>
                            </w:r>
                            <w:r>
                              <w:rPr>
                                <w:rFonts w:hint="eastAsia" w:ascii="宋体" w:hAnsi="宋体" w:cs="宋体"/>
                                <w:spacing w:val="9"/>
                                <w:w w:val="99"/>
                                <w:sz w:val="20"/>
                                <w:szCs w:val="20"/>
                              </w:rPr>
                              <w:t>路</w:t>
                            </w:r>
                            <w:r>
                              <w:rPr>
                                <w:rFonts w:hint="eastAsia" w:ascii="宋体" w:hAnsi="宋体" w:cs="宋体"/>
                                <w:spacing w:val="13"/>
                                <w:w w:val="99"/>
                                <w:sz w:val="20"/>
                                <w:szCs w:val="20"/>
                              </w:rPr>
                              <w:t>/</w:t>
                            </w:r>
                            <w:r>
                              <w:rPr>
                                <w:rFonts w:hint="eastAsia" w:ascii="宋体" w:hAnsi="宋体" w:cs="宋体"/>
                                <w:spacing w:val="12"/>
                                <w:w w:val="99"/>
                                <w:sz w:val="20"/>
                                <w:szCs w:val="20"/>
                              </w:rPr>
                              <w:t>隧道照</w:t>
                            </w:r>
                            <w:r>
                              <w:rPr>
                                <w:rFonts w:hint="eastAsia" w:ascii="宋体" w:hAnsi="宋体" w:cs="宋体"/>
                                <w:w w:val="99"/>
                                <w:sz w:val="20"/>
                                <w:szCs w:val="20"/>
                              </w:rPr>
                              <w:t>明产品</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98F5FF8">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F752EA7">
                            <w:pPr>
                              <w:pStyle w:val="78"/>
                              <w:spacing w:before="92"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道</w:t>
                            </w:r>
                            <w:r>
                              <w:rPr>
                                <w:rFonts w:hint="eastAsia" w:ascii="宋体" w:hAnsi="宋体" w:cs="宋体"/>
                                <w:spacing w:val="4"/>
                                <w:w w:val="99"/>
                                <w:sz w:val="20"/>
                                <w:szCs w:val="20"/>
                                <w:lang w:eastAsia="zh-CN"/>
                              </w:rPr>
                              <w:t>路和隧道照</w:t>
                            </w:r>
                            <w:r>
                              <w:rPr>
                                <w:rFonts w:hint="eastAsia" w:ascii="宋体" w:hAnsi="宋体" w:cs="宋体"/>
                                <w:spacing w:val="2"/>
                                <w:w w:val="99"/>
                                <w:sz w:val="20"/>
                                <w:szCs w:val="20"/>
                                <w:lang w:eastAsia="zh-CN"/>
                              </w:rPr>
                              <w:t>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灯</w:t>
                            </w:r>
                            <w:r>
                              <w:rPr>
                                <w:rFonts w:hint="eastAsia" w:ascii="宋体" w:hAnsi="宋体" w:cs="宋体"/>
                                <w:spacing w:val="2"/>
                                <w:w w:val="99"/>
                                <w:sz w:val="20"/>
                                <w:szCs w:val="20"/>
                                <w:lang w:eastAsia="zh-CN"/>
                              </w:rPr>
                              <w:t>具</w:t>
                            </w:r>
                            <w:r>
                              <w:rPr>
                                <w:rFonts w:hint="eastAsia" w:ascii="宋体" w:hAnsi="宋体" w:cs="宋体"/>
                                <w:w w:val="99"/>
                                <w:sz w:val="20"/>
                                <w:szCs w:val="20"/>
                                <w:lang w:eastAsia="zh-CN"/>
                              </w:rPr>
                              <w:t>能效限定</w:t>
                            </w:r>
                            <w:r>
                              <w:rPr>
                                <w:rFonts w:hint="eastAsia" w:ascii="宋体" w:hAnsi="宋体" w:cs="宋体"/>
                                <w:spacing w:val="2"/>
                                <w:w w:val="99"/>
                                <w:sz w:val="20"/>
                                <w:szCs w:val="20"/>
                                <w:lang w:eastAsia="zh-CN"/>
                              </w:rPr>
                              <w:t>值</w:t>
                            </w:r>
                            <w:r>
                              <w:rPr>
                                <w:rFonts w:hint="eastAsia" w:ascii="宋体" w:hAnsi="宋体" w:cs="宋体"/>
                                <w:w w:val="99"/>
                                <w:sz w:val="20"/>
                                <w:szCs w:val="20"/>
                                <w:lang w:eastAsia="zh-CN"/>
                              </w:rPr>
                              <w:t>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106"/>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3747</w:t>
                            </w:r>
                            <w:r>
                              <w:rPr>
                                <w:rFonts w:hint="eastAsia" w:ascii="宋体" w:hAnsi="宋体" w:cs="宋体"/>
                                <w:w w:val="99"/>
                                <w:sz w:val="20"/>
                                <w:szCs w:val="20"/>
                                <w:lang w:eastAsia="zh-CN"/>
                              </w:rPr>
                              <w:t>8</w:t>
                            </w:r>
                          </w:p>
                        </w:tc>
                      </w:tr>
                      <w:tr w14:paraId="1B15F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4"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53CDF627">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17F1665F">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5124D37">
                            <w:pPr>
                              <w:pStyle w:val="78"/>
                              <w:spacing w:before="4"/>
                              <w:rPr>
                                <w:rFonts w:ascii="宋体" w:hAnsi="宋体" w:cs="宋体"/>
                                <w:sz w:val="18"/>
                                <w:szCs w:val="18"/>
                                <w:lang w:eastAsia="zh-CN"/>
                              </w:rPr>
                            </w:pPr>
                          </w:p>
                          <w:p w14:paraId="68BA71C2">
                            <w:pPr>
                              <w:pStyle w:val="78"/>
                              <w:ind w:left="7"/>
                              <w:rPr>
                                <w:rFonts w:ascii="宋体" w:hAnsi="宋体" w:cs="宋体"/>
                                <w:sz w:val="20"/>
                                <w:szCs w:val="20"/>
                              </w:rPr>
                            </w:pPr>
                            <w:r>
                              <w:rPr>
                                <w:rFonts w:hint="eastAsia" w:ascii="宋体" w:hAnsi="宋体" w:cs="宋体"/>
                                <w:spacing w:val="1"/>
                                <w:w w:val="99"/>
                                <w:sz w:val="20"/>
                                <w:szCs w:val="20"/>
                              </w:rPr>
                              <w:t>LE</w:t>
                            </w:r>
                            <w:r>
                              <w:rPr>
                                <w:rFonts w:hint="eastAsia" w:ascii="宋体" w:hAnsi="宋体" w:cs="宋体"/>
                                <w:w w:val="99"/>
                                <w:sz w:val="20"/>
                                <w:szCs w:val="20"/>
                              </w:rPr>
                              <w:t>D筒灯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9C964C7">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116B78EE">
                            <w:pPr>
                              <w:pStyle w:val="78"/>
                              <w:spacing w:before="83"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74B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01F936E9">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0CBDD613">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46085443">
                            <w:pPr>
                              <w:pStyle w:val="78"/>
                              <w:spacing w:before="5"/>
                              <w:rPr>
                                <w:rFonts w:ascii="宋体" w:hAnsi="宋体" w:cs="宋体"/>
                                <w:sz w:val="15"/>
                                <w:szCs w:val="15"/>
                                <w:lang w:eastAsia="zh-CN"/>
                              </w:rPr>
                            </w:pPr>
                          </w:p>
                          <w:p w14:paraId="0CE7F6B8">
                            <w:pPr>
                              <w:pStyle w:val="78"/>
                              <w:spacing w:line="280" w:lineRule="auto"/>
                              <w:ind w:left="7" w:right="7"/>
                              <w:rPr>
                                <w:rFonts w:ascii="宋体" w:hAnsi="宋体" w:cs="宋体"/>
                                <w:sz w:val="20"/>
                                <w:szCs w:val="20"/>
                                <w:lang w:eastAsia="zh-CN"/>
                              </w:rPr>
                            </w:pPr>
                            <w:r>
                              <w:rPr>
                                <w:rFonts w:hint="eastAsia" w:ascii="宋体" w:hAnsi="宋体" w:cs="宋体"/>
                                <w:w w:val="99"/>
                                <w:sz w:val="20"/>
                                <w:szCs w:val="20"/>
                                <w:lang w:eastAsia="zh-CN"/>
                              </w:rPr>
                              <w:t>普</w:t>
                            </w:r>
                            <w:r>
                              <w:rPr>
                                <w:rFonts w:hint="eastAsia" w:ascii="宋体" w:hAnsi="宋体" w:cs="宋体"/>
                                <w:spacing w:val="24"/>
                                <w:w w:val="99"/>
                                <w:sz w:val="20"/>
                                <w:szCs w:val="20"/>
                                <w:lang w:eastAsia="zh-CN"/>
                              </w:rPr>
                              <w:t>通</w:t>
                            </w:r>
                            <w:r>
                              <w:rPr>
                                <w:rFonts w:hint="eastAsia" w:ascii="宋体" w:hAnsi="宋体" w:cs="宋体"/>
                                <w:w w:val="99"/>
                                <w:sz w:val="20"/>
                                <w:szCs w:val="20"/>
                                <w:lang w:eastAsia="zh-CN"/>
                              </w:rPr>
                              <w:t>照明用非</w:t>
                            </w:r>
                            <w:r>
                              <w:rPr>
                                <w:rFonts w:hint="eastAsia" w:ascii="宋体" w:hAnsi="宋体" w:cs="宋体"/>
                                <w:spacing w:val="24"/>
                                <w:w w:val="99"/>
                                <w:sz w:val="20"/>
                                <w:szCs w:val="20"/>
                                <w:lang w:eastAsia="zh-CN"/>
                              </w:rPr>
                              <w:t>定</w:t>
                            </w:r>
                            <w:r>
                              <w:rPr>
                                <w:rFonts w:hint="eastAsia" w:ascii="宋体" w:hAnsi="宋体" w:cs="宋体"/>
                                <w:w w:val="99"/>
                                <w:sz w:val="20"/>
                                <w:szCs w:val="20"/>
                                <w:lang w:eastAsia="zh-CN"/>
                              </w:rPr>
                              <w:t>向自镇流</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D灯</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0891A17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5F6DA2D8">
                            <w:pPr>
                              <w:pStyle w:val="78"/>
                              <w:spacing w:before="5"/>
                              <w:rPr>
                                <w:rFonts w:ascii="宋体" w:hAnsi="宋体" w:cs="宋体"/>
                                <w:sz w:val="15"/>
                                <w:szCs w:val="15"/>
                                <w:lang w:eastAsia="zh-CN"/>
                              </w:rPr>
                            </w:pPr>
                          </w:p>
                          <w:p w14:paraId="7DF41E6D">
                            <w:pPr>
                              <w:pStyle w:val="78"/>
                              <w:spacing w:line="280" w:lineRule="auto"/>
                              <w:ind w:left="7" w:right="7"/>
                              <w:rPr>
                                <w:rFonts w:ascii="宋体" w:hAnsi="宋体" w:cs="宋体"/>
                                <w:sz w:val="20"/>
                                <w:szCs w:val="20"/>
                                <w:lang w:eastAsia="zh-CN"/>
                              </w:rPr>
                            </w:pPr>
                            <w:r>
                              <w:rPr>
                                <w:rFonts w:hint="eastAsia" w:ascii="宋体" w:hAnsi="宋体" w:cs="宋体"/>
                                <w:spacing w:val="4"/>
                                <w:w w:val="99"/>
                                <w:sz w:val="20"/>
                                <w:szCs w:val="20"/>
                                <w:lang w:eastAsia="zh-CN"/>
                              </w:rPr>
                              <w:t>《</w:t>
                            </w:r>
                            <w:r>
                              <w:rPr>
                                <w:rFonts w:hint="eastAsia" w:ascii="宋体" w:hAnsi="宋体" w:cs="宋体"/>
                                <w:spacing w:val="2"/>
                                <w:w w:val="99"/>
                                <w:sz w:val="20"/>
                                <w:szCs w:val="20"/>
                                <w:lang w:eastAsia="zh-CN"/>
                              </w:rPr>
                              <w:t>室</w:t>
                            </w:r>
                            <w:r>
                              <w:rPr>
                                <w:rFonts w:hint="eastAsia" w:ascii="宋体" w:hAnsi="宋体" w:cs="宋体"/>
                                <w:spacing w:val="4"/>
                                <w:w w:val="99"/>
                                <w:sz w:val="20"/>
                                <w:szCs w:val="20"/>
                                <w:lang w:eastAsia="zh-CN"/>
                              </w:rPr>
                              <w:t>内照明</w:t>
                            </w:r>
                            <w:r>
                              <w:rPr>
                                <w:rFonts w:hint="eastAsia" w:ascii="宋体" w:hAnsi="宋体" w:cs="宋体"/>
                                <w:w w:val="99"/>
                                <w:sz w:val="20"/>
                                <w:szCs w:val="20"/>
                                <w:lang w:eastAsia="zh-CN"/>
                              </w:rPr>
                              <w:t>用</w:t>
                            </w:r>
                            <w:r>
                              <w:rPr>
                                <w:rFonts w:hint="eastAsia" w:ascii="宋体" w:hAnsi="宋体" w:cs="宋体"/>
                                <w:spacing w:val="1"/>
                                <w:w w:val="99"/>
                                <w:sz w:val="20"/>
                                <w:szCs w:val="20"/>
                                <w:lang w:eastAsia="zh-CN"/>
                              </w:rPr>
                              <w:t>LE</w:t>
                            </w:r>
                            <w:r>
                              <w:rPr>
                                <w:rFonts w:hint="eastAsia" w:ascii="宋体" w:hAnsi="宋体" w:cs="宋体"/>
                                <w:w w:val="99"/>
                                <w:sz w:val="20"/>
                                <w:szCs w:val="20"/>
                                <w:lang w:eastAsia="zh-CN"/>
                              </w:rPr>
                              <w:t>D</w:t>
                            </w:r>
                            <w:r>
                              <w:rPr>
                                <w:rFonts w:hint="eastAsia" w:ascii="宋体" w:hAnsi="宋体" w:cs="宋体"/>
                                <w:spacing w:val="4"/>
                                <w:w w:val="99"/>
                                <w:sz w:val="20"/>
                                <w:szCs w:val="20"/>
                                <w:lang w:eastAsia="zh-CN"/>
                              </w:rPr>
                              <w:t>产</w:t>
                            </w:r>
                            <w:r>
                              <w:rPr>
                                <w:rFonts w:hint="eastAsia" w:ascii="宋体" w:hAnsi="宋体" w:cs="宋体"/>
                                <w:spacing w:val="2"/>
                                <w:w w:val="99"/>
                                <w:sz w:val="20"/>
                                <w:szCs w:val="20"/>
                                <w:lang w:eastAsia="zh-CN"/>
                              </w:rPr>
                              <w:t>品</w:t>
                            </w:r>
                            <w:r>
                              <w:rPr>
                                <w:rFonts w:hint="eastAsia" w:ascii="宋体" w:hAnsi="宋体" w:cs="宋体"/>
                                <w:spacing w:val="4"/>
                                <w:w w:val="99"/>
                                <w:sz w:val="20"/>
                                <w:szCs w:val="20"/>
                                <w:lang w:eastAsia="zh-CN"/>
                              </w:rPr>
                              <w:t>能效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定值及能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25</w:t>
                            </w:r>
                            <w:r>
                              <w:rPr>
                                <w:rFonts w:hint="eastAsia" w:ascii="宋体" w:hAnsi="宋体" w:cs="宋体"/>
                                <w:spacing w:val="-2"/>
                                <w:w w:val="99"/>
                                <w:sz w:val="20"/>
                                <w:szCs w:val="20"/>
                                <w:lang w:eastAsia="zh-CN"/>
                              </w:rPr>
                              <w:t>5</w:t>
                            </w:r>
                            <w:r>
                              <w:rPr>
                                <w:rFonts w:hint="eastAsia" w:ascii="宋体" w:hAnsi="宋体" w:cs="宋体"/>
                                <w:w w:val="99"/>
                                <w:sz w:val="20"/>
                                <w:szCs w:val="20"/>
                                <w:lang w:eastAsia="zh-CN"/>
                              </w:rPr>
                              <w:t>）</w:t>
                            </w:r>
                          </w:p>
                        </w:tc>
                      </w:tr>
                      <w:tr w14:paraId="77A32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6BCA4A15">
                            <w:pPr>
                              <w:pStyle w:val="78"/>
                              <w:spacing w:before="1"/>
                              <w:rPr>
                                <w:rFonts w:ascii="宋体" w:hAnsi="宋体" w:cs="宋体"/>
                                <w:sz w:val="18"/>
                                <w:szCs w:val="18"/>
                                <w:lang w:eastAsia="zh-CN"/>
                              </w:rPr>
                            </w:pPr>
                          </w:p>
                          <w:p w14:paraId="37602609">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2</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6D2501EA">
                            <w:pPr>
                              <w:pStyle w:val="78"/>
                              <w:spacing w:before="81"/>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910电</w:t>
                            </w:r>
                          </w:p>
                          <w:p w14:paraId="5EFF70B2">
                            <w:pPr>
                              <w:pStyle w:val="78"/>
                              <w:spacing w:before="50"/>
                              <w:ind w:left="7"/>
                              <w:rPr>
                                <w:rFonts w:ascii="宋体" w:hAnsi="宋体" w:cs="宋体"/>
                                <w:sz w:val="20"/>
                                <w:szCs w:val="20"/>
                              </w:rPr>
                            </w:pPr>
                            <w:r>
                              <w:rPr>
                                <w:rFonts w:hint="eastAsia" w:ascii="宋体" w:hAnsi="宋体" w:cs="宋体"/>
                                <w:w w:val="99"/>
                                <w:sz w:val="20"/>
                                <w:szCs w:val="20"/>
                              </w:rPr>
                              <w:t>视设备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6FDA1ECB">
                            <w:pPr>
                              <w:pStyle w:val="78"/>
                              <w:spacing w:before="81" w:line="280" w:lineRule="auto"/>
                              <w:ind w:left="7" w:right="5"/>
                              <w:rPr>
                                <w:rFonts w:ascii="宋体" w:hAnsi="宋体" w:cs="宋体"/>
                                <w:sz w:val="20"/>
                                <w:szCs w:val="20"/>
                                <w:lang w:eastAsia="zh-CN"/>
                              </w:rPr>
                            </w:pPr>
                            <w:r>
                              <w:rPr>
                                <w:rFonts w:hint="eastAsia" w:ascii="宋体" w:hAnsi="宋体" w:cs="宋体"/>
                                <w:spacing w:val="1"/>
                                <w:w w:val="99"/>
                                <w:sz w:val="20"/>
                                <w:szCs w:val="20"/>
                                <w:lang w:eastAsia="zh-CN"/>
                              </w:rPr>
                              <w:t>A02</w:t>
                            </w:r>
                            <w:r>
                              <w:rPr>
                                <w:rFonts w:hint="eastAsia" w:ascii="宋体" w:hAnsi="宋体" w:cs="宋体"/>
                                <w:w w:val="99"/>
                                <w:sz w:val="20"/>
                                <w:szCs w:val="20"/>
                                <w:lang w:eastAsia="zh-CN"/>
                              </w:rPr>
                              <w:t>09</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001普通电视设备（</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视机）</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2E7BAC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5DE16B5">
                            <w:pPr>
                              <w:pStyle w:val="78"/>
                              <w:spacing w:before="81"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《平板电视能效限定值</w:t>
                            </w:r>
                            <w:r>
                              <w:rPr>
                                <w:rFonts w:hint="eastAsia" w:ascii="宋体" w:hAnsi="宋体" w:cs="宋体"/>
                                <w:spacing w:val="9"/>
                                <w:w w:val="99"/>
                                <w:sz w:val="20"/>
                                <w:szCs w:val="20"/>
                                <w:lang w:eastAsia="zh-CN"/>
                              </w:rPr>
                              <w:t>及</w:t>
                            </w:r>
                            <w:r>
                              <w:rPr>
                                <w:rFonts w:hint="eastAsia" w:ascii="宋体" w:hAnsi="宋体" w:cs="宋体"/>
                                <w:spacing w:val="12"/>
                                <w:w w:val="99"/>
                                <w:sz w:val="20"/>
                                <w:szCs w:val="20"/>
                                <w:lang w:eastAsia="zh-CN"/>
                              </w:rPr>
                              <w:t>能效</w:t>
                            </w:r>
                            <w:r>
                              <w:rPr>
                                <w:rFonts w:hint="eastAsia" w:ascii="宋体" w:hAnsi="宋体" w:cs="宋体"/>
                                <w:w w:val="99"/>
                                <w:sz w:val="20"/>
                                <w:szCs w:val="20"/>
                                <w:lang w:eastAsia="zh-CN"/>
                              </w:rPr>
                              <w:t>等级》（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w:t>
                            </w:r>
                            <w:r>
                              <w:rPr>
                                <w:rFonts w:hint="eastAsia" w:ascii="宋体" w:hAnsi="宋体" w:cs="宋体"/>
                                <w:w w:val="99"/>
                                <w:sz w:val="20"/>
                                <w:szCs w:val="20"/>
                                <w:lang w:eastAsia="zh-CN"/>
                              </w:rPr>
                              <w:t>50）</w:t>
                            </w:r>
                          </w:p>
                        </w:tc>
                      </w:tr>
                      <w:tr w14:paraId="3E43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2"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3C03A142">
                            <w:pPr>
                              <w:pStyle w:val="78"/>
                              <w:rPr>
                                <w:rFonts w:ascii="宋体" w:hAnsi="宋体" w:cs="宋体"/>
                                <w:sz w:val="20"/>
                                <w:szCs w:val="20"/>
                                <w:lang w:eastAsia="zh-CN"/>
                              </w:rPr>
                            </w:pPr>
                          </w:p>
                          <w:p w14:paraId="77DE165C">
                            <w:pPr>
                              <w:pStyle w:val="78"/>
                              <w:rPr>
                                <w:rFonts w:ascii="宋体" w:hAnsi="宋体" w:cs="宋体"/>
                                <w:sz w:val="20"/>
                                <w:szCs w:val="20"/>
                                <w:lang w:eastAsia="zh-CN"/>
                              </w:rPr>
                            </w:pPr>
                          </w:p>
                          <w:p w14:paraId="7C045FC6">
                            <w:pPr>
                              <w:pStyle w:val="78"/>
                              <w:spacing w:before="10"/>
                              <w:rPr>
                                <w:rFonts w:ascii="宋体" w:hAnsi="宋体" w:cs="宋体"/>
                                <w:sz w:val="21"/>
                                <w:szCs w:val="21"/>
                                <w:lang w:eastAsia="zh-CN"/>
                              </w:rPr>
                            </w:pPr>
                          </w:p>
                          <w:p w14:paraId="189324CB">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3</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2695315E">
                            <w:pPr>
                              <w:pStyle w:val="78"/>
                              <w:rPr>
                                <w:rFonts w:ascii="宋体" w:hAnsi="宋体" w:cs="宋体"/>
                                <w:sz w:val="20"/>
                                <w:szCs w:val="20"/>
                              </w:rPr>
                            </w:pPr>
                          </w:p>
                          <w:p w14:paraId="5A1C0AA5">
                            <w:pPr>
                              <w:pStyle w:val="78"/>
                              <w:spacing w:before="11"/>
                              <w:rPr>
                                <w:rFonts w:ascii="宋体" w:hAnsi="宋体" w:cs="宋体"/>
                                <w:sz w:val="29"/>
                                <w:szCs w:val="29"/>
                              </w:rPr>
                            </w:pPr>
                          </w:p>
                          <w:p w14:paraId="6692BE81">
                            <w:pPr>
                              <w:pStyle w:val="78"/>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A020</w:t>
                            </w:r>
                            <w:r>
                              <w:rPr>
                                <w:rFonts w:hint="eastAsia" w:ascii="宋体" w:hAnsi="宋体" w:cs="宋体"/>
                                <w:w w:val="99"/>
                                <w:sz w:val="20"/>
                                <w:szCs w:val="20"/>
                              </w:rPr>
                              <w:t>911视</w:t>
                            </w:r>
                          </w:p>
                          <w:p w14:paraId="146865FD">
                            <w:pPr>
                              <w:pStyle w:val="78"/>
                              <w:spacing w:before="50"/>
                              <w:ind w:left="7"/>
                              <w:rPr>
                                <w:rFonts w:ascii="宋体" w:hAnsi="宋体" w:cs="宋体"/>
                                <w:sz w:val="20"/>
                                <w:szCs w:val="20"/>
                              </w:rPr>
                            </w:pPr>
                            <w:r>
                              <w:rPr>
                                <w:rFonts w:hint="eastAsia" w:ascii="宋体" w:hAnsi="宋体" w:cs="宋体"/>
                                <w:w w:val="99"/>
                                <w:sz w:val="20"/>
                                <w:szCs w:val="20"/>
                              </w:rPr>
                              <w:t>频设备</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DFBCD16">
                            <w:pPr>
                              <w:pStyle w:val="78"/>
                              <w:rPr>
                                <w:rFonts w:ascii="宋体" w:hAnsi="宋体" w:cs="宋体"/>
                                <w:sz w:val="20"/>
                                <w:szCs w:val="20"/>
                              </w:rPr>
                            </w:pPr>
                          </w:p>
                          <w:p w14:paraId="710A7F86">
                            <w:pPr>
                              <w:pStyle w:val="78"/>
                              <w:spacing w:before="11"/>
                              <w:rPr>
                                <w:rFonts w:ascii="宋体" w:hAnsi="宋体" w:cs="宋体"/>
                                <w:sz w:val="29"/>
                                <w:szCs w:val="29"/>
                              </w:rPr>
                            </w:pPr>
                          </w:p>
                          <w:p w14:paraId="0CF365DB">
                            <w:pPr>
                              <w:pStyle w:val="78"/>
                              <w:spacing w:line="280" w:lineRule="auto"/>
                              <w:ind w:left="7" w:right="5"/>
                              <w:rPr>
                                <w:rFonts w:ascii="宋体" w:hAnsi="宋体" w:cs="宋体"/>
                                <w:sz w:val="20"/>
                                <w:szCs w:val="20"/>
                              </w:rPr>
                            </w:pPr>
                            <w:r>
                              <w:rPr>
                                <w:rFonts w:hint="eastAsia" w:ascii="宋体" w:hAnsi="宋体" w:cs="宋体"/>
                                <w:spacing w:val="1"/>
                                <w:w w:val="99"/>
                                <w:sz w:val="20"/>
                                <w:szCs w:val="20"/>
                              </w:rPr>
                              <w:t>A02</w:t>
                            </w:r>
                            <w:r>
                              <w:rPr>
                                <w:rFonts w:hint="eastAsia" w:ascii="宋体" w:hAnsi="宋体" w:cs="宋体"/>
                                <w:w w:val="99"/>
                                <w:sz w:val="20"/>
                                <w:szCs w:val="20"/>
                              </w:rPr>
                              <w:t>09</w:t>
                            </w:r>
                            <w:r>
                              <w:rPr>
                                <w:rFonts w:hint="eastAsia" w:ascii="宋体" w:hAnsi="宋体" w:cs="宋体"/>
                                <w:spacing w:val="1"/>
                                <w:w w:val="99"/>
                                <w:sz w:val="20"/>
                                <w:szCs w:val="20"/>
                              </w:rPr>
                              <w:t>1</w:t>
                            </w:r>
                            <w:r>
                              <w:rPr>
                                <w:rFonts w:hint="eastAsia" w:ascii="宋体" w:hAnsi="宋体" w:cs="宋体"/>
                                <w:w w:val="99"/>
                                <w:sz w:val="20"/>
                                <w:szCs w:val="20"/>
                              </w:rPr>
                              <w:t>107视频监控设备</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5A77C885">
                            <w:pPr>
                              <w:pStyle w:val="78"/>
                              <w:rPr>
                                <w:rFonts w:ascii="宋体" w:hAnsi="宋体" w:cs="宋体"/>
                                <w:sz w:val="20"/>
                                <w:szCs w:val="20"/>
                              </w:rPr>
                            </w:pPr>
                          </w:p>
                          <w:p w14:paraId="54F0CD54">
                            <w:pPr>
                              <w:pStyle w:val="78"/>
                              <w:rPr>
                                <w:rFonts w:ascii="宋体" w:hAnsi="宋体" w:cs="宋体"/>
                                <w:sz w:val="20"/>
                                <w:szCs w:val="20"/>
                              </w:rPr>
                            </w:pPr>
                          </w:p>
                          <w:p w14:paraId="1A03B0ED">
                            <w:pPr>
                              <w:pStyle w:val="78"/>
                              <w:spacing w:before="10"/>
                              <w:rPr>
                                <w:rFonts w:ascii="宋体" w:hAnsi="宋体" w:cs="宋体"/>
                                <w:sz w:val="21"/>
                                <w:szCs w:val="21"/>
                              </w:rPr>
                            </w:pPr>
                          </w:p>
                          <w:p w14:paraId="4D4662BD">
                            <w:pPr>
                              <w:pStyle w:val="78"/>
                              <w:ind w:left="7"/>
                              <w:rPr>
                                <w:rFonts w:ascii="宋体" w:hAnsi="宋体" w:cs="宋体"/>
                                <w:sz w:val="20"/>
                                <w:szCs w:val="20"/>
                              </w:rPr>
                            </w:pPr>
                            <w:r>
                              <w:rPr>
                                <w:rFonts w:hint="eastAsia" w:ascii="宋体" w:hAnsi="宋体" w:cs="宋体"/>
                                <w:w w:val="99"/>
                                <w:sz w:val="20"/>
                                <w:szCs w:val="20"/>
                              </w:rPr>
                              <w:t>监视器</w:t>
                            </w:r>
                          </w:p>
                        </w:tc>
                        <w:tc>
                          <w:tcPr>
                            <w:tcW w:w="3765" w:type="dxa"/>
                            <w:tcBorders>
                              <w:top w:val="single" w:color="auto" w:sz="4" w:space="0"/>
                              <w:left w:val="single" w:color="auto" w:sz="4" w:space="0"/>
                              <w:bottom w:val="single" w:color="auto" w:sz="4" w:space="0"/>
                              <w:right w:val="single" w:color="auto" w:sz="4" w:space="0"/>
                            </w:tcBorders>
                            <w:noWrap w:val="0"/>
                            <w:vAlign w:val="top"/>
                          </w:tcPr>
                          <w:p w14:paraId="5FA0AA37">
                            <w:pPr>
                              <w:pStyle w:val="78"/>
                              <w:spacing w:before="28" w:line="280" w:lineRule="auto"/>
                              <w:ind w:left="7" w:right="5"/>
                              <w:rPr>
                                <w:rFonts w:ascii="宋体" w:hAnsi="宋体" w:cs="宋体"/>
                                <w:sz w:val="20"/>
                                <w:szCs w:val="20"/>
                                <w:lang w:eastAsia="zh-CN"/>
                              </w:rPr>
                            </w:pPr>
                            <w:r>
                              <w:rPr>
                                <w:rFonts w:hint="eastAsia" w:ascii="宋体" w:hAnsi="宋体" w:cs="宋体"/>
                                <w:spacing w:val="12"/>
                                <w:w w:val="99"/>
                                <w:sz w:val="20"/>
                                <w:szCs w:val="20"/>
                                <w:lang w:eastAsia="zh-CN"/>
                              </w:rPr>
                              <w:t>以射频信号为主要信号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平板</w:t>
                            </w:r>
                            <w:r>
                              <w:rPr>
                                <w:rFonts w:hint="eastAsia" w:ascii="宋体" w:hAnsi="宋体" w:cs="宋体"/>
                                <w:spacing w:val="2"/>
                                <w:w w:val="99"/>
                                <w:sz w:val="20"/>
                                <w:szCs w:val="20"/>
                                <w:lang w:eastAsia="zh-CN"/>
                              </w:rPr>
                              <w:t>电</w:t>
                            </w:r>
                            <w:r>
                              <w:rPr>
                                <w:rFonts w:hint="eastAsia" w:ascii="宋体" w:hAnsi="宋体" w:cs="宋体"/>
                                <w:w w:val="99"/>
                                <w:sz w:val="20"/>
                                <w:szCs w:val="20"/>
                                <w:lang w:eastAsia="zh-CN"/>
                              </w:rPr>
                              <w:t>视能</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限定值及能效</w:t>
                            </w:r>
                            <w:r>
                              <w:rPr>
                                <w:rFonts w:hint="eastAsia" w:ascii="宋体" w:hAnsi="宋体" w:cs="宋体"/>
                                <w:spacing w:val="2"/>
                                <w:w w:val="99"/>
                                <w:sz w:val="20"/>
                                <w:szCs w:val="20"/>
                                <w:lang w:eastAsia="zh-CN"/>
                              </w:rPr>
                              <w:t>等</w:t>
                            </w:r>
                            <w:r>
                              <w:rPr>
                                <w:rFonts w:hint="eastAsia" w:ascii="宋体" w:hAnsi="宋体" w:cs="宋体"/>
                                <w:w w:val="99"/>
                                <w:sz w:val="20"/>
                                <w:szCs w:val="20"/>
                                <w:lang w:eastAsia="zh-CN"/>
                              </w:rPr>
                              <w:t>级》（</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24850</w:t>
                            </w:r>
                            <w:r>
                              <w:rPr>
                                <w:rFonts w:hint="eastAsia" w:ascii="宋体" w:hAnsi="宋体" w:cs="宋体"/>
                                <w:spacing w:val="-3"/>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2"/>
                                <w:w w:val="99"/>
                                <w:sz w:val="20"/>
                                <w:szCs w:val="20"/>
                                <w:lang w:eastAsia="zh-CN"/>
                              </w:rPr>
                              <w:t>以数字信号为主要信号</w:t>
                            </w:r>
                            <w:r>
                              <w:rPr>
                                <w:rFonts w:hint="eastAsia" w:ascii="宋体" w:hAnsi="宋体" w:cs="宋体"/>
                                <w:spacing w:val="9"/>
                                <w:w w:val="99"/>
                                <w:sz w:val="20"/>
                                <w:szCs w:val="20"/>
                                <w:lang w:eastAsia="zh-CN"/>
                              </w:rPr>
                              <w:t>输</w:t>
                            </w:r>
                            <w:r>
                              <w:rPr>
                                <w:rFonts w:hint="eastAsia" w:ascii="宋体" w:hAnsi="宋体" w:cs="宋体"/>
                                <w:spacing w:val="12"/>
                                <w:w w:val="99"/>
                                <w:sz w:val="20"/>
                                <w:szCs w:val="20"/>
                                <w:lang w:eastAsia="zh-CN"/>
                              </w:rPr>
                              <w:t>入的</w:t>
                            </w:r>
                            <w:r>
                              <w:rPr>
                                <w:rFonts w:hint="eastAsia" w:ascii="宋体" w:hAnsi="宋体" w:cs="宋体"/>
                                <w:w w:val="99"/>
                                <w:sz w:val="20"/>
                                <w:szCs w:val="20"/>
                                <w:lang w:eastAsia="zh-CN"/>
                              </w:rPr>
                              <w:t>监视器应</w:t>
                            </w:r>
                            <w:r>
                              <w:rPr>
                                <w:rFonts w:hint="eastAsia" w:ascii="宋体" w:hAnsi="宋体" w:cs="宋体"/>
                                <w:spacing w:val="2"/>
                                <w:w w:val="99"/>
                                <w:sz w:val="20"/>
                                <w:szCs w:val="20"/>
                                <w:lang w:eastAsia="zh-CN"/>
                              </w:rPr>
                              <w:t>符</w:t>
                            </w:r>
                            <w:r>
                              <w:rPr>
                                <w:rFonts w:hint="eastAsia" w:ascii="宋体" w:hAnsi="宋体" w:cs="宋体"/>
                                <w:spacing w:val="-58"/>
                                <w:w w:val="99"/>
                                <w:sz w:val="20"/>
                                <w:szCs w:val="20"/>
                                <w:lang w:eastAsia="zh-CN"/>
                              </w:rPr>
                              <w:t>合</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计算</w:t>
                            </w:r>
                            <w:r>
                              <w:rPr>
                                <w:rFonts w:hint="eastAsia" w:ascii="宋体" w:hAnsi="宋体" w:cs="宋体"/>
                                <w:spacing w:val="2"/>
                                <w:w w:val="99"/>
                                <w:sz w:val="20"/>
                                <w:szCs w:val="20"/>
                                <w:lang w:eastAsia="zh-CN"/>
                              </w:rPr>
                              <w:t>机</w:t>
                            </w:r>
                            <w:r>
                              <w:rPr>
                                <w:rFonts w:hint="eastAsia" w:ascii="宋体" w:hAnsi="宋体" w:cs="宋体"/>
                                <w:w w:val="99"/>
                                <w:sz w:val="20"/>
                                <w:szCs w:val="20"/>
                                <w:lang w:eastAsia="zh-CN"/>
                              </w:rPr>
                              <w:t>显示</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能效限定值及</w:t>
                            </w:r>
                            <w:r>
                              <w:rPr>
                                <w:rFonts w:hint="eastAsia" w:ascii="宋体" w:hAnsi="宋体" w:cs="宋体"/>
                                <w:spacing w:val="2"/>
                                <w:w w:val="99"/>
                                <w:sz w:val="20"/>
                                <w:szCs w:val="20"/>
                                <w:lang w:eastAsia="zh-CN"/>
                              </w:rPr>
                              <w:t>能</w:t>
                            </w:r>
                            <w:r>
                              <w:rPr>
                                <w:rFonts w:hint="eastAsia" w:ascii="宋体" w:hAnsi="宋体" w:cs="宋体"/>
                                <w:w w:val="99"/>
                                <w:sz w:val="20"/>
                                <w:szCs w:val="20"/>
                                <w:lang w:eastAsia="zh-CN"/>
                              </w:rPr>
                              <w:t>效等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21</w:t>
                            </w:r>
                            <w:r>
                              <w:rPr>
                                <w:rFonts w:hint="eastAsia" w:ascii="宋体" w:hAnsi="宋体" w:cs="宋体"/>
                                <w:w w:val="99"/>
                                <w:sz w:val="20"/>
                                <w:szCs w:val="20"/>
                                <w:lang w:eastAsia="zh-CN"/>
                              </w:rPr>
                              <w:t>52</w:t>
                            </w:r>
                            <w:r>
                              <w:rPr>
                                <w:rFonts w:hint="eastAsia" w:ascii="宋体" w:hAnsi="宋体" w:cs="宋体"/>
                                <w:spacing w:val="1"/>
                                <w:w w:val="99"/>
                                <w:sz w:val="20"/>
                                <w:szCs w:val="20"/>
                                <w:lang w:eastAsia="zh-CN"/>
                              </w:rPr>
                              <w:t>0</w:t>
                            </w:r>
                            <w:r>
                              <w:rPr>
                                <w:rFonts w:hint="eastAsia" w:ascii="宋体" w:hAnsi="宋体" w:cs="宋体"/>
                                <w:w w:val="99"/>
                                <w:sz w:val="20"/>
                                <w:szCs w:val="20"/>
                                <w:lang w:eastAsia="zh-CN"/>
                              </w:rPr>
                              <w:t>）</w:t>
                            </w:r>
                          </w:p>
                        </w:tc>
                      </w:tr>
                      <w:tr w14:paraId="415C3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87" w:hRule="exact"/>
                        </w:trPr>
                        <w:tc>
                          <w:tcPr>
                            <w:tcW w:w="585" w:type="dxa"/>
                            <w:tcBorders>
                              <w:top w:val="single" w:color="auto" w:sz="4" w:space="0"/>
                              <w:left w:val="single" w:color="auto" w:sz="4" w:space="0"/>
                              <w:bottom w:val="single" w:color="auto" w:sz="4" w:space="0"/>
                              <w:right w:val="single" w:color="auto" w:sz="4" w:space="0"/>
                            </w:tcBorders>
                            <w:noWrap w:val="0"/>
                            <w:vAlign w:val="top"/>
                          </w:tcPr>
                          <w:p w14:paraId="5D7E30E3">
                            <w:pPr>
                              <w:pStyle w:val="78"/>
                              <w:spacing w:before="10"/>
                              <w:rPr>
                                <w:rFonts w:ascii="宋体" w:hAnsi="宋体" w:cs="宋体"/>
                                <w:sz w:val="17"/>
                                <w:szCs w:val="17"/>
                                <w:lang w:eastAsia="zh-CN"/>
                              </w:rPr>
                            </w:pPr>
                          </w:p>
                          <w:p w14:paraId="11BA19A6">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4</w:t>
                            </w:r>
                          </w:p>
                        </w:tc>
                        <w:tc>
                          <w:tcPr>
                            <w:tcW w:w="1305" w:type="dxa"/>
                            <w:tcBorders>
                              <w:top w:val="single" w:color="auto" w:sz="4" w:space="0"/>
                              <w:left w:val="single" w:color="auto" w:sz="4" w:space="0"/>
                              <w:bottom w:val="single" w:color="auto" w:sz="4" w:space="0"/>
                              <w:right w:val="single" w:color="auto" w:sz="4" w:space="0"/>
                            </w:tcBorders>
                            <w:noWrap w:val="0"/>
                            <w:vAlign w:val="top"/>
                          </w:tcPr>
                          <w:p w14:paraId="12A628E2">
                            <w:pPr>
                              <w:pStyle w:val="78"/>
                              <w:spacing w:before="76"/>
                              <w:ind w:left="7"/>
                              <w:rPr>
                                <w:rFonts w:ascii="宋体" w:hAnsi="宋体" w:cs="宋体"/>
                                <w:sz w:val="20"/>
                                <w:szCs w:val="20"/>
                              </w:rPr>
                            </w:pPr>
                            <w:r>
                              <w:rPr>
                                <w:rFonts w:hint="eastAsia" w:ascii="宋体" w:hAnsi="宋体" w:cs="宋体"/>
                                <w:spacing w:val="1"/>
                                <w:w w:val="99"/>
                                <w:sz w:val="20"/>
                                <w:szCs w:val="20"/>
                              </w:rPr>
                              <w:t>A03</w:t>
                            </w:r>
                            <w:r>
                              <w:rPr>
                                <w:rFonts w:hint="eastAsia" w:ascii="宋体" w:hAnsi="宋体" w:cs="宋体"/>
                                <w:w w:val="99"/>
                                <w:sz w:val="20"/>
                                <w:szCs w:val="20"/>
                              </w:rPr>
                              <w:t>12</w:t>
                            </w:r>
                            <w:r>
                              <w:rPr>
                                <w:rFonts w:hint="eastAsia" w:ascii="宋体" w:hAnsi="宋体" w:cs="宋体"/>
                                <w:spacing w:val="1"/>
                                <w:w w:val="99"/>
                                <w:sz w:val="20"/>
                                <w:szCs w:val="20"/>
                              </w:rPr>
                              <w:t>1</w:t>
                            </w:r>
                            <w:r>
                              <w:rPr>
                                <w:rFonts w:hint="eastAsia" w:ascii="宋体" w:hAnsi="宋体" w:cs="宋体"/>
                                <w:w w:val="99"/>
                                <w:sz w:val="20"/>
                                <w:szCs w:val="20"/>
                              </w:rPr>
                              <w:t>0饮食</w:t>
                            </w:r>
                          </w:p>
                          <w:p w14:paraId="4B64C7B1">
                            <w:pPr>
                              <w:pStyle w:val="78"/>
                              <w:spacing w:before="50"/>
                              <w:ind w:left="7"/>
                              <w:rPr>
                                <w:rFonts w:ascii="宋体" w:hAnsi="宋体" w:cs="宋体"/>
                                <w:sz w:val="20"/>
                                <w:szCs w:val="20"/>
                              </w:rPr>
                            </w:pPr>
                            <w:r>
                              <w:rPr>
                                <w:rFonts w:hint="eastAsia" w:ascii="宋体" w:hAnsi="宋体" w:cs="宋体"/>
                                <w:w w:val="99"/>
                                <w:sz w:val="20"/>
                                <w:szCs w:val="20"/>
                              </w:rPr>
                              <w:t>炊事机械</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059406BD">
                            <w:pPr>
                              <w:pStyle w:val="78"/>
                              <w:spacing w:before="10"/>
                              <w:rPr>
                                <w:rFonts w:ascii="宋体" w:hAnsi="宋体" w:cs="宋体"/>
                                <w:sz w:val="17"/>
                                <w:szCs w:val="17"/>
                              </w:rPr>
                            </w:pPr>
                          </w:p>
                          <w:p w14:paraId="77721FA2">
                            <w:pPr>
                              <w:pStyle w:val="78"/>
                              <w:ind w:left="7"/>
                              <w:rPr>
                                <w:rFonts w:ascii="宋体" w:hAnsi="宋体" w:cs="宋体"/>
                                <w:sz w:val="20"/>
                                <w:szCs w:val="20"/>
                              </w:rPr>
                            </w:pPr>
                            <w:r>
                              <w:rPr>
                                <w:rFonts w:hint="eastAsia" w:ascii="宋体" w:hAnsi="宋体" w:cs="宋体"/>
                                <w:w w:val="99"/>
                                <w:sz w:val="20"/>
                                <w:szCs w:val="20"/>
                              </w:rPr>
                              <w:t>商用燃</w:t>
                            </w:r>
                            <w:r>
                              <w:rPr>
                                <w:rFonts w:hint="eastAsia" w:ascii="宋体" w:hAnsi="宋体" w:cs="宋体"/>
                                <w:spacing w:val="2"/>
                                <w:w w:val="99"/>
                                <w:sz w:val="20"/>
                                <w:szCs w:val="20"/>
                              </w:rPr>
                              <w:t>气</w:t>
                            </w:r>
                            <w:r>
                              <w:rPr>
                                <w:rFonts w:hint="eastAsia" w:ascii="宋体" w:hAnsi="宋体" w:cs="宋体"/>
                                <w:w w:val="99"/>
                                <w:sz w:val="20"/>
                                <w:szCs w:val="20"/>
                              </w:rPr>
                              <w:t>灶具</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EB957AA">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04F162A7">
                            <w:pPr>
                              <w:pStyle w:val="78"/>
                              <w:spacing w:before="76"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《商用燃气灶具能效限</w:t>
                            </w:r>
                            <w:r>
                              <w:rPr>
                                <w:rFonts w:hint="eastAsia" w:ascii="宋体" w:hAnsi="宋体" w:cs="宋体"/>
                                <w:spacing w:val="9"/>
                                <w:w w:val="99"/>
                                <w:sz w:val="20"/>
                                <w:szCs w:val="20"/>
                                <w:lang w:eastAsia="zh-CN"/>
                              </w:rPr>
                              <w:t>定</w:t>
                            </w:r>
                            <w:r>
                              <w:rPr>
                                <w:rFonts w:hint="eastAsia" w:ascii="宋体" w:hAnsi="宋体" w:cs="宋体"/>
                                <w:spacing w:val="12"/>
                                <w:w w:val="99"/>
                                <w:sz w:val="20"/>
                                <w:szCs w:val="20"/>
                                <w:lang w:eastAsia="zh-CN"/>
                              </w:rPr>
                              <w:t>值及</w:t>
                            </w:r>
                            <w:r>
                              <w:rPr>
                                <w:rFonts w:hint="eastAsia" w:ascii="宋体" w:hAnsi="宋体" w:cs="宋体"/>
                                <w:w w:val="99"/>
                                <w:sz w:val="20"/>
                                <w:szCs w:val="20"/>
                                <w:lang w:eastAsia="zh-CN"/>
                              </w:rPr>
                              <w:t>能效等级</w:t>
                            </w:r>
                            <w:r>
                              <w:rPr>
                                <w:rFonts w:hint="eastAsia" w:ascii="宋体" w:hAnsi="宋体" w:cs="宋体"/>
                                <w:spacing w:val="2"/>
                                <w:w w:val="99"/>
                                <w:sz w:val="20"/>
                                <w:szCs w:val="20"/>
                                <w:lang w:eastAsia="zh-CN"/>
                              </w:rPr>
                              <w:t>》</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w:t>
                            </w:r>
                            <w:r>
                              <w:rPr>
                                <w:rFonts w:hint="eastAsia" w:ascii="宋体" w:hAnsi="宋体" w:cs="宋体"/>
                                <w:w w:val="99"/>
                                <w:sz w:val="20"/>
                                <w:szCs w:val="20"/>
                                <w:lang w:eastAsia="zh-CN"/>
                              </w:rPr>
                              <w:t>53</w:t>
                            </w:r>
                            <w:r>
                              <w:rPr>
                                <w:rFonts w:hint="eastAsia" w:ascii="宋体" w:hAnsi="宋体" w:cs="宋体"/>
                                <w:spacing w:val="1"/>
                                <w:w w:val="99"/>
                                <w:sz w:val="20"/>
                                <w:szCs w:val="20"/>
                                <w:lang w:eastAsia="zh-CN"/>
                              </w:rPr>
                              <w:t>1</w:t>
                            </w:r>
                            <w:r>
                              <w:rPr>
                                <w:rFonts w:hint="eastAsia" w:ascii="宋体" w:hAnsi="宋体" w:cs="宋体"/>
                                <w:w w:val="99"/>
                                <w:sz w:val="20"/>
                                <w:szCs w:val="20"/>
                                <w:lang w:eastAsia="zh-CN"/>
                              </w:rPr>
                              <w:t>）</w:t>
                            </w:r>
                          </w:p>
                        </w:tc>
                      </w:tr>
                      <w:tr w14:paraId="5DC57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restart"/>
                            <w:tcBorders>
                              <w:top w:val="single" w:color="auto" w:sz="4" w:space="0"/>
                              <w:left w:val="single" w:color="auto" w:sz="4" w:space="0"/>
                              <w:bottom w:val="single" w:color="auto" w:sz="4" w:space="0"/>
                              <w:right w:val="single" w:color="auto" w:sz="4" w:space="0"/>
                            </w:tcBorders>
                            <w:noWrap w:val="0"/>
                            <w:vAlign w:val="top"/>
                          </w:tcPr>
                          <w:p w14:paraId="45DC2AAE">
                            <w:pPr>
                              <w:pStyle w:val="78"/>
                              <w:rPr>
                                <w:rFonts w:ascii="宋体" w:hAnsi="宋体" w:cs="宋体"/>
                                <w:sz w:val="20"/>
                                <w:szCs w:val="20"/>
                                <w:lang w:eastAsia="zh-CN"/>
                              </w:rPr>
                            </w:pPr>
                          </w:p>
                          <w:p w14:paraId="04EECC48">
                            <w:pPr>
                              <w:pStyle w:val="78"/>
                              <w:rPr>
                                <w:rFonts w:ascii="宋体" w:hAnsi="宋体" w:cs="宋体"/>
                                <w:sz w:val="20"/>
                                <w:szCs w:val="20"/>
                                <w:lang w:eastAsia="zh-CN"/>
                              </w:rPr>
                            </w:pPr>
                          </w:p>
                          <w:p w14:paraId="1D8FC00D">
                            <w:pPr>
                              <w:pStyle w:val="78"/>
                              <w:rPr>
                                <w:rFonts w:ascii="宋体" w:hAnsi="宋体" w:cs="宋体"/>
                                <w:sz w:val="20"/>
                                <w:szCs w:val="20"/>
                                <w:lang w:eastAsia="zh-CN"/>
                              </w:rPr>
                            </w:pPr>
                          </w:p>
                          <w:p w14:paraId="2E897340">
                            <w:pPr>
                              <w:pStyle w:val="78"/>
                              <w:spacing w:before="1"/>
                              <w:rPr>
                                <w:rFonts w:ascii="宋体" w:hAnsi="宋体" w:cs="宋体"/>
                                <w:sz w:val="29"/>
                                <w:szCs w:val="29"/>
                                <w:lang w:eastAsia="zh-CN"/>
                              </w:rPr>
                            </w:pPr>
                          </w:p>
                          <w:p w14:paraId="0CA98746">
                            <w:pPr>
                              <w:pStyle w:val="78"/>
                              <w:ind w:left="182"/>
                              <w:rPr>
                                <w:rFonts w:ascii="宋体" w:hAnsi="宋体" w:cs="宋体"/>
                                <w:sz w:val="20"/>
                                <w:szCs w:val="20"/>
                              </w:rPr>
                            </w:pPr>
                            <w:r>
                              <w:rPr>
                                <w:rFonts w:hint="eastAsia" w:ascii="宋体"/>
                                <w:spacing w:val="1"/>
                                <w:w w:val="99"/>
                                <w:sz w:val="20"/>
                              </w:rPr>
                              <w:t>1</w:t>
                            </w:r>
                            <w:r>
                              <w:rPr>
                                <w:rFonts w:hint="eastAsia" w:ascii="宋体"/>
                                <w:w w:val="99"/>
                                <w:sz w:val="20"/>
                              </w:rPr>
                              <w:t>5</w:t>
                            </w:r>
                          </w:p>
                        </w:tc>
                        <w:tc>
                          <w:tcPr>
                            <w:tcW w:w="1305" w:type="dxa"/>
                            <w:vMerge w:val="restart"/>
                            <w:tcBorders>
                              <w:top w:val="single" w:color="auto" w:sz="4" w:space="0"/>
                              <w:left w:val="single" w:color="auto" w:sz="4" w:space="0"/>
                              <w:bottom w:val="single" w:color="auto" w:sz="4" w:space="0"/>
                              <w:right w:val="single" w:color="auto" w:sz="4" w:space="0"/>
                            </w:tcBorders>
                            <w:noWrap w:val="0"/>
                            <w:vAlign w:val="top"/>
                          </w:tcPr>
                          <w:p w14:paraId="0871B214">
                            <w:pPr>
                              <w:pStyle w:val="78"/>
                              <w:rPr>
                                <w:rFonts w:ascii="宋体" w:hAnsi="宋体" w:cs="宋体"/>
                                <w:sz w:val="20"/>
                                <w:szCs w:val="20"/>
                              </w:rPr>
                            </w:pPr>
                          </w:p>
                          <w:p w14:paraId="479C71C9">
                            <w:pPr>
                              <w:pStyle w:val="78"/>
                              <w:rPr>
                                <w:rFonts w:ascii="宋体" w:hAnsi="宋体" w:cs="宋体"/>
                                <w:sz w:val="20"/>
                                <w:szCs w:val="20"/>
                              </w:rPr>
                            </w:pPr>
                          </w:p>
                          <w:p w14:paraId="472D17F4">
                            <w:pPr>
                              <w:pStyle w:val="78"/>
                              <w:spacing w:before="9"/>
                              <w:rPr>
                                <w:rFonts w:ascii="宋体" w:hAnsi="宋体" w:cs="宋体"/>
                                <w:sz w:val="17"/>
                                <w:szCs w:val="17"/>
                              </w:rPr>
                            </w:pPr>
                          </w:p>
                          <w:p w14:paraId="637B30EF">
                            <w:pPr>
                              <w:pStyle w:val="78"/>
                              <w:ind w:left="7"/>
                              <w:rPr>
                                <w:rFonts w:ascii="宋体" w:hAnsi="宋体" w:cs="宋体"/>
                                <w:w w:val="99"/>
                                <w:sz w:val="20"/>
                                <w:szCs w:val="20"/>
                              </w:rPr>
                            </w:pPr>
                            <w:r>
                              <w:rPr>
                                <w:rFonts w:hint="eastAsia" w:ascii="宋体" w:hAnsi="宋体" w:cs="宋体"/>
                                <w:w w:val="99"/>
                                <w:sz w:val="20"/>
                                <w:szCs w:val="20"/>
                              </w:rPr>
                              <w:t>★</w:t>
                            </w:r>
                            <w:r>
                              <w:rPr>
                                <w:rFonts w:hint="eastAsia" w:ascii="宋体" w:hAnsi="宋体" w:cs="宋体"/>
                                <w:spacing w:val="1"/>
                                <w:w w:val="99"/>
                                <w:sz w:val="20"/>
                                <w:szCs w:val="20"/>
                              </w:rPr>
                              <w:t>A060</w:t>
                            </w:r>
                            <w:r>
                              <w:rPr>
                                <w:rFonts w:hint="eastAsia" w:ascii="宋体" w:hAnsi="宋体" w:cs="宋体"/>
                                <w:w w:val="99"/>
                                <w:sz w:val="20"/>
                                <w:szCs w:val="20"/>
                              </w:rPr>
                              <w:t>805</w:t>
                            </w:r>
                          </w:p>
                          <w:p w14:paraId="1CD5FC30">
                            <w:pPr>
                              <w:pStyle w:val="78"/>
                              <w:ind w:left="7"/>
                              <w:rPr>
                                <w:rFonts w:ascii="宋体" w:hAnsi="宋体" w:cs="宋体"/>
                                <w:sz w:val="20"/>
                                <w:szCs w:val="20"/>
                              </w:rPr>
                            </w:pPr>
                            <w:r>
                              <w:rPr>
                                <w:rFonts w:hint="eastAsia" w:ascii="宋体" w:hAnsi="宋体" w:cs="宋体"/>
                                <w:w w:val="99"/>
                                <w:sz w:val="20"/>
                                <w:szCs w:val="20"/>
                              </w:rPr>
                              <w:t>便器</w:t>
                            </w:r>
                          </w:p>
                        </w:tc>
                        <w:tc>
                          <w:tcPr>
                            <w:tcW w:w="1665" w:type="dxa"/>
                            <w:tcBorders>
                              <w:top w:val="single" w:color="auto" w:sz="4" w:space="0"/>
                              <w:left w:val="single" w:color="auto" w:sz="4" w:space="0"/>
                              <w:bottom w:val="single" w:color="auto" w:sz="4" w:space="0"/>
                              <w:right w:val="single" w:color="auto" w:sz="4" w:space="0"/>
                            </w:tcBorders>
                            <w:noWrap w:val="0"/>
                            <w:vAlign w:val="top"/>
                          </w:tcPr>
                          <w:p w14:paraId="223F5D87">
                            <w:pPr>
                              <w:pStyle w:val="78"/>
                              <w:spacing w:before="5"/>
                              <w:rPr>
                                <w:rFonts w:ascii="宋体" w:hAnsi="宋体" w:cs="宋体"/>
                                <w:sz w:val="21"/>
                                <w:szCs w:val="21"/>
                              </w:rPr>
                            </w:pPr>
                          </w:p>
                          <w:p w14:paraId="72F176DD">
                            <w:pPr>
                              <w:pStyle w:val="78"/>
                              <w:ind w:left="7"/>
                              <w:rPr>
                                <w:rFonts w:ascii="宋体" w:hAnsi="宋体" w:cs="宋体"/>
                                <w:sz w:val="20"/>
                                <w:szCs w:val="20"/>
                              </w:rPr>
                            </w:pPr>
                            <w:r>
                              <w:rPr>
                                <w:rFonts w:hint="eastAsia" w:ascii="宋体" w:hAnsi="宋体" w:cs="宋体"/>
                                <w:w w:val="99"/>
                                <w:sz w:val="20"/>
                                <w:szCs w:val="20"/>
                              </w:rPr>
                              <w:t>坐便器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624CF12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41D58CDC">
                            <w:pPr>
                              <w:pStyle w:val="78"/>
                              <w:spacing w:before="124"/>
                              <w:ind w:left="7"/>
                              <w:rPr>
                                <w:rFonts w:ascii="宋体" w:hAnsi="宋体" w:cs="宋体"/>
                                <w:sz w:val="20"/>
                                <w:szCs w:val="20"/>
                                <w:lang w:eastAsia="zh-CN"/>
                              </w:rPr>
                            </w:pPr>
                            <w:r>
                              <w:rPr>
                                <w:rFonts w:hint="eastAsia" w:ascii="宋体" w:hAnsi="宋体" w:cs="宋体"/>
                                <w:w w:val="99"/>
                                <w:sz w:val="20"/>
                                <w:szCs w:val="20"/>
                                <w:lang w:eastAsia="zh-CN"/>
                              </w:rPr>
                              <w:t>《坐便</w:t>
                            </w:r>
                            <w:r>
                              <w:rPr>
                                <w:rFonts w:hint="eastAsia" w:ascii="宋体" w:hAnsi="宋体" w:cs="宋体"/>
                                <w:spacing w:val="2"/>
                                <w:w w:val="99"/>
                                <w:sz w:val="20"/>
                                <w:szCs w:val="20"/>
                                <w:lang w:eastAsia="zh-CN"/>
                              </w:rPr>
                              <w:t>器</w:t>
                            </w:r>
                            <w:r>
                              <w:rPr>
                                <w:rFonts w:hint="eastAsia" w:ascii="宋体" w:hAnsi="宋体" w:cs="宋体"/>
                                <w:w w:val="99"/>
                                <w:sz w:val="20"/>
                                <w:szCs w:val="20"/>
                                <w:lang w:eastAsia="zh-CN"/>
                              </w:rPr>
                              <w:t>水效</w:t>
                            </w:r>
                            <w:r>
                              <w:rPr>
                                <w:rFonts w:hint="eastAsia" w:ascii="宋体" w:hAnsi="宋体" w:cs="宋体"/>
                                <w:spacing w:val="2"/>
                                <w:w w:val="99"/>
                                <w:sz w:val="20"/>
                                <w:szCs w:val="20"/>
                                <w:lang w:eastAsia="zh-CN"/>
                              </w:rPr>
                              <w:t>限</w:t>
                            </w:r>
                            <w:r>
                              <w:rPr>
                                <w:rFonts w:hint="eastAsia" w:ascii="宋体" w:hAnsi="宋体" w:cs="宋体"/>
                                <w:w w:val="99"/>
                                <w:sz w:val="20"/>
                                <w:szCs w:val="20"/>
                                <w:lang w:eastAsia="zh-CN"/>
                              </w:rPr>
                              <w:t>定值</w:t>
                            </w:r>
                            <w:r>
                              <w:rPr>
                                <w:rFonts w:hint="eastAsia" w:ascii="宋体" w:hAnsi="宋体" w:cs="宋体"/>
                                <w:spacing w:val="2"/>
                                <w:w w:val="99"/>
                                <w:sz w:val="20"/>
                                <w:szCs w:val="20"/>
                                <w:lang w:eastAsia="zh-CN"/>
                              </w:rPr>
                              <w:t>及</w:t>
                            </w:r>
                            <w:r>
                              <w:rPr>
                                <w:rFonts w:hint="eastAsia" w:ascii="宋体" w:hAnsi="宋体" w:cs="宋体"/>
                                <w:w w:val="99"/>
                                <w:sz w:val="20"/>
                                <w:szCs w:val="20"/>
                                <w:lang w:eastAsia="zh-CN"/>
                              </w:rPr>
                              <w:t>水</w:t>
                            </w:r>
                            <w:r>
                              <w:rPr>
                                <w:rFonts w:hint="eastAsia" w:ascii="宋体" w:hAnsi="宋体" w:cs="宋体"/>
                                <w:spacing w:val="2"/>
                                <w:w w:val="99"/>
                                <w:sz w:val="20"/>
                                <w:szCs w:val="20"/>
                                <w:lang w:eastAsia="zh-CN"/>
                              </w:rPr>
                              <w:t>效</w:t>
                            </w:r>
                            <w:r>
                              <w:rPr>
                                <w:rFonts w:hint="eastAsia" w:ascii="宋体" w:hAnsi="宋体" w:cs="宋体"/>
                                <w:w w:val="99"/>
                                <w:sz w:val="20"/>
                                <w:szCs w:val="20"/>
                                <w:lang w:eastAsia="zh-CN"/>
                              </w:rPr>
                              <w:t>等级》</w:t>
                            </w:r>
                          </w:p>
                          <w:p w14:paraId="60751E2D">
                            <w:pPr>
                              <w:pStyle w:val="78"/>
                              <w:spacing w:before="50"/>
                              <w:ind w:left="7"/>
                              <w:rPr>
                                <w:rFonts w:ascii="宋体" w:hAnsi="宋体" w:cs="宋体"/>
                                <w:sz w:val="20"/>
                                <w:szCs w:val="20"/>
                              </w:rPr>
                            </w:pPr>
                            <w:r>
                              <w:rPr>
                                <w:rFonts w:hint="eastAsia" w:ascii="宋体" w:hAnsi="宋体" w:cs="宋体"/>
                                <w:w w:val="99"/>
                                <w:sz w:val="20"/>
                                <w:szCs w:val="20"/>
                              </w:rPr>
                              <w:t>（</w:t>
                            </w:r>
                            <w:r>
                              <w:rPr>
                                <w:rFonts w:hint="eastAsia" w:ascii="宋体" w:hAnsi="宋体" w:cs="宋体"/>
                                <w:spacing w:val="1"/>
                                <w:w w:val="99"/>
                                <w:sz w:val="20"/>
                                <w:szCs w:val="20"/>
                              </w:rPr>
                              <w:t>G</w:t>
                            </w:r>
                            <w:r>
                              <w:rPr>
                                <w:rFonts w:hint="eastAsia" w:ascii="宋体" w:hAnsi="宋体" w:cs="宋体"/>
                                <w:w w:val="99"/>
                                <w:sz w:val="20"/>
                                <w:szCs w:val="20"/>
                              </w:rPr>
                              <w:t>B</w:t>
                            </w:r>
                            <w:r>
                              <w:rPr>
                                <w:rFonts w:hint="eastAsia" w:ascii="宋体" w:hAnsi="宋体" w:cs="宋体"/>
                                <w:spacing w:val="1"/>
                                <w:w w:val="99"/>
                                <w:sz w:val="20"/>
                                <w:szCs w:val="20"/>
                              </w:rPr>
                              <w:t>2</w:t>
                            </w:r>
                            <w:r>
                              <w:rPr>
                                <w:rFonts w:hint="eastAsia" w:ascii="宋体" w:hAnsi="宋体" w:cs="宋体"/>
                                <w:w w:val="99"/>
                                <w:sz w:val="20"/>
                                <w:szCs w:val="20"/>
                              </w:rPr>
                              <w:t>55</w:t>
                            </w:r>
                            <w:r>
                              <w:rPr>
                                <w:rFonts w:hint="eastAsia" w:ascii="宋体" w:hAnsi="宋体" w:cs="宋体"/>
                                <w:spacing w:val="1"/>
                                <w:w w:val="99"/>
                                <w:sz w:val="20"/>
                                <w:szCs w:val="20"/>
                              </w:rPr>
                              <w:t>02</w:t>
                            </w:r>
                            <w:r>
                              <w:rPr>
                                <w:rFonts w:hint="eastAsia" w:ascii="宋体" w:hAnsi="宋体" w:cs="宋体"/>
                                <w:w w:val="99"/>
                                <w:sz w:val="20"/>
                                <w:szCs w:val="20"/>
                              </w:rPr>
                              <w:t>）</w:t>
                            </w:r>
                          </w:p>
                        </w:tc>
                      </w:tr>
                      <w:tr w14:paraId="6A989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1A9E9294">
                            <w:pPr>
                              <w:widowControl/>
                              <w:jc w:val="left"/>
                              <w:rPr>
                                <w:rFonts w:ascii="宋体" w:hAnsi="宋体" w:eastAsia="Times New Roman" w:cs="宋体"/>
                                <w:kern w:val="0"/>
                                <w:sz w:val="20"/>
                                <w:szCs w:val="20"/>
                                <w:lang w:eastAsia="en-US"/>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40084B5">
                            <w:pPr>
                              <w:widowControl/>
                              <w:jc w:val="left"/>
                              <w:rPr>
                                <w:rFonts w:ascii="宋体" w:hAnsi="宋体" w:eastAsia="Times New Roman" w:cs="宋体"/>
                                <w:kern w:val="0"/>
                                <w:sz w:val="20"/>
                                <w:szCs w:val="20"/>
                                <w:lang w:eastAsia="en-US"/>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8E87BEB">
                            <w:pPr>
                              <w:pStyle w:val="78"/>
                              <w:spacing w:before="5"/>
                              <w:rPr>
                                <w:rFonts w:ascii="宋体" w:hAnsi="宋体" w:cs="宋体"/>
                                <w:sz w:val="21"/>
                                <w:szCs w:val="21"/>
                              </w:rPr>
                            </w:pPr>
                          </w:p>
                          <w:p w14:paraId="7DBB80F0">
                            <w:pPr>
                              <w:pStyle w:val="78"/>
                              <w:ind w:left="7"/>
                              <w:rPr>
                                <w:rFonts w:ascii="宋体" w:hAnsi="宋体" w:cs="宋体"/>
                                <w:sz w:val="20"/>
                                <w:szCs w:val="20"/>
                              </w:rPr>
                            </w:pPr>
                            <w:r>
                              <w:rPr>
                                <w:rFonts w:hint="eastAsia" w:ascii="宋体" w:hAnsi="宋体" w:cs="宋体"/>
                                <w:w w:val="99"/>
                                <w:sz w:val="20"/>
                                <w:szCs w:val="20"/>
                              </w:rPr>
                              <w:t>蹲便器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1B1D5425">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299E711D">
                            <w:pPr>
                              <w:pStyle w:val="7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《蹲便器用水效率限定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307</w:t>
                            </w:r>
                            <w:r>
                              <w:rPr>
                                <w:rFonts w:hint="eastAsia" w:ascii="宋体" w:hAnsi="宋体" w:cs="宋体"/>
                                <w:w w:val="99"/>
                                <w:sz w:val="20"/>
                                <w:szCs w:val="20"/>
                                <w:lang w:eastAsia="zh-CN"/>
                              </w:rPr>
                              <w:t>1</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r w14:paraId="126B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8" w:hRule="exact"/>
                        </w:trPr>
                        <w:tc>
                          <w:tcPr>
                            <w:tcW w:w="585" w:type="dxa"/>
                            <w:vMerge w:val="continue"/>
                            <w:tcBorders>
                              <w:top w:val="single" w:color="auto" w:sz="4" w:space="0"/>
                              <w:left w:val="single" w:color="auto" w:sz="4" w:space="0"/>
                              <w:bottom w:val="single" w:color="auto" w:sz="4" w:space="0"/>
                              <w:right w:val="single" w:color="auto" w:sz="4" w:space="0"/>
                            </w:tcBorders>
                            <w:noWrap w:val="0"/>
                            <w:vAlign w:val="center"/>
                          </w:tcPr>
                          <w:p w14:paraId="22C903F1">
                            <w:pPr>
                              <w:widowControl/>
                              <w:jc w:val="left"/>
                              <w:rPr>
                                <w:rFonts w:ascii="宋体" w:hAnsi="宋体" w:eastAsia="Times New Roman" w:cs="宋体"/>
                                <w:kern w:val="0"/>
                                <w:sz w:val="20"/>
                                <w:szCs w:val="20"/>
                              </w:rPr>
                            </w:pPr>
                          </w:p>
                        </w:tc>
                        <w:tc>
                          <w:tcPr>
                            <w:tcW w:w="1305" w:type="dxa"/>
                            <w:vMerge w:val="continue"/>
                            <w:tcBorders>
                              <w:top w:val="single" w:color="auto" w:sz="4" w:space="0"/>
                              <w:left w:val="single" w:color="auto" w:sz="4" w:space="0"/>
                              <w:bottom w:val="single" w:color="auto" w:sz="4" w:space="0"/>
                              <w:right w:val="single" w:color="auto" w:sz="4" w:space="0"/>
                            </w:tcBorders>
                            <w:noWrap w:val="0"/>
                            <w:vAlign w:val="center"/>
                          </w:tcPr>
                          <w:p w14:paraId="69C07D0E">
                            <w:pPr>
                              <w:widowControl/>
                              <w:jc w:val="left"/>
                              <w:rPr>
                                <w:rFonts w:ascii="宋体" w:hAnsi="宋体" w:eastAsia="Times New Roman" w:cs="宋体"/>
                                <w:kern w:val="0"/>
                                <w:sz w:val="20"/>
                                <w:szCs w:val="20"/>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D5B1AB4">
                            <w:pPr>
                              <w:pStyle w:val="78"/>
                              <w:spacing w:before="5"/>
                              <w:rPr>
                                <w:rFonts w:ascii="宋体" w:hAnsi="宋体" w:cs="宋体"/>
                                <w:sz w:val="21"/>
                                <w:szCs w:val="21"/>
                                <w:lang w:eastAsia="zh-CN"/>
                              </w:rPr>
                            </w:pPr>
                          </w:p>
                          <w:p w14:paraId="3B30A9CE">
                            <w:pPr>
                              <w:pStyle w:val="78"/>
                              <w:ind w:left="7"/>
                              <w:rPr>
                                <w:rFonts w:ascii="宋体" w:hAnsi="宋体" w:cs="宋体"/>
                                <w:sz w:val="20"/>
                                <w:szCs w:val="20"/>
                              </w:rPr>
                            </w:pPr>
                            <w:r>
                              <w:rPr>
                                <w:rFonts w:hint="eastAsia" w:ascii="宋体" w:hAnsi="宋体" w:cs="宋体"/>
                                <w:w w:val="99"/>
                                <w:sz w:val="20"/>
                                <w:szCs w:val="20"/>
                              </w:rPr>
                              <w:t>小便器</w:t>
                            </w:r>
                          </w:p>
                        </w:tc>
                        <w:tc>
                          <w:tcPr>
                            <w:tcW w:w="1770" w:type="dxa"/>
                            <w:tcBorders>
                              <w:top w:val="single" w:color="auto" w:sz="4" w:space="0"/>
                              <w:left w:val="single" w:color="auto" w:sz="4" w:space="0"/>
                              <w:bottom w:val="single" w:color="auto" w:sz="4" w:space="0"/>
                              <w:right w:val="single" w:color="auto" w:sz="4" w:space="0"/>
                            </w:tcBorders>
                            <w:noWrap w:val="0"/>
                            <w:vAlign w:val="top"/>
                          </w:tcPr>
                          <w:p w14:paraId="22C0122B">
                            <w:pPr>
                              <w:rPr>
                                <w:rFonts w:ascii="Calibri" w:hAnsi="Calibri"/>
                                <w:sz w:val="22"/>
                                <w:szCs w:val="22"/>
                              </w:rPr>
                            </w:pPr>
                          </w:p>
                        </w:tc>
                        <w:tc>
                          <w:tcPr>
                            <w:tcW w:w="3765" w:type="dxa"/>
                            <w:tcBorders>
                              <w:top w:val="single" w:color="auto" w:sz="4" w:space="0"/>
                              <w:left w:val="single" w:color="auto" w:sz="4" w:space="0"/>
                              <w:bottom w:val="single" w:color="auto" w:sz="4" w:space="0"/>
                              <w:right w:val="single" w:color="auto" w:sz="4" w:space="0"/>
                            </w:tcBorders>
                            <w:noWrap w:val="0"/>
                            <w:vAlign w:val="top"/>
                          </w:tcPr>
                          <w:p w14:paraId="341E56EF">
                            <w:pPr>
                              <w:pStyle w:val="78"/>
                              <w:spacing w:before="124" w:line="280" w:lineRule="auto"/>
                              <w:ind w:left="7" w:right="4"/>
                              <w:rPr>
                                <w:rFonts w:ascii="宋体" w:hAnsi="宋体" w:cs="宋体"/>
                                <w:sz w:val="20"/>
                                <w:szCs w:val="20"/>
                                <w:lang w:eastAsia="zh-CN"/>
                              </w:rPr>
                            </w:pPr>
                            <w:r>
                              <w:rPr>
                                <w:rFonts w:hint="eastAsia" w:ascii="宋体" w:hAnsi="宋体" w:cs="宋体"/>
                                <w:spacing w:val="12"/>
                                <w:w w:val="99"/>
                                <w:sz w:val="20"/>
                                <w:szCs w:val="20"/>
                                <w:lang w:eastAsia="zh-CN"/>
                              </w:rPr>
                              <w:t>《小便器用水效率限定</w:t>
                            </w:r>
                            <w:r>
                              <w:rPr>
                                <w:rFonts w:hint="eastAsia" w:ascii="宋体" w:hAnsi="宋体" w:cs="宋体"/>
                                <w:spacing w:val="9"/>
                                <w:w w:val="99"/>
                                <w:sz w:val="20"/>
                                <w:szCs w:val="20"/>
                                <w:lang w:eastAsia="zh-CN"/>
                              </w:rPr>
                              <w:t>值</w:t>
                            </w:r>
                            <w:r>
                              <w:rPr>
                                <w:rFonts w:hint="eastAsia" w:ascii="宋体" w:hAnsi="宋体" w:cs="宋体"/>
                                <w:spacing w:val="12"/>
                                <w:w w:val="99"/>
                                <w:sz w:val="20"/>
                                <w:szCs w:val="20"/>
                                <w:lang w:eastAsia="zh-CN"/>
                              </w:rPr>
                              <w:t>及用</w:t>
                            </w:r>
                            <w:r>
                              <w:rPr>
                                <w:rFonts w:hint="eastAsia" w:ascii="宋体" w:hAnsi="宋体" w:cs="宋体"/>
                                <w:w w:val="99"/>
                                <w:sz w:val="20"/>
                                <w:szCs w:val="20"/>
                                <w:lang w:eastAsia="zh-CN"/>
                              </w:rPr>
                              <w:t>水效率等</w:t>
                            </w:r>
                            <w:r>
                              <w:rPr>
                                <w:rFonts w:hint="eastAsia" w:ascii="宋体" w:hAnsi="宋体" w:cs="宋体"/>
                                <w:spacing w:val="2"/>
                                <w:w w:val="99"/>
                                <w:sz w:val="20"/>
                                <w:szCs w:val="20"/>
                                <w:lang w:eastAsia="zh-CN"/>
                              </w:rPr>
                              <w:t>级</w:t>
                            </w:r>
                            <w:r>
                              <w:rPr>
                                <w:rFonts w:hint="eastAsia" w:ascii="宋体" w:hAnsi="宋体" w:cs="宋体"/>
                                <w:w w:val="99"/>
                                <w:sz w:val="20"/>
                                <w:szCs w:val="20"/>
                                <w:lang w:eastAsia="zh-CN"/>
                              </w:rPr>
                              <w:t>》（</w:t>
                            </w:r>
                            <w:r>
                              <w:rPr>
                                <w:rFonts w:hint="eastAsia" w:ascii="宋体" w:hAnsi="宋体" w:cs="宋体"/>
                                <w:spacing w:val="1"/>
                                <w:w w:val="99"/>
                                <w:sz w:val="20"/>
                                <w:szCs w:val="20"/>
                                <w:lang w:eastAsia="zh-CN"/>
                              </w:rPr>
                              <w:t>G</w:t>
                            </w:r>
                            <w:r>
                              <w:rPr>
                                <w:rFonts w:hint="eastAsia" w:ascii="宋体" w:hAnsi="宋体" w:cs="宋体"/>
                                <w:w w:val="99"/>
                                <w:sz w:val="20"/>
                                <w:szCs w:val="20"/>
                                <w:lang w:eastAsia="zh-CN"/>
                              </w:rPr>
                              <w:t>B</w:t>
                            </w:r>
                            <w:r>
                              <w:rPr>
                                <w:rFonts w:hint="eastAsia" w:ascii="宋体" w:hAnsi="宋体" w:cs="宋体"/>
                                <w:spacing w:val="1"/>
                                <w:w w:val="99"/>
                                <w:sz w:val="20"/>
                                <w:szCs w:val="20"/>
                                <w:lang w:eastAsia="zh-CN"/>
                              </w:rPr>
                              <w:t>283</w:t>
                            </w:r>
                            <w:r>
                              <w:rPr>
                                <w:rFonts w:hint="eastAsia" w:ascii="宋体" w:hAnsi="宋体" w:cs="宋体"/>
                                <w:w w:val="99"/>
                                <w:sz w:val="20"/>
                                <w:szCs w:val="20"/>
                                <w:lang w:eastAsia="zh-CN"/>
                              </w:rPr>
                              <w:t>7</w:t>
                            </w:r>
                            <w:r>
                              <w:rPr>
                                <w:rFonts w:hint="eastAsia" w:ascii="宋体" w:hAnsi="宋体" w:cs="宋体"/>
                                <w:spacing w:val="-1"/>
                                <w:w w:val="99"/>
                                <w:sz w:val="20"/>
                                <w:szCs w:val="20"/>
                                <w:lang w:eastAsia="zh-CN"/>
                              </w:rPr>
                              <w:t>7</w:t>
                            </w:r>
                            <w:r>
                              <w:rPr>
                                <w:rFonts w:hint="eastAsia" w:ascii="宋体" w:hAnsi="宋体" w:cs="宋体"/>
                                <w:w w:val="99"/>
                                <w:sz w:val="20"/>
                                <w:szCs w:val="20"/>
                                <w:lang w:eastAsia="zh-CN"/>
                              </w:rPr>
                              <w:t>）</w:t>
                            </w:r>
                          </w:p>
                        </w:tc>
                      </w:tr>
                    </w:tbl>
                    <w:p w14:paraId="16EFC6C2">
                      <w:pPr>
                        <w:rPr>
                          <w:rFonts w:ascii="Calibri" w:hAnsi="Calibri"/>
                          <w:sz w:val="22"/>
                          <w:szCs w:val="22"/>
                        </w:rPr>
                      </w:pPr>
                    </w:p>
                  </w:txbxContent>
                </v:textbox>
              </v:shape>
            </w:pict>
          </mc:Fallback>
        </mc:AlternateContent>
      </w:r>
    </w:p>
    <w:p w14:paraId="0D12C4AD">
      <w:pPr>
        <w:rPr>
          <w:rFonts w:ascii="宋体" w:hAnsi="宋体" w:cs="宋体"/>
          <w:color w:val="auto"/>
          <w:sz w:val="20"/>
          <w:szCs w:val="20"/>
          <w:highlight w:val="none"/>
        </w:rPr>
      </w:pPr>
    </w:p>
    <w:p w14:paraId="764D29AB">
      <w:pPr>
        <w:rPr>
          <w:rFonts w:ascii="宋体" w:hAnsi="宋体" w:cs="宋体"/>
          <w:color w:val="auto"/>
          <w:sz w:val="20"/>
          <w:szCs w:val="20"/>
          <w:highlight w:val="none"/>
        </w:rPr>
      </w:pPr>
    </w:p>
    <w:p w14:paraId="6168C4CB">
      <w:pPr>
        <w:spacing w:before="13"/>
        <w:rPr>
          <w:rFonts w:ascii="宋体" w:hAnsi="宋体" w:cs="宋体"/>
          <w:color w:val="auto"/>
          <w:sz w:val="24"/>
          <w:highlight w:val="none"/>
        </w:rPr>
      </w:pPr>
    </w:p>
    <w:p w14:paraId="694DA5AF">
      <w:pPr>
        <w:rPr>
          <w:rFonts w:ascii="宋体" w:hAnsi="宋体" w:cs="宋体"/>
          <w:color w:val="auto"/>
          <w:sz w:val="20"/>
          <w:szCs w:val="20"/>
          <w:highlight w:val="none"/>
        </w:rPr>
      </w:pPr>
    </w:p>
    <w:p w14:paraId="513A5B42">
      <w:pPr>
        <w:rPr>
          <w:rFonts w:ascii="宋体" w:hAnsi="宋体" w:cs="宋体"/>
          <w:color w:val="auto"/>
          <w:sz w:val="20"/>
          <w:szCs w:val="20"/>
          <w:highlight w:val="none"/>
        </w:rPr>
      </w:pPr>
    </w:p>
    <w:p w14:paraId="290EE0BD">
      <w:pPr>
        <w:rPr>
          <w:rFonts w:ascii="宋体" w:hAnsi="宋体" w:cs="宋体"/>
          <w:color w:val="auto"/>
          <w:sz w:val="20"/>
          <w:szCs w:val="20"/>
          <w:highlight w:val="none"/>
        </w:rPr>
      </w:pPr>
    </w:p>
    <w:p w14:paraId="14A1C16A">
      <w:pPr>
        <w:rPr>
          <w:rFonts w:ascii="宋体" w:hAnsi="宋体" w:cs="宋体"/>
          <w:color w:val="auto"/>
          <w:sz w:val="20"/>
          <w:szCs w:val="20"/>
          <w:highlight w:val="none"/>
        </w:rPr>
      </w:pPr>
    </w:p>
    <w:p w14:paraId="4B4E762F">
      <w:pPr>
        <w:rPr>
          <w:rFonts w:ascii="宋体" w:hAnsi="宋体" w:cs="宋体"/>
          <w:color w:val="auto"/>
          <w:sz w:val="20"/>
          <w:szCs w:val="20"/>
          <w:highlight w:val="none"/>
        </w:rPr>
      </w:pPr>
    </w:p>
    <w:p w14:paraId="3EE03B1E">
      <w:pPr>
        <w:rPr>
          <w:rFonts w:ascii="宋体" w:hAnsi="宋体" w:cs="宋体"/>
          <w:color w:val="auto"/>
          <w:sz w:val="20"/>
          <w:szCs w:val="20"/>
          <w:highlight w:val="none"/>
        </w:rPr>
      </w:pPr>
    </w:p>
    <w:p w14:paraId="3CB51B77">
      <w:pPr>
        <w:rPr>
          <w:rFonts w:ascii="宋体" w:hAnsi="宋体" w:cs="宋体"/>
          <w:color w:val="auto"/>
          <w:sz w:val="20"/>
          <w:szCs w:val="20"/>
          <w:highlight w:val="none"/>
        </w:rPr>
      </w:pPr>
    </w:p>
    <w:p w14:paraId="52503D80">
      <w:pPr>
        <w:rPr>
          <w:rFonts w:ascii="宋体" w:hAnsi="宋体" w:cs="宋体"/>
          <w:color w:val="auto"/>
          <w:sz w:val="20"/>
          <w:szCs w:val="20"/>
          <w:highlight w:val="none"/>
        </w:rPr>
      </w:pPr>
    </w:p>
    <w:p w14:paraId="14F79DFE">
      <w:pPr>
        <w:rPr>
          <w:rFonts w:ascii="宋体" w:hAnsi="宋体" w:cs="宋体"/>
          <w:color w:val="auto"/>
          <w:sz w:val="20"/>
          <w:szCs w:val="20"/>
          <w:highlight w:val="none"/>
        </w:rPr>
      </w:pPr>
    </w:p>
    <w:p w14:paraId="10AB69B8">
      <w:pPr>
        <w:rPr>
          <w:rFonts w:ascii="宋体" w:hAnsi="宋体" w:cs="宋体"/>
          <w:color w:val="auto"/>
          <w:sz w:val="20"/>
          <w:szCs w:val="20"/>
          <w:highlight w:val="none"/>
        </w:rPr>
      </w:pPr>
    </w:p>
    <w:p w14:paraId="73D1C088">
      <w:pPr>
        <w:rPr>
          <w:rFonts w:ascii="宋体" w:hAnsi="宋体" w:cs="宋体"/>
          <w:color w:val="auto"/>
          <w:sz w:val="20"/>
          <w:szCs w:val="20"/>
          <w:highlight w:val="none"/>
        </w:rPr>
      </w:pPr>
    </w:p>
    <w:p w14:paraId="1F80D165">
      <w:pPr>
        <w:rPr>
          <w:rFonts w:ascii="宋体" w:hAnsi="宋体" w:cs="宋体"/>
          <w:color w:val="auto"/>
          <w:sz w:val="20"/>
          <w:szCs w:val="20"/>
          <w:highlight w:val="none"/>
        </w:rPr>
      </w:pPr>
    </w:p>
    <w:p w14:paraId="51A95244">
      <w:pPr>
        <w:rPr>
          <w:rFonts w:ascii="宋体" w:hAnsi="宋体" w:cs="宋体"/>
          <w:color w:val="auto"/>
          <w:sz w:val="20"/>
          <w:szCs w:val="20"/>
          <w:highlight w:val="none"/>
        </w:rPr>
      </w:pPr>
    </w:p>
    <w:p w14:paraId="6208DFBD">
      <w:pPr>
        <w:rPr>
          <w:rFonts w:ascii="宋体" w:hAnsi="宋体" w:cs="宋体"/>
          <w:color w:val="auto"/>
          <w:sz w:val="20"/>
          <w:szCs w:val="20"/>
          <w:highlight w:val="none"/>
        </w:rPr>
      </w:pPr>
    </w:p>
    <w:p w14:paraId="771C65FF">
      <w:pPr>
        <w:rPr>
          <w:rFonts w:ascii="宋体" w:hAnsi="宋体" w:cs="宋体"/>
          <w:color w:val="auto"/>
          <w:sz w:val="20"/>
          <w:szCs w:val="20"/>
          <w:highlight w:val="none"/>
        </w:rPr>
      </w:pPr>
    </w:p>
    <w:p w14:paraId="66410FD1">
      <w:pPr>
        <w:rPr>
          <w:rFonts w:ascii="宋体" w:hAnsi="宋体" w:cs="宋体"/>
          <w:color w:val="auto"/>
          <w:sz w:val="20"/>
          <w:szCs w:val="20"/>
          <w:highlight w:val="none"/>
        </w:rPr>
      </w:pPr>
    </w:p>
    <w:p w14:paraId="3E5FA61C">
      <w:pPr>
        <w:rPr>
          <w:rFonts w:ascii="宋体" w:hAnsi="宋体" w:cs="宋体"/>
          <w:color w:val="auto"/>
          <w:sz w:val="20"/>
          <w:szCs w:val="20"/>
          <w:highlight w:val="none"/>
        </w:rPr>
      </w:pPr>
    </w:p>
    <w:p w14:paraId="0AC0208C">
      <w:pPr>
        <w:rPr>
          <w:rFonts w:ascii="宋体" w:hAnsi="宋体" w:cs="宋体"/>
          <w:color w:val="auto"/>
          <w:sz w:val="20"/>
          <w:szCs w:val="20"/>
          <w:highlight w:val="none"/>
        </w:rPr>
      </w:pPr>
    </w:p>
    <w:p w14:paraId="2E243AC4">
      <w:pPr>
        <w:rPr>
          <w:rFonts w:ascii="宋体" w:hAnsi="宋体" w:cs="宋体"/>
          <w:color w:val="auto"/>
          <w:sz w:val="20"/>
          <w:szCs w:val="20"/>
          <w:highlight w:val="none"/>
        </w:rPr>
      </w:pPr>
    </w:p>
    <w:p w14:paraId="3D2948EF">
      <w:pPr>
        <w:rPr>
          <w:rFonts w:ascii="宋体" w:hAnsi="宋体" w:cs="宋体"/>
          <w:color w:val="auto"/>
          <w:sz w:val="20"/>
          <w:szCs w:val="20"/>
          <w:highlight w:val="none"/>
        </w:rPr>
      </w:pPr>
    </w:p>
    <w:p w14:paraId="0E4C8774">
      <w:pPr>
        <w:rPr>
          <w:rFonts w:ascii="宋体" w:hAnsi="宋体" w:cs="宋体"/>
          <w:color w:val="auto"/>
          <w:sz w:val="20"/>
          <w:szCs w:val="20"/>
          <w:highlight w:val="none"/>
        </w:rPr>
      </w:pPr>
    </w:p>
    <w:p w14:paraId="1A775649">
      <w:pPr>
        <w:rPr>
          <w:rFonts w:ascii="宋体" w:hAnsi="宋体" w:cs="宋体"/>
          <w:color w:val="auto"/>
          <w:sz w:val="20"/>
          <w:szCs w:val="20"/>
          <w:highlight w:val="none"/>
        </w:rPr>
      </w:pPr>
    </w:p>
    <w:p w14:paraId="0B6A6940">
      <w:pPr>
        <w:rPr>
          <w:rFonts w:ascii="宋体" w:hAnsi="宋体" w:cs="宋体"/>
          <w:color w:val="auto"/>
          <w:sz w:val="20"/>
          <w:szCs w:val="20"/>
          <w:highlight w:val="none"/>
        </w:rPr>
      </w:pPr>
    </w:p>
    <w:p w14:paraId="659A0B87">
      <w:pPr>
        <w:rPr>
          <w:rFonts w:ascii="宋体" w:hAnsi="宋体" w:cs="宋体"/>
          <w:color w:val="auto"/>
          <w:sz w:val="20"/>
          <w:szCs w:val="20"/>
          <w:highlight w:val="none"/>
        </w:rPr>
      </w:pPr>
    </w:p>
    <w:p w14:paraId="35E0E9EA">
      <w:pPr>
        <w:rPr>
          <w:rFonts w:ascii="宋体" w:hAnsi="宋体" w:cs="宋体"/>
          <w:color w:val="auto"/>
          <w:sz w:val="20"/>
          <w:szCs w:val="20"/>
          <w:highlight w:val="none"/>
        </w:rPr>
      </w:pPr>
    </w:p>
    <w:p w14:paraId="5538645D">
      <w:pPr>
        <w:rPr>
          <w:rFonts w:ascii="宋体" w:hAnsi="宋体" w:cs="宋体"/>
          <w:color w:val="auto"/>
          <w:sz w:val="20"/>
          <w:szCs w:val="20"/>
          <w:highlight w:val="none"/>
        </w:rPr>
      </w:pPr>
    </w:p>
    <w:p w14:paraId="14B2E060">
      <w:pPr>
        <w:rPr>
          <w:rFonts w:ascii="宋体" w:hAnsi="宋体" w:cs="宋体"/>
          <w:color w:val="auto"/>
          <w:sz w:val="20"/>
          <w:szCs w:val="20"/>
          <w:highlight w:val="none"/>
        </w:rPr>
      </w:pPr>
    </w:p>
    <w:p w14:paraId="61A21BD5">
      <w:pPr>
        <w:rPr>
          <w:rFonts w:ascii="宋体" w:hAnsi="宋体" w:cs="宋体"/>
          <w:color w:val="auto"/>
          <w:sz w:val="20"/>
          <w:szCs w:val="20"/>
          <w:highlight w:val="none"/>
        </w:rPr>
      </w:pPr>
    </w:p>
    <w:p w14:paraId="1A56BD6C">
      <w:pPr>
        <w:rPr>
          <w:rFonts w:ascii="宋体" w:hAnsi="宋体" w:cs="宋体"/>
          <w:color w:val="auto"/>
          <w:sz w:val="20"/>
          <w:szCs w:val="20"/>
          <w:highlight w:val="none"/>
        </w:rPr>
      </w:pPr>
    </w:p>
    <w:p w14:paraId="6C9D5924">
      <w:pPr>
        <w:rPr>
          <w:rFonts w:ascii="宋体" w:hAnsi="宋体" w:cs="宋体"/>
          <w:color w:val="auto"/>
          <w:sz w:val="20"/>
          <w:szCs w:val="20"/>
          <w:highlight w:val="none"/>
        </w:rPr>
      </w:pPr>
    </w:p>
    <w:p w14:paraId="5B1161E8">
      <w:pPr>
        <w:rPr>
          <w:rFonts w:ascii="宋体" w:hAnsi="宋体" w:cs="宋体"/>
          <w:color w:val="auto"/>
          <w:sz w:val="20"/>
          <w:szCs w:val="20"/>
          <w:highlight w:val="none"/>
        </w:rPr>
      </w:pPr>
    </w:p>
    <w:p w14:paraId="611CBC13">
      <w:pPr>
        <w:spacing w:before="3"/>
        <w:rPr>
          <w:rFonts w:ascii="宋体" w:hAnsi="宋体" w:cs="宋体"/>
          <w:color w:val="auto"/>
          <w:sz w:val="29"/>
          <w:szCs w:val="29"/>
          <w:highlight w:val="none"/>
        </w:rPr>
      </w:pPr>
    </w:p>
    <w:p w14:paraId="6844FCC4">
      <w:pPr>
        <w:widowControl/>
        <w:jc w:val="left"/>
        <w:rPr>
          <w:rFonts w:ascii="宋体" w:hAnsi="宋体" w:cs="宋体"/>
          <w:color w:val="auto"/>
          <w:sz w:val="20"/>
          <w:szCs w:val="20"/>
          <w:highlight w:val="none"/>
        </w:rPr>
      </w:pPr>
    </w:p>
    <w:p w14:paraId="30388035">
      <w:pPr>
        <w:spacing w:before="4"/>
        <w:rPr>
          <w:rFonts w:ascii="宋体" w:hAnsi="宋体" w:cs="宋体"/>
          <w:color w:val="auto"/>
          <w:sz w:val="6"/>
          <w:szCs w:val="6"/>
          <w:highlight w:val="none"/>
        </w:rPr>
      </w:pPr>
      <w:r>
        <w:rPr>
          <w:rFonts w:hint="eastAsia" w:ascii="宋体" w:hAnsi="宋体" w:cs="宋体"/>
          <w:color w:val="auto"/>
          <w:sz w:val="20"/>
          <w:szCs w:val="20"/>
          <w:highlight w:val="none"/>
        </w:rPr>
        <w:br w:type="page"/>
      </w:r>
    </w:p>
    <w:tbl>
      <w:tblPr>
        <w:tblStyle w:val="29"/>
        <w:tblW w:w="9120" w:type="dxa"/>
        <w:tblInd w:w="-339" w:type="dxa"/>
        <w:tblLayout w:type="fixed"/>
        <w:tblCellMar>
          <w:top w:w="0" w:type="dxa"/>
          <w:left w:w="0" w:type="dxa"/>
          <w:bottom w:w="0" w:type="dxa"/>
          <w:right w:w="0" w:type="dxa"/>
        </w:tblCellMar>
      </w:tblPr>
      <w:tblGrid>
        <w:gridCol w:w="615"/>
        <w:gridCol w:w="1290"/>
        <w:gridCol w:w="2077"/>
        <w:gridCol w:w="1373"/>
        <w:gridCol w:w="3765"/>
      </w:tblGrid>
      <w:tr w14:paraId="59E89CF8">
        <w:trPr>
          <w:trHeight w:val="943"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23322BF3">
            <w:pPr>
              <w:pStyle w:val="78"/>
              <w:spacing w:before="8"/>
              <w:rPr>
                <w:rFonts w:ascii="宋体" w:hAnsi="宋体" w:cs="宋体"/>
                <w:color w:val="auto"/>
                <w:sz w:val="23"/>
                <w:szCs w:val="23"/>
                <w:highlight w:val="none"/>
                <w:lang w:eastAsia="zh-CN"/>
              </w:rPr>
            </w:pPr>
          </w:p>
          <w:p w14:paraId="480C7B28">
            <w:pPr>
              <w:pStyle w:val="78"/>
              <w:ind w:left="182"/>
              <w:rPr>
                <w:rFonts w:ascii="宋体" w:hAnsi="宋体" w:cs="宋体"/>
                <w:color w:val="auto"/>
                <w:sz w:val="20"/>
                <w:szCs w:val="20"/>
                <w:highlight w:val="none"/>
              </w:rPr>
            </w:pPr>
            <w:r>
              <w:rPr>
                <w:rFonts w:hint="eastAsia" w:ascii="宋体" w:hAnsi="宋体" w:cs="宋体"/>
                <w:color w:val="auto"/>
                <w:sz w:val="20"/>
                <w:highlight w:val="none"/>
              </w:rPr>
              <w:t>16</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55A124FC">
            <w:pPr>
              <w:pStyle w:val="78"/>
              <w:spacing w:before="153"/>
              <w:ind w:left="7"/>
              <w:rPr>
                <w:rFonts w:ascii="宋体" w:hAnsi="宋体" w:cs="宋体"/>
                <w:color w:val="auto"/>
                <w:sz w:val="20"/>
                <w:szCs w:val="20"/>
                <w:highlight w:val="none"/>
              </w:rPr>
            </w:pPr>
            <w:r>
              <w:rPr>
                <w:rFonts w:hint="eastAsia" w:ascii="宋体" w:hAnsi="宋体" w:cs="宋体"/>
                <w:color w:val="auto"/>
                <w:sz w:val="20"/>
                <w:szCs w:val="20"/>
                <w:highlight w:val="none"/>
              </w:rPr>
              <w:t>★A060806水</w:t>
            </w:r>
          </w:p>
          <w:p w14:paraId="7EAAA098">
            <w:pPr>
              <w:pStyle w:val="78"/>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嘴</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4A71AC18">
            <w:pPr>
              <w:rPr>
                <w:rFonts w:ascii="宋体" w:hAnsi="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6ADAC310">
            <w:pPr>
              <w:rPr>
                <w:rFonts w:ascii="宋体" w:hAnsi="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5D1954C4">
            <w:pPr>
              <w:pStyle w:val="78"/>
              <w:spacing w:before="153"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《水嘴用水效率限定值及用水效</w:t>
            </w:r>
            <w:r>
              <w:rPr>
                <w:rFonts w:hint="eastAsia" w:ascii="宋体" w:hAnsi="宋体" w:cs="宋体"/>
                <w:color w:val="auto"/>
                <w:sz w:val="20"/>
                <w:szCs w:val="20"/>
                <w:highlight w:val="none"/>
                <w:lang w:eastAsia="zh-CN"/>
              </w:rPr>
              <w:t>率等级》（GB 25501）</w:t>
            </w:r>
          </w:p>
        </w:tc>
      </w:tr>
      <w:tr w14:paraId="784FCA72">
        <w:tblPrEx>
          <w:tblCellMar>
            <w:top w:w="0" w:type="dxa"/>
            <w:left w:w="0" w:type="dxa"/>
            <w:bottom w:w="0" w:type="dxa"/>
            <w:right w:w="0" w:type="dxa"/>
          </w:tblCellMar>
        </w:tblPrEx>
        <w:trPr>
          <w:trHeight w:val="862"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34AD7D23">
            <w:pPr>
              <w:pStyle w:val="78"/>
              <w:spacing w:before="6"/>
              <w:rPr>
                <w:rFonts w:ascii="宋体" w:hAnsi="宋体" w:cs="宋体"/>
                <w:color w:val="auto"/>
                <w:sz w:val="20"/>
                <w:szCs w:val="20"/>
                <w:highlight w:val="none"/>
                <w:lang w:eastAsia="zh-CN"/>
              </w:rPr>
            </w:pPr>
          </w:p>
          <w:p w14:paraId="45C28DF8">
            <w:pPr>
              <w:pStyle w:val="78"/>
              <w:ind w:left="182"/>
              <w:rPr>
                <w:rFonts w:ascii="宋体" w:hAnsi="宋体" w:cs="宋体"/>
                <w:color w:val="auto"/>
                <w:sz w:val="20"/>
                <w:szCs w:val="20"/>
                <w:highlight w:val="none"/>
              </w:rPr>
            </w:pPr>
            <w:r>
              <w:rPr>
                <w:rFonts w:hint="eastAsia" w:ascii="宋体" w:hAnsi="宋体" w:cs="宋体"/>
                <w:color w:val="auto"/>
                <w:sz w:val="20"/>
                <w:highlight w:val="none"/>
              </w:rPr>
              <w:t>17</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20ED3359">
            <w:pPr>
              <w:pStyle w:val="78"/>
              <w:spacing w:before="112"/>
              <w:ind w:left="7"/>
              <w:rPr>
                <w:rFonts w:ascii="宋体" w:hAnsi="宋体" w:cs="宋体"/>
                <w:color w:val="auto"/>
                <w:sz w:val="20"/>
                <w:szCs w:val="20"/>
                <w:highlight w:val="none"/>
              </w:rPr>
            </w:pPr>
            <w:r>
              <w:rPr>
                <w:rFonts w:hint="eastAsia" w:ascii="宋体" w:hAnsi="宋体" w:cs="宋体"/>
                <w:color w:val="auto"/>
                <w:sz w:val="20"/>
                <w:szCs w:val="20"/>
                <w:highlight w:val="none"/>
              </w:rPr>
              <w:t>A060807便器</w:t>
            </w:r>
          </w:p>
          <w:p w14:paraId="587E2E6F">
            <w:pPr>
              <w:pStyle w:val="78"/>
              <w:spacing w:before="50"/>
              <w:ind w:left="7"/>
              <w:rPr>
                <w:rFonts w:ascii="宋体" w:hAnsi="宋体" w:cs="宋体"/>
                <w:color w:val="auto"/>
                <w:sz w:val="20"/>
                <w:szCs w:val="20"/>
                <w:highlight w:val="none"/>
              </w:rPr>
            </w:pPr>
            <w:r>
              <w:rPr>
                <w:rFonts w:hint="eastAsia" w:ascii="宋体" w:hAnsi="宋体" w:cs="宋体"/>
                <w:color w:val="auto"/>
                <w:sz w:val="20"/>
                <w:szCs w:val="20"/>
                <w:highlight w:val="none"/>
              </w:rPr>
              <w:t>冲洗阀</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5B56B30A">
            <w:pPr>
              <w:rPr>
                <w:rFonts w:ascii="宋体" w:hAnsi="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615738A3">
            <w:pPr>
              <w:rPr>
                <w:rFonts w:ascii="宋体" w:hAnsi="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64E8C852">
            <w:pPr>
              <w:pStyle w:val="78"/>
              <w:spacing w:before="112"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《便器冲洗阀用水效率限定值及</w:t>
            </w:r>
            <w:r>
              <w:rPr>
                <w:rFonts w:hint="eastAsia" w:ascii="宋体" w:hAnsi="宋体" w:cs="宋体"/>
                <w:color w:val="auto"/>
                <w:sz w:val="20"/>
                <w:szCs w:val="20"/>
                <w:highlight w:val="none"/>
                <w:lang w:eastAsia="zh-CN"/>
              </w:rPr>
              <w:t>用水效率等级》（GB28379）</w:t>
            </w:r>
          </w:p>
        </w:tc>
      </w:tr>
      <w:tr w14:paraId="10908B0B">
        <w:tblPrEx>
          <w:tblCellMar>
            <w:top w:w="0" w:type="dxa"/>
            <w:left w:w="0" w:type="dxa"/>
            <w:bottom w:w="0" w:type="dxa"/>
            <w:right w:w="0" w:type="dxa"/>
          </w:tblCellMar>
        </w:tblPrEx>
        <w:trPr>
          <w:trHeight w:val="902" w:hRule="exact"/>
        </w:trPr>
        <w:tc>
          <w:tcPr>
            <w:tcW w:w="615" w:type="dxa"/>
            <w:tcBorders>
              <w:top w:val="single" w:color="000000" w:sz="4" w:space="0"/>
              <w:left w:val="single" w:color="000000" w:sz="4" w:space="0"/>
              <w:bottom w:val="single" w:color="000000" w:sz="4" w:space="0"/>
              <w:right w:val="single" w:color="000000" w:sz="4" w:space="0"/>
            </w:tcBorders>
            <w:noWrap w:val="0"/>
            <w:vAlign w:val="top"/>
          </w:tcPr>
          <w:p w14:paraId="7AD526C6">
            <w:pPr>
              <w:pStyle w:val="78"/>
              <w:spacing w:before="12"/>
              <w:rPr>
                <w:rFonts w:ascii="宋体" w:hAnsi="宋体" w:cs="宋体"/>
                <w:color w:val="auto"/>
                <w:sz w:val="21"/>
                <w:szCs w:val="21"/>
                <w:highlight w:val="none"/>
                <w:lang w:eastAsia="zh-CN"/>
              </w:rPr>
            </w:pPr>
          </w:p>
          <w:p w14:paraId="13B4BB79">
            <w:pPr>
              <w:pStyle w:val="78"/>
              <w:ind w:left="182"/>
              <w:rPr>
                <w:rFonts w:ascii="宋体" w:hAnsi="宋体" w:cs="宋体"/>
                <w:color w:val="auto"/>
                <w:sz w:val="20"/>
                <w:szCs w:val="20"/>
                <w:highlight w:val="none"/>
              </w:rPr>
            </w:pPr>
            <w:r>
              <w:rPr>
                <w:rFonts w:hint="eastAsia" w:ascii="宋体" w:hAnsi="宋体" w:cs="宋体"/>
                <w:color w:val="auto"/>
                <w:sz w:val="20"/>
                <w:highlight w:val="none"/>
              </w:rPr>
              <w:t>18</w:t>
            </w:r>
          </w:p>
        </w:tc>
        <w:tc>
          <w:tcPr>
            <w:tcW w:w="1290" w:type="dxa"/>
            <w:tcBorders>
              <w:top w:val="single" w:color="000000" w:sz="4" w:space="0"/>
              <w:left w:val="single" w:color="000000" w:sz="4" w:space="0"/>
              <w:bottom w:val="single" w:color="000000" w:sz="4" w:space="0"/>
              <w:right w:val="single" w:color="000000" w:sz="4" w:space="0"/>
            </w:tcBorders>
            <w:noWrap w:val="0"/>
            <w:vAlign w:val="top"/>
          </w:tcPr>
          <w:p w14:paraId="102BCFC8">
            <w:pPr>
              <w:pStyle w:val="78"/>
              <w:spacing w:before="131"/>
              <w:ind w:left="7"/>
              <w:rPr>
                <w:rFonts w:ascii="宋体" w:hAnsi="宋体" w:cs="宋体"/>
                <w:color w:val="auto"/>
                <w:sz w:val="20"/>
                <w:szCs w:val="20"/>
                <w:highlight w:val="none"/>
              </w:rPr>
            </w:pPr>
            <w:r>
              <w:rPr>
                <w:rFonts w:hint="eastAsia" w:ascii="宋体" w:hAnsi="宋体" w:cs="宋体"/>
                <w:color w:val="auto"/>
                <w:sz w:val="20"/>
                <w:szCs w:val="20"/>
                <w:highlight w:val="none"/>
              </w:rPr>
              <w:t>A060810淋浴</w:t>
            </w:r>
          </w:p>
          <w:p w14:paraId="212C7802">
            <w:pPr>
              <w:pStyle w:val="78"/>
              <w:spacing w:before="50"/>
              <w:ind w:left="7"/>
              <w:rPr>
                <w:rFonts w:ascii="宋体" w:hAnsi="宋体" w:cs="宋体"/>
                <w:color w:val="auto"/>
                <w:sz w:val="20"/>
                <w:szCs w:val="20"/>
                <w:highlight w:val="none"/>
              </w:rPr>
            </w:pPr>
            <w:r>
              <w:rPr>
                <w:rFonts w:hint="eastAsia" w:ascii="宋体" w:hAnsi="宋体" w:cs="宋体"/>
                <w:color w:val="auto"/>
                <w:w w:val="99"/>
                <w:sz w:val="20"/>
                <w:szCs w:val="20"/>
                <w:highlight w:val="none"/>
              </w:rPr>
              <w:t>器</w:t>
            </w:r>
          </w:p>
        </w:tc>
        <w:tc>
          <w:tcPr>
            <w:tcW w:w="2077" w:type="dxa"/>
            <w:tcBorders>
              <w:top w:val="single" w:color="000000" w:sz="4" w:space="0"/>
              <w:left w:val="single" w:color="000000" w:sz="4" w:space="0"/>
              <w:bottom w:val="single" w:color="000000" w:sz="4" w:space="0"/>
              <w:right w:val="single" w:color="000000" w:sz="4" w:space="0"/>
            </w:tcBorders>
            <w:noWrap w:val="0"/>
            <w:vAlign w:val="top"/>
          </w:tcPr>
          <w:p w14:paraId="528B39F2">
            <w:pPr>
              <w:rPr>
                <w:rFonts w:ascii="宋体" w:hAnsi="宋体" w:cs="宋体"/>
                <w:color w:val="auto"/>
                <w:sz w:val="22"/>
                <w:szCs w:val="22"/>
                <w:highlight w:val="none"/>
                <w:lang w:eastAsia="en-US"/>
              </w:rPr>
            </w:pPr>
          </w:p>
        </w:tc>
        <w:tc>
          <w:tcPr>
            <w:tcW w:w="1373" w:type="dxa"/>
            <w:tcBorders>
              <w:top w:val="single" w:color="000000" w:sz="4" w:space="0"/>
              <w:left w:val="single" w:color="000000" w:sz="4" w:space="0"/>
              <w:bottom w:val="single" w:color="000000" w:sz="4" w:space="0"/>
              <w:right w:val="single" w:color="000000" w:sz="4" w:space="0"/>
            </w:tcBorders>
            <w:noWrap w:val="0"/>
            <w:vAlign w:val="top"/>
          </w:tcPr>
          <w:p w14:paraId="42A117A7">
            <w:pPr>
              <w:rPr>
                <w:rFonts w:ascii="宋体" w:hAnsi="宋体" w:cs="宋体"/>
                <w:color w:val="auto"/>
                <w:sz w:val="22"/>
                <w:szCs w:val="22"/>
                <w:highlight w:val="none"/>
                <w:lang w:eastAsia="en-US"/>
              </w:rPr>
            </w:pPr>
          </w:p>
        </w:tc>
        <w:tc>
          <w:tcPr>
            <w:tcW w:w="3765" w:type="dxa"/>
            <w:tcBorders>
              <w:top w:val="single" w:color="000000" w:sz="4" w:space="0"/>
              <w:left w:val="single" w:color="000000" w:sz="4" w:space="0"/>
              <w:bottom w:val="single" w:color="000000" w:sz="4" w:space="0"/>
              <w:right w:val="single" w:color="000000" w:sz="4" w:space="0"/>
            </w:tcBorders>
            <w:noWrap w:val="0"/>
            <w:vAlign w:val="top"/>
          </w:tcPr>
          <w:p w14:paraId="4AEDC8FF">
            <w:pPr>
              <w:pStyle w:val="78"/>
              <w:spacing w:before="131" w:line="280" w:lineRule="auto"/>
              <w:ind w:left="7" w:right="4"/>
              <w:rPr>
                <w:rFonts w:ascii="宋体" w:hAnsi="宋体" w:cs="宋体"/>
                <w:color w:val="auto"/>
                <w:sz w:val="20"/>
                <w:szCs w:val="20"/>
                <w:highlight w:val="none"/>
                <w:lang w:eastAsia="zh-CN"/>
              </w:rPr>
            </w:pPr>
            <w:r>
              <w:rPr>
                <w:rFonts w:hint="eastAsia" w:ascii="宋体" w:hAnsi="宋体" w:cs="宋体"/>
                <w:color w:val="auto"/>
                <w:spacing w:val="10"/>
                <w:sz w:val="20"/>
                <w:szCs w:val="20"/>
                <w:highlight w:val="none"/>
                <w:lang w:eastAsia="zh-CN"/>
              </w:rPr>
              <w:t>《淋浴器用水效率限定值及用水</w:t>
            </w:r>
            <w:r>
              <w:rPr>
                <w:rFonts w:hint="eastAsia" w:ascii="宋体" w:hAnsi="宋体" w:cs="宋体"/>
                <w:color w:val="auto"/>
                <w:sz w:val="20"/>
                <w:szCs w:val="20"/>
                <w:highlight w:val="none"/>
                <w:lang w:eastAsia="zh-CN"/>
              </w:rPr>
              <w:t>效率等级》（GB28378）</w:t>
            </w:r>
          </w:p>
        </w:tc>
      </w:tr>
    </w:tbl>
    <w:p w14:paraId="3498BECD">
      <w:pPr>
        <w:pStyle w:val="12"/>
        <w:spacing w:line="360" w:lineRule="auto"/>
        <w:rPr>
          <w:rFonts w:ascii="宋体" w:hAnsi="宋体" w:cs="宋体"/>
          <w:color w:val="auto"/>
          <w:spacing w:val="-3"/>
          <w:szCs w:val="21"/>
          <w:highlight w:val="none"/>
        </w:rPr>
      </w:pPr>
      <w:r>
        <w:rPr>
          <w:rFonts w:hint="eastAsia" w:ascii="宋体" w:hAnsi="宋体" w:cs="宋体"/>
          <w:color w:val="auto"/>
          <w:spacing w:val="-3"/>
          <w:szCs w:val="21"/>
          <w:highlight w:val="none"/>
        </w:rPr>
        <w:t>注：</w:t>
      </w:r>
    </w:p>
    <w:p w14:paraId="39E69A27">
      <w:pPr>
        <w:pStyle w:val="12"/>
        <w:spacing w:line="360" w:lineRule="auto"/>
        <w:rPr>
          <w:rFonts w:ascii="宋体" w:hAnsi="宋体" w:cs="宋体"/>
          <w:color w:val="auto"/>
          <w:szCs w:val="21"/>
          <w:highlight w:val="none"/>
        </w:rPr>
      </w:pPr>
      <w:r>
        <w:rPr>
          <w:rFonts w:hint="eastAsia" w:ascii="宋体" w:hAnsi="宋体" w:cs="宋体"/>
          <w:color w:val="auto"/>
          <w:spacing w:val="-3"/>
          <w:szCs w:val="21"/>
          <w:highlight w:val="none"/>
        </w:rPr>
        <w:t>1.节能产品认证应依据相关国家标准的最新版本，依据国家标准中二级能效（水效）</w:t>
      </w:r>
      <w:r>
        <w:rPr>
          <w:rFonts w:hint="eastAsia" w:ascii="宋体" w:hAnsi="宋体" w:cs="宋体"/>
          <w:color w:val="auto"/>
          <w:szCs w:val="21"/>
          <w:highlight w:val="none"/>
        </w:rPr>
        <w:t>指标。</w:t>
      </w:r>
    </w:p>
    <w:p w14:paraId="388B2C83">
      <w:pPr>
        <w:pStyle w:val="12"/>
        <w:spacing w:line="360" w:lineRule="auto"/>
        <w:rPr>
          <w:rFonts w:ascii="宋体" w:hAnsi="宋体" w:cs="宋体"/>
          <w:color w:val="auto"/>
          <w:szCs w:val="21"/>
          <w:highlight w:val="none"/>
        </w:rPr>
      </w:pPr>
      <w:r>
        <w:rPr>
          <w:rFonts w:hint="eastAsia" w:ascii="宋体" w:hAnsi="宋体" w:cs="宋体"/>
          <w:color w:val="auto"/>
          <w:szCs w:val="21"/>
          <w:highlight w:val="none"/>
        </w:rPr>
        <w:t>2.以“★”标注的为政府强制采购产品。</w:t>
      </w:r>
    </w:p>
    <w:p w14:paraId="470E230F">
      <w:pPr>
        <w:rPr>
          <w:rFonts w:ascii="宋体" w:hAnsi="宋体" w:cs="宋体"/>
          <w:color w:val="auto"/>
          <w:sz w:val="20"/>
          <w:szCs w:val="20"/>
          <w:highlight w:val="none"/>
        </w:rPr>
      </w:pPr>
      <w:r>
        <w:rPr>
          <w:rFonts w:hint="eastAsia" w:ascii="宋体" w:hAnsi="宋体" w:cs="宋体"/>
          <w:color w:val="auto"/>
          <w:sz w:val="20"/>
          <w:szCs w:val="20"/>
          <w:highlight w:val="none"/>
        </w:rPr>
        <w:br w:type="page"/>
      </w:r>
    </w:p>
    <w:p w14:paraId="26B61BC7">
      <w:pPr>
        <w:widowControl/>
        <w:jc w:val="left"/>
        <w:rPr>
          <w:rFonts w:ascii="宋体" w:hAnsi="宋体" w:cs="宋体"/>
          <w:color w:val="auto"/>
          <w:sz w:val="32"/>
          <w:szCs w:val="32"/>
          <w:highlight w:val="none"/>
        </w:rPr>
      </w:pPr>
      <w:r>
        <w:rPr>
          <w:rFonts w:hint="eastAsia" w:ascii="宋体" w:hAnsi="宋体" w:cs="宋体"/>
          <w:color w:val="auto"/>
          <w:sz w:val="32"/>
          <w:szCs w:val="32"/>
          <w:highlight w:val="none"/>
        </w:rPr>
        <w:t>附件2：</w:t>
      </w:r>
    </w:p>
    <w:p w14:paraId="7C804542">
      <w:pPr>
        <w:pStyle w:val="12"/>
        <w:jc w:val="center"/>
        <w:rPr>
          <w:rFonts w:ascii="宋体" w:hAnsi="宋体" w:cs="宋体"/>
          <w:b/>
          <w:color w:val="auto"/>
          <w:sz w:val="28"/>
          <w:szCs w:val="28"/>
          <w:highlight w:val="none"/>
        </w:rPr>
      </w:pPr>
      <w:r>
        <w:rPr>
          <w:rFonts w:hint="eastAsia" w:ascii="宋体" w:hAnsi="宋体" w:cs="宋体"/>
          <w:b/>
          <w:color w:val="auto"/>
          <w:sz w:val="28"/>
          <w:szCs w:val="28"/>
          <w:highlight w:val="none"/>
        </w:rPr>
        <w:t>中小企业划型标准规定</w:t>
      </w:r>
    </w:p>
    <w:p w14:paraId="4E35FE14">
      <w:pPr>
        <w:pStyle w:val="12"/>
        <w:jc w:val="center"/>
        <w:rPr>
          <w:rFonts w:ascii="宋体" w:hAnsi="宋体" w:cs="宋体"/>
          <w:color w:val="auto"/>
          <w:szCs w:val="21"/>
          <w:highlight w:val="none"/>
        </w:rPr>
      </w:pPr>
      <w:r>
        <w:rPr>
          <w:rFonts w:hint="eastAsia" w:ascii="宋体" w:hAnsi="宋体" w:cs="宋体"/>
          <w:color w:val="auto"/>
          <w:szCs w:val="21"/>
          <w:highlight w:val="none"/>
        </w:rPr>
        <w:t>工信部联企业〔2011〕300号</w:t>
      </w:r>
    </w:p>
    <w:p w14:paraId="2CBECDF5">
      <w:pPr>
        <w:pStyle w:val="12"/>
        <w:rPr>
          <w:rFonts w:ascii="宋体" w:hAnsi="宋体" w:cs="宋体"/>
          <w:color w:val="auto"/>
          <w:szCs w:val="21"/>
          <w:highlight w:val="none"/>
        </w:rPr>
      </w:pPr>
    </w:p>
    <w:p w14:paraId="159DF9F2">
      <w:pPr>
        <w:pStyle w:val="12"/>
        <w:rPr>
          <w:rFonts w:ascii="宋体" w:hAnsi="宋体" w:cs="宋体"/>
          <w:color w:val="auto"/>
          <w:szCs w:val="21"/>
          <w:highlight w:val="none"/>
        </w:rPr>
      </w:pPr>
      <w:r>
        <w:rPr>
          <w:rFonts w:hint="eastAsia" w:ascii="宋体" w:hAnsi="宋体" w:cs="宋体"/>
          <w:color w:val="auto"/>
          <w:szCs w:val="21"/>
          <w:highlight w:val="none"/>
        </w:rPr>
        <w:t>　　一、根据《中华人民共和国中小企业促进法》和《国务院关于进一步促进中小企业发展的若干意见》(国发〔2009〕36号)，制定本规定。</w:t>
      </w:r>
    </w:p>
    <w:p w14:paraId="04B96673">
      <w:pPr>
        <w:pStyle w:val="12"/>
        <w:rPr>
          <w:rFonts w:ascii="宋体" w:hAnsi="宋体" w:cs="宋体"/>
          <w:color w:val="auto"/>
          <w:szCs w:val="21"/>
          <w:highlight w:val="none"/>
        </w:rPr>
      </w:pPr>
      <w:r>
        <w:rPr>
          <w:rFonts w:hint="eastAsia" w:ascii="宋体" w:hAnsi="宋体" w:cs="宋体"/>
          <w:color w:val="auto"/>
          <w:szCs w:val="21"/>
          <w:highlight w:val="none"/>
        </w:rPr>
        <w:t>　　二、中小企业划分为中型、小型、微型三种类型，具体标准根据企业从业人员、营业收入、资产总额等指标，结合行业特点制定。</w:t>
      </w:r>
    </w:p>
    <w:p w14:paraId="1E601DE6">
      <w:pPr>
        <w:pStyle w:val="12"/>
        <w:rPr>
          <w:rFonts w:ascii="宋体" w:hAnsi="宋体" w:cs="宋体"/>
          <w:color w:val="auto"/>
          <w:szCs w:val="21"/>
          <w:highlight w:val="none"/>
        </w:rPr>
      </w:pPr>
      <w:r>
        <w:rPr>
          <w:rFonts w:hint="eastAsia" w:ascii="宋体" w:hAnsi="宋体" w:cs="宋体"/>
          <w:color w:val="auto"/>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C0314E2">
      <w:pPr>
        <w:pStyle w:val="12"/>
        <w:rPr>
          <w:rFonts w:ascii="宋体" w:hAnsi="宋体" w:cs="宋体"/>
          <w:color w:val="auto"/>
          <w:szCs w:val="21"/>
          <w:highlight w:val="none"/>
        </w:rPr>
      </w:pPr>
      <w:r>
        <w:rPr>
          <w:rFonts w:hint="eastAsia" w:ascii="宋体" w:hAnsi="宋体" w:cs="宋体"/>
          <w:color w:val="auto"/>
          <w:szCs w:val="21"/>
          <w:highlight w:val="none"/>
        </w:rPr>
        <w:t>　　四、各行业划型标准为：</w:t>
      </w:r>
    </w:p>
    <w:p w14:paraId="3D98C4A9">
      <w:pPr>
        <w:pStyle w:val="12"/>
        <w:rPr>
          <w:rFonts w:ascii="宋体" w:hAnsi="宋体" w:cs="宋体"/>
          <w:color w:val="auto"/>
          <w:szCs w:val="21"/>
          <w:highlight w:val="none"/>
        </w:rPr>
      </w:pPr>
      <w:r>
        <w:rPr>
          <w:rFonts w:hint="eastAsia" w:ascii="宋体" w:hAnsi="宋体" w:cs="宋体"/>
          <w:color w:val="auto"/>
          <w:szCs w:val="21"/>
          <w:highlight w:val="none"/>
        </w:rPr>
        <w:t>　　（一）农、林、牧、渔业。营业收入20000万元以下的为中小微型企业。其中，营业收入500万元及以上的为中型企业，营业收入50万元及以上的为小型企业，营业收入50万元以下的为微型企业。</w:t>
      </w:r>
    </w:p>
    <w:p w14:paraId="4580D1F6">
      <w:pPr>
        <w:pStyle w:val="12"/>
        <w:rPr>
          <w:rFonts w:ascii="宋体" w:hAnsi="宋体" w:cs="宋体"/>
          <w:color w:val="auto"/>
          <w:szCs w:val="21"/>
          <w:highlight w:val="none"/>
        </w:rPr>
      </w:pPr>
      <w:r>
        <w:rPr>
          <w:rFonts w:hint="eastAsia" w:ascii="宋体" w:hAnsi="宋体" w:cs="宋体"/>
          <w:color w:val="auto"/>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B2C67C3">
      <w:pPr>
        <w:pStyle w:val="12"/>
        <w:rPr>
          <w:rFonts w:ascii="宋体" w:hAnsi="宋体" w:cs="宋体"/>
          <w:color w:val="auto"/>
          <w:szCs w:val="21"/>
          <w:highlight w:val="none"/>
        </w:rPr>
      </w:pPr>
      <w:r>
        <w:rPr>
          <w:rFonts w:hint="eastAsia" w:ascii="宋体" w:hAnsi="宋体" w:cs="宋体"/>
          <w:color w:val="auto"/>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7395876">
      <w:pPr>
        <w:pStyle w:val="12"/>
        <w:rPr>
          <w:rFonts w:ascii="宋体" w:hAnsi="宋体" w:cs="宋体"/>
          <w:color w:val="auto"/>
          <w:szCs w:val="21"/>
          <w:highlight w:val="none"/>
        </w:rPr>
      </w:pPr>
      <w:r>
        <w:rPr>
          <w:rFonts w:hint="eastAsia" w:ascii="宋体" w:hAnsi="宋体" w:cs="宋体"/>
          <w:color w:val="auto"/>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54B3CA">
      <w:pPr>
        <w:pStyle w:val="12"/>
        <w:rPr>
          <w:rFonts w:ascii="宋体" w:hAnsi="宋体" w:cs="宋体"/>
          <w:color w:val="auto"/>
          <w:szCs w:val="21"/>
          <w:highlight w:val="none"/>
        </w:rPr>
      </w:pPr>
      <w:r>
        <w:rPr>
          <w:rFonts w:hint="eastAsia" w:ascii="宋体" w:hAnsi="宋体" w:cs="宋体"/>
          <w:color w:val="auto"/>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05E3D2">
      <w:pPr>
        <w:pStyle w:val="12"/>
        <w:rPr>
          <w:rFonts w:ascii="宋体" w:hAnsi="宋体" w:cs="宋体"/>
          <w:color w:val="auto"/>
          <w:szCs w:val="21"/>
          <w:highlight w:val="none"/>
        </w:rPr>
      </w:pPr>
      <w:r>
        <w:rPr>
          <w:rFonts w:hint="eastAsia" w:ascii="宋体" w:hAnsi="宋体" w:cs="宋体"/>
          <w:color w:val="auto"/>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661A86CC">
      <w:pPr>
        <w:pStyle w:val="12"/>
        <w:rPr>
          <w:rFonts w:ascii="宋体" w:hAnsi="宋体" w:cs="宋体"/>
          <w:color w:val="auto"/>
          <w:szCs w:val="21"/>
          <w:highlight w:val="none"/>
        </w:rPr>
      </w:pPr>
      <w:r>
        <w:rPr>
          <w:rFonts w:hint="eastAsia" w:ascii="宋体" w:hAnsi="宋体" w:cs="宋体"/>
          <w:color w:val="auto"/>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200C7DA">
      <w:pPr>
        <w:pStyle w:val="12"/>
        <w:rPr>
          <w:rFonts w:ascii="宋体" w:hAnsi="宋体" w:cs="宋体"/>
          <w:color w:val="auto"/>
          <w:szCs w:val="21"/>
          <w:highlight w:val="none"/>
        </w:rPr>
      </w:pPr>
      <w:r>
        <w:rPr>
          <w:rFonts w:hint="eastAsia" w:ascii="宋体" w:hAnsi="宋体" w:cs="宋体"/>
          <w:color w:val="auto"/>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B711905">
      <w:pPr>
        <w:pStyle w:val="12"/>
        <w:rPr>
          <w:rFonts w:ascii="宋体" w:hAnsi="宋体" w:cs="宋体"/>
          <w:color w:val="auto"/>
          <w:szCs w:val="21"/>
          <w:highlight w:val="none"/>
        </w:rPr>
      </w:pPr>
      <w:r>
        <w:rPr>
          <w:rFonts w:hint="eastAsia" w:ascii="宋体" w:hAnsi="宋体" w:cs="宋体"/>
          <w:color w:val="auto"/>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3B14206">
      <w:pPr>
        <w:pStyle w:val="12"/>
        <w:rPr>
          <w:rFonts w:ascii="宋体" w:hAnsi="宋体" w:cs="宋体"/>
          <w:color w:val="auto"/>
          <w:szCs w:val="21"/>
          <w:highlight w:val="none"/>
        </w:rPr>
      </w:pPr>
      <w:r>
        <w:rPr>
          <w:rFonts w:hint="eastAsia" w:ascii="宋体" w:hAnsi="宋体" w:cs="宋体"/>
          <w:color w:val="auto"/>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D7AC385">
      <w:pPr>
        <w:pStyle w:val="12"/>
        <w:rPr>
          <w:rFonts w:ascii="宋体" w:hAnsi="宋体" w:cs="宋体"/>
          <w:color w:val="auto"/>
          <w:szCs w:val="21"/>
          <w:highlight w:val="none"/>
        </w:rPr>
      </w:pPr>
      <w:r>
        <w:rPr>
          <w:rFonts w:hint="eastAsia" w:ascii="宋体" w:hAnsi="宋体" w:cs="宋体"/>
          <w:color w:val="auto"/>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1B75489">
      <w:pPr>
        <w:pStyle w:val="12"/>
        <w:rPr>
          <w:rFonts w:ascii="宋体" w:hAnsi="宋体" w:cs="宋体"/>
          <w:color w:val="auto"/>
          <w:szCs w:val="21"/>
          <w:highlight w:val="none"/>
        </w:rPr>
      </w:pPr>
      <w:r>
        <w:rPr>
          <w:rFonts w:hint="eastAsia" w:ascii="宋体" w:hAnsi="宋体" w:cs="宋体"/>
          <w:color w:val="auto"/>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7D1E2DDD">
      <w:pPr>
        <w:pStyle w:val="12"/>
        <w:rPr>
          <w:rFonts w:ascii="宋体" w:hAnsi="宋体" w:cs="宋体"/>
          <w:color w:val="auto"/>
          <w:szCs w:val="21"/>
          <w:highlight w:val="none"/>
        </w:rPr>
      </w:pPr>
      <w:r>
        <w:rPr>
          <w:rFonts w:hint="eastAsia" w:ascii="宋体" w:hAnsi="宋体" w:cs="宋体"/>
          <w:color w:val="auto"/>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4BCC85AC">
      <w:pPr>
        <w:pStyle w:val="12"/>
        <w:rPr>
          <w:rFonts w:ascii="宋体" w:hAnsi="宋体" w:cs="宋体"/>
          <w:color w:val="auto"/>
          <w:szCs w:val="21"/>
          <w:highlight w:val="none"/>
        </w:rPr>
      </w:pPr>
      <w:r>
        <w:rPr>
          <w:rFonts w:hint="eastAsia" w:ascii="宋体" w:hAnsi="宋体" w:cs="宋体"/>
          <w:color w:val="auto"/>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7620C25F">
      <w:pPr>
        <w:pStyle w:val="12"/>
        <w:rPr>
          <w:rFonts w:ascii="宋体" w:hAnsi="宋体" w:cs="宋体"/>
          <w:color w:val="auto"/>
          <w:szCs w:val="21"/>
          <w:highlight w:val="none"/>
        </w:rPr>
      </w:pPr>
      <w:r>
        <w:rPr>
          <w:rFonts w:hint="eastAsia" w:ascii="宋体" w:hAnsi="宋体" w:cs="宋体"/>
          <w:color w:val="auto"/>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04844A1">
      <w:pPr>
        <w:pStyle w:val="12"/>
        <w:rPr>
          <w:rFonts w:ascii="宋体" w:hAnsi="宋体" w:cs="宋体"/>
          <w:color w:val="auto"/>
          <w:szCs w:val="21"/>
          <w:highlight w:val="none"/>
        </w:rPr>
      </w:pPr>
      <w:r>
        <w:rPr>
          <w:rFonts w:hint="eastAsia" w:ascii="宋体" w:hAnsi="宋体" w:cs="宋体"/>
          <w:color w:val="auto"/>
          <w:szCs w:val="21"/>
          <w:highlight w:val="none"/>
        </w:rPr>
        <w:t>　　（十六）其他未列明行业。从业人员300人以下的为中小微型企业。其中，从业人员100人及以上的为中型企业；从业人员10人及以上的为小型企业；从业人员10人以下的为微型企业。</w:t>
      </w:r>
    </w:p>
    <w:p w14:paraId="7D79FFFF">
      <w:pPr>
        <w:pStyle w:val="12"/>
        <w:rPr>
          <w:rFonts w:ascii="宋体" w:hAnsi="宋体" w:cs="宋体"/>
          <w:color w:val="auto"/>
          <w:szCs w:val="21"/>
          <w:highlight w:val="none"/>
        </w:rPr>
      </w:pPr>
      <w:r>
        <w:rPr>
          <w:rFonts w:hint="eastAsia" w:ascii="宋体" w:hAnsi="宋体" w:cs="宋体"/>
          <w:color w:val="auto"/>
          <w:szCs w:val="21"/>
          <w:highlight w:val="none"/>
        </w:rPr>
        <w:t>　　五、企业类型的划分以统计部门的统计数据为依据。</w:t>
      </w:r>
    </w:p>
    <w:p w14:paraId="736D3BE2">
      <w:pPr>
        <w:pStyle w:val="12"/>
        <w:rPr>
          <w:rFonts w:ascii="宋体" w:hAnsi="宋体" w:cs="宋体"/>
          <w:color w:val="auto"/>
          <w:szCs w:val="21"/>
          <w:highlight w:val="none"/>
        </w:rPr>
      </w:pPr>
      <w:r>
        <w:rPr>
          <w:rFonts w:hint="eastAsia" w:ascii="宋体" w:hAnsi="宋体" w:cs="宋体"/>
          <w:color w:val="auto"/>
          <w:szCs w:val="21"/>
          <w:highlight w:val="none"/>
        </w:rPr>
        <w:t>　　六、本规定适用于在中华人民共和国境内依法设立的各类所有制和各种组织形式的企业。个体工商户和本规定以外的行业，参照本规定进行划型。</w:t>
      </w:r>
    </w:p>
    <w:p w14:paraId="1F3C202D">
      <w:pPr>
        <w:pStyle w:val="12"/>
        <w:rPr>
          <w:rFonts w:ascii="宋体" w:hAnsi="宋体" w:cs="宋体"/>
          <w:color w:val="auto"/>
          <w:szCs w:val="21"/>
          <w:highlight w:val="none"/>
        </w:rPr>
      </w:pPr>
      <w:r>
        <w:rPr>
          <w:rFonts w:hint="eastAsia" w:ascii="宋体" w:hAnsi="宋体" w:cs="宋体"/>
          <w:color w:val="auto"/>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2C42C799">
      <w:pPr>
        <w:pStyle w:val="12"/>
        <w:rPr>
          <w:rFonts w:ascii="宋体" w:hAnsi="宋体" w:cs="宋体"/>
          <w:color w:val="auto"/>
          <w:szCs w:val="21"/>
          <w:highlight w:val="none"/>
        </w:rPr>
      </w:pPr>
      <w:r>
        <w:rPr>
          <w:rFonts w:hint="eastAsia" w:ascii="宋体" w:hAnsi="宋体" w:cs="宋体"/>
          <w:color w:val="auto"/>
          <w:szCs w:val="21"/>
          <w:highlight w:val="none"/>
        </w:rPr>
        <w:t>　　八、本规定由工业和信息化部、国家统计局会同有关部门根据《国民经济行业分类》修订情况和企业发展变化情况适时修订。</w:t>
      </w:r>
    </w:p>
    <w:p w14:paraId="3AA6F44E">
      <w:pPr>
        <w:pStyle w:val="12"/>
        <w:rPr>
          <w:rFonts w:ascii="宋体" w:hAnsi="宋体" w:cs="宋体"/>
          <w:color w:val="auto"/>
          <w:szCs w:val="21"/>
          <w:highlight w:val="none"/>
        </w:rPr>
      </w:pPr>
      <w:r>
        <w:rPr>
          <w:rFonts w:hint="eastAsia" w:ascii="宋体" w:hAnsi="宋体" w:cs="宋体"/>
          <w:color w:val="auto"/>
          <w:szCs w:val="21"/>
          <w:highlight w:val="none"/>
        </w:rPr>
        <w:t>　　九、本规定由工业和信息化部、国家统计局会同有关部门负责解释。</w:t>
      </w:r>
    </w:p>
    <w:p w14:paraId="79DA2307">
      <w:pPr>
        <w:pStyle w:val="12"/>
        <w:ind w:firstLine="420"/>
        <w:rPr>
          <w:rFonts w:ascii="宋体" w:hAnsi="宋体" w:cs="宋体"/>
          <w:color w:val="auto"/>
          <w:szCs w:val="21"/>
          <w:highlight w:val="none"/>
        </w:rPr>
      </w:pPr>
      <w:r>
        <w:rPr>
          <w:rFonts w:hint="eastAsia" w:ascii="宋体" w:hAnsi="宋体" w:cs="宋体"/>
          <w:color w:val="auto"/>
          <w:szCs w:val="21"/>
          <w:highlight w:val="none"/>
        </w:rPr>
        <w:t>十、本规定自发布之日起执行，原国家经贸委、原国家计委、财政部和国家统计局2003年颁布的《中小企业标准暂行规定》同时废止。</w:t>
      </w:r>
    </w:p>
    <w:p w14:paraId="36A65714">
      <w:pPr>
        <w:widowControl/>
        <w:jc w:val="left"/>
        <w:rPr>
          <w:rFonts w:ascii="宋体" w:hAnsi="宋体" w:cs="宋体"/>
          <w:color w:val="auto"/>
          <w:sz w:val="20"/>
          <w:szCs w:val="20"/>
          <w:highlight w:val="none"/>
        </w:rPr>
      </w:pPr>
    </w:p>
    <w:p w14:paraId="28EFC1C7">
      <w:pPr>
        <w:pStyle w:val="2"/>
        <w:jc w:val="center"/>
        <w:rPr>
          <w:rFonts w:ascii="宋体" w:hAnsi="宋体" w:cs="宋体"/>
          <w:color w:val="auto"/>
          <w:highlight w:val="none"/>
        </w:rPr>
      </w:pPr>
      <w:r>
        <w:rPr>
          <w:rFonts w:hint="eastAsia" w:ascii="宋体" w:hAnsi="宋体" w:cs="宋体"/>
          <w:color w:val="auto"/>
          <w:sz w:val="20"/>
          <w:szCs w:val="20"/>
          <w:highlight w:val="none"/>
        </w:rPr>
        <w:br w:type="page"/>
      </w:r>
      <w:bookmarkStart w:id="98" w:name="_Toc26130"/>
      <w:r>
        <w:rPr>
          <w:rFonts w:hint="eastAsia" w:ascii="宋体" w:hAnsi="宋体" w:cs="宋体"/>
          <w:color w:val="auto"/>
          <w:highlight w:val="none"/>
        </w:rPr>
        <w:t>第四章</w:t>
      </w:r>
      <w:bookmarkStart w:id="99" w:name="_Hlk68601507"/>
      <w:r>
        <w:rPr>
          <w:rFonts w:hint="eastAsia" w:ascii="宋体" w:hAnsi="宋体" w:cs="宋体"/>
          <w:color w:val="auto"/>
          <w:highlight w:val="none"/>
        </w:rPr>
        <w:t>评审程序和评定成交的标准</w:t>
      </w:r>
      <w:bookmarkEnd w:id="98"/>
      <w:bookmarkEnd w:id="99"/>
    </w:p>
    <w:p w14:paraId="28B505D0">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一、评审程序</w:t>
      </w:r>
    </w:p>
    <w:p w14:paraId="258626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1.确认谈判文件</w:t>
      </w:r>
    </w:p>
    <w:p w14:paraId="6EBBAD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由谈判小组确认谈判文件。</w:t>
      </w:r>
    </w:p>
    <w:p w14:paraId="39A44F1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6D1785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2.1响应文件开启后，谈判小组依法对供应商的资格证明文件进行审查。</w:t>
      </w:r>
    </w:p>
    <w:p w14:paraId="1481F62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r>
        <w:rPr>
          <w:rFonts w:hint="eastAsia" w:ascii="宋体" w:hAnsi="宋体" w:cs="宋体"/>
          <w:color w:val="auto"/>
          <w:highlight w:val="none"/>
        </w:rPr>
        <w:t>谈判小组</w:t>
      </w:r>
      <w:r>
        <w:rPr>
          <w:rFonts w:hint="eastAsia" w:ascii="宋体" w:hAnsi="宋体" w:cs="宋体"/>
          <w:color w:val="auto"/>
          <w:szCs w:val="21"/>
          <w:highlight w:val="none"/>
        </w:rPr>
        <w:t>在资格审查结束前，对供应商进行信用查询。</w:t>
      </w:r>
    </w:p>
    <w:p w14:paraId="272808D1">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（1）查询渠道：广西政府采购云平台“信用中国”网站(www.creditchina.gov.cn)、中国政府采购网(www.ccgp.gov.cn)。</w:t>
      </w:r>
    </w:p>
    <w:p w14:paraId="1A833A84">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74C779D">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（3）查询记录和证据留存方式：在查询网站中直接查询，截图另存为电子文档作为评审资料保存。</w:t>
      </w:r>
    </w:p>
    <w:p w14:paraId="42EE16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信用信息使用规则：对在“信用中国”网站（www.creditchina.gov.cn）、中国政府采购网（www.ccgp.gov.cn）、中国执行信息公开网（https://zxgk.court.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773EB8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2.2资格审查标准为本谈判文件中载明对供应商资格要求的条件。本项目资格审查采用合格制，凡符合谈判文件规定的供应商资格要求的供应商均通过资格审查。</w:t>
      </w:r>
    </w:p>
    <w:p w14:paraId="02597B0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 供应商有下列情形之一的，资格审查不通过，其响应文件按无效处理：</w:t>
      </w:r>
    </w:p>
    <w:p w14:paraId="42E5CF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（1）不具备谈判文件中规定的资格要求的；</w:t>
      </w:r>
    </w:p>
    <w:p w14:paraId="257C70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（2）未按谈判文件规定的方式获取本谈判文件的供应商；</w:t>
      </w:r>
    </w:p>
    <w:p w14:paraId="10F72F9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（3）响应文件中的资格证明文件缺少任一项“供应商须知前附表”资格证明文件规定的“必须提供”的文件资料的；</w:t>
      </w:r>
    </w:p>
    <w:p w14:paraId="2EB53454">
      <w:pPr>
        <w:spacing w:line="360" w:lineRule="auto"/>
        <w:ind w:firstLine="420" w:firstLineChars="200"/>
        <w:contextualSpacing/>
        <w:rPr>
          <w:rFonts w:ascii="宋体" w:hAnsi="宋体" w:cs="宋体"/>
          <w:color w:val="auto"/>
          <w:szCs w:val="21"/>
          <w:highlight w:val="none"/>
        </w:rPr>
      </w:pPr>
      <w:r>
        <w:rPr>
          <w:rFonts w:hint="eastAsia" w:ascii="宋体" w:hAnsi="宋体" w:cs="宋体"/>
          <w:color w:val="auto"/>
          <w:szCs w:val="21"/>
          <w:highlight w:val="none"/>
        </w:rPr>
        <w:t>（4）响应文件中的资格证明文件出现任一项不符合“供应商须知前附表”资格证明文件规定的“必须提供”的文件资料要求或者无效的；</w:t>
      </w:r>
    </w:p>
    <w:p w14:paraId="1A329B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332C95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2.4通过资格审查的合格供应商不足3家（本章3.7条规定除外）的，不得进入符合性审查环节，应当重新开展采购活动。</w:t>
      </w:r>
    </w:p>
    <w:p w14:paraId="4FB9184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51AF23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3.1谈判小组应当对符合资格的供应商的响应文件进行竞标报价、商务、技术等实质性要求符合性审查，以确定其是否满足谈判文件的实质性要求。</w:t>
      </w:r>
    </w:p>
    <w:p w14:paraId="6142650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45A3D6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电子</w:t>
      </w:r>
      <w:r>
        <w:rPr>
          <w:rFonts w:hint="eastAsia" w:ascii="宋体" w:hAnsi="宋体" w:cs="宋体"/>
          <w:color w:val="auto"/>
          <w:highlight w:val="none"/>
        </w:rPr>
        <w:t>签章</w:t>
      </w:r>
      <w:r>
        <w:rPr>
          <w:rFonts w:hint="eastAsia" w:ascii="宋体" w:hAnsi="宋体" w:cs="宋体"/>
          <w:color w:val="auto"/>
          <w:spacing w:val="-6"/>
          <w:szCs w:val="21"/>
          <w:highlight w:val="none"/>
        </w:rPr>
        <w:t>。</w:t>
      </w:r>
    </w:p>
    <w:p w14:paraId="592672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谈判小组以书面形式要求供应商在规定时间内作出必要的澄清、说明或者补正。供应商的澄清、说明或者补正必须采用书面形式，并加盖公章，或者由法定代表人或者其授权的代表签字。</w:t>
      </w:r>
    </w:p>
    <w:p w14:paraId="59A689DA">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229148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19F4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6A4AC93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0FEAF3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03B276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1A74EE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22F798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7679BA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7385701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1）响应文件未按谈判文件要求签署、盖章的；</w:t>
      </w:r>
    </w:p>
    <w:p w14:paraId="776C43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2）委托代理人未能出具有效身份证或者出具的身份证与授权委托书中的信息不符的； </w:t>
      </w:r>
    </w:p>
    <w:p w14:paraId="6A7DEB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3）提交的竞标保证金无效的或者未按照谈判文件的规定提交竞标保证金；</w:t>
      </w:r>
    </w:p>
    <w:p w14:paraId="762011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2D1500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5）商务要求允许负偏离的条款数超过“供应商须知前附表”规定项数的；</w:t>
      </w:r>
    </w:p>
    <w:p w14:paraId="5A4F45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6）未对竞标有效期作出响应或者响应文件承诺的竞标有效期不满足谈判文件要求；</w:t>
      </w:r>
    </w:p>
    <w:p w14:paraId="10F7E4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7）响应文件的实质性内容未使用中文表述、使用计量单位不符合谈判文件要求的；</w:t>
      </w:r>
    </w:p>
    <w:p w14:paraId="439437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8）响应文件中的文件资料因填写不齐全或者内容虚假或者出现其他情形而导致被谈判小组认定无效的；</w:t>
      </w:r>
    </w:p>
    <w:p w14:paraId="65CB26C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9）响应文件含有采购人不能接受的附加条件的；</w:t>
      </w:r>
    </w:p>
    <w:p w14:paraId="71B0145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10）属于“供应商须知正文”第7.5条的情形的；</w:t>
      </w:r>
    </w:p>
    <w:p w14:paraId="625925B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11）技术评审允许负偏离的条款数超过“供应商须知前附表”规定项数的；</w:t>
      </w:r>
    </w:p>
    <w:p w14:paraId="5531B71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12）虚假竞标，或者出现其他情形而导致被谈判小组认定无效的；</w:t>
      </w:r>
    </w:p>
    <w:p w14:paraId="109AB02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w:t>
      </w:r>
      <w:bookmarkStart w:id="100" w:name="_Hlk71704147"/>
      <w:r>
        <w:rPr>
          <w:rFonts w:hint="eastAsia" w:ascii="宋体" w:hAnsi="宋体" w:cs="宋体"/>
          <w:color w:val="auto"/>
          <w:szCs w:val="21"/>
          <w:highlight w:val="none"/>
        </w:rPr>
        <w:t>谈判文件未载明允许提供备选（替代）竞标方案或明确不允许提供备选（替代）竞标方案时，供应商提供了备选（替代）竞标方案的；</w:t>
      </w:r>
      <w:bookmarkEnd w:id="100"/>
    </w:p>
    <w:p w14:paraId="2A8E7AE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14）响应文件标注的项目名称或者项目编号与谈判文件标注的项目名称或者项目编号不一致的；</w:t>
      </w:r>
    </w:p>
    <w:p w14:paraId="411B4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15）谈判文件明确不允许分包，响应文件拟分包的；</w:t>
      </w:r>
    </w:p>
    <w:p w14:paraId="4DC333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16）未响应谈判文件实质性要求；</w:t>
      </w:r>
    </w:p>
    <w:p w14:paraId="6F4A3F4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17）法律、法规和谈判文件规定的其他无效情形。</w:t>
      </w:r>
    </w:p>
    <w:p w14:paraId="35FE4C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2CFE50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1）响应文件未提供“供应商须知前附表”报价文件中规定的“竞标报价表”的；</w:t>
      </w:r>
    </w:p>
    <w:p w14:paraId="11F071A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2）未采用人民币报价或者未按照谈判文件标明的币种报价的；</w:t>
      </w:r>
    </w:p>
    <w:p w14:paraId="2D7EDD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完整唯一总价报价；供应商响应文件中存在有选择、有条件报价的（谈判文件允许有备选方案或者其他约定的除外）；</w:t>
      </w:r>
    </w:p>
    <w:p w14:paraId="2CEAFB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竞标报价（包含首次报价、最后报价）超过所竞标分标规定的采购预算金额或者最高限价的（如本项目公布了最高限价）；竞标报价（包含首次报价、最后报价）超过谈判文件分项采购预算金额或者最高限价的（如本项目公布了最高限价）；</w:t>
      </w:r>
    </w:p>
    <w:p w14:paraId="7589E5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41DB27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6）响应文件响应的标的数量及单位与竞争性谈判采购文件要求实质性不一致的。</w:t>
      </w:r>
    </w:p>
    <w:p w14:paraId="2BDE8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谈判小组对响应文件进行评审，未实质性响应谈判文件的响应文件按无效处理。谈判小组应当将资格和符合性不通过的情况告知有关供应商。谈判小组从符合谈判文件规定的相应资格条件的供应商名单中确定不少于3家的供应商参加谈判。</w:t>
      </w:r>
    </w:p>
    <w:p w14:paraId="39E9441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7DB5DE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3.8除本章3.7条规定的情形外，通过符合性审查的合格供应商不足3家的，不得进入谈判环节，应当重新开展采购活动。</w:t>
      </w:r>
    </w:p>
    <w:p w14:paraId="58691A5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4.谈判程序</w:t>
      </w:r>
    </w:p>
    <w:p w14:paraId="3E3278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4.1谈判小组</w:t>
      </w:r>
      <w:r>
        <w:rPr>
          <w:rFonts w:hint="eastAsia" w:ascii="宋体" w:hAnsi="宋体" w:cs="宋体"/>
          <w:color w:val="auto"/>
          <w:szCs w:val="21"/>
          <w:highlight w:val="none"/>
        </w:rPr>
        <w:t>集中与单一供应商分别进行谈判，并给予所有参加谈判的供应商平等的谈判机会。符合谈判资格的供应商必须在接到谈判通知后规定时间内参加谈判，未在规定时间内参加谈判的，视同放弃参加谈判权利，其响应文件按无效处理。</w:t>
      </w:r>
    </w:p>
    <w:p w14:paraId="579DF7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2F769A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4.3对谈判文件作出的实质性变动是谈判文件的有效组成部分，由谈判小组及时以电子澄清函形式同时通知所有参加谈判的供应商。</w:t>
      </w:r>
    </w:p>
    <w:p w14:paraId="42F722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4.4供应商必须按照谈判文件的变动情况和谈判小组的要求以回函的形式重新提交响应文件，并加盖电子签章。参加谈判的供应商未在规定时间内重新提交响应文件的，视同退出谈判，其响应文件按无效处理。</w:t>
      </w:r>
    </w:p>
    <w:p w14:paraId="49EB56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4.5谈判中，谈判的任何一方不得透露与谈判有关的其他供应商的技术资料、价格和其他信息。</w:t>
      </w:r>
    </w:p>
    <w:p w14:paraId="6223F104">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4.6谈判小组应对谈判过程和重要谈判内容进行记录。</w:t>
      </w:r>
    </w:p>
    <w:p w14:paraId="6A7CA4F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4.7除本章第3.7条外，对谈判过程提交的响应文件进行有效性、完整性和响应程度审查，通过审查的合格供应商不足3家的，采购人或者采购代理机构应当重新开展采购活动。</w:t>
      </w:r>
    </w:p>
    <w:p w14:paraId="3287C5D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 最后报价</w:t>
      </w:r>
    </w:p>
    <w:p w14:paraId="2C30E3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谈判文件能够详细列明采购标的的技术、服务要求的，谈判结束后，谈判小组应当要求所有继续参加谈判的供应商在规定时间内在广西政府采购云平台开标大厅提交最后报价，除本章第3.7条外，提交最后报价的供应商不得少于3家，否则应当重新采购。</w:t>
      </w:r>
    </w:p>
    <w:p w14:paraId="5229D7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谈判文件不能详细列明采购标的的技术、服务要求，需经谈判由供应商提供最后设计方案或者解决方案的，谈判结束后，谈判小组应当按照少数服从多数的原则投票推荐3家以上供应商的设计方案或者解决方案，并要求其在规定时间内在广西政府采购云平台开标大厅提交最后报价。</w:t>
      </w:r>
    </w:p>
    <w:p w14:paraId="66CD256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5.3最后报价是供应商响应文件的有效组成部分。</w:t>
      </w:r>
    </w:p>
    <w:p w14:paraId="7284BC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5.4已经提交响应文件的供应商，在提交最后报价之前，可以根据谈判情况退出谈判，退出谈判的供应商的响应文件按无效响应处理。采购人、采购代理机构将退还退出谈判的供应商的保证金。</w:t>
      </w:r>
    </w:p>
    <w:p w14:paraId="2390E4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5.5供应商未在规定时间内提交最后报价的，视为退出谈判，其响应文件按无效处理。</w:t>
      </w:r>
    </w:p>
    <w:p w14:paraId="6429D4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5.6最后报价统一开启后，谈判小组对最后报价进行有效性、完整性和响应程度的审查。</w:t>
      </w:r>
    </w:p>
    <w:p w14:paraId="261272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5.7最后报价出现前后不一致的，按照本章第3.4条的规定修正。 </w:t>
      </w:r>
    </w:p>
    <w:p w14:paraId="374D53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5.8修正后的报价出现下列情形的，按无效响应处理：</w:t>
      </w:r>
    </w:p>
    <w:p w14:paraId="6F3462D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0A3ACB9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（2）经供应商确认修正后的竞标报价（包含首次报价、最后报价）超过所竞标分标规定的采购预算金额或者最高限价的（如本项目公布了最高限价）；</w:t>
      </w:r>
    </w:p>
    <w:p w14:paraId="3FB1D3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（3）经供应商确认修正后的竞标报价（包含首次报价、最后报价）超过分项采购预算金额或者最高限价的（如本项目公布了最高限价）。</w:t>
      </w:r>
    </w:p>
    <w:p w14:paraId="187CB96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0242D4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，谈判小组应当告知有关供应商</w:t>
      </w:r>
      <w:r>
        <w:rPr>
          <w:rFonts w:hint="eastAsia" w:ascii="宋体" w:hAnsi="宋体" w:cs="宋体"/>
          <w:color w:val="auto"/>
          <w:szCs w:val="21"/>
          <w:highlight w:val="none"/>
        </w:rPr>
        <w:t>。</w:t>
      </w:r>
    </w:p>
    <w:p w14:paraId="45530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5.11最后报价结束后，谈判小组不得再与供应商进行任何形式的商谈。</w:t>
      </w:r>
    </w:p>
    <w:p w14:paraId="649EA603">
      <w:pPr>
        <w:spacing w:line="360" w:lineRule="auto"/>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6. 最后报价政府采购政策性扣除</w:t>
      </w:r>
    </w:p>
    <w:p w14:paraId="170159F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14:paraId="4CE6A468">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6.2异常低价响应审查</w:t>
      </w:r>
    </w:p>
    <w:p w14:paraId="1C37A280">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（1）谈判小组在评审中发现下列情形之一的，应当启动异常低价响应审查程序：</w:t>
      </w:r>
    </w:p>
    <w:p w14:paraId="2E690219">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①响应报价低于全部通过符合性审查供应商响应报价平均值</w:t>
      </w:r>
      <w:bookmarkStart w:id="101" w:name="_Hlk221263232"/>
      <w:r>
        <w:rPr>
          <w:rFonts w:hint="eastAsia" w:ascii="宋体" w:hAnsi="宋体" w:cs="宋体"/>
          <w:color w:val="auto"/>
          <w:szCs w:val="21"/>
          <w:u w:val="single"/>
        </w:rPr>
        <w:t xml:space="preserve"> 65% </w:t>
      </w:r>
      <w:bookmarkEnd w:id="101"/>
      <w:r>
        <w:rPr>
          <w:rFonts w:hint="eastAsia" w:ascii="宋体" w:hAnsi="宋体" w:cs="宋体"/>
          <w:color w:val="auto"/>
          <w:szCs w:val="21"/>
        </w:rPr>
        <w:t>的，即响应报价＜全部通过符合性审查供应商响应报价平均值×</w:t>
      </w:r>
      <w:r>
        <w:rPr>
          <w:rFonts w:hint="eastAsia" w:ascii="宋体" w:hAnsi="宋体" w:cs="宋体"/>
          <w:color w:val="auto"/>
          <w:szCs w:val="21"/>
          <w:u w:val="single"/>
        </w:rPr>
        <w:t>65%</w:t>
      </w:r>
      <w:r>
        <w:rPr>
          <w:rFonts w:hint="eastAsia" w:ascii="宋体" w:hAnsi="宋体" w:cs="宋体"/>
          <w:color w:val="auto"/>
          <w:szCs w:val="21"/>
        </w:rPr>
        <w:t xml:space="preserve">； </w:t>
      </w:r>
    </w:p>
    <w:p w14:paraId="43A5EF66">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②响应报价低于通过符合性审查的次低报价供应商响应报价</w:t>
      </w:r>
      <w:r>
        <w:rPr>
          <w:rFonts w:hint="eastAsia" w:ascii="宋体" w:hAnsi="宋体" w:cs="宋体"/>
          <w:color w:val="auto"/>
          <w:szCs w:val="21"/>
          <w:u w:val="single"/>
        </w:rPr>
        <w:t>65%</w:t>
      </w:r>
      <w:r>
        <w:rPr>
          <w:rFonts w:hint="eastAsia" w:ascii="宋体" w:hAnsi="宋体" w:cs="宋体"/>
          <w:color w:val="auto"/>
          <w:szCs w:val="21"/>
        </w:rPr>
        <w:t>的，即响应报价＜通过符合性审查的次低报价供应商响应报价×</w:t>
      </w:r>
      <w:r>
        <w:rPr>
          <w:rFonts w:hint="eastAsia" w:ascii="宋体" w:hAnsi="宋体" w:cs="宋体"/>
          <w:color w:val="auto"/>
          <w:szCs w:val="21"/>
          <w:u w:val="single"/>
        </w:rPr>
        <w:t>65%</w:t>
      </w:r>
      <w:r>
        <w:rPr>
          <w:rFonts w:hint="eastAsia" w:ascii="宋体" w:hAnsi="宋体" w:cs="宋体"/>
          <w:color w:val="auto"/>
          <w:szCs w:val="21"/>
        </w:rPr>
        <w:t>；</w:t>
      </w:r>
    </w:p>
    <w:p w14:paraId="21999140">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③响应报价低于采购项目最高限价</w:t>
      </w:r>
      <w:r>
        <w:rPr>
          <w:rFonts w:hint="eastAsia" w:ascii="宋体" w:hAnsi="宋体" w:cs="宋体"/>
          <w:color w:val="auto"/>
          <w:szCs w:val="21"/>
          <w:u w:val="single"/>
        </w:rPr>
        <w:t>65%</w:t>
      </w:r>
      <w:r>
        <w:rPr>
          <w:rFonts w:hint="eastAsia" w:ascii="宋体" w:hAnsi="宋体" w:cs="宋体"/>
          <w:color w:val="auto"/>
          <w:szCs w:val="21"/>
        </w:rPr>
        <w:t>的，即响应报价＜采购项目最高限价×</w:t>
      </w:r>
      <w:r>
        <w:rPr>
          <w:rFonts w:hint="eastAsia" w:ascii="宋体" w:hAnsi="宋体" w:cs="宋体"/>
          <w:color w:val="auto"/>
          <w:szCs w:val="21"/>
          <w:u w:val="single"/>
        </w:rPr>
        <w:t>65%</w:t>
      </w:r>
      <w:r>
        <w:rPr>
          <w:rFonts w:hint="eastAsia" w:ascii="宋体" w:hAnsi="宋体" w:cs="宋体"/>
          <w:color w:val="auto"/>
          <w:szCs w:val="21"/>
        </w:rPr>
        <w:t>；</w:t>
      </w:r>
    </w:p>
    <w:p w14:paraId="750DACEB">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④谈判小组基于专业判断，认为供应商报价过低，有可能影响产品质量或者不能诚信履约的其他情形。</w:t>
      </w:r>
    </w:p>
    <w:p w14:paraId="25CD7B08">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2）谈判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05FF1E6">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谈判小组依据专业经验，参考同类项目中标（成交）价格、类似产品市场价格水平、行业人工费用标准、国家有关部门指导行业协会发布的行业平均成本等情况，对报价合理性进行判断。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auto"/>
          <w:szCs w:val="21"/>
        </w:rPr>
        <w:t>相关供应商不能提供书面说明、证明材料，或者提供的书面说明、证明材料不能证明其报价合理性的，谈判小组应当将其作为无效响应处理</w:t>
      </w:r>
      <w:r>
        <w:rPr>
          <w:rFonts w:hint="eastAsia" w:ascii="宋体" w:hAnsi="宋体" w:cs="宋体"/>
          <w:color w:val="auto"/>
          <w:szCs w:val="21"/>
        </w:rPr>
        <w:t>。</w:t>
      </w:r>
    </w:p>
    <w:p w14:paraId="78829A32">
      <w:pPr>
        <w:shd w:val="clear" w:color="auto" w:fill="auto"/>
        <w:spacing w:line="360" w:lineRule="auto"/>
        <w:ind w:firstLine="420" w:firstLineChars="200"/>
        <w:rPr>
          <w:rFonts w:hint="eastAsia" w:ascii="宋体" w:hAnsi="宋体" w:cs="宋体"/>
          <w:color w:val="auto"/>
          <w:szCs w:val="21"/>
        </w:rPr>
      </w:pPr>
      <w:r>
        <w:rPr>
          <w:rFonts w:hint="eastAsia" w:ascii="宋体" w:hAnsi="宋体" w:cs="宋体"/>
          <w:color w:val="auto"/>
          <w:szCs w:val="21"/>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0CE26168">
      <w:pPr>
        <w:shd w:val="clear" w:color="auto" w:fill="auto"/>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rPr>
        <w:t>异常低价响应审查的启动原因、审查意见和审查结果应当在评审报告中记录，并随供应商提供的相关书面说明及证明材料，以及谈判小组有关互联网浏览、查询历史一并归档。</w:t>
      </w:r>
    </w:p>
    <w:p w14:paraId="0B1C3549">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3</w:t>
      </w:r>
      <w:r>
        <w:rPr>
          <w:rFonts w:hint="eastAsia" w:ascii="宋体" w:hAnsi="宋体" w:cs="宋体"/>
          <w:color w:val="auto"/>
          <w:highlight w:val="none"/>
        </w:rPr>
        <w:t>政策性扣除计算方法。</w:t>
      </w:r>
    </w:p>
    <w:p w14:paraId="5554FA0F">
      <w:pPr>
        <w:spacing w:line="360" w:lineRule="auto"/>
        <w:ind w:firstLine="369" w:firstLineChars="176"/>
        <w:rPr>
          <w:rFonts w:ascii="宋体" w:hAnsi="宋体" w:cs="宋体"/>
          <w:color w:val="auto"/>
          <w:highlight w:val="none"/>
        </w:rPr>
      </w:pPr>
      <w:r>
        <w:rPr>
          <w:rFonts w:hint="eastAsia" w:ascii="宋体" w:hAnsi="宋体" w:cs="宋体"/>
          <w:color w:val="auto"/>
          <w:szCs w:val="21"/>
          <w:highlight w:val="none"/>
        </w:rPr>
        <w:t>根据《政府采购促进中小企业发展管理办法》（财库〔2020〕46号）</w:t>
      </w:r>
      <w:r>
        <w:rPr>
          <w:rFonts w:hint="eastAsia" w:ascii="宋体" w:hAnsi="宋体" w:cs="宋体"/>
          <w:bCs/>
          <w:color w:val="auto"/>
          <w:szCs w:val="21"/>
          <w:highlight w:val="none"/>
        </w:rPr>
        <w:t>及《广西壮族自治区财政厅关于持续优化政府采购营商环境推动高质量发展的通知》（桂财采〔2024〕55号）的规定，供应商在其响应文件中提供《中小企业声明函》，且响应货物全部由小微企业制造，对供应商的竞标报价给予10%的扣除，扣除后的价格为评审价，即评审价=竞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4%-6%的扣除，用扣除后的价格参加评审，扣除后的价格为评审价，即评审价=竞标报价×（1-4%）。除上述情况外，评审价=竞标报价。</w:t>
      </w:r>
    </w:p>
    <w:p w14:paraId="27598F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cs="宋体"/>
          <w:bCs/>
          <w:color w:val="auto"/>
          <w:szCs w:val="21"/>
          <w:highlight w:val="none"/>
        </w:rPr>
        <w:t>监狱企业属于小型、微型企业的，</w:t>
      </w:r>
      <w:r>
        <w:rPr>
          <w:rFonts w:hint="eastAsia" w:ascii="宋体" w:hAnsi="宋体" w:cs="宋体"/>
          <w:color w:val="auto"/>
          <w:szCs w:val="21"/>
          <w:highlight w:val="none"/>
        </w:rPr>
        <w:t>不重复享受政策。</w:t>
      </w:r>
    </w:p>
    <w:p w14:paraId="38899252">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6.</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100DF4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6.6本国产品政策性扣除计算方法。</w:t>
      </w:r>
    </w:p>
    <w:p w14:paraId="0D37718B">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228234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61D66CE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如果所有参与竞争的供应商均可享受本国产品价格评审优惠，则统一不进行价格扣除。</w:t>
      </w:r>
    </w:p>
    <w:p w14:paraId="3180714F">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供应商在其响应文件中提供《关于符合本国产品标准的声明函》或财政部会同有关部门规定的有关证明文件，出具符合要求的《声明函》或有关证明文件的，该产品视为本国产品。</w:t>
      </w:r>
    </w:p>
    <w:p w14:paraId="0A7D0AC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6.7中小企业折扣与本国产品折扣进行叠加计算，用扣除后的价格参加评审。即评审价=竞标报价-中小企业折扣-本国产品折扣，除上述情况外，评审价=竞标报价。</w:t>
      </w:r>
    </w:p>
    <w:p w14:paraId="2FB13DB5">
      <w:pPr>
        <w:rPr>
          <w:rFonts w:ascii="宋体" w:hAnsi="宋体" w:cs="宋体"/>
          <w:color w:val="auto"/>
          <w:highlight w:val="none"/>
        </w:rPr>
      </w:pPr>
      <w:r>
        <w:rPr>
          <w:rFonts w:hint="eastAsia" w:ascii="宋体" w:hAnsi="宋体" w:cs="宋体"/>
          <w:color w:val="auto"/>
          <w:highlight w:val="none"/>
        </w:rPr>
        <w:br w:type="page"/>
      </w:r>
    </w:p>
    <w:p w14:paraId="4FE694F2">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二、评定成交的标准</w:t>
      </w:r>
    </w:p>
    <w:p w14:paraId="44F2F4E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7.成交候选人推荐</w:t>
      </w:r>
    </w:p>
    <w:p w14:paraId="564BAA09">
      <w:pPr>
        <w:spacing w:line="360" w:lineRule="auto"/>
        <w:ind w:firstLine="420" w:firstLineChars="200"/>
        <w:contextualSpacing/>
        <w:rPr>
          <w:rFonts w:ascii="宋体" w:hAnsi="宋体" w:cs="宋体"/>
          <w:color w:val="auto"/>
          <w:highlight w:val="none"/>
        </w:rPr>
      </w:pPr>
      <w:r>
        <w:rPr>
          <w:rFonts w:hint="eastAsia" w:ascii="宋体" w:hAnsi="宋体" w:cs="宋体"/>
          <w:color w:val="auto"/>
          <w:highlight w:val="none"/>
        </w:rPr>
        <w:t>谈判小组应当从质量和服务均能满足谈判文件实质性响应要求的供应商中，按照评审价由低到高的顺序提出3名以上成交候选人（评审价相同时，按照最后报价由低到高顺序依次推荐；最后报价相同时，由谈判小组按“供应商须知前附表”第26条规定的顺序推荐），并编写评审报告，评审报告通过电子交易平台向采购人、采购代理机构提交。</w:t>
      </w:r>
    </w:p>
    <w:p w14:paraId="0D0F3FE0">
      <w:pPr>
        <w:spacing w:line="360" w:lineRule="auto"/>
        <w:ind w:firstLine="420" w:firstLineChars="200"/>
        <w:rPr>
          <w:rFonts w:ascii="宋体" w:hAnsi="宋体" w:cs="宋体"/>
          <w:color w:val="auto"/>
          <w:highlight w:val="none"/>
        </w:rPr>
      </w:pPr>
    </w:p>
    <w:p w14:paraId="132F9D9F">
      <w:pPr>
        <w:pStyle w:val="2"/>
        <w:jc w:val="center"/>
        <w:rPr>
          <w:rFonts w:ascii="宋体" w:hAnsi="宋体" w:cs="宋体"/>
          <w:color w:val="auto"/>
          <w:highlight w:val="none"/>
        </w:rPr>
      </w:pPr>
      <w:r>
        <w:rPr>
          <w:rFonts w:hint="eastAsia" w:ascii="宋体" w:hAnsi="宋体" w:cs="宋体"/>
          <w:color w:val="auto"/>
          <w:highlight w:val="none"/>
        </w:rPr>
        <w:br w:type="page"/>
      </w:r>
    </w:p>
    <w:p w14:paraId="4FCC5985">
      <w:pPr>
        <w:rPr>
          <w:rFonts w:ascii="宋体" w:hAnsi="宋体" w:cs="宋体"/>
          <w:color w:val="auto"/>
          <w:highlight w:val="none"/>
        </w:rPr>
      </w:pPr>
    </w:p>
    <w:p w14:paraId="101F1AA6">
      <w:pPr>
        <w:rPr>
          <w:rFonts w:ascii="宋体" w:hAnsi="宋体" w:cs="宋体"/>
          <w:color w:val="auto"/>
          <w:highlight w:val="none"/>
        </w:rPr>
      </w:pPr>
    </w:p>
    <w:p w14:paraId="598A929B">
      <w:pPr>
        <w:rPr>
          <w:rFonts w:ascii="宋体" w:hAnsi="宋体" w:cs="宋体"/>
          <w:color w:val="auto"/>
          <w:highlight w:val="none"/>
        </w:rPr>
      </w:pPr>
    </w:p>
    <w:p w14:paraId="2D3235FF">
      <w:pPr>
        <w:rPr>
          <w:rFonts w:ascii="宋体" w:hAnsi="宋体" w:cs="宋体"/>
          <w:color w:val="auto"/>
          <w:highlight w:val="none"/>
        </w:rPr>
      </w:pPr>
    </w:p>
    <w:p w14:paraId="0AB3F80D">
      <w:pPr>
        <w:rPr>
          <w:rFonts w:ascii="宋体" w:hAnsi="宋体" w:cs="宋体"/>
          <w:color w:val="auto"/>
          <w:highlight w:val="none"/>
        </w:rPr>
      </w:pPr>
    </w:p>
    <w:p w14:paraId="18B64765">
      <w:pPr>
        <w:rPr>
          <w:rFonts w:ascii="宋体" w:hAnsi="宋体" w:cs="宋体"/>
          <w:color w:val="auto"/>
          <w:highlight w:val="none"/>
        </w:rPr>
      </w:pPr>
    </w:p>
    <w:p w14:paraId="78E238E9">
      <w:pPr>
        <w:rPr>
          <w:rFonts w:ascii="宋体" w:hAnsi="宋体" w:cs="宋体"/>
          <w:color w:val="auto"/>
          <w:highlight w:val="none"/>
        </w:rPr>
      </w:pPr>
    </w:p>
    <w:p w14:paraId="4135AA69">
      <w:pPr>
        <w:rPr>
          <w:rFonts w:ascii="宋体" w:hAnsi="宋体" w:cs="宋体"/>
          <w:color w:val="auto"/>
          <w:highlight w:val="none"/>
        </w:rPr>
      </w:pPr>
    </w:p>
    <w:p w14:paraId="22E171C3">
      <w:pPr>
        <w:rPr>
          <w:rFonts w:ascii="宋体" w:hAnsi="宋体" w:cs="宋体"/>
          <w:color w:val="auto"/>
          <w:highlight w:val="none"/>
        </w:rPr>
      </w:pPr>
    </w:p>
    <w:p w14:paraId="777C5B33">
      <w:pPr>
        <w:rPr>
          <w:rFonts w:ascii="宋体" w:hAnsi="宋体" w:cs="宋体"/>
          <w:color w:val="auto"/>
          <w:highlight w:val="none"/>
        </w:rPr>
      </w:pPr>
    </w:p>
    <w:p w14:paraId="53E20856">
      <w:pPr>
        <w:rPr>
          <w:rFonts w:ascii="宋体" w:hAnsi="宋体" w:cs="宋体"/>
          <w:color w:val="auto"/>
          <w:highlight w:val="none"/>
        </w:rPr>
      </w:pPr>
    </w:p>
    <w:p w14:paraId="705B4B18">
      <w:pPr>
        <w:rPr>
          <w:rFonts w:ascii="宋体" w:hAnsi="宋体" w:cs="宋体"/>
          <w:color w:val="auto"/>
          <w:highlight w:val="none"/>
        </w:rPr>
      </w:pPr>
    </w:p>
    <w:p w14:paraId="5432EF0C">
      <w:pPr>
        <w:rPr>
          <w:rFonts w:ascii="宋体" w:hAnsi="宋体" w:cs="宋体"/>
          <w:color w:val="auto"/>
          <w:highlight w:val="none"/>
        </w:rPr>
      </w:pPr>
    </w:p>
    <w:p w14:paraId="0CE9ED78">
      <w:pPr>
        <w:pStyle w:val="2"/>
        <w:jc w:val="center"/>
        <w:rPr>
          <w:rFonts w:ascii="宋体" w:hAnsi="宋体" w:cs="宋体"/>
          <w:color w:val="auto"/>
          <w:highlight w:val="none"/>
        </w:rPr>
      </w:pPr>
      <w:bookmarkStart w:id="102" w:name="_Toc20203"/>
      <w:r>
        <w:rPr>
          <w:rFonts w:hint="eastAsia" w:ascii="宋体" w:hAnsi="宋体" w:cs="宋体"/>
          <w:color w:val="auto"/>
          <w:highlight w:val="none"/>
        </w:rPr>
        <w:t>第五章响应文件格式</w:t>
      </w:r>
      <w:bookmarkEnd w:id="102"/>
    </w:p>
    <w:p w14:paraId="5AE3CC02">
      <w:pPr>
        <w:spacing w:line="240" w:lineRule="atLeast"/>
        <w:rPr>
          <w:rFonts w:ascii="宋体" w:hAnsi="宋体" w:cs="宋体"/>
          <w:b/>
          <w:color w:val="auto"/>
          <w:sz w:val="32"/>
          <w:szCs w:val="32"/>
          <w:highlight w:val="none"/>
        </w:rPr>
      </w:pPr>
    </w:p>
    <w:p w14:paraId="1B526E51">
      <w:pPr>
        <w:spacing w:line="240" w:lineRule="atLeast"/>
        <w:rPr>
          <w:rFonts w:ascii="宋体" w:hAnsi="宋体" w:cs="宋体"/>
          <w:b/>
          <w:color w:val="auto"/>
          <w:sz w:val="32"/>
          <w:szCs w:val="32"/>
          <w:highlight w:val="none"/>
        </w:rPr>
      </w:pPr>
    </w:p>
    <w:p w14:paraId="4A46BBEF">
      <w:pPr>
        <w:spacing w:line="240" w:lineRule="atLeast"/>
        <w:rPr>
          <w:rFonts w:ascii="宋体" w:hAnsi="宋体" w:cs="宋体"/>
          <w:b/>
          <w:color w:val="auto"/>
          <w:sz w:val="32"/>
          <w:szCs w:val="32"/>
          <w:highlight w:val="none"/>
        </w:rPr>
      </w:pPr>
    </w:p>
    <w:p w14:paraId="21ADE054">
      <w:pPr>
        <w:spacing w:line="240" w:lineRule="atLeast"/>
        <w:rPr>
          <w:rFonts w:ascii="宋体" w:hAnsi="宋体" w:cs="宋体"/>
          <w:b/>
          <w:color w:val="auto"/>
          <w:sz w:val="32"/>
          <w:szCs w:val="32"/>
          <w:highlight w:val="none"/>
        </w:rPr>
      </w:pPr>
    </w:p>
    <w:p w14:paraId="5448283B">
      <w:pPr>
        <w:spacing w:line="240" w:lineRule="atLeast"/>
        <w:rPr>
          <w:rFonts w:ascii="宋体" w:hAnsi="宋体" w:cs="宋体"/>
          <w:b/>
          <w:color w:val="auto"/>
          <w:sz w:val="32"/>
          <w:szCs w:val="32"/>
          <w:highlight w:val="none"/>
        </w:rPr>
      </w:pPr>
    </w:p>
    <w:p w14:paraId="0483E421">
      <w:pPr>
        <w:spacing w:line="240" w:lineRule="atLeast"/>
        <w:rPr>
          <w:rFonts w:ascii="宋体" w:hAnsi="宋体" w:cs="宋体"/>
          <w:b/>
          <w:color w:val="auto"/>
          <w:sz w:val="32"/>
          <w:szCs w:val="32"/>
          <w:highlight w:val="none"/>
        </w:rPr>
      </w:pPr>
    </w:p>
    <w:p w14:paraId="32D9E53E">
      <w:pPr>
        <w:spacing w:line="240" w:lineRule="atLeast"/>
        <w:rPr>
          <w:rFonts w:ascii="宋体" w:hAnsi="宋体" w:cs="宋体"/>
          <w:b/>
          <w:color w:val="auto"/>
          <w:sz w:val="32"/>
          <w:szCs w:val="32"/>
          <w:highlight w:val="none"/>
        </w:rPr>
      </w:pPr>
    </w:p>
    <w:p w14:paraId="1C3D5D68">
      <w:pPr>
        <w:spacing w:line="240" w:lineRule="atLeast"/>
        <w:rPr>
          <w:rFonts w:ascii="宋体" w:hAnsi="宋体" w:cs="宋体"/>
          <w:b/>
          <w:color w:val="auto"/>
          <w:sz w:val="32"/>
          <w:szCs w:val="32"/>
          <w:highlight w:val="none"/>
        </w:rPr>
      </w:pPr>
    </w:p>
    <w:p w14:paraId="42E6BB7E">
      <w:pPr>
        <w:spacing w:line="240" w:lineRule="atLeast"/>
        <w:rPr>
          <w:rFonts w:ascii="宋体" w:hAnsi="宋体" w:cs="宋体"/>
          <w:b/>
          <w:color w:val="auto"/>
          <w:sz w:val="32"/>
          <w:szCs w:val="32"/>
          <w:highlight w:val="none"/>
        </w:rPr>
      </w:pPr>
    </w:p>
    <w:p w14:paraId="49778748">
      <w:pPr>
        <w:spacing w:line="240" w:lineRule="atLeast"/>
        <w:rPr>
          <w:rFonts w:ascii="宋体" w:hAnsi="宋体" w:cs="宋体"/>
          <w:b/>
          <w:color w:val="auto"/>
          <w:sz w:val="32"/>
          <w:szCs w:val="32"/>
          <w:highlight w:val="none"/>
        </w:rPr>
      </w:pPr>
    </w:p>
    <w:p w14:paraId="007B5D0F">
      <w:pPr>
        <w:spacing w:line="240" w:lineRule="atLeast"/>
        <w:rPr>
          <w:rFonts w:ascii="宋体" w:hAnsi="宋体" w:cs="宋体"/>
          <w:b/>
          <w:color w:val="auto"/>
          <w:sz w:val="32"/>
          <w:szCs w:val="32"/>
          <w:highlight w:val="none"/>
        </w:rPr>
      </w:pPr>
    </w:p>
    <w:p w14:paraId="679ADF3A">
      <w:pPr>
        <w:spacing w:line="240" w:lineRule="atLeast"/>
        <w:rPr>
          <w:rFonts w:ascii="宋体" w:hAnsi="宋体" w:cs="宋体"/>
          <w:b/>
          <w:color w:val="auto"/>
          <w:sz w:val="32"/>
          <w:szCs w:val="32"/>
          <w:highlight w:val="none"/>
        </w:rPr>
      </w:pPr>
    </w:p>
    <w:p w14:paraId="4D107C73">
      <w:pPr>
        <w:rPr>
          <w:rFonts w:ascii="宋体" w:hAnsi="宋体" w:cs="宋体"/>
          <w:color w:val="auto"/>
          <w:highlight w:val="none"/>
        </w:rPr>
      </w:pPr>
    </w:p>
    <w:p w14:paraId="4DDD187D">
      <w:pPr>
        <w:rPr>
          <w:rFonts w:ascii="宋体" w:hAnsi="宋体" w:cs="宋体"/>
          <w:color w:val="auto"/>
          <w:highlight w:val="none"/>
        </w:rPr>
      </w:pPr>
    </w:p>
    <w:p w14:paraId="2D25445B">
      <w:pPr>
        <w:rPr>
          <w:rFonts w:ascii="宋体" w:hAnsi="宋体" w:cs="宋体"/>
          <w:color w:val="auto"/>
          <w:highlight w:val="none"/>
        </w:rPr>
      </w:pPr>
    </w:p>
    <w:p w14:paraId="49E2755A">
      <w:pPr>
        <w:rPr>
          <w:rFonts w:ascii="宋体" w:hAnsi="宋体" w:cs="宋体"/>
          <w:color w:val="auto"/>
          <w:highlight w:val="none"/>
        </w:rPr>
      </w:pPr>
    </w:p>
    <w:p w14:paraId="4148314E">
      <w:pPr>
        <w:rPr>
          <w:rFonts w:ascii="宋体" w:hAnsi="宋体" w:cs="宋体"/>
          <w:color w:val="auto"/>
          <w:highlight w:val="none"/>
        </w:rPr>
      </w:pPr>
    </w:p>
    <w:p w14:paraId="1450F35D">
      <w:pPr>
        <w:rPr>
          <w:rFonts w:ascii="宋体" w:hAnsi="宋体" w:cs="宋体"/>
          <w:b/>
          <w:color w:val="auto"/>
          <w:sz w:val="32"/>
          <w:szCs w:val="32"/>
          <w:highlight w:val="none"/>
        </w:rPr>
      </w:pPr>
      <w:r>
        <w:rPr>
          <w:rFonts w:hint="eastAsia" w:ascii="宋体" w:hAnsi="宋体" w:cs="宋体"/>
          <w:bCs/>
          <w:color w:val="auto"/>
          <w:sz w:val="24"/>
          <w:highlight w:val="none"/>
        </w:rPr>
        <w:br w:type="page"/>
      </w:r>
      <w:bookmarkStart w:id="103" w:name="_Toc71365382"/>
      <w:bookmarkStart w:id="104" w:name="_Toc71366060"/>
      <w:r>
        <w:rPr>
          <w:rFonts w:hint="eastAsia" w:ascii="宋体" w:hAnsi="宋体" w:cs="宋体"/>
          <w:b/>
          <w:color w:val="auto"/>
          <w:sz w:val="32"/>
          <w:szCs w:val="32"/>
          <w:highlight w:val="none"/>
        </w:rPr>
        <w:t>一、资格证明文件格式</w:t>
      </w:r>
      <w:bookmarkEnd w:id="103"/>
      <w:bookmarkEnd w:id="104"/>
    </w:p>
    <w:p w14:paraId="45341BC0">
      <w:pPr>
        <w:snapToGrid w:val="0"/>
        <w:spacing w:before="120" w:beforeLines="50" w:after="50" w:line="360" w:lineRule="auto"/>
        <w:jc w:val="left"/>
        <w:rPr>
          <w:rFonts w:ascii="宋体" w:hAnsi="宋体" w:cs="宋体"/>
          <w:b/>
          <w:color w:val="auto"/>
          <w:sz w:val="24"/>
          <w:highlight w:val="none"/>
        </w:rPr>
      </w:pPr>
      <w:r>
        <w:rPr>
          <w:rFonts w:hint="eastAsia" w:ascii="宋体" w:hAnsi="宋体" w:cs="宋体"/>
          <w:b/>
          <w:color w:val="auto"/>
          <w:sz w:val="32"/>
          <w:szCs w:val="32"/>
          <w:highlight w:val="none"/>
        </w:rPr>
        <w:t>1.资格证明文件封面格式：</w:t>
      </w:r>
    </w:p>
    <w:p w14:paraId="5801E61F">
      <w:pPr>
        <w:snapToGrid w:val="0"/>
        <w:spacing w:before="120" w:beforeLines="50" w:after="50"/>
        <w:rPr>
          <w:rFonts w:ascii="宋体" w:hAnsi="宋体" w:cs="宋体"/>
          <w:bCs/>
          <w:color w:val="auto"/>
          <w:sz w:val="32"/>
          <w:szCs w:val="20"/>
          <w:highlight w:val="none"/>
        </w:rPr>
      </w:pPr>
    </w:p>
    <w:p w14:paraId="28668BF6">
      <w:pPr>
        <w:snapToGrid w:val="0"/>
        <w:spacing w:before="120" w:beforeLines="50" w:after="50"/>
        <w:jc w:val="center"/>
        <w:rPr>
          <w:rFonts w:ascii="宋体" w:hAnsi="宋体" w:cs="宋体"/>
          <w:color w:val="auto"/>
          <w:sz w:val="44"/>
          <w:szCs w:val="44"/>
          <w:highlight w:val="none"/>
        </w:rPr>
      </w:pPr>
      <w:r>
        <w:rPr>
          <w:rFonts w:hint="eastAsia" w:ascii="宋体" w:hAnsi="宋体" w:cs="宋体"/>
          <w:color w:val="auto"/>
          <w:sz w:val="44"/>
          <w:szCs w:val="44"/>
          <w:highlight w:val="none"/>
        </w:rPr>
        <w:t>电子响应文件</w:t>
      </w:r>
    </w:p>
    <w:p w14:paraId="556FC229">
      <w:pPr>
        <w:snapToGrid w:val="0"/>
        <w:spacing w:before="120" w:beforeLines="50" w:after="50"/>
        <w:rPr>
          <w:rFonts w:ascii="宋体" w:hAnsi="宋体" w:cs="宋体"/>
          <w:color w:val="auto"/>
          <w:sz w:val="24"/>
          <w:szCs w:val="20"/>
          <w:highlight w:val="none"/>
        </w:rPr>
      </w:pPr>
    </w:p>
    <w:p w14:paraId="55571A21">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资格证明文件</w:t>
      </w:r>
    </w:p>
    <w:p w14:paraId="15E3B4EB">
      <w:pPr>
        <w:snapToGrid w:val="0"/>
        <w:spacing w:before="120" w:beforeLines="50" w:after="50"/>
        <w:rPr>
          <w:rFonts w:ascii="宋体" w:hAnsi="宋体" w:cs="宋体"/>
          <w:bCs/>
          <w:color w:val="auto"/>
          <w:sz w:val="24"/>
          <w:szCs w:val="20"/>
          <w:highlight w:val="none"/>
        </w:rPr>
      </w:pPr>
    </w:p>
    <w:p w14:paraId="0B222418">
      <w:pPr>
        <w:snapToGrid w:val="0"/>
        <w:spacing w:before="120" w:beforeLines="50" w:after="50"/>
        <w:rPr>
          <w:rFonts w:ascii="宋体" w:hAnsi="宋体" w:cs="宋体"/>
          <w:bCs/>
          <w:color w:val="auto"/>
          <w:sz w:val="24"/>
          <w:szCs w:val="20"/>
          <w:highlight w:val="none"/>
        </w:rPr>
      </w:pPr>
    </w:p>
    <w:p w14:paraId="2DC7E23A">
      <w:pPr>
        <w:snapToGrid w:val="0"/>
        <w:spacing w:before="120" w:beforeLines="50" w:after="50"/>
        <w:rPr>
          <w:rFonts w:ascii="宋体" w:hAnsi="宋体" w:cs="宋体"/>
          <w:bCs/>
          <w:color w:val="auto"/>
          <w:sz w:val="24"/>
          <w:szCs w:val="20"/>
          <w:highlight w:val="none"/>
        </w:rPr>
      </w:pPr>
    </w:p>
    <w:p w14:paraId="1A443438">
      <w:pPr>
        <w:snapToGrid w:val="0"/>
        <w:spacing w:before="120" w:beforeLines="50" w:after="50"/>
        <w:rPr>
          <w:rFonts w:ascii="宋体" w:hAnsi="宋体" w:cs="宋体"/>
          <w:bCs/>
          <w:color w:val="auto"/>
          <w:sz w:val="24"/>
          <w:szCs w:val="20"/>
          <w:highlight w:val="none"/>
        </w:rPr>
      </w:pPr>
    </w:p>
    <w:p w14:paraId="486A2B0F">
      <w:pPr>
        <w:snapToGrid w:val="0"/>
        <w:spacing w:before="120" w:beforeLines="50" w:after="50"/>
        <w:rPr>
          <w:rFonts w:ascii="宋体" w:hAnsi="宋体" w:cs="宋体"/>
          <w:bCs/>
          <w:color w:val="auto"/>
          <w:sz w:val="24"/>
          <w:szCs w:val="20"/>
          <w:highlight w:val="none"/>
        </w:rPr>
      </w:pPr>
    </w:p>
    <w:p w14:paraId="073934C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5E813DB">
      <w:pPr>
        <w:snapToGrid w:val="0"/>
        <w:spacing w:before="120" w:beforeLines="50" w:after="50"/>
        <w:ind w:firstLine="720" w:firstLineChars="225"/>
        <w:rPr>
          <w:rFonts w:ascii="宋体" w:hAnsi="宋体" w:cs="宋体"/>
          <w:bCs/>
          <w:color w:val="auto"/>
          <w:sz w:val="32"/>
          <w:szCs w:val="32"/>
          <w:highlight w:val="none"/>
        </w:rPr>
      </w:pPr>
    </w:p>
    <w:p w14:paraId="2768FE3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7517F214">
      <w:pPr>
        <w:snapToGrid w:val="0"/>
        <w:spacing w:before="120" w:beforeLines="50" w:after="50"/>
        <w:ind w:firstLine="720" w:firstLineChars="225"/>
        <w:rPr>
          <w:rFonts w:ascii="宋体" w:hAnsi="宋体" w:cs="宋体"/>
          <w:bCs/>
          <w:color w:val="auto"/>
          <w:sz w:val="32"/>
          <w:szCs w:val="32"/>
          <w:highlight w:val="none"/>
        </w:rPr>
      </w:pPr>
    </w:p>
    <w:p w14:paraId="2815A651">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55EFA04">
      <w:pPr>
        <w:snapToGrid w:val="0"/>
        <w:spacing w:before="120" w:beforeLines="50" w:after="50"/>
        <w:ind w:firstLine="720" w:firstLineChars="225"/>
        <w:rPr>
          <w:rFonts w:ascii="宋体" w:hAnsi="宋体" w:cs="宋体"/>
          <w:bCs/>
          <w:color w:val="auto"/>
          <w:sz w:val="32"/>
          <w:szCs w:val="32"/>
          <w:highlight w:val="none"/>
        </w:rPr>
      </w:pPr>
    </w:p>
    <w:p w14:paraId="1972B4A6">
      <w:pPr>
        <w:pStyle w:val="6"/>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5B165AF">
      <w:pPr>
        <w:snapToGrid w:val="0"/>
        <w:spacing w:before="120" w:beforeLines="50" w:after="50"/>
        <w:ind w:firstLine="640" w:firstLineChars="200"/>
        <w:rPr>
          <w:rFonts w:ascii="宋体" w:hAnsi="宋体" w:cs="宋体"/>
          <w:bCs/>
          <w:color w:val="auto"/>
          <w:sz w:val="32"/>
          <w:szCs w:val="32"/>
          <w:highlight w:val="none"/>
        </w:rPr>
      </w:pPr>
    </w:p>
    <w:p w14:paraId="1BB42426">
      <w:pPr>
        <w:pStyle w:val="6"/>
        <w:snapToGrid w:val="0"/>
        <w:spacing w:before="50" w:after="50"/>
        <w:ind w:firstLine="720" w:firstLineChars="225"/>
        <w:rPr>
          <w:rFonts w:ascii="宋体" w:hAnsi="宋体" w:cs="宋体"/>
          <w:bCs/>
          <w:color w:val="auto"/>
          <w:sz w:val="32"/>
          <w:szCs w:val="32"/>
          <w:highlight w:val="none"/>
        </w:rPr>
      </w:pPr>
    </w:p>
    <w:p w14:paraId="4250EC86">
      <w:pPr>
        <w:pStyle w:val="6"/>
        <w:snapToGrid w:val="0"/>
        <w:spacing w:before="50" w:after="50"/>
        <w:ind w:firstLine="720" w:firstLineChars="225"/>
        <w:rPr>
          <w:rFonts w:ascii="宋体" w:hAnsi="宋体" w:cs="宋体"/>
          <w:bCs/>
          <w:color w:val="auto"/>
          <w:sz w:val="32"/>
          <w:szCs w:val="32"/>
          <w:highlight w:val="none"/>
        </w:rPr>
      </w:pPr>
    </w:p>
    <w:p w14:paraId="02F1D7B2">
      <w:pPr>
        <w:pStyle w:val="6"/>
        <w:snapToGrid w:val="0"/>
        <w:spacing w:before="50" w:after="50"/>
        <w:ind w:firstLine="1280" w:firstLineChars="400"/>
        <w:rPr>
          <w:rFonts w:ascii="宋体" w:hAnsi="宋体" w:cs="宋体"/>
          <w:bCs/>
          <w:color w:val="auto"/>
          <w:sz w:val="32"/>
          <w:szCs w:val="32"/>
          <w:highlight w:val="none"/>
        </w:rPr>
      </w:pPr>
    </w:p>
    <w:p w14:paraId="2552ED3C">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 xml:space="preserve">年  月  日 </w:t>
      </w:r>
    </w:p>
    <w:p w14:paraId="6BCA3B75">
      <w:pPr>
        <w:snapToGrid w:val="0"/>
        <w:spacing w:before="120" w:beforeLines="50" w:after="50" w:line="360" w:lineRule="auto"/>
        <w:ind w:left="142"/>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2.资格证明文件目录</w:t>
      </w:r>
    </w:p>
    <w:p w14:paraId="759F1FE5">
      <w:pPr>
        <w:snapToGrid w:val="0"/>
        <w:spacing w:before="120" w:beforeLines="50" w:after="50" w:line="360" w:lineRule="auto"/>
        <w:ind w:firstLine="645"/>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2D0CDCC4">
      <w:pPr>
        <w:snapToGrid w:val="0"/>
        <w:spacing w:before="120" w:beforeLines="50" w:after="50" w:line="360" w:lineRule="auto"/>
        <w:rPr>
          <w:rFonts w:ascii="宋体" w:hAnsi="宋体" w:cs="宋体"/>
          <w:color w:val="auto"/>
          <w:sz w:val="24"/>
          <w:szCs w:val="20"/>
          <w:highlight w:val="none"/>
        </w:rPr>
      </w:pPr>
    </w:p>
    <w:p w14:paraId="71E9014A">
      <w:pPr>
        <w:spacing w:line="360" w:lineRule="auto"/>
        <w:rPr>
          <w:rFonts w:ascii="宋体" w:hAnsi="宋体" w:cs="宋体"/>
          <w:color w:val="auto"/>
          <w:szCs w:val="21"/>
          <w:highlight w:val="none"/>
        </w:rPr>
      </w:pPr>
    </w:p>
    <w:p w14:paraId="707EB9F8">
      <w:pPr>
        <w:spacing w:line="360" w:lineRule="auto"/>
        <w:rPr>
          <w:rFonts w:ascii="宋体" w:hAnsi="宋体" w:cs="宋体"/>
          <w:color w:val="auto"/>
          <w:szCs w:val="21"/>
          <w:highlight w:val="none"/>
        </w:rPr>
      </w:pPr>
    </w:p>
    <w:p w14:paraId="1D3E3A37">
      <w:pPr>
        <w:spacing w:line="360" w:lineRule="auto"/>
        <w:rPr>
          <w:rFonts w:ascii="宋体" w:hAnsi="宋体" w:cs="宋体"/>
          <w:color w:val="auto"/>
          <w:szCs w:val="21"/>
          <w:highlight w:val="none"/>
        </w:rPr>
      </w:pPr>
    </w:p>
    <w:p w14:paraId="7F66A442">
      <w:pPr>
        <w:spacing w:line="360" w:lineRule="auto"/>
        <w:rPr>
          <w:rFonts w:ascii="宋体" w:hAnsi="宋体" w:cs="宋体"/>
          <w:color w:val="auto"/>
          <w:szCs w:val="21"/>
          <w:highlight w:val="none"/>
        </w:rPr>
      </w:pPr>
    </w:p>
    <w:p w14:paraId="38287FE2">
      <w:pPr>
        <w:spacing w:line="300" w:lineRule="auto"/>
        <w:rPr>
          <w:rFonts w:ascii="宋体" w:hAnsi="宋体" w:cs="宋体"/>
          <w:color w:val="auto"/>
          <w:szCs w:val="21"/>
          <w:highlight w:val="none"/>
        </w:rPr>
      </w:pPr>
    </w:p>
    <w:p w14:paraId="553A373C">
      <w:pPr>
        <w:spacing w:line="300" w:lineRule="auto"/>
        <w:rPr>
          <w:rFonts w:ascii="宋体" w:hAnsi="宋体" w:cs="宋体"/>
          <w:color w:val="auto"/>
          <w:szCs w:val="21"/>
          <w:highlight w:val="none"/>
        </w:rPr>
      </w:pPr>
    </w:p>
    <w:p w14:paraId="4933D812">
      <w:pPr>
        <w:spacing w:line="300" w:lineRule="auto"/>
        <w:rPr>
          <w:rFonts w:ascii="宋体" w:hAnsi="宋体" w:cs="宋体"/>
          <w:color w:val="auto"/>
          <w:szCs w:val="21"/>
          <w:highlight w:val="none"/>
        </w:rPr>
      </w:pPr>
    </w:p>
    <w:p w14:paraId="4202608E">
      <w:pPr>
        <w:spacing w:line="300" w:lineRule="auto"/>
        <w:rPr>
          <w:rFonts w:ascii="宋体" w:hAnsi="宋体" w:cs="宋体"/>
          <w:color w:val="auto"/>
          <w:szCs w:val="21"/>
          <w:highlight w:val="none"/>
        </w:rPr>
      </w:pPr>
    </w:p>
    <w:p w14:paraId="0FD36B56">
      <w:pPr>
        <w:spacing w:line="300" w:lineRule="auto"/>
        <w:rPr>
          <w:rFonts w:ascii="宋体" w:hAnsi="宋体" w:cs="宋体"/>
          <w:color w:val="auto"/>
          <w:szCs w:val="21"/>
          <w:highlight w:val="none"/>
        </w:rPr>
      </w:pPr>
    </w:p>
    <w:p w14:paraId="7996EE61">
      <w:pPr>
        <w:spacing w:line="300" w:lineRule="auto"/>
        <w:rPr>
          <w:rFonts w:ascii="宋体" w:hAnsi="宋体" w:cs="宋体"/>
          <w:color w:val="auto"/>
          <w:szCs w:val="21"/>
          <w:highlight w:val="none"/>
        </w:rPr>
      </w:pPr>
    </w:p>
    <w:p w14:paraId="7DC756D9">
      <w:pPr>
        <w:spacing w:line="300" w:lineRule="auto"/>
        <w:rPr>
          <w:rFonts w:ascii="宋体" w:hAnsi="宋体" w:cs="宋体"/>
          <w:color w:val="auto"/>
          <w:szCs w:val="21"/>
          <w:highlight w:val="none"/>
        </w:rPr>
      </w:pPr>
    </w:p>
    <w:p w14:paraId="4F7FC28C">
      <w:pPr>
        <w:spacing w:line="300" w:lineRule="auto"/>
        <w:rPr>
          <w:rFonts w:ascii="宋体" w:hAnsi="宋体" w:cs="宋体"/>
          <w:color w:val="auto"/>
          <w:szCs w:val="21"/>
          <w:highlight w:val="none"/>
        </w:rPr>
      </w:pPr>
    </w:p>
    <w:p w14:paraId="7270B5D8">
      <w:pPr>
        <w:spacing w:line="300" w:lineRule="auto"/>
        <w:rPr>
          <w:rFonts w:ascii="宋体" w:hAnsi="宋体" w:cs="宋体"/>
          <w:color w:val="auto"/>
          <w:szCs w:val="21"/>
          <w:highlight w:val="none"/>
        </w:rPr>
      </w:pPr>
    </w:p>
    <w:p w14:paraId="3E73A38B">
      <w:pPr>
        <w:spacing w:line="300" w:lineRule="auto"/>
        <w:rPr>
          <w:rFonts w:ascii="宋体" w:hAnsi="宋体" w:cs="宋体"/>
          <w:color w:val="auto"/>
          <w:szCs w:val="21"/>
          <w:highlight w:val="none"/>
        </w:rPr>
      </w:pPr>
    </w:p>
    <w:p w14:paraId="0F3916E8">
      <w:pPr>
        <w:spacing w:line="300" w:lineRule="auto"/>
        <w:rPr>
          <w:rFonts w:ascii="宋体" w:hAnsi="宋体" w:cs="宋体"/>
          <w:color w:val="auto"/>
          <w:szCs w:val="21"/>
          <w:highlight w:val="none"/>
        </w:rPr>
      </w:pPr>
    </w:p>
    <w:p w14:paraId="3C4E46A6">
      <w:pPr>
        <w:spacing w:line="320" w:lineRule="exact"/>
        <w:jc w:val="left"/>
        <w:rPr>
          <w:rFonts w:ascii="宋体" w:hAnsi="宋体" w:cs="宋体"/>
          <w:color w:val="auto"/>
          <w:szCs w:val="21"/>
          <w:highlight w:val="none"/>
        </w:rPr>
      </w:pPr>
    </w:p>
    <w:p w14:paraId="6D17F5F1">
      <w:pPr>
        <w:snapToGrid w:val="0"/>
        <w:spacing w:before="120" w:beforeLines="50" w:after="50"/>
        <w:jc w:val="center"/>
        <w:rPr>
          <w:rFonts w:ascii="宋体" w:hAnsi="宋体" w:cs="宋体"/>
          <w:b/>
          <w:color w:val="auto"/>
          <w:sz w:val="32"/>
          <w:szCs w:val="32"/>
          <w:highlight w:val="none"/>
        </w:rPr>
      </w:pP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供应商直接控股股东信息表</w:t>
      </w:r>
    </w:p>
    <w:p w14:paraId="059CD04C">
      <w:pPr>
        <w:snapToGrid w:val="0"/>
        <w:spacing w:before="50" w:after="120" w:afterLines="50"/>
        <w:jc w:val="center"/>
        <w:rPr>
          <w:rFonts w:ascii="宋体" w:hAnsi="宋体" w:cs="宋体"/>
          <w:b/>
          <w:color w:val="auto"/>
          <w:sz w:val="32"/>
          <w:szCs w:val="32"/>
          <w:highlight w:val="none"/>
        </w:rPr>
      </w:pPr>
    </w:p>
    <w:tbl>
      <w:tblPr>
        <w:tblStyle w:val="29"/>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61634F1F">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A1973A">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BD1A68C">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1A11CC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出资比例</w:t>
            </w:r>
            <w:r>
              <w:rPr>
                <w:rFonts w:hint="eastAsia" w:ascii="宋体" w:hAnsi="宋体" w:cs="宋体"/>
                <w:b/>
                <w:bCs/>
                <w:color w:val="auto"/>
                <w:kern w:val="0"/>
                <w:sz w:val="24"/>
                <w:highlight w:val="none"/>
              </w:rPr>
              <w:t>(%)</w:t>
            </w:r>
          </w:p>
        </w:tc>
        <w:tc>
          <w:tcPr>
            <w:tcW w:w="4287"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06C4F69">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7C79B87">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6887467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E0C566">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E3B3BE">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AC4EE1">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2A23A5E">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B57E3A5">
            <w:pPr>
              <w:widowControl/>
              <w:spacing w:line="360" w:lineRule="auto"/>
              <w:jc w:val="center"/>
              <w:rPr>
                <w:rFonts w:ascii="宋体" w:hAnsi="宋体" w:cs="宋体"/>
                <w:color w:val="auto"/>
                <w:kern w:val="0"/>
                <w:sz w:val="28"/>
                <w:szCs w:val="28"/>
                <w:highlight w:val="none"/>
              </w:rPr>
            </w:pPr>
          </w:p>
        </w:tc>
      </w:tr>
      <w:tr w14:paraId="3DFE02C6">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1FAC9C2">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ADE1E1">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4C8323">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AFD23EA">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03CD86">
            <w:pPr>
              <w:widowControl/>
              <w:spacing w:line="360" w:lineRule="auto"/>
              <w:jc w:val="center"/>
              <w:rPr>
                <w:rFonts w:ascii="宋体" w:hAnsi="宋体" w:cs="宋体"/>
                <w:color w:val="auto"/>
                <w:kern w:val="0"/>
                <w:sz w:val="28"/>
                <w:szCs w:val="28"/>
                <w:highlight w:val="none"/>
              </w:rPr>
            </w:pPr>
          </w:p>
        </w:tc>
      </w:tr>
      <w:tr w14:paraId="131ED96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82E933">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6F40AA5">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27396C">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11CE19D">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5DC2F88">
            <w:pPr>
              <w:widowControl/>
              <w:spacing w:line="360" w:lineRule="auto"/>
              <w:jc w:val="center"/>
              <w:rPr>
                <w:rFonts w:ascii="宋体" w:hAnsi="宋体" w:cs="宋体"/>
                <w:color w:val="auto"/>
                <w:kern w:val="0"/>
                <w:sz w:val="28"/>
                <w:szCs w:val="28"/>
                <w:highlight w:val="none"/>
              </w:rPr>
            </w:pPr>
          </w:p>
        </w:tc>
      </w:tr>
      <w:tr w14:paraId="343FF002">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2134879">
            <w:pPr>
              <w:widowControl/>
              <w:spacing w:line="360" w:lineRule="auto"/>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32CA252">
            <w:pPr>
              <w:widowControl/>
              <w:spacing w:line="360" w:lineRule="auto"/>
              <w:jc w:val="center"/>
              <w:rPr>
                <w:rFonts w:ascii="宋体" w:hAnsi="宋体" w:cs="宋体"/>
                <w:color w:val="auto"/>
                <w:kern w:val="0"/>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9C5857">
            <w:pPr>
              <w:widowControl/>
              <w:spacing w:line="360" w:lineRule="auto"/>
              <w:jc w:val="center"/>
              <w:rPr>
                <w:rFonts w:ascii="宋体" w:hAnsi="宋体" w:cs="宋体"/>
                <w:color w:val="auto"/>
                <w:kern w:val="0"/>
                <w:sz w:val="28"/>
                <w:szCs w:val="28"/>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E78C199">
            <w:pPr>
              <w:widowControl/>
              <w:spacing w:line="360" w:lineRule="auto"/>
              <w:jc w:val="center"/>
              <w:rPr>
                <w:rFonts w:ascii="宋体" w:hAnsi="宋体" w:cs="宋体"/>
                <w:color w:val="auto"/>
                <w:kern w:val="0"/>
                <w:sz w:val="28"/>
                <w:szCs w:val="28"/>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2C478B">
            <w:pPr>
              <w:widowControl/>
              <w:spacing w:line="360" w:lineRule="auto"/>
              <w:jc w:val="center"/>
              <w:rPr>
                <w:rFonts w:ascii="宋体" w:hAnsi="宋体" w:cs="宋体"/>
                <w:color w:val="auto"/>
                <w:kern w:val="0"/>
                <w:sz w:val="28"/>
                <w:szCs w:val="28"/>
                <w:highlight w:val="none"/>
              </w:rPr>
            </w:pPr>
          </w:p>
        </w:tc>
      </w:tr>
    </w:tbl>
    <w:p w14:paraId="45EA0CF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722E2F8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AF83CEC">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151F30C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3.供应商不存在直接控股股东的，则在“直接控股股东名称”填“无”。</w:t>
      </w:r>
    </w:p>
    <w:p w14:paraId="53A32837">
      <w:pPr>
        <w:spacing w:line="360" w:lineRule="auto"/>
        <w:ind w:firstLine="420" w:firstLineChars="200"/>
        <w:contextualSpacing/>
        <w:jc w:val="left"/>
        <w:rPr>
          <w:rFonts w:ascii="宋体" w:hAnsi="宋体" w:cs="宋体"/>
          <w:color w:val="auto"/>
          <w:szCs w:val="21"/>
          <w:highlight w:val="none"/>
        </w:rPr>
      </w:pPr>
    </w:p>
    <w:p w14:paraId="5F0CE916">
      <w:pPr>
        <w:spacing w:line="360" w:lineRule="auto"/>
        <w:ind w:firstLine="560" w:firstLineChars="200"/>
        <w:contextualSpacing/>
        <w:jc w:val="left"/>
        <w:rPr>
          <w:rFonts w:ascii="宋体" w:hAnsi="宋体" w:cs="宋体"/>
          <w:color w:val="auto"/>
          <w:sz w:val="28"/>
          <w:szCs w:val="28"/>
          <w:highlight w:val="none"/>
        </w:rPr>
      </w:pPr>
    </w:p>
    <w:p w14:paraId="7AD8644B">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70D2E2A1">
      <w:pPr>
        <w:spacing w:line="360" w:lineRule="auto"/>
        <w:ind w:right="480" w:firstLine="3000" w:firstLineChars="1250"/>
        <w:contextualSpacing/>
        <w:rPr>
          <w:rFonts w:ascii="宋体" w:hAnsi="宋体" w:cs="宋体"/>
          <w:color w:val="auto"/>
          <w:sz w:val="24"/>
          <w:highlight w:val="none"/>
          <w:u w:val="single"/>
        </w:rPr>
      </w:pPr>
      <w:r>
        <w:rPr>
          <w:rFonts w:hint="eastAsia" w:ascii="宋体" w:hAnsi="宋体" w:cs="宋体"/>
          <w:color w:val="auto"/>
          <w:sz w:val="24"/>
          <w:highlight w:val="none"/>
        </w:rPr>
        <w:t xml:space="preserve">供应商名称（电子签章）： </w:t>
      </w:r>
    </w:p>
    <w:p w14:paraId="4D528504">
      <w:pPr>
        <w:spacing w:line="360" w:lineRule="auto"/>
        <w:ind w:right="480" w:firstLine="5280" w:firstLineChars="2200"/>
        <w:contextualSpacing/>
        <w:rPr>
          <w:rFonts w:ascii="宋体" w:hAnsi="宋体" w:cs="宋体"/>
          <w:color w:val="auto"/>
          <w:sz w:val="28"/>
          <w:szCs w:val="28"/>
          <w:highlight w:val="none"/>
        </w:rPr>
      </w:pPr>
      <w:r>
        <w:rPr>
          <w:rFonts w:hint="eastAsia" w:ascii="宋体" w:hAnsi="宋体" w:cs="宋体"/>
          <w:color w:val="auto"/>
          <w:sz w:val="24"/>
          <w:highlight w:val="none"/>
        </w:rPr>
        <w:t>年    月    日</w:t>
      </w:r>
    </w:p>
    <w:p w14:paraId="0A5A99BE">
      <w:pPr>
        <w:snapToGrid w:val="0"/>
        <w:jc w:val="center"/>
        <w:rPr>
          <w:rFonts w:ascii="宋体" w:hAnsi="宋体" w:cs="宋体"/>
          <w:b/>
          <w:color w:val="auto"/>
          <w:sz w:val="28"/>
          <w:szCs w:val="28"/>
          <w:highlight w:val="none"/>
        </w:rPr>
      </w:pPr>
      <w:r>
        <w:rPr>
          <w:rFonts w:hint="eastAsia" w:ascii="宋体" w:hAnsi="宋体" w:cs="宋体"/>
          <w:b/>
          <w:color w:val="auto"/>
          <w:sz w:val="28"/>
          <w:szCs w:val="28"/>
          <w:highlight w:val="none"/>
        </w:rPr>
        <w:br w:type="page"/>
      </w:r>
    </w:p>
    <w:p w14:paraId="704427B0">
      <w:pPr>
        <w:snapToGri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供应商直接管理关系信息表</w:t>
      </w:r>
    </w:p>
    <w:p w14:paraId="35C412A1">
      <w:pPr>
        <w:snapToGrid w:val="0"/>
        <w:jc w:val="center"/>
        <w:rPr>
          <w:rFonts w:ascii="宋体" w:hAnsi="宋体" w:cs="宋体"/>
          <w:b/>
          <w:color w:val="auto"/>
          <w:sz w:val="32"/>
          <w:szCs w:val="32"/>
          <w:highlight w:val="none"/>
        </w:rPr>
      </w:pPr>
    </w:p>
    <w:tbl>
      <w:tblPr>
        <w:tblStyle w:val="29"/>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E87DEF5">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8C4C17F">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53BBBF9">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94EA767">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FD2F411">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备注</w:t>
            </w:r>
          </w:p>
        </w:tc>
      </w:tr>
      <w:tr w14:paraId="03FE826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5ECF98">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2F03F66">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562E7A">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D8115F0">
            <w:pPr>
              <w:widowControl/>
              <w:wordWrap w:val="0"/>
              <w:spacing w:line="200" w:lineRule="atLeast"/>
              <w:jc w:val="center"/>
              <w:rPr>
                <w:rFonts w:ascii="宋体" w:hAnsi="宋体" w:cs="宋体"/>
                <w:color w:val="auto"/>
                <w:kern w:val="0"/>
                <w:sz w:val="28"/>
                <w:szCs w:val="28"/>
                <w:highlight w:val="none"/>
              </w:rPr>
            </w:pPr>
          </w:p>
        </w:tc>
      </w:tr>
      <w:tr w14:paraId="1E3B076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AD823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29C1BC">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D1A95DA">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CDCD782">
            <w:pPr>
              <w:widowControl/>
              <w:wordWrap w:val="0"/>
              <w:spacing w:line="200" w:lineRule="atLeast"/>
              <w:jc w:val="center"/>
              <w:rPr>
                <w:rFonts w:ascii="宋体" w:hAnsi="宋体" w:cs="宋体"/>
                <w:color w:val="auto"/>
                <w:kern w:val="0"/>
                <w:sz w:val="28"/>
                <w:szCs w:val="28"/>
                <w:highlight w:val="none"/>
              </w:rPr>
            </w:pPr>
          </w:p>
        </w:tc>
      </w:tr>
      <w:tr w14:paraId="3E3FDB62">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4C50E95">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C58BF7A">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67DDEBB">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535FD79">
            <w:pPr>
              <w:widowControl/>
              <w:wordWrap w:val="0"/>
              <w:spacing w:line="200" w:lineRule="atLeast"/>
              <w:jc w:val="center"/>
              <w:rPr>
                <w:rFonts w:ascii="宋体" w:hAnsi="宋体" w:cs="宋体"/>
                <w:color w:val="auto"/>
                <w:kern w:val="0"/>
                <w:sz w:val="28"/>
                <w:szCs w:val="28"/>
                <w:highlight w:val="none"/>
              </w:rPr>
            </w:pPr>
          </w:p>
        </w:tc>
      </w:tr>
      <w:tr w14:paraId="66D89F90">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BA9B270">
            <w:pPr>
              <w:widowControl/>
              <w:wordWrap w:val="0"/>
              <w:spacing w:line="200" w:lineRule="atLeast"/>
              <w:jc w:val="center"/>
              <w:rPr>
                <w:rFonts w:ascii="宋体" w:hAnsi="宋体" w:cs="宋体"/>
                <w:color w:val="auto"/>
                <w:kern w:val="0"/>
                <w:sz w:val="28"/>
                <w:szCs w:val="28"/>
                <w:highlight w:val="none"/>
              </w:rPr>
            </w:pPr>
            <w:r>
              <w:rPr>
                <w:rFonts w:hint="eastAsia" w:ascii="宋体" w:hAnsi="宋体" w:cs="宋体"/>
                <w:color w:val="auto"/>
                <w:kern w:val="0"/>
                <w:sz w:val="28"/>
                <w:szCs w:val="28"/>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700307F">
            <w:pPr>
              <w:widowControl/>
              <w:wordWrap w:val="0"/>
              <w:spacing w:line="200" w:lineRule="atLeast"/>
              <w:jc w:val="center"/>
              <w:rPr>
                <w:rFonts w:ascii="宋体" w:hAnsi="宋体" w:cs="宋体"/>
                <w:color w:val="auto"/>
                <w:kern w:val="0"/>
                <w:sz w:val="28"/>
                <w:szCs w:val="28"/>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38A721D">
            <w:pPr>
              <w:widowControl/>
              <w:wordWrap w:val="0"/>
              <w:spacing w:line="200" w:lineRule="atLeast"/>
              <w:jc w:val="center"/>
              <w:rPr>
                <w:rFonts w:ascii="宋体" w:hAnsi="宋体" w:cs="宋体"/>
                <w:color w:val="auto"/>
                <w:kern w:val="0"/>
                <w:sz w:val="28"/>
                <w:szCs w:val="28"/>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3BDB77">
            <w:pPr>
              <w:widowControl/>
              <w:wordWrap w:val="0"/>
              <w:spacing w:line="200" w:lineRule="atLeast"/>
              <w:jc w:val="center"/>
              <w:rPr>
                <w:rFonts w:ascii="宋体" w:hAnsi="宋体" w:cs="宋体"/>
                <w:color w:val="auto"/>
                <w:kern w:val="0"/>
                <w:sz w:val="28"/>
                <w:szCs w:val="28"/>
                <w:highlight w:val="none"/>
              </w:rPr>
            </w:pPr>
          </w:p>
        </w:tc>
      </w:tr>
    </w:tbl>
    <w:p w14:paraId="5CD23D52">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w:t>
      </w:r>
    </w:p>
    <w:p w14:paraId="69E42FCD">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2BC199A2">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6C5B389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3.供应商不存在直接管理关系的，则在“直接管理关系单位名称”填“无”。</w:t>
      </w:r>
    </w:p>
    <w:p w14:paraId="7D9876CC">
      <w:pPr>
        <w:spacing w:line="360" w:lineRule="auto"/>
        <w:contextualSpacing/>
        <w:jc w:val="left"/>
        <w:rPr>
          <w:rFonts w:ascii="宋体" w:hAnsi="宋体" w:cs="宋体"/>
          <w:color w:val="auto"/>
          <w:sz w:val="28"/>
          <w:szCs w:val="28"/>
          <w:highlight w:val="none"/>
        </w:rPr>
      </w:pPr>
    </w:p>
    <w:p w14:paraId="73B8A2C4">
      <w:pPr>
        <w:spacing w:line="360" w:lineRule="auto"/>
        <w:contextualSpacing/>
        <w:jc w:val="left"/>
        <w:rPr>
          <w:rFonts w:ascii="宋体" w:hAnsi="宋体" w:cs="宋体"/>
          <w:color w:val="auto"/>
          <w:sz w:val="28"/>
          <w:szCs w:val="28"/>
          <w:highlight w:val="none"/>
        </w:rPr>
      </w:pPr>
    </w:p>
    <w:p w14:paraId="6AE23879">
      <w:pPr>
        <w:spacing w:line="360" w:lineRule="auto"/>
        <w:contextualSpacing/>
        <w:jc w:val="left"/>
        <w:rPr>
          <w:rFonts w:ascii="宋体" w:hAnsi="宋体" w:cs="宋体"/>
          <w:color w:val="auto"/>
          <w:sz w:val="28"/>
          <w:szCs w:val="28"/>
          <w:highlight w:val="none"/>
        </w:rPr>
      </w:pPr>
    </w:p>
    <w:p w14:paraId="668730CA">
      <w:pPr>
        <w:spacing w:line="360" w:lineRule="auto"/>
        <w:contextualSpacing/>
        <w:jc w:val="left"/>
        <w:rPr>
          <w:rFonts w:ascii="宋体" w:hAnsi="宋体" w:cs="宋体"/>
          <w:color w:val="auto"/>
          <w:sz w:val="28"/>
          <w:szCs w:val="28"/>
          <w:highlight w:val="none"/>
        </w:rPr>
      </w:pPr>
    </w:p>
    <w:p w14:paraId="5EC9C79A">
      <w:pPr>
        <w:spacing w:line="360" w:lineRule="auto"/>
        <w:contextualSpacing/>
        <w:jc w:val="left"/>
        <w:rPr>
          <w:rFonts w:ascii="宋体" w:hAnsi="宋体" w:cs="宋体"/>
          <w:color w:val="auto"/>
          <w:sz w:val="28"/>
          <w:szCs w:val="28"/>
          <w:highlight w:val="none"/>
        </w:rPr>
      </w:pPr>
    </w:p>
    <w:p w14:paraId="33923E76">
      <w:pPr>
        <w:spacing w:line="360" w:lineRule="auto"/>
        <w:contextualSpacing/>
        <w:jc w:val="left"/>
        <w:rPr>
          <w:rFonts w:ascii="宋体" w:hAnsi="宋体" w:cs="宋体"/>
          <w:color w:val="auto"/>
          <w:sz w:val="28"/>
          <w:szCs w:val="28"/>
          <w:highlight w:val="none"/>
        </w:rPr>
      </w:pPr>
    </w:p>
    <w:p w14:paraId="3B12557A">
      <w:pPr>
        <w:spacing w:line="360" w:lineRule="auto"/>
        <w:ind w:right="480"/>
        <w:contextualSpacing/>
        <w:jc w:val="center"/>
        <w:rPr>
          <w:rFonts w:ascii="宋体" w:hAnsi="宋体" w:cs="宋体"/>
          <w:color w:val="auto"/>
          <w:sz w:val="24"/>
          <w:highlight w:val="none"/>
          <w:u w:val="single"/>
        </w:rPr>
      </w:pPr>
      <w:r>
        <w:rPr>
          <w:rFonts w:hint="eastAsia" w:ascii="宋体" w:hAnsi="宋体" w:cs="宋体"/>
          <w:color w:val="auto"/>
          <w:sz w:val="24"/>
          <w:highlight w:val="none"/>
        </w:rPr>
        <w:t>法定代表人或者委托代理人（签字或者电子签名）：</w:t>
      </w:r>
    </w:p>
    <w:p w14:paraId="316A8467">
      <w:pPr>
        <w:spacing w:line="360" w:lineRule="auto"/>
        <w:ind w:right="480" w:firstLine="3360" w:firstLineChars="14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6DD8AA85">
      <w:pPr>
        <w:spacing w:line="500" w:lineRule="exact"/>
        <w:jc w:val="center"/>
        <w:rPr>
          <w:rFonts w:ascii="宋体" w:hAnsi="宋体" w:cs="宋体"/>
          <w:b/>
          <w:color w:val="auto"/>
          <w:sz w:val="32"/>
          <w:szCs w:val="32"/>
          <w:highlight w:val="none"/>
        </w:rPr>
      </w:pPr>
      <w:r>
        <w:rPr>
          <w:rFonts w:hint="eastAsia" w:ascii="宋体" w:hAnsi="宋体" w:cs="宋体"/>
          <w:color w:val="auto"/>
          <w:sz w:val="24"/>
          <w:highlight w:val="none"/>
        </w:rPr>
        <w:t xml:space="preserve">                                        年    月    日</w:t>
      </w:r>
      <w:r>
        <w:rPr>
          <w:rFonts w:hint="eastAsia" w:ascii="宋体" w:hAnsi="宋体" w:cs="宋体"/>
          <w:b/>
          <w:color w:val="auto"/>
          <w:sz w:val="32"/>
          <w:szCs w:val="32"/>
          <w:highlight w:val="none"/>
        </w:rPr>
        <w:br w:type="page"/>
      </w:r>
      <w:r>
        <w:rPr>
          <w:rFonts w:hint="eastAsia" w:ascii="宋体" w:hAnsi="宋体" w:cs="宋体"/>
          <w:b/>
          <w:color w:val="auto"/>
          <w:sz w:val="32"/>
          <w:szCs w:val="32"/>
          <w:highlight w:val="none"/>
        </w:rPr>
        <w:t>竞标声明</w:t>
      </w:r>
    </w:p>
    <w:p w14:paraId="6A82F1DC">
      <w:pPr>
        <w:spacing w:line="320" w:lineRule="exact"/>
        <w:jc w:val="center"/>
        <w:rPr>
          <w:rFonts w:ascii="宋体" w:hAnsi="宋体" w:cs="宋体"/>
          <w:color w:val="auto"/>
          <w:sz w:val="24"/>
          <w:szCs w:val="20"/>
          <w:highlight w:val="none"/>
        </w:rPr>
      </w:pPr>
    </w:p>
    <w:p w14:paraId="1685057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84DED9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p>
    <w:p w14:paraId="45D6606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47D2097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7456C65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2.我方不是为本次采购项目提供整体设计、规范编制或者项目管理、监理、检测等服务的供应商。</w:t>
      </w:r>
    </w:p>
    <w:p w14:paraId="7CBC381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D14154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（1）将按谈判文件的约定履行合同责任和义务；</w:t>
      </w:r>
    </w:p>
    <w:p w14:paraId="37E4D0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（2）已详细审查全部谈判文件，包括补遗文件（如有）；</w:t>
      </w:r>
    </w:p>
    <w:p w14:paraId="2D1D3E6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（3）同意提供按照贵方可能要求的与谈判有关的一切数据或者资料；</w:t>
      </w:r>
    </w:p>
    <w:p w14:paraId="24A3F6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（4）响应谈判文件规定的竞标有效期。</w:t>
      </w:r>
    </w:p>
    <w:p w14:paraId="2E2E47D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5F2C431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22029BE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39F887D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61042A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09DAE1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292C9C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4D8B044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B2176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BD0949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9891E9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p>
    <w:p w14:paraId="7B6E1318">
      <w:pPr>
        <w:pStyle w:val="17"/>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7.与本谈判有关的一切正式往来信函请寄：     邮政编号：</w:t>
      </w:r>
    </w:p>
    <w:p w14:paraId="735FA898">
      <w:pPr>
        <w:pStyle w:val="17"/>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     电子邮箱：</w:t>
      </w:r>
    </w:p>
    <w:p w14:paraId="57CD9FD5">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      账号/行号：</w:t>
      </w:r>
    </w:p>
    <w:p w14:paraId="17335511">
      <w:pPr>
        <w:pStyle w:val="1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4E9FCA9F">
      <w:pPr>
        <w:pStyle w:val="15"/>
        <w:tabs>
          <w:tab w:val="left" w:pos="939"/>
        </w:tabs>
        <w:spacing w:line="360" w:lineRule="auto"/>
        <w:ind w:left="141" w:leftChars="67" w:firstLine="360" w:firstLineChars="150"/>
        <w:rPr>
          <w:rFonts w:ascii="宋体" w:hAnsi="宋体" w:cs="宋体"/>
          <w:color w:val="auto"/>
          <w:szCs w:val="21"/>
          <w:highlight w:val="none"/>
        </w:rPr>
      </w:pPr>
      <w:r>
        <w:rPr>
          <w:rFonts w:hint="eastAsia" w:ascii="宋体" w:hAnsi="宋体" w:cs="宋体"/>
          <w:color w:val="auto"/>
          <w:sz w:val="24"/>
          <w:highlight w:val="none"/>
        </w:rPr>
        <w:t>特此承诺。</w:t>
      </w:r>
    </w:p>
    <w:p w14:paraId="37A2CA69">
      <w:pPr>
        <w:spacing w:line="360" w:lineRule="auto"/>
        <w:contextualSpacing/>
        <w:jc w:val="left"/>
        <w:rPr>
          <w:rFonts w:ascii="宋体" w:hAnsi="宋体" w:cs="宋体"/>
          <w:b/>
          <w:color w:val="auto"/>
          <w:sz w:val="24"/>
          <w:highlight w:val="none"/>
        </w:rPr>
      </w:pPr>
      <w:r>
        <w:rPr>
          <w:rFonts w:hint="eastAsia" w:ascii="宋体" w:hAnsi="宋体" w:cs="宋体"/>
          <w:b/>
          <w:color w:val="auto"/>
          <w:sz w:val="24"/>
          <w:highlight w:val="none"/>
        </w:rPr>
        <w:t>注：如为联合体竞标，盖章处须加盖联合体牵头人电子签章并由联合体牵头人法定代表人分别签字或者盖章或者电子签名，否则响应文件按无效处理。</w:t>
      </w:r>
    </w:p>
    <w:p w14:paraId="6B330698">
      <w:pPr>
        <w:spacing w:line="360" w:lineRule="auto"/>
        <w:contextualSpacing/>
        <w:jc w:val="left"/>
        <w:rPr>
          <w:rFonts w:ascii="宋体" w:hAnsi="宋体" w:cs="宋体"/>
          <w:color w:val="auto"/>
          <w:szCs w:val="21"/>
          <w:highlight w:val="none"/>
        </w:rPr>
      </w:pPr>
    </w:p>
    <w:p w14:paraId="4FC34237">
      <w:pPr>
        <w:pStyle w:val="6"/>
        <w:overflowPunct w:val="0"/>
        <w:spacing w:line="520" w:lineRule="exact"/>
        <w:ind w:firstLine="0"/>
        <w:jc w:val="center"/>
        <w:rPr>
          <w:rFonts w:ascii="宋体" w:hAnsi="宋体" w:cs="宋体"/>
          <w:color w:val="auto"/>
          <w:highlight w:val="none"/>
        </w:rPr>
      </w:pPr>
      <w:r>
        <w:rPr>
          <w:rFonts w:hint="eastAsia" w:ascii="宋体" w:hAnsi="宋体" w:cs="宋体"/>
          <w:color w:val="auto"/>
          <w:highlight w:val="none"/>
        </w:rPr>
        <w:t xml:space="preserve">法定代表人（签字或者盖章或者电子签名）：                                                </w:t>
      </w:r>
    </w:p>
    <w:p w14:paraId="7AE9A494">
      <w:pPr>
        <w:pStyle w:val="6"/>
        <w:overflowPunct w:val="0"/>
        <w:spacing w:line="520" w:lineRule="exact"/>
        <w:ind w:firstLine="0"/>
        <w:jc w:val="center"/>
        <w:rPr>
          <w:rFonts w:ascii="宋体" w:hAnsi="宋体" w:cs="宋体"/>
          <w:color w:val="auto"/>
          <w:highlight w:val="none"/>
        </w:rPr>
      </w:pPr>
      <w:r>
        <w:rPr>
          <w:rFonts w:hint="eastAsia" w:ascii="宋体" w:hAnsi="宋体" w:cs="宋体"/>
          <w:color w:val="auto"/>
          <w:highlight w:val="none"/>
        </w:rPr>
        <w:t xml:space="preserve">供应商名称（电子签章）：                                          </w:t>
      </w:r>
    </w:p>
    <w:p w14:paraId="6DBD0779">
      <w:pPr>
        <w:pStyle w:val="6"/>
        <w:overflowPunct w:val="0"/>
        <w:spacing w:line="520" w:lineRule="exact"/>
        <w:ind w:firstLine="0"/>
        <w:jc w:val="center"/>
        <w:rPr>
          <w:rFonts w:ascii="宋体" w:hAnsi="宋体" w:cs="宋体"/>
          <w:color w:val="auto"/>
          <w:highlight w:val="none"/>
        </w:rPr>
      </w:pPr>
      <w:r>
        <w:rPr>
          <w:rFonts w:hint="eastAsia" w:ascii="宋体" w:hAnsi="宋体" w:cs="宋体"/>
          <w:color w:val="auto"/>
          <w:highlight w:val="none"/>
        </w:rPr>
        <w:t xml:space="preserve">                                                         年    月    日 </w:t>
      </w:r>
    </w:p>
    <w:p w14:paraId="36B653D0">
      <w:pPr>
        <w:pStyle w:val="6"/>
        <w:overflowPunct w:val="0"/>
        <w:spacing w:line="520" w:lineRule="exact"/>
        <w:ind w:firstLine="0"/>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联合体竞标协议书（本项目不适用）</w:t>
      </w:r>
    </w:p>
    <w:p w14:paraId="309A2AAB">
      <w:pPr>
        <w:pStyle w:val="6"/>
        <w:overflowPunct w:val="0"/>
        <w:spacing w:line="360" w:lineRule="auto"/>
        <w:ind w:firstLine="0"/>
        <w:contextualSpacing/>
        <w:rPr>
          <w:rFonts w:ascii="宋体" w:hAnsi="宋体" w:cs="宋体"/>
          <w:color w:val="auto"/>
          <w:sz w:val="24"/>
          <w:szCs w:val="24"/>
          <w:highlight w:val="none"/>
        </w:rPr>
      </w:pPr>
    </w:p>
    <w:p w14:paraId="21945160">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（所有成员单位名称）自愿组成（联合体名称）联合体，共同参加（项目名称）采购项目竞标。现就联合体竞标事宜订立如下协议。</w:t>
      </w:r>
    </w:p>
    <w:p w14:paraId="761864B8">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1.（某成员单位名称）为（联合体名称）牵头人。</w:t>
      </w:r>
    </w:p>
    <w:p w14:paraId="7AF124B3">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2.联合体各成员授权牵头人代表联合体参加竞标活动，签署文件及对文件的盖章，提交和接收相关的资料、信息及指示，进行合同谈判活动，负责合同实施阶段的组织和协调工作，以及处理与本竞标项目有关的一切事宜。</w:t>
      </w:r>
    </w:p>
    <w:p w14:paraId="2A362D45">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3.联合体牵头人在本项目中签署和盖章的一切文件和处理的一切事宜，联合体各成员均予以承认。联合体各成员将严格按照谈判文件、响应文件和合同的要求全面履行义务，并向采购人承担连带责任。</w:t>
      </w:r>
    </w:p>
    <w:p w14:paraId="73D7604E">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45846A69">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5.本</w:t>
      </w:r>
      <w:r>
        <w:rPr>
          <w:rFonts w:hint="eastAsia" w:ascii="宋体" w:hAnsi="宋体" w:cs="宋体"/>
          <w:color w:val="auto"/>
          <w:spacing w:val="-6"/>
          <w:sz w:val="24"/>
          <w:szCs w:val="24"/>
          <w:highlight w:val="none"/>
        </w:rPr>
        <w:t>协议书自所有成员单位法定代表人或者其委托代理人签字或者盖单位章之日起生效，合同履行完毕后自动失效。</w:t>
      </w:r>
    </w:p>
    <w:p w14:paraId="3FD695BF">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6.本协议书一式份，联合体成员和采购人各执一份。</w:t>
      </w:r>
    </w:p>
    <w:p w14:paraId="0B42AB71">
      <w:pPr>
        <w:pStyle w:val="6"/>
        <w:overflowPunct w:val="0"/>
        <w:spacing w:line="360" w:lineRule="auto"/>
        <w:ind w:firstLine="480" w:firstLineChars="200"/>
        <w:contextualSpacing/>
        <w:rPr>
          <w:rFonts w:ascii="宋体" w:hAnsi="宋体" w:cs="宋体"/>
          <w:color w:val="auto"/>
          <w:sz w:val="24"/>
          <w:szCs w:val="24"/>
          <w:highlight w:val="none"/>
        </w:rPr>
      </w:pPr>
      <w:r>
        <w:rPr>
          <w:rFonts w:hint="eastAsia" w:ascii="宋体" w:hAnsi="宋体" w:cs="宋体"/>
          <w:color w:val="auto"/>
          <w:sz w:val="24"/>
          <w:szCs w:val="24"/>
          <w:highlight w:val="none"/>
        </w:rPr>
        <w:t>注：本协议书应附法定代表人身份证明书；有委托代理的，应附授权委托书（格式自拟）。</w:t>
      </w:r>
    </w:p>
    <w:p w14:paraId="7C1B0A16">
      <w:pPr>
        <w:pStyle w:val="6"/>
        <w:overflowPunct w:val="0"/>
        <w:spacing w:line="360" w:lineRule="auto"/>
        <w:ind w:firstLineChars="175"/>
        <w:contextualSpacing/>
        <w:rPr>
          <w:rFonts w:ascii="宋体" w:hAnsi="宋体" w:cs="宋体"/>
          <w:color w:val="auto"/>
          <w:sz w:val="24"/>
          <w:szCs w:val="24"/>
          <w:highlight w:val="none"/>
        </w:rPr>
      </w:pPr>
    </w:p>
    <w:p w14:paraId="5915C7AE">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联合体牵头人名称（电子签章）：</w:t>
      </w:r>
    </w:p>
    <w:p w14:paraId="79CDF7BA">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7A8BD404">
      <w:pPr>
        <w:pStyle w:val="6"/>
        <w:overflowPunct w:val="0"/>
        <w:spacing w:line="360" w:lineRule="auto"/>
        <w:ind w:firstLine="0"/>
        <w:contextualSpacing/>
        <w:rPr>
          <w:rFonts w:ascii="宋体" w:hAnsi="宋体" w:cs="宋体"/>
          <w:color w:val="auto"/>
          <w:sz w:val="24"/>
          <w:szCs w:val="24"/>
          <w:highlight w:val="none"/>
        </w:rPr>
      </w:pPr>
    </w:p>
    <w:p w14:paraId="757FCD11">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6B0855C0">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21AF0CDB">
      <w:pPr>
        <w:pStyle w:val="6"/>
        <w:overflowPunct w:val="0"/>
        <w:spacing w:line="360" w:lineRule="auto"/>
        <w:ind w:firstLine="0"/>
        <w:contextualSpacing/>
        <w:rPr>
          <w:rFonts w:ascii="宋体" w:hAnsi="宋体" w:cs="宋体"/>
          <w:color w:val="auto"/>
          <w:sz w:val="24"/>
          <w:szCs w:val="24"/>
          <w:highlight w:val="none"/>
        </w:rPr>
      </w:pPr>
    </w:p>
    <w:p w14:paraId="27DB0443">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联合体成员名称（盖公章或者电子签章）：</w:t>
      </w:r>
    </w:p>
    <w:p w14:paraId="0F4C8095">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法定代表人或者其委托代理人（签字或者电子签名）：</w:t>
      </w:r>
    </w:p>
    <w:p w14:paraId="368030CC">
      <w:pPr>
        <w:pStyle w:val="6"/>
        <w:overflowPunct w:val="0"/>
        <w:spacing w:line="360" w:lineRule="auto"/>
        <w:ind w:firstLine="0"/>
        <w:contextualSpacing/>
        <w:rPr>
          <w:rFonts w:ascii="宋体" w:hAnsi="宋体" w:cs="宋体"/>
          <w:color w:val="auto"/>
          <w:sz w:val="24"/>
          <w:szCs w:val="24"/>
          <w:highlight w:val="none"/>
        </w:rPr>
      </w:pPr>
      <w:r>
        <w:rPr>
          <w:rFonts w:hint="eastAsia" w:ascii="宋体" w:hAnsi="宋体" w:cs="宋体"/>
          <w:color w:val="auto"/>
          <w:sz w:val="24"/>
          <w:szCs w:val="24"/>
          <w:highlight w:val="none"/>
        </w:rPr>
        <w:t>……</w:t>
      </w:r>
    </w:p>
    <w:p w14:paraId="62A1F8B0">
      <w:pPr>
        <w:spacing w:line="360" w:lineRule="auto"/>
        <w:contextualSpacing/>
        <w:rPr>
          <w:rFonts w:ascii="宋体" w:hAnsi="宋体" w:cs="宋体"/>
          <w:color w:val="auto"/>
          <w:sz w:val="24"/>
          <w:highlight w:val="none"/>
        </w:rPr>
      </w:pPr>
    </w:p>
    <w:p w14:paraId="36A5527E">
      <w:pPr>
        <w:spacing w:line="360" w:lineRule="auto"/>
        <w:contextualSpacing/>
        <w:rPr>
          <w:rFonts w:ascii="宋体" w:hAnsi="宋体" w:cs="宋体"/>
          <w:color w:val="auto"/>
          <w:sz w:val="24"/>
          <w:highlight w:val="none"/>
        </w:rPr>
      </w:pPr>
    </w:p>
    <w:p w14:paraId="7ED325B6">
      <w:pPr>
        <w:spacing w:line="360" w:lineRule="auto"/>
        <w:contextualSpacing/>
        <w:jc w:val="right"/>
        <w:rPr>
          <w:rFonts w:ascii="宋体" w:hAnsi="宋体" w:cs="宋体"/>
          <w:color w:val="auto"/>
          <w:sz w:val="24"/>
          <w:highlight w:val="none"/>
        </w:rPr>
      </w:pPr>
      <w:r>
        <w:rPr>
          <w:rFonts w:hint="eastAsia" w:ascii="宋体" w:hAnsi="宋体" w:cs="宋体"/>
          <w:color w:val="auto"/>
          <w:sz w:val="24"/>
          <w:highlight w:val="none"/>
        </w:rPr>
        <w:t>日期：年月日</w:t>
      </w:r>
    </w:p>
    <w:p w14:paraId="1BEC9684">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二、</w:t>
      </w:r>
      <w:r>
        <w:rPr>
          <w:rFonts w:hint="eastAsia" w:ascii="宋体" w:hAnsi="宋体" w:cs="宋体"/>
          <w:b/>
          <w:color w:val="auto"/>
          <w:sz w:val="32"/>
          <w:szCs w:val="32"/>
          <w:highlight w:val="none"/>
        </w:rPr>
        <w:t>报价文件格式</w:t>
      </w:r>
    </w:p>
    <w:p w14:paraId="07BD4693">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1.报价文件封面格式</w:t>
      </w:r>
    </w:p>
    <w:p w14:paraId="050A8BDD">
      <w:pPr>
        <w:snapToGrid w:val="0"/>
        <w:spacing w:before="120" w:beforeLines="50" w:after="50"/>
        <w:rPr>
          <w:rFonts w:ascii="宋体" w:hAnsi="宋体" w:cs="宋体"/>
          <w:bCs/>
          <w:color w:val="auto"/>
          <w:sz w:val="32"/>
          <w:szCs w:val="20"/>
          <w:highlight w:val="none"/>
        </w:rPr>
      </w:pPr>
    </w:p>
    <w:p w14:paraId="4EDAC8C2">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电子响应文件</w:t>
      </w:r>
    </w:p>
    <w:p w14:paraId="370C546B">
      <w:pPr>
        <w:snapToGrid w:val="0"/>
        <w:spacing w:before="120" w:beforeLines="50" w:after="50"/>
        <w:rPr>
          <w:rFonts w:ascii="宋体" w:hAnsi="宋体" w:cs="宋体"/>
          <w:color w:val="auto"/>
          <w:sz w:val="24"/>
          <w:szCs w:val="20"/>
          <w:highlight w:val="none"/>
        </w:rPr>
      </w:pPr>
    </w:p>
    <w:p w14:paraId="271186C2">
      <w:pPr>
        <w:snapToGrid w:val="0"/>
        <w:spacing w:before="120" w:beforeLines="50" w:after="50"/>
        <w:rPr>
          <w:rFonts w:ascii="宋体" w:hAnsi="宋体" w:cs="宋体"/>
          <w:color w:val="auto"/>
          <w:sz w:val="24"/>
          <w:szCs w:val="20"/>
          <w:highlight w:val="none"/>
        </w:rPr>
      </w:pPr>
    </w:p>
    <w:p w14:paraId="0CED1D5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报价文件</w:t>
      </w:r>
    </w:p>
    <w:p w14:paraId="20351007">
      <w:pPr>
        <w:snapToGrid w:val="0"/>
        <w:spacing w:before="120" w:beforeLines="50" w:after="50"/>
        <w:rPr>
          <w:rFonts w:ascii="宋体" w:hAnsi="宋体" w:cs="宋体"/>
          <w:bCs/>
          <w:color w:val="auto"/>
          <w:sz w:val="24"/>
          <w:szCs w:val="20"/>
          <w:highlight w:val="none"/>
        </w:rPr>
      </w:pPr>
    </w:p>
    <w:p w14:paraId="44B95286">
      <w:pPr>
        <w:snapToGrid w:val="0"/>
        <w:spacing w:before="120" w:beforeLines="50" w:after="50"/>
        <w:rPr>
          <w:rFonts w:ascii="宋体" w:hAnsi="宋体" w:cs="宋体"/>
          <w:bCs/>
          <w:color w:val="auto"/>
          <w:sz w:val="24"/>
          <w:szCs w:val="20"/>
          <w:highlight w:val="none"/>
        </w:rPr>
      </w:pPr>
    </w:p>
    <w:p w14:paraId="5B833DFA">
      <w:pPr>
        <w:snapToGrid w:val="0"/>
        <w:spacing w:before="120" w:beforeLines="50" w:after="50"/>
        <w:rPr>
          <w:rFonts w:ascii="宋体" w:hAnsi="宋体" w:cs="宋体"/>
          <w:bCs/>
          <w:color w:val="auto"/>
          <w:sz w:val="24"/>
          <w:szCs w:val="20"/>
          <w:highlight w:val="none"/>
        </w:rPr>
      </w:pPr>
    </w:p>
    <w:p w14:paraId="77F51B45">
      <w:pPr>
        <w:snapToGrid w:val="0"/>
        <w:spacing w:before="120" w:beforeLines="50" w:after="50"/>
        <w:rPr>
          <w:rFonts w:ascii="宋体" w:hAnsi="宋体" w:cs="宋体"/>
          <w:bCs/>
          <w:color w:val="auto"/>
          <w:sz w:val="24"/>
          <w:szCs w:val="20"/>
          <w:highlight w:val="none"/>
        </w:rPr>
      </w:pPr>
    </w:p>
    <w:p w14:paraId="5914FE5F">
      <w:pPr>
        <w:snapToGrid w:val="0"/>
        <w:spacing w:before="120" w:beforeLines="50" w:after="50"/>
        <w:rPr>
          <w:rFonts w:ascii="宋体" w:hAnsi="宋体" w:cs="宋体"/>
          <w:bCs/>
          <w:color w:val="auto"/>
          <w:sz w:val="24"/>
          <w:szCs w:val="20"/>
          <w:highlight w:val="none"/>
        </w:rPr>
      </w:pPr>
    </w:p>
    <w:p w14:paraId="2277A40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60036709">
      <w:pPr>
        <w:snapToGrid w:val="0"/>
        <w:spacing w:before="120" w:beforeLines="50" w:after="50"/>
        <w:ind w:firstLine="720" w:firstLineChars="225"/>
        <w:rPr>
          <w:rFonts w:ascii="宋体" w:hAnsi="宋体" w:cs="宋体"/>
          <w:bCs/>
          <w:color w:val="auto"/>
          <w:sz w:val="32"/>
          <w:szCs w:val="32"/>
          <w:highlight w:val="none"/>
        </w:rPr>
      </w:pPr>
    </w:p>
    <w:p w14:paraId="4C0E80D6">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3818FEE2">
      <w:pPr>
        <w:snapToGrid w:val="0"/>
        <w:spacing w:before="120" w:beforeLines="50" w:after="50"/>
        <w:ind w:firstLine="720" w:firstLineChars="225"/>
        <w:rPr>
          <w:rFonts w:ascii="宋体" w:hAnsi="宋体" w:cs="宋体"/>
          <w:bCs/>
          <w:color w:val="auto"/>
          <w:sz w:val="32"/>
          <w:szCs w:val="32"/>
          <w:highlight w:val="none"/>
        </w:rPr>
      </w:pPr>
    </w:p>
    <w:p w14:paraId="60A5AFFA">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46FB0B92">
      <w:pPr>
        <w:snapToGrid w:val="0"/>
        <w:spacing w:before="120" w:beforeLines="50" w:after="50"/>
        <w:ind w:firstLine="720" w:firstLineChars="225"/>
        <w:rPr>
          <w:rFonts w:ascii="宋体" w:hAnsi="宋体" w:cs="宋体"/>
          <w:bCs/>
          <w:color w:val="auto"/>
          <w:sz w:val="32"/>
          <w:szCs w:val="32"/>
          <w:highlight w:val="none"/>
        </w:rPr>
      </w:pPr>
    </w:p>
    <w:p w14:paraId="006737B6">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2B6FB25F">
      <w:pPr>
        <w:pStyle w:val="6"/>
        <w:snapToGrid w:val="0"/>
        <w:spacing w:before="50" w:after="50"/>
        <w:ind w:firstLine="640" w:firstLineChars="200"/>
        <w:rPr>
          <w:rFonts w:ascii="宋体" w:hAnsi="宋体" w:cs="宋体"/>
          <w:bCs/>
          <w:color w:val="auto"/>
          <w:sz w:val="32"/>
          <w:szCs w:val="32"/>
          <w:highlight w:val="none"/>
        </w:rPr>
      </w:pPr>
    </w:p>
    <w:p w14:paraId="2385752E">
      <w:pPr>
        <w:pStyle w:val="6"/>
        <w:snapToGrid w:val="0"/>
        <w:spacing w:before="50" w:after="50"/>
        <w:ind w:firstLine="720" w:firstLineChars="225"/>
        <w:rPr>
          <w:rFonts w:ascii="宋体" w:hAnsi="宋体" w:cs="宋体"/>
          <w:bCs/>
          <w:color w:val="auto"/>
          <w:sz w:val="32"/>
          <w:szCs w:val="32"/>
          <w:highlight w:val="none"/>
        </w:rPr>
      </w:pPr>
    </w:p>
    <w:p w14:paraId="4C47E7B7">
      <w:pPr>
        <w:pStyle w:val="6"/>
        <w:snapToGrid w:val="0"/>
        <w:spacing w:before="50" w:after="50"/>
        <w:ind w:firstLine="0"/>
        <w:rPr>
          <w:rFonts w:ascii="宋体" w:hAnsi="宋体" w:cs="宋体"/>
          <w:bCs/>
          <w:color w:val="auto"/>
          <w:sz w:val="32"/>
          <w:szCs w:val="32"/>
          <w:highlight w:val="none"/>
        </w:rPr>
      </w:pPr>
    </w:p>
    <w:p w14:paraId="7B7C4223">
      <w:pPr>
        <w:pStyle w:val="6"/>
        <w:snapToGrid w:val="0"/>
        <w:spacing w:before="50" w:after="50"/>
        <w:ind w:firstLine="1280" w:firstLineChars="400"/>
        <w:rPr>
          <w:rFonts w:ascii="宋体" w:hAnsi="宋体" w:cs="宋体"/>
          <w:bCs/>
          <w:color w:val="auto"/>
          <w:sz w:val="32"/>
          <w:szCs w:val="32"/>
          <w:highlight w:val="none"/>
        </w:rPr>
      </w:pPr>
    </w:p>
    <w:p w14:paraId="737D85F8">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年月日</w:t>
      </w:r>
    </w:p>
    <w:p w14:paraId="04407E39">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2.报价文件目录</w:t>
      </w:r>
    </w:p>
    <w:p w14:paraId="4E97B4A7">
      <w:pPr>
        <w:tabs>
          <w:tab w:val="left" w:pos="3479"/>
        </w:tabs>
        <w:spacing w:line="520" w:lineRule="exact"/>
        <w:jc w:val="left"/>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4ABD78BD">
      <w:pPr>
        <w:tabs>
          <w:tab w:val="left" w:pos="3479"/>
        </w:tabs>
        <w:spacing w:line="520" w:lineRule="exact"/>
        <w:jc w:val="center"/>
        <w:rPr>
          <w:rFonts w:ascii="宋体" w:hAnsi="宋体" w:cs="宋体"/>
          <w:bCs/>
          <w:color w:val="auto"/>
          <w:sz w:val="32"/>
          <w:szCs w:val="32"/>
          <w:highlight w:val="none"/>
        </w:rPr>
      </w:pPr>
      <w:r>
        <w:rPr>
          <w:rFonts w:hint="eastAsia" w:ascii="宋体" w:hAnsi="宋体" w:cs="宋体"/>
          <w:color w:val="auto"/>
          <w:szCs w:val="21"/>
          <w:highlight w:val="none"/>
        </w:rPr>
        <w:br w:type="page"/>
      </w:r>
      <w:r>
        <w:rPr>
          <w:rFonts w:hint="eastAsia" w:ascii="宋体" w:hAnsi="宋体" w:cs="宋体"/>
          <w:bCs/>
          <w:color w:val="auto"/>
          <w:sz w:val="44"/>
          <w:szCs w:val="44"/>
          <w:highlight w:val="none"/>
        </w:rPr>
        <w:t>竞标报价表</w:t>
      </w:r>
    </w:p>
    <w:p w14:paraId="47E626DF">
      <w:pPr>
        <w:spacing w:line="520" w:lineRule="exact"/>
        <w:jc w:val="center"/>
        <w:rPr>
          <w:rFonts w:ascii="宋体" w:hAnsi="宋体" w:cs="宋体"/>
          <w:bCs/>
          <w:color w:val="auto"/>
          <w:sz w:val="32"/>
          <w:szCs w:val="32"/>
          <w:highlight w:val="none"/>
        </w:rPr>
      </w:pPr>
    </w:p>
    <w:p w14:paraId="266EB2DE">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         项目编号：              分标（如有）：</w:t>
      </w:r>
    </w:p>
    <w:p w14:paraId="68D81F48">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供应商名称：</w:t>
      </w:r>
    </w:p>
    <w:p w14:paraId="14660E78">
      <w:pPr>
        <w:snapToGrid w:val="0"/>
        <w:spacing w:before="50" w:after="50" w:line="360" w:lineRule="auto"/>
        <w:ind w:firstLine="5520" w:firstLineChars="2300"/>
        <w:rPr>
          <w:rFonts w:ascii="宋体" w:hAnsi="宋体" w:cs="宋体"/>
          <w:color w:val="auto"/>
          <w:sz w:val="24"/>
          <w:highlight w:val="none"/>
        </w:rPr>
      </w:pPr>
      <w:r>
        <w:rPr>
          <w:rFonts w:hint="eastAsia" w:ascii="宋体" w:hAnsi="宋体" w:cs="宋体"/>
          <w:color w:val="auto"/>
          <w:sz w:val="24"/>
          <w:highlight w:val="none"/>
        </w:rPr>
        <w:t>单位：元</w:t>
      </w:r>
    </w:p>
    <w:tbl>
      <w:tblPr>
        <w:tblStyle w:val="29"/>
        <w:tblW w:w="1055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7"/>
        <w:gridCol w:w="1065"/>
        <w:gridCol w:w="1005"/>
        <w:gridCol w:w="504"/>
        <w:gridCol w:w="414"/>
        <w:gridCol w:w="1065"/>
        <w:gridCol w:w="1200"/>
        <w:gridCol w:w="1095"/>
        <w:gridCol w:w="1095"/>
        <w:gridCol w:w="780"/>
        <w:gridCol w:w="1725"/>
      </w:tblGrid>
      <w:tr w14:paraId="77DAA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2930037B">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项号</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6771A718">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标的的名称</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4644930">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数量</w:t>
            </w:r>
          </w:p>
          <w:p w14:paraId="67C1A5E8">
            <w:pPr>
              <w:pStyle w:val="75"/>
              <w:numPr>
                <w:ilvl w:val="0"/>
                <w:numId w:val="1"/>
              </w:numPr>
              <w:spacing w:line="400" w:lineRule="exact"/>
              <w:ind w:firstLineChars="0"/>
              <w:jc w:val="center"/>
              <w:rPr>
                <w:rFonts w:ascii="宋体" w:hAnsi="宋体" w:cs="宋体"/>
                <w:b/>
                <w:bCs/>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7A25075F">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单位</w:t>
            </w:r>
          </w:p>
        </w:tc>
        <w:tc>
          <w:tcPr>
            <w:tcW w:w="414" w:type="dxa"/>
            <w:tcBorders>
              <w:top w:val="single" w:color="auto" w:sz="4" w:space="0"/>
              <w:left w:val="single" w:color="auto" w:sz="4" w:space="0"/>
              <w:bottom w:val="single" w:color="auto" w:sz="4" w:space="0"/>
              <w:right w:val="single" w:color="auto" w:sz="4" w:space="0"/>
            </w:tcBorders>
            <w:noWrap w:val="0"/>
            <w:vAlign w:val="center"/>
          </w:tcPr>
          <w:p w14:paraId="1700FFBC">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品牌</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3796D43">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规格</w:t>
            </w:r>
          </w:p>
          <w:p w14:paraId="76D648B9">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型号</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9D55588">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制造商</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AAA65DE">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原产地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107E9C99">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参数性能、指标及配置</w:t>
            </w:r>
          </w:p>
        </w:tc>
        <w:tc>
          <w:tcPr>
            <w:tcW w:w="780" w:type="dxa"/>
            <w:tcBorders>
              <w:top w:val="single" w:color="auto" w:sz="4" w:space="0"/>
              <w:left w:val="single" w:color="auto" w:sz="4" w:space="0"/>
              <w:bottom w:val="single" w:color="auto" w:sz="4" w:space="0"/>
              <w:right w:val="single" w:color="auto" w:sz="4" w:space="0"/>
            </w:tcBorders>
            <w:noWrap w:val="0"/>
            <w:vAlign w:val="center"/>
          </w:tcPr>
          <w:p w14:paraId="75792E09">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单价</w:t>
            </w:r>
          </w:p>
          <w:p w14:paraId="6DFB3FEF">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②</w:t>
            </w: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86306FD">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竞标报价</w:t>
            </w:r>
          </w:p>
          <w:p w14:paraId="7EFCB2D7">
            <w:pPr>
              <w:spacing w:line="400" w:lineRule="exact"/>
              <w:jc w:val="center"/>
              <w:rPr>
                <w:rFonts w:ascii="宋体" w:hAnsi="宋体" w:cs="宋体"/>
                <w:b/>
                <w:bCs/>
                <w:color w:val="auto"/>
                <w:sz w:val="24"/>
                <w:highlight w:val="none"/>
              </w:rPr>
            </w:pPr>
            <w:r>
              <w:rPr>
                <w:rFonts w:hint="eastAsia" w:ascii="宋体" w:hAnsi="宋体" w:cs="宋体"/>
                <w:b/>
                <w:bCs/>
                <w:color w:val="auto"/>
                <w:sz w:val="24"/>
                <w:highlight w:val="none"/>
              </w:rPr>
              <w:t>③=①×②</w:t>
            </w:r>
          </w:p>
        </w:tc>
      </w:tr>
      <w:tr w14:paraId="28541E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1"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4B5DA274">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159A9769">
            <w:pPr>
              <w:spacing w:line="400" w:lineRule="exact"/>
              <w:jc w:val="center"/>
              <w:rPr>
                <w:rFonts w:ascii="宋体" w:hAnsi="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9159B06">
            <w:pPr>
              <w:spacing w:line="400" w:lineRule="exact"/>
              <w:jc w:val="center"/>
              <w:rPr>
                <w:rFonts w:ascii="宋体" w:hAnsi="宋体" w:cs="宋体"/>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411CB8EC">
            <w:pPr>
              <w:spacing w:line="400" w:lineRule="exact"/>
              <w:jc w:val="center"/>
              <w:rPr>
                <w:rFonts w:ascii="宋体" w:hAnsi="宋体" w:cs="宋体"/>
                <w:color w:val="auto"/>
                <w:sz w:val="24"/>
                <w:highlight w:val="none"/>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2F5E4F6B">
            <w:pPr>
              <w:spacing w:line="400" w:lineRule="exact"/>
              <w:jc w:val="center"/>
              <w:rPr>
                <w:rFonts w:ascii="宋体" w:hAnsi="宋体" w:cs="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564926E6">
            <w:pPr>
              <w:spacing w:line="400" w:lineRule="exact"/>
              <w:jc w:val="center"/>
              <w:rPr>
                <w:rFonts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5057ECF1">
            <w:pPr>
              <w:spacing w:line="400" w:lineRule="exact"/>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67621466">
            <w:pPr>
              <w:spacing w:line="400" w:lineRule="exact"/>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28F0CBF">
            <w:pPr>
              <w:spacing w:line="400" w:lineRule="exact"/>
              <w:jc w:val="center"/>
              <w:rPr>
                <w:rFonts w:ascii="宋体" w:hAnsi="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2B5916F5">
            <w:pPr>
              <w:spacing w:line="400" w:lineRule="exact"/>
              <w:jc w:val="center"/>
              <w:rPr>
                <w:rFonts w:ascii="宋体" w:hAnsi="宋体" w:cs="宋体"/>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5F646748">
            <w:pPr>
              <w:spacing w:line="400" w:lineRule="exact"/>
              <w:jc w:val="center"/>
              <w:rPr>
                <w:rFonts w:ascii="宋体" w:hAnsi="宋体" w:cs="宋体"/>
                <w:color w:val="auto"/>
                <w:sz w:val="24"/>
                <w:highlight w:val="none"/>
              </w:rPr>
            </w:pPr>
          </w:p>
        </w:tc>
      </w:tr>
      <w:tr w14:paraId="47A219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2"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2B98990F">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2</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A225F11">
            <w:pPr>
              <w:spacing w:line="400" w:lineRule="exact"/>
              <w:jc w:val="center"/>
              <w:rPr>
                <w:rFonts w:ascii="宋体" w:hAnsi="宋体" w:cs="宋体"/>
                <w:color w:val="auto"/>
                <w:sz w:val="24"/>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1FD93FC">
            <w:pPr>
              <w:spacing w:line="400" w:lineRule="exact"/>
              <w:jc w:val="center"/>
              <w:rPr>
                <w:rFonts w:ascii="宋体" w:hAnsi="宋体" w:cs="宋体"/>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369BC949">
            <w:pPr>
              <w:spacing w:line="400" w:lineRule="exact"/>
              <w:jc w:val="center"/>
              <w:rPr>
                <w:rFonts w:ascii="宋体" w:hAnsi="宋体" w:cs="宋体"/>
                <w:color w:val="auto"/>
                <w:sz w:val="24"/>
                <w:highlight w:val="none"/>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5962FA9A">
            <w:pPr>
              <w:spacing w:line="400" w:lineRule="exact"/>
              <w:jc w:val="center"/>
              <w:rPr>
                <w:rFonts w:ascii="宋体" w:hAnsi="宋体" w:cs="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7EAF81B2">
            <w:pPr>
              <w:spacing w:line="400" w:lineRule="exact"/>
              <w:jc w:val="center"/>
              <w:rPr>
                <w:rFonts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69DF92A">
            <w:pPr>
              <w:spacing w:line="400" w:lineRule="exact"/>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2779C287">
            <w:pPr>
              <w:spacing w:line="400" w:lineRule="exact"/>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46A000B">
            <w:pPr>
              <w:spacing w:line="400" w:lineRule="exact"/>
              <w:jc w:val="center"/>
              <w:rPr>
                <w:rFonts w:ascii="宋体" w:hAnsi="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66869965">
            <w:pPr>
              <w:spacing w:line="400" w:lineRule="exact"/>
              <w:jc w:val="center"/>
              <w:rPr>
                <w:rFonts w:ascii="宋体" w:hAnsi="宋体" w:cs="宋体"/>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4CF3CF39">
            <w:pPr>
              <w:spacing w:line="400" w:lineRule="exact"/>
              <w:jc w:val="center"/>
              <w:rPr>
                <w:rFonts w:ascii="宋体" w:hAnsi="宋体" w:cs="宋体"/>
                <w:color w:val="auto"/>
                <w:sz w:val="24"/>
                <w:highlight w:val="none"/>
              </w:rPr>
            </w:pPr>
          </w:p>
        </w:tc>
      </w:tr>
      <w:tr w14:paraId="04BE87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9" w:hRule="atLeast"/>
          <w:jc w:val="center"/>
        </w:trPr>
        <w:tc>
          <w:tcPr>
            <w:tcW w:w="607" w:type="dxa"/>
            <w:tcBorders>
              <w:top w:val="single" w:color="auto" w:sz="4" w:space="0"/>
              <w:left w:val="single" w:color="auto" w:sz="4" w:space="0"/>
              <w:bottom w:val="single" w:color="auto" w:sz="4" w:space="0"/>
              <w:right w:val="single" w:color="auto" w:sz="4" w:space="0"/>
            </w:tcBorders>
            <w:noWrap w:val="0"/>
            <w:vAlign w:val="center"/>
          </w:tcPr>
          <w:p w14:paraId="59CCA05B">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065" w:type="dxa"/>
            <w:tcBorders>
              <w:top w:val="single" w:color="auto" w:sz="4" w:space="0"/>
              <w:left w:val="single" w:color="auto" w:sz="4" w:space="0"/>
              <w:bottom w:val="single" w:color="auto" w:sz="4" w:space="0"/>
              <w:right w:val="single" w:color="auto" w:sz="4" w:space="0"/>
            </w:tcBorders>
            <w:noWrap w:val="0"/>
            <w:vAlign w:val="center"/>
          </w:tcPr>
          <w:p w14:paraId="39B89ACE">
            <w:pPr>
              <w:spacing w:line="400" w:lineRule="exact"/>
              <w:jc w:val="center"/>
              <w:rPr>
                <w:rFonts w:ascii="宋体" w:hAnsi="宋体" w:cs="宋体"/>
                <w:color w:val="auto"/>
                <w:sz w:val="24"/>
                <w:highlight w:val="none"/>
              </w:rPr>
            </w:pPr>
            <w:r>
              <w:rPr>
                <w:rFonts w:hint="eastAsia" w:ascii="宋体" w:hAnsi="宋体" w:cs="宋体"/>
                <w:color w:val="auto"/>
                <w:sz w:val="24"/>
                <w:highlight w:val="none"/>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976094D">
            <w:pPr>
              <w:spacing w:line="400" w:lineRule="exact"/>
              <w:jc w:val="center"/>
              <w:rPr>
                <w:rFonts w:ascii="宋体" w:hAnsi="宋体" w:cs="宋体"/>
                <w:color w:val="auto"/>
                <w:sz w:val="24"/>
                <w:highlight w:val="none"/>
              </w:rPr>
            </w:pPr>
          </w:p>
        </w:tc>
        <w:tc>
          <w:tcPr>
            <w:tcW w:w="504" w:type="dxa"/>
            <w:tcBorders>
              <w:top w:val="single" w:color="auto" w:sz="4" w:space="0"/>
              <w:left w:val="single" w:color="auto" w:sz="4" w:space="0"/>
              <w:bottom w:val="single" w:color="auto" w:sz="4" w:space="0"/>
              <w:right w:val="single" w:color="auto" w:sz="4" w:space="0"/>
            </w:tcBorders>
            <w:noWrap w:val="0"/>
            <w:vAlign w:val="center"/>
          </w:tcPr>
          <w:p w14:paraId="256EB71A">
            <w:pPr>
              <w:spacing w:line="400" w:lineRule="exact"/>
              <w:jc w:val="center"/>
              <w:rPr>
                <w:rFonts w:ascii="宋体" w:hAnsi="宋体" w:cs="宋体"/>
                <w:color w:val="auto"/>
                <w:sz w:val="24"/>
                <w:highlight w:val="none"/>
              </w:rPr>
            </w:pPr>
          </w:p>
        </w:tc>
        <w:tc>
          <w:tcPr>
            <w:tcW w:w="414" w:type="dxa"/>
            <w:tcBorders>
              <w:top w:val="single" w:color="auto" w:sz="4" w:space="0"/>
              <w:left w:val="single" w:color="auto" w:sz="4" w:space="0"/>
              <w:bottom w:val="single" w:color="auto" w:sz="4" w:space="0"/>
              <w:right w:val="single" w:color="auto" w:sz="4" w:space="0"/>
            </w:tcBorders>
            <w:noWrap w:val="0"/>
            <w:vAlign w:val="center"/>
          </w:tcPr>
          <w:p w14:paraId="2D4275CD">
            <w:pPr>
              <w:spacing w:line="400" w:lineRule="exact"/>
              <w:jc w:val="center"/>
              <w:rPr>
                <w:rFonts w:ascii="宋体" w:hAnsi="宋体" w:cs="宋体"/>
                <w:color w:val="auto"/>
                <w:sz w:val="24"/>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CF9B32B">
            <w:pPr>
              <w:spacing w:line="400" w:lineRule="exact"/>
              <w:jc w:val="center"/>
              <w:rPr>
                <w:rFonts w:ascii="宋体" w:hAnsi="宋体" w:cs="宋体"/>
                <w:color w:val="auto"/>
                <w:sz w:val="24"/>
                <w:highlight w:val="none"/>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14:paraId="3E2B86F5">
            <w:pPr>
              <w:spacing w:line="400" w:lineRule="exact"/>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top"/>
          </w:tcPr>
          <w:p w14:paraId="7268FDAE">
            <w:pPr>
              <w:spacing w:line="400" w:lineRule="exact"/>
              <w:jc w:val="center"/>
              <w:rPr>
                <w:rFonts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2A6BAE9E">
            <w:pPr>
              <w:spacing w:line="400" w:lineRule="exact"/>
              <w:jc w:val="center"/>
              <w:rPr>
                <w:rFonts w:ascii="宋体" w:hAnsi="宋体" w:cs="宋体"/>
                <w:color w:val="auto"/>
                <w:sz w:val="24"/>
                <w:highlight w:val="none"/>
              </w:rPr>
            </w:pPr>
          </w:p>
        </w:tc>
        <w:tc>
          <w:tcPr>
            <w:tcW w:w="780" w:type="dxa"/>
            <w:tcBorders>
              <w:top w:val="single" w:color="auto" w:sz="4" w:space="0"/>
              <w:left w:val="single" w:color="auto" w:sz="4" w:space="0"/>
              <w:bottom w:val="single" w:color="auto" w:sz="4" w:space="0"/>
              <w:right w:val="single" w:color="auto" w:sz="4" w:space="0"/>
            </w:tcBorders>
            <w:noWrap w:val="0"/>
            <w:vAlign w:val="center"/>
          </w:tcPr>
          <w:p w14:paraId="49E04629">
            <w:pPr>
              <w:spacing w:line="400" w:lineRule="exact"/>
              <w:jc w:val="center"/>
              <w:rPr>
                <w:rFonts w:ascii="宋体" w:hAnsi="宋体" w:cs="宋体"/>
                <w:color w:val="auto"/>
                <w:sz w:val="24"/>
                <w:highlight w:val="none"/>
              </w:rPr>
            </w:pPr>
          </w:p>
        </w:tc>
        <w:tc>
          <w:tcPr>
            <w:tcW w:w="1725" w:type="dxa"/>
            <w:tcBorders>
              <w:top w:val="single" w:color="auto" w:sz="4" w:space="0"/>
              <w:left w:val="single" w:color="auto" w:sz="4" w:space="0"/>
              <w:bottom w:val="single" w:color="auto" w:sz="4" w:space="0"/>
              <w:right w:val="single" w:color="auto" w:sz="4" w:space="0"/>
            </w:tcBorders>
            <w:noWrap w:val="0"/>
            <w:vAlign w:val="center"/>
          </w:tcPr>
          <w:p w14:paraId="627FFCFB">
            <w:pPr>
              <w:spacing w:line="400" w:lineRule="exact"/>
              <w:jc w:val="center"/>
              <w:rPr>
                <w:rFonts w:ascii="宋体" w:hAnsi="宋体" w:cs="宋体"/>
                <w:color w:val="auto"/>
                <w:sz w:val="24"/>
                <w:highlight w:val="none"/>
              </w:rPr>
            </w:pPr>
          </w:p>
        </w:tc>
      </w:tr>
      <w:tr w14:paraId="4EB76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55" w:type="dxa"/>
            <w:gridSpan w:val="11"/>
            <w:tcBorders>
              <w:top w:val="single" w:color="auto" w:sz="4" w:space="0"/>
              <w:left w:val="single" w:color="auto" w:sz="4" w:space="0"/>
              <w:bottom w:val="single" w:color="auto" w:sz="4" w:space="0"/>
              <w:right w:val="single" w:color="auto" w:sz="4" w:space="0"/>
            </w:tcBorders>
            <w:noWrap w:val="0"/>
            <w:vAlign w:val="top"/>
          </w:tcPr>
          <w:p w14:paraId="2F0AE679">
            <w:pPr>
              <w:snapToGrid w:val="0"/>
              <w:spacing w:before="50" w:after="50" w:line="400" w:lineRule="exact"/>
              <w:rPr>
                <w:rFonts w:ascii="宋体" w:hAnsi="宋体" w:cs="宋体"/>
                <w:color w:val="auto"/>
                <w:sz w:val="24"/>
                <w:highlight w:val="none"/>
              </w:rPr>
            </w:pPr>
            <w:r>
              <w:rPr>
                <w:rFonts w:hint="eastAsia" w:ascii="宋体" w:hAnsi="宋体" w:cs="宋体"/>
                <w:color w:val="auto"/>
                <w:sz w:val="24"/>
                <w:highlight w:val="none"/>
              </w:rPr>
              <w:t>合计金额大写：</w:t>
            </w:r>
            <w:r>
              <w:rPr>
                <w:rFonts w:hint="eastAsia" w:ascii="宋体" w:hAnsi="宋体" w:cs="宋体"/>
                <w:color w:val="auto"/>
                <w:sz w:val="24"/>
                <w:highlight w:val="none"/>
                <w:u w:val="single"/>
              </w:rPr>
              <w:t>人民币                         （¥）</w:t>
            </w:r>
          </w:p>
          <w:p w14:paraId="183E2EC5">
            <w:pPr>
              <w:snapToGrid w:val="0"/>
              <w:spacing w:before="50" w:after="50" w:line="400" w:lineRule="exact"/>
              <w:rPr>
                <w:rFonts w:ascii="宋体" w:hAnsi="宋体" w:cs="宋体"/>
                <w:color w:val="auto"/>
                <w:sz w:val="24"/>
                <w:highlight w:val="none"/>
                <w:u w:val="single"/>
              </w:rPr>
            </w:pPr>
            <w:r>
              <w:rPr>
                <w:rFonts w:hint="eastAsia" w:ascii="宋体" w:hAnsi="宋体" w:cs="宋体"/>
                <w:color w:val="auto"/>
                <w:sz w:val="24"/>
                <w:highlight w:val="none"/>
                <w:u w:val="single"/>
              </w:rPr>
              <w:t>竞标货物中，属于优先采购节能产品总值为¥（具体明细详见附表，附表格式自拟），占本竞标报价的比例为    %；属于优先采购环境标志产品总值为¥（具体明细详见附表，附表格式自拟），占本竞标报价的比例为   %。</w:t>
            </w:r>
          </w:p>
        </w:tc>
      </w:tr>
    </w:tbl>
    <w:p w14:paraId="4BB70777">
      <w:pPr>
        <w:spacing w:line="380" w:lineRule="exact"/>
        <w:contextualSpacing/>
        <w:jc w:val="left"/>
        <w:rPr>
          <w:rFonts w:ascii="宋体" w:hAnsi="宋体" w:cs="宋体"/>
          <w:color w:val="auto"/>
          <w:sz w:val="24"/>
          <w:highlight w:val="none"/>
        </w:rPr>
      </w:pPr>
      <w:r>
        <w:rPr>
          <w:rFonts w:hint="eastAsia" w:ascii="宋体" w:hAnsi="宋体" w:cs="宋体"/>
          <w:color w:val="auto"/>
          <w:sz w:val="24"/>
          <w:highlight w:val="none"/>
        </w:rPr>
        <w:t xml:space="preserve">注: </w:t>
      </w:r>
    </w:p>
    <w:p w14:paraId="7A98DDBB">
      <w:pPr>
        <w:spacing w:line="38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1.以上竞标报价表中“货物名称、数量及单位、品牌、规格型号、制造商、原产地、参数性能、指标及配置”必须如实填写完整，品牌、规格型号没有则填无，填写有缺漏</w:t>
      </w:r>
      <w:r>
        <w:rPr>
          <w:rFonts w:hint="eastAsia" w:ascii="宋体" w:hAnsi="宋体" w:cs="宋体"/>
          <w:bCs/>
          <w:color w:val="auto"/>
          <w:sz w:val="24"/>
          <w:highlight w:val="none"/>
        </w:rPr>
        <w:t>的，</w:t>
      </w:r>
      <w:r>
        <w:rPr>
          <w:rFonts w:hint="eastAsia" w:ascii="宋体" w:hAnsi="宋体" w:cs="宋体"/>
          <w:b/>
          <w:color w:val="auto"/>
          <w:sz w:val="24"/>
          <w:highlight w:val="none"/>
        </w:rPr>
        <w:t>其响应文件按无效处理。</w:t>
      </w:r>
    </w:p>
    <w:p w14:paraId="1D0C2F69">
      <w:pPr>
        <w:spacing w:line="38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2.供应商的报价表必须加盖供应商电子签章并由法定代表人或者委托代理人签字或者电子签名，</w:t>
      </w:r>
      <w:r>
        <w:rPr>
          <w:rFonts w:hint="eastAsia" w:ascii="宋体" w:hAnsi="宋体" w:cs="宋体"/>
          <w:b/>
          <w:color w:val="auto"/>
          <w:sz w:val="24"/>
          <w:highlight w:val="none"/>
        </w:rPr>
        <w:t>否则其响应文件按无效处理</w:t>
      </w:r>
      <w:r>
        <w:rPr>
          <w:rFonts w:hint="eastAsia" w:ascii="宋体" w:hAnsi="宋体" w:cs="宋体"/>
          <w:color w:val="auto"/>
          <w:sz w:val="24"/>
          <w:highlight w:val="none"/>
        </w:rPr>
        <w:t>。</w:t>
      </w:r>
    </w:p>
    <w:p w14:paraId="193CBEDB">
      <w:pPr>
        <w:spacing w:line="380" w:lineRule="exact"/>
        <w:ind w:firstLine="480" w:firstLineChars="200"/>
        <w:contextualSpacing/>
        <w:jc w:val="left"/>
        <w:rPr>
          <w:rFonts w:ascii="宋体" w:hAnsi="宋体" w:cs="宋体"/>
          <w:b/>
          <w:color w:val="auto"/>
          <w:sz w:val="24"/>
          <w:highlight w:val="none"/>
        </w:rPr>
      </w:pPr>
      <w:r>
        <w:rPr>
          <w:rFonts w:hint="eastAsia" w:ascii="宋体" w:hAnsi="宋体" w:cs="宋体"/>
          <w:bCs/>
          <w:color w:val="auto"/>
          <w:sz w:val="24"/>
          <w:highlight w:val="none"/>
        </w:rPr>
        <w:t>3.</w:t>
      </w:r>
      <w:r>
        <w:rPr>
          <w:rFonts w:hint="eastAsia" w:ascii="宋体" w:hAnsi="宋体" w:cs="宋体"/>
          <w:color w:val="auto"/>
          <w:sz w:val="24"/>
          <w:highlight w:val="none"/>
        </w:rPr>
        <w:t>报价一经涂改，应在涂改处加盖供应商公章或者加盖电子签章或者由法定代表人或者授权委托人签字（或者电子签名）</w:t>
      </w:r>
      <w:r>
        <w:rPr>
          <w:rFonts w:hint="eastAsia" w:ascii="宋体" w:hAnsi="宋体" w:cs="宋体"/>
          <w:b/>
          <w:color w:val="auto"/>
          <w:sz w:val="24"/>
          <w:highlight w:val="none"/>
        </w:rPr>
        <w:t>，否则其响应文件按无效处理。</w:t>
      </w:r>
    </w:p>
    <w:p w14:paraId="7AB7BC81">
      <w:pPr>
        <w:spacing w:line="38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4.谈判文件中列明采购专用耗材的，应按谈判文件规定的耗材量或者按耗材的常规使用量提供报价。</w:t>
      </w:r>
    </w:p>
    <w:p w14:paraId="1CEA828E">
      <w:pPr>
        <w:spacing w:line="380" w:lineRule="exact"/>
        <w:ind w:firstLine="480" w:firstLineChars="200"/>
        <w:contextualSpacing/>
        <w:jc w:val="left"/>
        <w:rPr>
          <w:rFonts w:ascii="宋体" w:hAnsi="宋体" w:cs="宋体"/>
          <w:i/>
          <w:color w:val="auto"/>
          <w:sz w:val="24"/>
          <w:highlight w:val="none"/>
        </w:rPr>
      </w:pPr>
      <w:r>
        <w:rPr>
          <w:rFonts w:hint="eastAsia" w:ascii="宋体" w:hAnsi="宋体" w:cs="宋体"/>
          <w:color w:val="auto"/>
          <w:sz w:val="24"/>
          <w:highlight w:val="none"/>
        </w:rPr>
        <w:t>5.如为联合体竞标，“供应商名称”处必须列明联合体各方名称，标注联合体牵头人名称，</w:t>
      </w:r>
      <w:r>
        <w:rPr>
          <w:rFonts w:hint="eastAsia" w:ascii="宋体" w:hAnsi="宋体" w:cs="宋体"/>
          <w:b/>
          <w:color w:val="auto"/>
          <w:sz w:val="24"/>
          <w:highlight w:val="none"/>
        </w:rPr>
        <w:t>否则其响应文件按无效处理。</w:t>
      </w:r>
    </w:p>
    <w:p w14:paraId="33135478">
      <w:pPr>
        <w:spacing w:line="380" w:lineRule="exact"/>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6.如为联合体竞标，</w:t>
      </w:r>
      <w:r>
        <w:rPr>
          <w:rFonts w:hint="eastAsia" w:ascii="宋体" w:hAnsi="宋体" w:cs="宋体"/>
          <w:color w:val="auto"/>
          <w:spacing w:val="-6"/>
          <w:sz w:val="24"/>
          <w:highlight w:val="none"/>
        </w:rPr>
        <w:t>盖章处须加盖联合体牵头人电子签章</w:t>
      </w:r>
      <w:r>
        <w:rPr>
          <w:rFonts w:hint="eastAsia" w:ascii="宋体" w:hAnsi="宋体" w:cs="宋体"/>
          <w:color w:val="auto"/>
          <w:sz w:val="24"/>
          <w:highlight w:val="none"/>
        </w:rPr>
        <w:t>，</w:t>
      </w:r>
      <w:r>
        <w:rPr>
          <w:rFonts w:hint="eastAsia" w:ascii="宋体" w:hAnsi="宋体" w:cs="宋体"/>
          <w:b/>
          <w:color w:val="auto"/>
          <w:sz w:val="24"/>
          <w:highlight w:val="none"/>
        </w:rPr>
        <w:t>否则其响应文件按无效处理。</w:t>
      </w:r>
    </w:p>
    <w:p w14:paraId="3A8FAA3A">
      <w:pPr>
        <w:spacing w:line="380" w:lineRule="exact"/>
        <w:ind w:firstLine="480" w:firstLineChars="200"/>
        <w:contextualSpacing/>
        <w:rPr>
          <w:rFonts w:ascii="宋体" w:hAnsi="宋体" w:cs="宋体"/>
          <w:b/>
          <w:color w:val="auto"/>
          <w:sz w:val="24"/>
          <w:highlight w:val="none"/>
        </w:rPr>
      </w:pPr>
      <w:r>
        <w:rPr>
          <w:rFonts w:hint="eastAsia" w:ascii="宋体" w:hAnsi="宋体" w:cs="宋体"/>
          <w:color w:val="auto"/>
          <w:sz w:val="24"/>
          <w:highlight w:val="none"/>
        </w:rPr>
        <w:t>7.</w:t>
      </w:r>
      <w:r>
        <w:rPr>
          <w:rFonts w:hint="eastAsia" w:ascii="宋体" w:hAnsi="宋体" w:cs="宋体"/>
          <w:color w:val="auto"/>
          <w:spacing w:val="-6"/>
          <w:sz w:val="24"/>
          <w:highlight w:val="none"/>
        </w:rPr>
        <w:t>如有多分标，分别列明各分标的报价表，</w:t>
      </w:r>
      <w:r>
        <w:rPr>
          <w:rFonts w:hint="eastAsia" w:ascii="宋体" w:hAnsi="宋体" w:cs="宋体"/>
          <w:b/>
          <w:color w:val="auto"/>
          <w:spacing w:val="-6"/>
          <w:sz w:val="24"/>
          <w:highlight w:val="none"/>
        </w:rPr>
        <w:t>否则其响应文件按无效处理。</w:t>
      </w:r>
    </w:p>
    <w:p w14:paraId="022BC3E6">
      <w:pPr>
        <w:spacing w:line="380" w:lineRule="exact"/>
        <w:ind w:right="-817" w:rightChars="-389" w:firstLine="2640" w:firstLineChars="1100"/>
        <w:contextualSpacing/>
        <w:rPr>
          <w:rFonts w:ascii="宋体" w:hAnsi="宋体" w:cs="宋体"/>
          <w:color w:val="auto"/>
          <w:sz w:val="24"/>
          <w:highlight w:val="none"/>
        </w:rPr>
      </w:pPr>
    </w:p>
    <w:p w14:paraId="6FDF9ABA">
      <w:pPr>
        <w:spacing w:line="38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21218FB6">
      <w:pPr>
        <w:spacing w:line="380" w:lineRule="exact"/>
        <w:ind w:right="-817" w:rightChars="-389" w:firstLine="2640" w:firstLineChars="1100"/>
        <w:contextualSpacing/>
        <w:rPr>
          <w:rFonts w:ascii="宋体" w:hAnsi="宋体" w:cs="宋体"/>
          <w:color w:val="auto"/>
          <w:sz w:val="24"/>
          <w:highlight w:val="none"/>
        </w:rPr>
      </w:pPr>
      <w:r>
        <w:rPr>
          <w:rFonts w:hint="eastAsia" w:ascii="宋体" w:hAnsi="宋体" w:cs="宋体"/>
          <w:color w:val="auto"/>
          <w:sz w:val="24"/>
          <w:highlight w:val="none"/>
        </w:rPr>
        <w:t>供应商（电子签章）：</w:t>
      </w:r>
    </w:p>
    <w:p w14:paraId="41748125">
      <w:pPr>
        <w:spacing w:line="380" w:lineRule="exact"/>
        <w:ind w:right="-817" w:rightChars="-389" w:firstLine="2640" w:firstLineChars="11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4D439364">
      <w:pPr>
        <w:spacing w:line="360" w:lineRule="auto"/>
        <w:ind w:right="420"/>
        <w:contextualSpacing/>
        <w:jc w:val="left"/>
        <w:rPr>
          <w:rFonts w:ascii="宋体" w:hAnsi="宋体" w:cs="宋体"/>
          <w:b/>
          <w:color w:val="auto"/>
          <w:sz w:val="32"/>
          <w:szCs w:val="32"/>
          <w:highlight w:val="none"/>
        </w:rPr>
      </w:pPr>
      <w:r>
        <w:rPr>
          <w:rFonts w:hint="eastAsia" w:ascii="宋体" w:hAnsi="宋体" w:cs="宋体"/>
          <w:color w:val="auto"/>
          <w:szCs w:val="21"/>
          <w:highlight w:val="none"/>
        </w:rPr>
        <w:br w:type="page"/>
      </w:r>
      <w:r>
        <w:rPr>
          <w:rFonts w:hint="eastAsia" w:ascii="宋体" w:hAnsi="宋体" w:cs="宋体"/>
          <w:b/>
          <w:bCs/>
          <w:color w:val="auto"/>
          <w:sz w:val="32"/>
          <w:szCs w:val="32"/>
          <w:highlight w:val="none"/>
        </w:rPr>
        <w:t>三、</w:t>
      </w:r>
      <w:r>
        <w:rPr>
          <w:rFonts w:hint="eastAsia" w:ascii="宋体" w:hAnsi="宋体" w:cs="宋体"/>
          <w:b/>
          <w:color w:val="auto"/>
          <w:sz w:val="32"/>
          <w:szCs w:val="32"/>
          <w:highlight w:val="none"/>
        </w:rPr>
        <w:t>商务技术文件格式</w:t>
      </w:r>
    </w:p>
    <w:p w14:paraId="7BE67515">
      <w:pPr>
        <w:snapToGrid w:val="0"/>
        <w:spacing w:before="120" w:beforeLines="50" w:after="50" w:line="360" w:lineRule="auto"/>
        <w:jc w:val="left"/>
        <w:rPr>
          <w:rFonts w:ascii="宋体" w:hAnsi="宋体" w:cs="宋体"/>
          <w:b/>
          <w:color w:val="auto"/>
          <w:sz w:val="32"/>
          <w:szCs w:val="32"/>
          <w:highlight w:val="none"/>
        </w:rPr>
      </w:pPr>
      <w:r>
        <w:rPr>
          <w:rFonts w:hint="eastAsia" w:ascii="宋体" w:hAnsi="宋体" w:cs="宋体"/>
          <w:b/>
          <w:color w:val="auto"/>
          <w:sz w:val="32"/>
          <w:szCs w:val="32"/>
          <w:highlight w:val="none"/>
        </w:rPr>
        <w:t>1.商务技术文件封面格式</w:t>
      </w:r>
    </w:p>
    <w:p w14:paraId="6B03BCFC">
      <w:pPr>
        <w:snapToGrid w:val="0"/>
        <w:spacing w:before="120" w:beforeLines="50" w:after="50"/>
        <w:rPr>
          <w:rFonts w:ascii="宋体" w:hAnsi="宋体" w:cs="宋体"/>
          <w:bCs/>
          <w:color w:val="auto"/>
          <w:sz w:val="32"/>
          <w:szCs w:val="20"/>
          <w:highlight w:val="none"/>
        </w:rPr>
      </w:pPr>
    </w:p>
    <w:p w14:paraId="582D78FB">
      <w:pPr>
        <w:snapToGrid w:val="0"/>
        <w:spacing w:before="120" w:beforeLines="50" w:after="50"/>
        <w:jc w:val="center"/>
        <w:rPr>
          <w:rFonts w:ascii="宋体" w:hAnsi="宋体" w:cs="宋体"/>
          <w:color w:val="auto"/>
          <w:sz w:val="24"/>
          <w:szCs w:val="20"/>
          <w:highlight w:val="none"/>
        </w:rPr>
      </w:pPr>
      <w:r>
        <w:rPr>
          <w:rFonts w:hint="eastAsia" w:ascii="宋体" w:hAnsi="宋体" w:cs="宋体"/>
          <w:color w:val="auto"/>
          <w:sz w:val="44"/>
          <w:szCs w:val="44"/>
          <w:highlight w:val="none"/>
        </w:rPr>
        <w:t>电子响应文件</w:t>
      </w:r>
    </w:p>
    <w:p w14:paraId="4D2B132E">
      <w:pPr>
        <w:snapToGrid w:val="0"/>
        <w:spacing w:before="120" w:beforeLines="50" w:after="50"/>
        <w:rPr>
          <w:rFonts w:ascii="宋体" w:hAnsi="宋体" w:cs="宋体"/>
          <w:color w:val="auto"/>
          <w:sz w:val="24"/>
          <w:szCs w:val="20"/>
          <w:highlight w:val="none"/>
        </w:rPr>
      </w:pPr>
    </w:p>
    <w:p w14:paraId="08188709">
      <w:pPr>
        <w:snapToGrid w:val="0"/>
        <w:spacing w:before="120" w:beforeLines="50" w:after="50"/>
        <w:rPr>
          <w:rFonts w:ascii="宋体" w:hAnsi="宋体" w:cs="宋体"/>
          <w:color w:val="auto"/>
          <w:sz w:val="24"/>
          <w:szCs w:val="20"/>
          <w:highlight w:val="none"/>
        </w:rPr>
      </w:pPr>
    </w:p>
    <w:p w14:paraId="610BABF3">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商务技术文件</w:t>
      </w:r>
    </w:p>
    <w:p w14:paraId="6005E533">
      <w:pPr>
        <w:snapToGrid w:val="0"/>
        <w:spacing w:before="120" w:beforeLines="50" w:after="50"/>
        <w:rPr>
          <w:rFonts w:ascii="宋体" w:hAnsi="宋体" w:cs="宋体"/>
          <w:bCs/>
          <w:color w:val="auto"/>
          <w:sz w:val="24"/>
          <w:szCs w:val="20"/>
          <w:highlight w:val="none"/>
        </w:rPr>
      </w:pPr>
    </w:p>
    <w:p w14:paraId="02346017">
      <w:pPr>
        <w:snapToGrid w:val="0"/>
        <w:spacing w:before="120" w:beforeLines="50" w:after="50"/>
        <w:rPr>
          <w:rFonts w:ascii="宋体" w:hAnsi="宋体" w:cs="宋体"/>
          <w:bCs/>
          <w:color w:val="auto"/>
          <w:sz w:val="24"/>
          <w:szCs w:val="20"/>
          <w:highlight w:val="none"/>
        </w:rPr>
      </w:pPr>
    </w:p>
    <w:p w14:paraId="5FE0A7EF">
      <w:pPr>
        <w:snapToGrid w:val="0"/>
        <w:spacing w:before="120" w:beforeLines="50" w:after="50"/>
        <w:rPr>
          <w:rFonts w:ascii="宋体" w:hAnsi="宋体" w:cs="宋体"/>
          <w:bCs/>
          <w:color w:val="auto"/>
          <w:sz w:val="24"/>
          <w:szCs w:val="20"/>
          <w:highlight w:val="none"/>
        </w:rPr>
      </w:pPr>
    </w:p>
    <w:p w14:paraId="4FF95301">
      <w:pPr>
        <w:snapToGrid w:val="0"/>
        <w:spacing w:before="120" w:beforeLines="50" w:after="50"/>
        <w:rPr>
          <w:rFonts w:ascii="宋体" w:hAnsi="宋体" w:cs="宋体"/>
          <w:bCs/>
          <w:color w:val="auto"/>
          <w:sz w:val="24"/>
          <w:szCs w:val="20"/>
          <w:highlight w:val="none"/>
        </w:rPr>
      </w:pPr>
    </w:p>
    <w:p w14:paraId="6EB10CF7">
      <w:pPr>
        <w:snapToGrid w:val="0"/>
        <w:spacing w:before="120" w:beforeLines="50" w:after="50"/>
        <w:rPr>
          <w:rFonts w:ascii="宋体" w:hAnsi="宋体" w:cs="宋体"/>
          <w:bCs/>
          <w:color w:val="auto"/>
          <w:sz w:val="24"/>
          <w:szCs w:val="20"/>
          <w:highlight w:val="none"/>
        </w:rPr>
      </w:pPr>
    </w:p>
    <w:p w14:paraId="09DF8B9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p>
    <w:p w14:paraId="76B21419">
      <w:pPr>
        <w:snapToGrid w:val="0"/>
        <w:spacing w:before="120" w:beforeLines="50" w:after="50"/>
        <w:ind w:firstLine="720" w:firstLineChars="225"/>
        <w:rPr>
          <w:rFonts w:ascii="宋体" w:hAnsi="宋体" w:cs="宋体"/>
          <w:bCs/>
          <w:color w:val="auto"/>
          <w:sz w:val="32"/>
          <w:szCs w:val="32"/>
          <w:highlight w:val="none"/>
        </w:rPr>
      </w:pPr>
    </w:p>
    <w:p w14:paraId="30CEA57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p>
    <w:p w14:paraId="6E08A22C">
      <w:pPr>
        <w:snapToGrid w:val="0"/>
        <w:spacing w:before="120" w:beforeLines="50" w:after="50"/>
        <w:ind w:firstLine="720" w:firstLineChars="225"/>
        <w:rPr>
          <w:rFonts w:ascii="宋体" w:hAnsi="宋体" w:cs="宋体"/>
          <w:bCs/>
          <w:color w:val="auto"/>
          <w:sz w:val="32"/>
          <w:szCs w:val="32"/>
          <w:highlight w:val="none"/>
        </w:rPr>
      </w:pPr>
    </w:p>
    <w:p w14:paraId="55264C3C">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62B74ECF">
      <w:pPr>
        <w:snapToGrid w:val="0"/>
        <w:spacing w:before="120" w:beforeLines="50" w:after="50"/>
        <w:ind w:firstLine="720" w:firstLineChars="225"/>
        <w:rPr>
          <w:rFonts w:ascii="宋体" w:hAnsi="宋体" w:cs="宋体"/>
          <w:bCs/>
          <w:color w:val="auto"/>
          <w:sz w:val="32"/>
          <w:szCs w:val="32"/>
          <w:highlight w:val="none"/>
        </w:rPr>
      </w:pPr>
    </w:p>
    <w:p w14:paraId="2824AEB3">
      <w:pPr>
        <w:pStyle w:val="6"/>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77E317F6">
      <w:pPr>
        <w:pStyle w:val="6"/>
        <w:snapToGrid w:val="0"/>
        <w:spacing w:before="50" w:after="50"/>
        <w:ind w:firstLine="640" w:firstLineChars="200"/>
        <w:rPr>
          <w:rFonts w:ascii="宋体" w:hAnsi="宋体" w:cs="宋体"/>
          <w:bCs/>
          <w:color w:val="auto"/>
          <w:sz w:val="32"/>
          <w:szCs w:val="32"/>
          <w:highlight w:val="none"/>
        </w:rPr>
      </w:pPr>
    </w:p>
    <w:p w14:paraId="48C6156F">
      <w:pPr>
        <w:pStyle w:val="6"/>
        <w:snapToGrid w:val="0"/>
        <w:spacing w:before="50" w:after="50"/>
        <w:ind w:firstLine="720" w:firstLineChars="225"/>
        <w:rPr>
          <w:rFonts w:ascii="宋体" w:hAnsi="宋体" w:cs="宋体"/>
          <w:bCs/>
          <w:color w:val="auto"/>
          <w:sz w:val="32"/>
          <w:szCs w:val="32"/>
          <w:highlight w:val="none"/>
        </w:rPr>
      </w:pPr>
    </w:p>
    <w:p w14:paraId="5FF27964">
      <w:pPr>
        <w:pStyle w:val="6"/>
        <w:snapToGrid w:val="0"/>
        <w:spacing w:before="50" w:after="50"/>
        <w:ind w:firstLine="0"/>
        <w:rPr>
          <w:rFonts w:ascii="宋体" w:hAnsi="宋体" w:cs="宋体"/>
          <w:bCs/>
          <w:color w:val="auto"/>
          <w:sz w:val="32"/>
          <w:szCs w:val="32"/>
          <w:highlight w:val="none"/>
        </w:rPr>
      </w:pPr>
    </w:p>
    <w:p w14:paraId="3C765C22">
      <w:pPr>
        <w:pStyle w:val="6"/>
        <w:snapToGrid w:val="0"/>
        <w:spacing w:before="50" w:after="50"/>
        <w:ind w:firstLine="1280" w:firstLineChars="400"/>
        <w:rPr>
          <w:rFonts w:ascii="宋体" w:hAnsi="宋体" w:cs="宋体"/>
          <w:bCs/>
          <w:color w:val="auto"/>
          <w:sz w:val="32"/>
          <w:szCs w:val="32"/>
          <w:highlight w:val="none"/>
        </w:rPr>
      </w:pPr>
    </w:p>
    <w:p w14:paraId="189AD5EF">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年月日</w:t>
      </w:r>
    </w:p>
    <w:p w14:paraId="1EDB2A09">
      <w:pPr>
        <w:snapToGrid w:val="0"/>
        <w:spacing w:before="120" w:beforeLines="50" w:after="50" w:line="360" w:lineRule="auto"/>
        <w:ind w:left="142"/>
        <w:jc w:val="left"/>
        <w:rPr>
          <w:rFonts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2.商务技术文件目录</w:t>
      </w:r>
    </w:p>
    <w:p w14:paraId="125AFC22">
      <w:pPr>
        <w:snapToGrid w:val="0"/>
        <w:spacing w:before="120" w:beforeLines="50" w:after="50" w:line="360" w:lineRule="auto"/>
        <w:ind w:firstLine="640" w:firstLineChars="200"/>
        <w:rPr>
          <w:rFonts w:ascii="宋体" w:hAnsi="宋体" w:cs="宋体"/>
          <w:color w:val="auto"/>
          <w:sz w:val="32"/>
          <w:szCs w:val="32"/>
          <w:highlight w:val="none"/>
        </w:rPr>
      </w:pPr>
      <w:r>
        <w:rPr>
          <w:rFonts w:hint="eastAsia" w:ascii="宋体" w:hAnsi="宋体" w:cs="宋体"/>
          <w:color w:val="auto"/>
          <w:sz w:val="32"/>
          <w:szCs w:val="32"/>
          <w:highlight w:val="none"/>
        </w:rPr>
        <w:t>根据谈判文件规定及供应商提供的材料自行编写目录（部分格式后附）。</w:t>
      </w:r>
    </w:p>
    <w:p w14:paraId="4C8257D8">
      <w:pPr>
        <w:spacing w:line="400" w:lineRule="exact"/>
        <w:rPr>
          <w:rFonts w:ascii="宋体" w:hAnsi="宋体" w:cs="宋体"/>
          <w:color w:val="auto"/>
          <w:sz w:val="32"/>
          <w:szCs w:val="32"/>
          <w:highlight w:val="none"/>
        </w:rPr>
      </w:pPr>
    </w:p>
    <w:p w14:paraId="1F9DFF8C">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无串通竞标行为的承诺函</w:t>
      </w:r>
    </w:p>
    <w:p w14:paraId="4E087DED">
      <w:pPr>
        <w:spacing w:line="360" w:lineRule="auto"/>
        <w:ind w:firstLine="640" w:firstLineChars="200"/>
        <w:contextualSpacing/>
        <w:rPr>
          <w:rFonts w:ascii="宋体" w:hAnsi="宋体" w:cs="宋体"/>
          <w:color w:val="auto"/>
          <w:sz w:val="32"/>
          <w:szCs w:val="32"/>
          <w:highlight w:val="none"/>
        </w:rPr>
      </w:pPr>
    </w:p>
    <w:p w14:paraId="291F5B91">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158D5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1.不同供应商的响应文件由同一单位或者个人编制；</w:t>
      </w:r>
    </w:p>
    <w:p w14:paraId="07F2025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5E87FFD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3.不同的供应商的响应文件载明的项目管理员为同一个人；</w:t>
      </w:r>
    </w:p>
    <w:p w14:paraId="6CBE1DC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同供应商的响应文件异常一致或者竞标报价呈规律性差异；</w:t>
      </w:r>
    </w:p>
    <w:p w14:paraId="330ADD0D">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68CC9C0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6.不同供应商的竞标保证金从同一单位或者个人账户转出。</w:t>
      </w:r>
    </w:p>
    <w:p w14:paraId="5058A186">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47E54C4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A15182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3F9386C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273DBBA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422A0A9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5.供应商之间事先约定一致抬高或者压低竞标报价，或者在竞争性谈判项目中事先约定轮流以高价位或者低价位成交，或者事先约定由某一特定供应商成交，然后再参加竞标；</w:t>
      </w:r>
    </w:p>
    <w:p w14:paraId="7730360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4EFCF43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36226189">
      <w:pPr>
        <w:spacing w:line="360" w:lineRule="auto"/>
        <w:ind w:firstLine="480" w:firstLineChars="200"/>
        <w:contextualSpacing/>
        <w:rPr>
          <w:rFonts w:ascii="宋体" w:hAnsi="宋体" w:cs="宋体"/>
          <w:color w:val="auto"/>
          <w:sz w:val="24"/>
          <w:highlight w:val="none"/>
        </w:rPr>
      </w:pPr>
    </w:p>
    <w:p w14:paraId="67D92187">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以上情形一经核查属实，我方愿意承担一切后果，并不再寻求任何旨在减轻或者免除法律责任的辩解。</w:t>
      </w:r>
    </w:p>
    <w:p w14:paraId="04E732F5">
      <w:pPr>
        <w:spacing w:line="360" w:lineRule="auto"/>
        <w:ind w:firstLine="480" w:firstLineChars="200"/>
        <w:contextualSpacing/>
        <w:rPr>
          <w:rFonts w:ascii="宋体" w:hAnsi="宋体" w:cs="宋体"/>
          <w:color w:val="auto"/>
          <w:sz w:val="24"/>
          <w:highlight w:val="none"/>
        </w:rPr>
      </w:pPr>
    </w:p>
    <w:p w14:paraId="55CD0B3F">
      <w:pPr>
        <w:spacing w:line="360" w:lineRule="auto"/>
        <w:ind w:firstLine="480" w:firstLineChars="200"/>
        <w:contextualSpacing/>
        <w:jc w:val="center"/>
        <w:rPr>
          <w:rFonts w:ascii="宋体" w:hAnsi="宋体" w:cs="宋体"/>
          <w:color w:val="auto"/>
          <w:sz w:val="24"/>
          <w:highlight w:val="none"/>
        </w:rPr>
      </w:pPr>
    </w:p>
    <w:p w14:paraId="42D6F238">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供应商名称（电子签章）：</w:t>
      </w:r>
    </w:p>
    <w:p w14:paraId="01F1F49C">
      <w:pPr>
        <w:spacing w:line="360" w:lineRule="auto"/>
        <w:ind w:firstLine="480" w:firstLineChars="200"/>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0F208AA6">
      <w:pPr>
        <w:spacing w:line="360" w:lineRule="auto"/>
        <w:ind w:firstLine="640" w:firstLineChars="200"/>
        <w:contextualSpacing/>
        <w:jc w:val="center"/>
        <w:rPr>
          <w:rFonts w:ascii="宋体" w:hAnsi="宋体" w:cs="宋体"/>
          <w:color w:val="auto"/>
          <w:sz w:val="32"/>
          <w:szCs w:val="32"/>
          <w:highlight w:val="none"/>
        </w:rPr>
      </w:pPr>
    </w:p>
    <w:p w14:paraId="55A4041F">
      <w:pPr>
        <w:spacing w:before="240" w:beforeLines="100" w:after="120" w:afterLines="50" w:line="520" w:lineRule="exact"/>
        <w:ind w:left="540"/>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6D3BD1A4">
      <w:pPr>
        <w:spacing w:line="360" w:lineRule="auto"/>
        <w:ind w:left="540"/>
        <w:contextualSpacing/>
        <w:rPr>
          <w:rFonts w:ascii="宋体" w:hAnsi="宋体" w:cs="宋体"/>
          <w:color w:val="auto"/>
          <w:sz w:val="32"/>
          <w:szCs w:val="32"/>
          <w:highlight w:val="none"/>
        </w:rPr>
      </w:pPr>
    </w:p>
    <w:p w14:paraId="6FC868DE">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p>
    <w:p w14:paraId="691631C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地址：</w:t>
      </w:r>
    </w:p>
    <w:p w14:paraId="5EF817B8">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姓名：                  性别：</w:t>
      </w:r>
    </w:p>
    <w:p w14:paraId="12A92C8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年龄：                  职务：</w:t>
      </w:r>
    </w:p>
    <w:p w14:paraId="1897A26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p>
    <w:p w14:paraId="4B807E5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2CB9A18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6CBBAD48">
      <w:pPr>
        <w:spacing w:line="360" w:lineRule="auto"/>
        <w:ind w:left="540"/>
        <w:contextualSpacing/>
        <w:rPr>
          <w:rFonts w:ascii="宋体" w:hAnsi="宋体" w:cs="宋体"/>
          <w:color w:val="auto"/>
          <w:sz w:val="24"/>
          <w:highlight w:val="none"/>
        </w:rPr>
      </w:pPr>
    </w:p>
    <w:p w14:paraId="0BF8D1B6">
      <w:pPr>
        <w:spacing w:line="360" w:lineRule="auto"/>
        <w:ind w:left="540"/>
        <w:contextualSpacing/>
        <w:rPr>
          <w:rFonts w:ascii="宋体" w:hAnsi="宋体" w:cs="宋体"/>
          <w:color w:val="auto"/>
          <w:sz w:val="24"/>
          <w:highlight w:val="none"/>
        </w:rPr>
      </w:pPr>
    </w:p>
    <w:p w14:paraId="238042E4">
      <w:pPr>
        <w:spacing w:line="360" w:lineRule="auto"/>
        <w:ind w:left="540"/>
        <w:contextualSpacing/>
        <w:rPr>
          <w:rFonts w:ascii="宋体" w:hAnsi="宋体" w:cs="宋体"/>
          <w:color w:val="auto"/>
          <w:sz w:val="24"/>
          <w:highlight w:val="none"/>
        </w:rPr>
      </w:pPr>
    </w:p>
    <w:p w14:paraId="40EEFC6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B04D362">
      <w:pPr>
        <w:spacing w:line="360" w:lineRule="auto"/>
        <w:ind w:left="540"/>
        <w:contextualSpacing/>
        <w:rPr>
          <w:rFonts w:ascii="宋体" w:hAnsi="宋体" w:cs="宋体"/>
          <w:color w:val="auto"/>
          <w:sz w:val="24"/>
          <w:highlight w:val="none"/>
        </w:rPr>
      </w:pPr>
    </w:p>
    <w:p w14:paraId="0BECB279">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70DC6406">
      <w:pPr>
        <w:spacing w:line="360" w:lineRule="auto"/>
        <w:contextualSpacing/>
        <w:jc w:val="center"/>
        <w:rPr>
          <w:rFonts w:ascii="宋体" w:hAnsi="宋体" w:cs="宋体"/>
          <w:color w:val="auto"/>
          <w:sz w:val="24"/>
          <w:highlight w:val="none"/>
        </w:rPr>
      </w:pPr>
      <w:r>
        <w:rPr>
          <w:rFonts w:hint="eastAsia" w:ascii="宋体" w:hAnsi="宋体" w:cs="宋体"/>
          <w:color w:val="auto"/>
          <w:sz w:val="24"/>
          <w:highlight w:val="none"/>
        </w:rPr>
        <w:t xml:space="preserve">     年     月     日</w:t>
      </w:r>
    </w:p>
    <w:p w14:paraId="5431286A">
      <w:pPr>
        <w:spacing w:line="360" w:lineRule="auto"/>
        <w:contextualSpacing/>
        <w:jc w:val="center"/>
        <w:rPr>
          <w:rFonts w:ascii="宋体" w:hAnsi="宋体" w:cs="宋体"/>
          <w:b/>
          <w:color w:val="auto"/>
          <w:sz w:val="24"/>
          <w:highlight w:val="none"/>
        </w:rPr>
      </w:pPr>
    </w:p>
    <w:p w14:paraId="6EC4DB65">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注：自然人竞标的无需提供，联合体竞标的只需牵头人出具。</w:t>
      </w:r>
    </w:p>
    <w:p w14:paraId="717A940F">
      <w:pPr>
        <w:adjustRightInd w:val="0"/>
        <w:snapToGrid w:val="0"/>
        <w:spacing w:line="300" w:lineRule="auto"/>
        <w:jc w:val="left"/>
        <w:rPr>
          <w:rFonts w:ascii="宋体" w:hAnsi="宋体" w:cs="宋体"/>
          <w:b/>
          <w:color w:val="auto"/>
          <w:szCs w:val="21"/>
          <w:highlight w:val="none"/>
        </w:rPr>
      </w:pPr>
    </w:p>
    <w:p w14:paraId="2E3DA0FC">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color w:val="auto"/>
          <w:sz w:val="44"/>
          <w:szCs w:val="44"/>
          <w:highlight w:val="none"/>
        </w:rPr>
        <w:t>授权委托书</w:t>
      </w:r>
    </w:p>
    <w:p w14:paraId="0241012E">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（非联合体竞标格式）</w:t>
      </w:r>
    </w:p>
    <w:p w14:paraId="675C0732">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F79B85F">
      <w:pPr>
        <w:spacing w:line="360" w:lineRule="auto"/>
        <w:contextualSpacing/>
        <w:rPr>
          <w:rFonts w:ascii="宋体" w:hAnsi="宋体" w:cs="宋体"/>
          <w:color w:val="auto"/>
          <w:sz w:val="32"/>
          <w:szCs w:val="32"/>
          <w:highlight w:val="none"/>
        </w:rPr>
      </w:pPr>
    </w:p>
    <w:p w14:paraId="1D285E78">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333A4907">
      <w:pPr>
        <w:spacing w:line="360" w:lineRule="auto"/>
        <w:ind w:firstLine="420" w:firstLineChars="175"/>
        <w:contextualSpacing/>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sym w:font="Wingdings 2" w:char="00A3"/>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以我方的名义参加项目的竞标活动，并代表我方全权办理针对上述项目的所有采购程序和环节的具体事务和签署相关文件。</w:t>
      </w:r>
    </w:p>
    <w:p w14:paraId="6695CBE8">
      <w:pPr>
        <w:spacing w:line="360" w:lineRule="auto"/>
        <w:ind w:firstLine="420" w:firstLineChars="175"/>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39EFCE69">
      <w:pPr>
        <w:spacing w:line="360" w:lineRule="auto"/>
        <w:ind w:firstLine="420" w:firstLineChars="175"/>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2DFEA7F1">
      <w:pPr>
        <w:spacing w:line="360" w:lineRule="auto"/>
        <w:ind w:firstLine="420" w:firstLineChars="175"/>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098CB506">
      <w:pPr>
        <w:spacing w:line="360" w:lineRule="auto"/>
        <w:ind w:firstLine="420" w:firstLineChars="175"/>
        <w:contextualSpacing/>
        <w:rPr>
          <w:rFonts w:ascii="宋体" w:hAnsi="宋体" w:cs="宋体"/>
          <w:color w:val="auto"/>
          <w:sz w:val="24"/>
          <w:highlight w:val="none"/>
        </w:rPr>
      </w:pPr>
      <w:r>
        <w:rPr>
          <w:rFonts w:hint="eastAsia" w:ascii="宋体" w:hAnsi="宋体" w:cs="宋体"/>
          <w:color w:val="auto"/>
          <w:sz w:val="24"/>
          <w:highlight w:val="none"/>
        </w:rPr>
        <w:t>附：法定代表人身份证明书及委托代理人有效身份证正反面复印件</w:t>
      </w:r>
    </w:p>
    <w:p w14:paraId="2A8A9FF7">
      <w:pPr>
        <w:spacing w:line="360" w:lineRule="auto"/>
        <w:contextualSpacing/>
        <w:rPr>
          <w:rFonts w:ascii="宋体" w:hAnsi="宋体" w:cs="宋体"/>
          <w:color w:val="auto"/>
          <w:sz w:val="24"/>
          <w:highlight w:val="none"/>
        </w:rPr>
      </w:pPr>
    </w:p>
    <w:p w14:paraId="4341FEC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委托代理人（签字或者电子签名）：     法定代表人（签字或者盖章或者电子签名）：                    </w:t>
      </w:r>
    </w:p>
    <w:p w14:paraId="63CA0AF3">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0F0FA45A">
      <w:pPr>
        <w:spacing w:line="360" w:lineRule="auto"/>
        <w:contextualSpacing/>
        <w:rPr>
          <w:rFonts w:ascii="宋体" w:hAnsi="宋体" w:cs="宋体"/>
          <w:color w:val="auto"/>
          <w:sz w:val="24"/>
          <w:highlight w:val="none"/>
        </w:rPr>
      </w:pPr>
    </w:p>
    <w:p w14:paraId="064B26DF">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供应商名称（电子签章）：                      </w:t>
      </w:r>
    </w:p>
    <w:p w14:paraId="2AFA25F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年    月    日</w:t>
      </w:r>
    </w:p>
    <w:p w14:paraId="1A06866F">
      <w:pPr>
        <w:spacing w:line="360" w:lineRule="auto"/>
        <w:contextualSpacing/>
        <w:rPr>
          <w:rFonts w:ascii="宋体" w:hAnsi="宋体" w:cs="宋体"/>
          <w:color w:val="auto"/>
          <w:sz w:val="24"/>
          <w:highlight w:val="none"/>
        </w:rPr>
      </w:pPr>
    </w:p>
    <w:p w14:paraId="57AF1F2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785C144B">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2E8A4C16">
      <w:pPr>
        <w:spacing w:line="360" w:lineRule="auto"/>
        <w:ind w:firstLine="420" w:firstLineChars="200"/>
        <w:contextualSpacing/>
        <w:jc w:val="left"/>
        <w:rPr>
          <w:rFonts w:ascii="宋体" w:hAnsi="宋体" w:cs="宋体"/>
          <w:color w:val="auto"/>
          <w:szCs w:val="21"/>
          <w:highlight w:val="none"/>
        </w:rPr>
      </w:pPr>
    </w:p>
    <w:p w14:paraId="58A173C4">
      <w:pPr>
        <w:spacing w:line="520" w:lineRule="exact"/>
        <w:contextualSpacing/>
        <w:jc w:val="center"/>
        <w:rPr>
          <w:rFonts w:ascii="宋体" w:hAnsi="宋体" w:cs="宋体"/>
          <w:color w:val="auto"/>
          <w:sz w:val="44"/>
          <w:szCs w:val="44"/>
          <w:highlight w:val="none"/>
        </w:rPr>
      </w:pPr>
      <w:r>
        <w:rPr>
          <w:rFonts w:hint="eastAsia" w:ascii="宋体" w:hAnsi="宋体" w:cs="宋体"/>
          <w:color w:val="auto"/>
          <w:szCs w:val="21"/>
          <w:highlight w:val="none"/>
        </w:rPr>
        <w:br w:type="page"/>
      </w:r>
      <w:r>
        <w:rPr>
          <w:rFonts w:hint="eastAsia" w:ascii="宋体" w:hAnsi="宋体" w:cs="宋体"/>
          <w:color w:val="auto"/>
          <w:sz w:val="44"/>
          <w:szCs w:val="44"/>
          <w:highlight w:val="none"/>
        </w:rPr>
        <w:t>授权委托书</w:t>
      </w:r>
    </w:p>
    <w:p w14:paraId="4A848599">
      <w:pPr>
        <w:spacing w:line="520" w:lineRule="exact"/>
        <w:contextualSpacing/>
        <w:jc w:val="center"/>
        <w:rPr>
          <w:rFonts w:ascii="宋体" w:hAnsi="宋体" w:cs="宋体"/>
          <w:color w:val="auto"/>
          <w:sz w:val="44"/>
          <w:szCs w:val="44"/>
          <w:highlight w:val="none"/>
        </w:rPr>
      </w:pPr>
      <w:r>
        <w:rPr>
          <w:rFonts w:hint="eastAsia" w:ascii="宋体" w:hAnsi="宋体" w:cs="宋体"/>
          <w:color w:val="auto"/>
          <w:sz w:val="44"/>
          <w:szCs w:val="44"/>
          <w:highlight w:val="none"/>
        </w:rPr>
        <w:t>（联合体竞标格式）</w:t>
      </w:r>
    </w:p>
    <w:p w14:paraId="508A87A5">
      <w:pPr>
        <w:spacing w:line="520" w:lineRule="exact"/>
        <w:contextualSpacing/>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032212AC">
      <w:pPr>
        <w:spacing w:line="360" w:lineRule="auto"/>
        <w:contextualSpacing/>
        <w:rPr>
          <w:rFonts w:ascii="宋体" w:hAnsi="宋体" w:cs="宋体"/>
          <w:color w:val="auto"/>
          <w:sz w:val="32"/>
          <w:szCs w:val="32"/>
          <w:highlight w:val="none"/>
        </w:rPr>
      </w:pPr>
    </w:p>
    <w:p w14:paraId="7584F921">
      <w:pPr>
        <w:spacing w:line="360" w:lineRule="auto"/>
        <w:ind w:firstLine="480" w:firstLineChars="200"/>
        <w:contextualSpacing/>
        <w:jc w:val="left"/>
        <w:rPr>
          <w:rFonts w:ascii="宋体" w:hAnsi="宋体" w:cs="宋体"/>
          <w:color w:val="auto"/>
          <w:sz w:val="24"/>
          <w:highlight w:val="none"/>
        </w:rPr>
      </w:pPr>
      <w:r>
        <w:rPr>
          <w:rFonts w:hint="eastAsia" w:ascii="宋体" w:hAnsi="宋体" w:cs="宋体"/>
          <w:color w:val="auto"/>
          <w:sz w:val="24"/>
          <w:highlight w:val="none"/>
        </w:rPr>
        <w:t>本授权委托书声明：根据（牵头人名称）与（联合体其他成员名称）签订的《联合体竞标协议书》的内容，（牵头人名称）的法定代表人（姓名）现授权（姓名）为联合委托代理人，并代表我方全权办理针对上述项目的所有采购程序和环节的具体事务和签署相关文件。</w:t>
      </w:r>
    </w:p>
    <w:p w14:paraId="20F3768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我方对委托代理人的签字或者电子签名事项负全部责任。</w:t>
      </w:r>
    </w:p>
    <w:p w14:paraId="024B856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29608A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0EC2EF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 xml:space="preserve">    附：法定代表人身份证明书及委托代理人有效身份证正反面复印件</w:t>
      </w:r>
    </w:p>
    <w:p w14:paraId="50E73EA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牵头人法定代表人（签字或者盖章或者电子签名）：</w:t>
      </w:r>
    </w:p>
    <w:p w14:paraId="18B57F48">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牵头人（电子签章）：</w:t>
      </w:r>
    </w:p>
    <w:p w14:paraId="1ACC7F22">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03214E35">
      <w:pPr>
        <w:spacing w:line="360" w:lineRule="auto"/>
        <w:contextualSpacing/>
        <w:rPr>
          <w:rFonts w:ascii="宋体" w:hAnsi="宋体" w:cs="宋体"/>
          <w:color w:val="auto"/>
          <w:sz w:val="24"/>
          <w:highlight w:val="none"/>
        </w:rPr>
      </w:pPr>
    </w:p>
    <w:p w14:paraId="258E98B9">
      <w:pPr>
        <w:spacing w:line="360" w:lineRule="auto"/>
        <w:ind w:firstLine="3120" w:firstLineChars="1300"/>
        <w:contextualSpacing/>
        <w:rPr>
          <w:rFonts w:ascii="宋体" w:hAnsi="宋体" w:cs="宋体"/>
          <w:color w:val="auto"/>
          <w:sz w:val="24"/>
          <w:highlight w:val="none"/>
        </w:rPr>
      </w:pPr>
      <w:r>
        <w:rPr>
          <w:rFonts w:hint="eastAsia" w:ascii="宋体" w:hAnsi="宋体" w:cs="宋体"/>
          <w:color w:val="auto"/>
          <w:sz w:val="24"/>
          <w:highlight w:val="none"/>
        </w:rPr>
        <w:t>被授权人（签字或者电子签名）：</w:t>
      </w:r>
    </w:p>
    <w:p w14:paraId="28228622">
      <w:pPr>
        <w:spacing w:line="360" w:lineRule="auto"/>
        <w:ind w:firstLine="3840" w:firstLineChars="16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18C9EA3C">
      <w:pPr>
        <w:spacing w:line="360" w:lineRule="auto"/>
        <w:contextualSpacing/>
        <w:rPr>
          <w:rFonts w:ascii="宋体" w:hAnsi="宋体" w:cs="宋体"/>
          <w:color w:val="auto"/>
          <w:sz w:val="24"/>
          <w:highlight w:val="none"/>
        </w:rPr>
      </w:pPr>
    </w:p>
    <w:p w14:paraId="212E20A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注：1. 法定代表人必须在授权委托书上签字或者盖章或者电子签名，委托代理人必须在授权委托书上签字或者电子签名，</w:t>
      </w:r>
      <w:r>
        <w:rPr>
          <w:rFonts w:hint="eastAsia" w:ascii="宋体" w:hAnsi="宋体" w:cs="宋体"/>
          <w:b/>
          <w:color w:val="auto"/>
          <w:sz w:val="24"/>
          <w:highlight w:val="none"/>
        </w:rPr>
        <w:t>否则其响应文件按无效响应处理。</w:t>
      </w:r>
    </w:p>
    <w:p w14:paraId="21790846">
      <w:pPr>
        <w:spacing w:line="500" w:lineRule="exact"/>
        <w:jc w:val="left"/>
        <w:rPr>
          <w:rFonts w:ascii="宋体" w:hAnsi="宋体" w:cs="宋体"/>
          <w:color w:val="auto"/>
          <w:sz w:val="24"/>
          <w:highlight w:val="none"/>
        </w:rPr>
      </w:pPr>
      <w:r>
        <w:rPr>
          <w:rFonts w:hint="eastAsia" w:ascii="宋体" w:hAnsi="宋体" w:cs="宋体"/>
          <w:color w:val="auto"/>
          <w:sz w:val="24"/>
          <w:highlight w:val="none"/>
        </w:rPr>
        <w:t>2.法人、其他组织竞标时“我方”是指“我单位”，自然人竞标时“我方”是指“本人”。</w:t>
      </w:r>
    </w:p>
    <w:p w14:paraId="348C5CC3">
      <w:pPr>
        <w:spacing w:line="500" w:lineRule="exact"/>
        <w:jc w:val="center"/>
        <w:rPr>
          <w:rFonts w:ascii="宋体" w:hAnsi="宋体" w:cs="宋体"/>
          <w:bCs/>
          <w:color w:val="auto"/>
          <w:sz w:val="44"/>
          <w:szCs w:val="44"/>
          <w:highlight w:val="none"/>
        </w:rPr>
      </w:pPr>
      <w:r>
        <w:rPr>
          <w:rFonts w:hint="eastAsia" w:ascii="宋体" w:hAnsi="宋体" w:cs="宋体"/>
          <w:color w:val="auto"/>
          <w:sz w:val="32"/>
          <w:szCs w:val="32"/>
          <w:highlight w:val="none"/>
        </w:rPr>
        <w:br w:type="page"/>
      </w:r>
      <w:r>
        <w:rPr>
          <w:rFonts w:hint="eastAsia" w:ascii="宋体" w:hAnsi="宋体" w:cs="宋体"/>
          <w:bCs/>
          <w:color w:val="auto"/>
          <w:sz w:val="44"/>
          <w:szCs w:val="44"/>
          <w:highlight w:val="none"/>
        </w:rPr>
        <w:t>商务要求偏离表格式</w:t>
      </w:r>
    </w:p>
    <w:p w14:paraId="4D2C7834">
      <w:pPr>
        <w:spacing w:line="500" w:lineRule="exact"/>
        <w:jc w:val="center"/>
        <w:rPr>
          <w:rFonts w:ascii="宋体" w:hAnsi="宋体" w:cs="宋体"/>
          <w:b/>
          <w:i/>
          <w:color w:val="auto"/>
          <w:sz w:val="32"/>
          <w:szCs w:val="32"/>
          <w:highlight w:val="none"/>
        </w:rPr>
      </w:pPr>
      <w:r>
        <w:rPr>
          <w:rFonts w:hint="eastAsia" w:ascii="宋体" w:hAnsi="宋体" w:cs="宋体"/>
          <w:bCs/>
          <w:i/>
          <w:color w:val="auto"/>
          <w:sz w:val="32"/>
          <w:szCs w:val="32"/>
          <w:highlight w:val="none"/>
        </w:rPr>
        <w:t>（注：按采购需求具体条款修改）</w:t>
      </w:r>
    </w:p>
    <w:p w14:paraId="5A313869">
      <w:pPr>
        <w:snapToGrid w:val="0"/>
        <w:spacing w:before="50"/>
        <w:jc w:val="left"/>
        <w:rPr>
          <w:rFonts w:ascii="宋体" w:hAnsi="宋体" w:cs="宋体"/>
          <w:color w:val="auto"/>
          <w:sz w:val="24"/>
          <w:highlight w:val="none"/>
        </w:rPr>
      </w:pPr>
    </w:p>
    <w:p w14:paraId="6090D23F">
      <w:pPr>
        <w:pStyle w:val="17"/>
        <w:spacing w:line="360" w:lineRule="auto"/>
        <w:rPr>
          <w:rFonts w:hAnsi="宋体" w:cs="宋体"/>
          <w:color w:val="auto"/>
          <w:sz w:val="24"/>
          <w:szCs w:val="24"/>
          <w:highlight w:val="none"/>
        </w:rPr>
      </w:pPr>
      <w:r>
        <w:rPr>
          <w:rFonts w:hint="eastAsia" w:hAnsi="宋体" w:cs="宋体"/>
          <w:color w:val="auto"/>
          <w:sz w:val="24"/>
          <w:szCs w:val="24"/>
          <w:highlight w:val="none"/>
        </w:rPr>
        <w:t>所竞分标：</w:t>
      </w:r>
    </w:p>
    <w:tbl>
      <w:tblPr>
        <w:tblStyle w:val="29"/>
        <w:tblpPr w:leftFromText="180" w:rightFromText="180" w:vertAnchor="text" w:horzAnchor="margin" w:tblpY="311"/>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633"/>
        <w:gridCol w:w="1829"/>
      </w:tblGrid>
      <w:tr w14:paraId="24D148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0204D489">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项目</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7F211C6">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BE96F02">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96B218B">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偏离说明</w:t>
            </w:r>
          </w:p>
        </w:tc>
      </w:tr>
      <w:tr w14:paraId="5725F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66F2F078">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2F5410E7">
            <w:pPr>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D861043">
            <w:pPr>
              <w:snapToGrid w:val="0"/>
              <w:spacing w:before="120" w:beforeLines="50" w:line="360" w:lineRule="auto"/>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6EAE0B85">
            <w:pPr>
              <w:snapToGrid w:val="0"/>
              <w:spacing w:before="120" w:beforeLines="50" w:line="360" w:lineRule="auto"/>
              <w:jc w:val="center"/>
              <w:rPr>
                <w:rFonts w:ascii="宋体" w:hAnsi="宋体" w:cs="宋体"/>
                <w:color w:val="auto"/>
                <w:sz w:val="24"/>
                <w:highlight w:val="none"/>
              </w:rPr>
            </w:pPr>
          </w:p>
        </w:tc>
      </w:tr>
      <w:tr w14:paraId="1F8CB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noWrap w:val="0"/>
            <w:vAlign w:val="center"/>
          </w:tcPr>
          <w:p w14:paraId="4F964F7C">
            <w:pPr>
              <w:jc w:val="center"/>
              <w:rPr>
                <w:rFonts w:ascii="宋体" w:hAnsi="宋体" w:cs="宋体"/>
                <w:color w:val="auto"/>
                <w:sz w:val="24"/>
                <w:highlight w:val="none"/>
              </w:rPr>
            </w:pPr>
          </w:p>
        </w:tc>
        <w:tc>
          <w:tcPr>
            <w:tcW w:w="2668" w:type="dxa"/>
            <w:tcBorders>
              <w:top w:val="single" w:color="auto" w:sz="4" w:space="0"/>
              <w:left w:val="single" w:color="auto" w:sz="4" w:space="0"/>
              <w:bottom w:val="single" w:color="auto" w:sz="4" w:space="0"/>
              <w:right w:val="single" w:color="auto" w:sz="4" w:space="0"/>
            </w:tcBorders>
            <w:noWrap w:val="0"/>
            <w:vAlign w:val="center"/>
          </w:tcPr>
          <w:p w14:paraId="0DC36DC1">
            <w:pPr>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D44D08F">
            <w:pPr>
              <w:snapToGrid w:val="0"/>
              <w:spacing w:before="120" w:beforeLines="50" w:line="360" w:lineRule="auto"/>
              <w:ind w:left="43"/>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4CEC9247">
            <w:pPr>
              <w:snapToGrid w:val="0"/>
              <w:spacing w:before="120" w:beforeLines="50" w:line="360" w:lineRule="auto"/>
              <w:ind w:left="43"/>
              <w:jc w:val="center"/>
              <w:rPr>
                <w:rFonts w:ascii="宋体" w:hAnsi="宋体" w:cs="宋体"/>
                <w:color w:val="auto"/>
                <w:sz w:val="24"/>
                <w:highlight w:val="none"/>
              </w:rPr>
            </w:pPr>
          </w:p>
        </w:tc>
      </w:tr>
      <w:tr w14:paraId="6C287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noWrap w:val="0"/>
            <w:vAlign w:val="center"/>
          </w:tcPr>
          <w:p w14:paraId="48AC886D">
            <w:pPr>
              <w:snapToGrid w:val="0"/>
              <w:spacing w:before="120" w:beforeLines="50"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2668" w:type="dxa"/>
            <w:tcBorders>
              <w:top w:val="single" w:color="auto" w:sz="4" w:space="0"/>
              <w:left w:val="single" w:color="auto" w:sz="4" w:space="0"/>
              <w:bottom w:val="single" w:color="auto" w:sz="4" w:space="0"/>
              <w:right w:val="single" w:color="auto" w:sz="4" w:space="0"/>
            </w:tcBorders>
            <w:noWrap w:val="0"/>
            <w:vAlign w:val="center"/>
          </w:tcPr>
          <w:p w14:paraId="7A094923">
            <w:pPr>
              <w:snapToGrid w:val="0"/>
              <w:spacing w:before="120" w:beforeLines="50" w:line="360" w:lineRule="auto"/>
              <w:jc w:val="center"/>
              <w:rPr>
                <w:rFonts w:ascii="宋体" w:hAnsi="宋体" w:cs="宋体"/>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34BFEF8D">
            <w:pPr>
              <w:snapToGrid w:val="0"/>
              <w:spacing w:before="120" w:beforeLines="50" w:line="360" w:lineRule="auto"/>
              <w:jc w:val="center"/>
              <w:rPr>
                <w:rFonts w:ascii="宋体" w:hAnsi="宋体" w:cs="宋体"/>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F978500">
            <w:pPr>
              <w:snapToGrid w:val="0"/>
              <w:spacing w:before="120" w:beforeLines="50" w:line="360" w:lineRule="auto"/>
              <w:jc w:val="center"/>
              <w:rPr>
                <w:rFonts w:ascii="宋体" w:hAnsi="宋体" w:cs="宋体"/>
                <w:color w:val="auto"/>
                <w:sz w:val="24"/>
                <w:highlight w:val="none"/>
              </w:rPr>
            </w:pPr>
          </w:p>
        </w:tc>
      </w:tr>
    </w:tbl>
    <w:p w14:paraId="4BE005A0">
      <w:pPr>
        <w:pStyle w:val="11"/>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2B10EDF8">
      <w:pPr>
        <w:pStyle w:val="11"/>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1. 说明：应对照谈判文件“第三章采购需求”中的商务要求逐条明确响应，并作出偏离说明。</w:t>
      </w:r>
    </w:p>
    <w:p w14:paraId="21FFEB31">
      <w:pPr>
        <w:pStyle w:val="11"/>
        <w:spacing w:after="0" w:line="360" w:lineRule="auto"/>
        <w:contextualSpacing/>
        <w:rPr>
          <w:rFonts w:ascii="宋体" w:hAnsi="宋体" w:cs="宋体"/>
          <w:color w:val="auto"/>
          <w:kern w:val="0"/>
          <w:sz w:val="24"/>
          <w:szCs w:val="24"/>
          <w:highlight w:val="none"/>
        </w:rPr>
      </w:pPr>
      <w:r>
        <w:rPr>
          <w:rFonts w:hint="eastAsia" w:ascii="宋体" w:hAnsi="宋体" w:cs="宋体"/>
          <w:color w:val="auto"/>
          <w:kern w:val="0"/>
          <w:sz w:val="24"/>
          <w:szCs w:val="24"/>
          <w:highlight w:val="none"/>
        </w:rPr>
        <w:t>2.供应商应根据自身的承诺，对照谈判文件要求在“偏离说明”中注明“正偏离”、“负偏离”或者“无偏离”。既不属于“正偏离”也不属于“负偏离”即为“无偏离”。</w:t>
      </w:r>
    </w:p>
    <w:p w14:paraId="0D23F5EC">
      <w:pPr>
        <w:spacing w:line="360" w:lineRule="auto"/>
        <w:contextualSpacing/>
        <w:jc w:val="left"/>
        <w:rPr>
          <w:rFonts w:ascii="宋体" w:hAnsi="宋体" w:cs="宋体"/>
          <w:color w:val="auto"/>
          <w:sz w:val="24"/>
          <w:highlight w:val="none"/>
          <w:u w:val="single"/>
        </w:rPr>
      </w:pPr>
    </w:p>
    <w:p w14:paraId="26055470">
      <w:pPr>
        <w:spacing w:line="360" w:lineRule="auto"/>
        <w:contextualSpacing/>
        <w:jc w:val="left"/>
        <w:rPr>
          <w:rFonts w:ascii="宋体" w:hAnsi="宋体" w:cs="宋体"/>
          <w:color w:val="auto"/>
          <w:sz w:val="24"/>
          <w:highlight w:val="none"/>
          <w:u w:val="single"/>
        </w:rPr>
      </w:pPr>
    </w:p>
    <w:p w14:paraId="0D84B328">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20C883A4">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709DDE2E">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708B506F">
      <w:pPr>
        <w:adjustRightInd w:val="0"/>
        <w:snapToGrid w:val="0"/>
        <w:spacing w:line="520" w:lineRule="exact"/>
        <w:ind w:firstLine="7040" w:firstLineChars="1600"/>
        <w:jc w:val="center"/>
        <w:rPr>
          <w:rFonts w:ascii="宋体" w:hAnsi="宋体" w:cs="宋体"/>
          <w:bCs/>
          <w:color w:val="auto"/>
          <w:sz w:val="44"/>
          <w:szCs w:val="44"/>
          <w:highlight w:val="none"/>
        </w:rPr>
      </w:pPr>
    </w:p>
    <w:p w14:paraId="201022FF">
      <w:pPr>
        <w:adjustRightInd w:val="0"/>
        <w:snapToGrid w:val="0"/>
        <w:spacing w:line="520" w:lineRule="exact"/>
        <w:jc w:val="center"/>
        <w:rPr>
          <w:rFonts w:ascii="宋体" w:hAnsi="宋体" w:cs="宋体"/>
          <w:b/>
          <w:color w:val="auto"/>
          <w:sz w:val="32"/>
          <w:szCs w:val="32"/>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货物配置清单</w:t>
      </w:r>
    </w:p>
    <w:p w14:paraId="4322CFBB">
      <w:pPr>
        <w:spacing w:line="300" w:lineRule="auto"/>
        <w:rPr>
          <w:rFonts w:ascii="宋体" w:hAnsi="宋体" w:cs="宋体"/>
          <w:color w:val="auto"/>
          <w:szCs w:val="21"/>
          <w:highlight w:val="none"/>
        </w:rPr>
      </w:pPr>
    </w:p>
    <w:p w14:paraId="6FB78967">
      <w:pPr>
        <w:spacing w:line="360" w:lineRule="auto"/>
        <w:rPr>
          <w:rFonts w:ascii="宋体" w:hAnsi="宋体" w:cs="宋体"/>
          <w:color w:val="auto"/>
          <w:sz w:val="24"/>
          <w:highlight w:val="none"/>
        </w:rPr>
      </w:pPr>
      <w:r>
        <w:rPr>
          <w:rFonts w:hint="eastAsia" w:ascii="宋体" w:hAnsi="宋体" w:cs="宋体"/>
          <w:color w:val="auto"/>
          <w:sz w:val="24"/>
          <w:highlight w:val="none"/>
        </w:rPr>
        <w:t>项目编号：</w:t>
      </w:r>
    </w:p>
    <w:p w14:paraId="7C8DCCF0">
      <w:pPr>
        <w:spacing w:line="360" w:lineRule="auto"/>
        <w:rPr>
          <w:rFonts w:ascii="宋体" w:hAnsi="宋体" w:cs="宋体"/>
          <w:color w:val="auto"/>
          <w:sz w:val="24"/>
          <w:highlight w:val="none"/>
        </w:rPr>
      </w:pPr>
      <w:r>
        <w:rPr>
          <w:rFonts w:hint="eastAsia" w:ascii="宋体" w:hAnsi="宋体" w:cs="宋体"/>
          <w:color w:val="auto"/>
          <w:sz w:val="24"/>
          <w:highlight w:val="none"/>
        </w:rPr>
        <w:t>项目名称：</w:t>
      </w:r>
    </w:p>
    <w:p w14:paraId="4B5E68B0">
      <w:pPr>
        <w:spacing w:line="360" w:lineRule="auto"/>
        <w:rPr>
          <w:rFonts w:ascii="宋体" w:hAnsi="宋体" w:cs="宋体"/>
          <w:color w:val="auto"/>
          <w:sz w:val="24"/>
          <w:highlight w:val="none"/>
          <w:u w:val="single"/>
        </w:rPr>
      </w:pPr>
      <w:r>
        <w:rPr>
          <w:rFonts w:hint="eastAsia" w:ascii="宋体" w:hAnsi="宋体" w:cs="宋体"/>
          <w:color w:val="auto"/>
          <w:sz w:val="24"/>
          <w:highlight w:val="none"/>
        </w:rPr>
        <w:t>所竞分标：</w:t>
      </w:r>
    </w:p>
    <w:tbl>
      <w:tblPr>
        <w:tblStyle w:val="29"/>
        <w:tblW w:w="89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9"/>
        <w:gridCol w:w="1245"/>
        <w:gridCol w:w="803"/>
        <w:gridCol w:w="895"/>
        <w:gridCol w:w="1786"/>
        <w:gridCol w:w="1245"/>
        <w:gridCol w:w="737"/>
        <w:gridCol w:w="1496"/>
      </w:tblGrid>
      <w:tr w14:paraId="4E2D73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2B3F7F66">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F8A3B79">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货物名称</w:t>
            </w:r>
          </w:p>
        </w:tc>
        <w:tc>
          <w:tcPr>
            <w:tcW w:w="803" w:type="dxa"/>
            <w:tcBorders>
              <w:top w:val="single" w:color="auto" w:sz="4" w:space="0"/>
              <w:left w:val="single" w:color="auto" w:sz="4" w:space="0"/>
              <w:bottom w:val="single" w:color="auto" w:sz="4" w:space="0"/>
              <w:right w:val="single" w:color="auto" w:sz="4" w:space="0"/>
            </w:tcBorders>
            <w:noWrap w:val="0"/>
            <w:vAlign w:val="center"/>
          </w:tcPr>
          <w:p w14:paraId="539DBBC3">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895" w:type="dxa"/>
            <w:tcBorders>
              <w:top w:val="single" w:color="auto" w:sz="4" w:space="0"/>
              <w:left w:val="single" w:color="auto" w:sz="4" w:space="0"/>
              <w:bottom w:val="single" w:color="auto" w:sz="4" w:space="0"/>
              <w:right w:val="single" w:color="auto" w:sz="4" w:space="0"/>
            </w:tcBorders>
            <w:noWrap w:val="0"/>
            <w:vAlign w:val="center"/>
          </w:tcPr>
          <w:p w14:paraId="0EAE0208">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品牌</w:t>
            </w:r>
          </w:p>
        </w:tc>
        <w:tc>
          <w:tcPr>
            <w:tcW w:w="1786" w:type="dxa"/>
            <w:tcBorders>
              <w:top w:val="single" w:color="auto" w:sz="4" w:space="0"/>
              <w:left w:val="single" w:color="auto" w:sz="4" w:space="0"/>
              <w:bottom w:val="single" w:color="auto" w:sz="4" w:space="0"/>
              <w:right w:val="single" w:color="auto" w:sz="4" w:space="0"/>
            </w:tcBorders>
            <w:noWrap w:val="0"/>
            <w:vAlign w:val="top"/>
          </w:tcPr>
          <w:p w14:paraId="5F3F4666">
            <w:pPr>
              <w:snapToGrid w:val="0"/>
              <w:spacing w:before="50" w:after="50"/>
              <w:jc w:val="center"/>
              <w:rPr>
                <w:rFonts w:ascii="宋体" w:hAnsi="宋体" w:cs="宋体"/>
                <w:color w:val="auto"/>
                <w:sz w:val="24"/>
                <w:highlight w:val="none"/>
              </w:rPr>
            </w:pPr>
          </w:p>
          <w:p w14:paraId="15F0E765">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规格型号</w:t>
            </w:r>
          </w:p>
        </w:tc>
        <w:tc>
          <w:tcPr>
            <w:tcW w:w="1245" w:type="dxa"/>
            <w:tcBorders>
              <w:top w:val="single" w:color="auto" w:sz="4" w:space="0"/>
              <w:left w:val="single" w:color="auto" w:sz="4" w:space="0"/>
              <w:bottom w:val="single" w:color="auto" w:sz="4" w:space="0"/>
              <w:right w:val="single" w:color="auto" w:sz="4" w:space="0"/>
            </w:tcBorders>
            <w:noWrap w:val="0"/>
            <w:vAlign w:val="center"/>
          </w:tcPr>
          <w:p w14:paraId="6C6E6F87">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制造商</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5B40EEEB">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原产地</w:t>
            </w:r>
          </w:p>
        </w:tc>
        <w:tc>
          <w:tcPr>
            <w:tcW w:w="1496" w:type="dxa"/>
            <w:tcBorders>
              <w:top w:val="single" w:color="auto" w:sz="4" w:space="0"/>
              <w:left w:val="single" w:color="auto" w:sz="4" w:space="0"/>
              <w:bottom w:val="single" w:color="auto" w:sz="4" w:space="0"/>
              <w:right w:val="single" w:color="auto" w:sz="4" w:space="0"/>
            </w:tcBorders>
            <w:noWrap w:val="0"/>
            <w:vAlign w:val="center"/>
          </w:tcPr>
          <w:p w14:paraId="670E8FBE">
            <w:pPr>
              <w:snapToGrid w:val="0"/>
              <w:spacing w:before="50" w:after="50"/>
              <w:jc w:val="center"/>
              <w:rPr>
                <w:rFonts w:ascii="宋体" w:hAnsi="宋体" w:cs="宋体"/>
                <w:color w:val="auto"/>
                <w:sz w:val="24"/>
                <w:highlight w:val="none"/>
              </w:rPr>
            </w:pPr>
            <w:r>
              <w:rPr>
                <w:rFonts w:hint="eastAsia" w:ascii="宋体" w:hAnsi="宋体" w:cs="宋体"/>
                <w:color w:val="auto"/>
                <w:sz w:val="24"/>
                <w:highlight w:val="none"/>
              </w:rPr>
              <w:t>参数性能、指标及配置</w:t>
            </w:r>
          </w:p>
        </w:tc>
      </w:tr>
      <w:tr w14:paraId="0E58E0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0119A2D">
            <w:pPr>
              <w:snapToGrid w:val="0"/>
              <w:spacing w:before="50" w:after="50"/>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38278546">
            <w:pPr>
              <w:snapToGrid w:val="0"/>
              <w:spacing w:before="50" w:after="50"/>
              <w:jc w:val="center"/>
              <w:rPr>
                <w:rFonts w:ascii="宋体" w:hAnsi="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EBEB589">
            <w:pPr>
              <w:snapToGrid w:val="0"/>
              <w:spacing w:before="50" w:after="50"/>
              <w:jc w:val="center"/>
              <w:rPr>
                <w:rFonts w:ascii="宋体" w:hAnsi="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501D6B95">
            <w:pPr>
              <w:snapToGrid w:val="0"/>
              <w:spacing w:before="50" w:after="50"/>
              <w:jc w:val="center"/>
              <w:rPr>
                <w:rFonts w:ascii="宋体" w:hAnsi="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0ECCD8A1">
            <w:pPr>
              <w:snapToGrid w:val="0"/>
              <w:spacing w:before="50" w:after="50"/>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56265E0E">
            <w:pPr>
              <w:snapToGrid w:val="0"/>
              <w:spacing w:before="50" w:after="50"/>
              <w:jc w:val="center"/>
              <w:rPr>
                <w:rFonts w:ascii="宋体" w:hAnsi="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47F8D6B8">
            <w:pPr>
              <w:snapToGrid w:val="0"/>
              <w:spacing w:before="50" w:after="50"/>
              <w:jc w:val="center"/>
              <w:rPr>
                <w:rFonts w:ascii="宋体" w:hAnsi="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501DE174">
            <w:pPr>
              <w:snapToGrid w:val="0"/>
              <w:spacing w:before="50" w:after="50"/>
              <w:jc w:val="center"/>
              <w:rPr>
                <w:rFonts w:ascii="宋体" w:hAnsi="宋体" w:cs="宋体"/>
                <w:color w:val="auto"/>
                <w:sz w:val="24"/>
                <w:highlight w:val="none"/>
              </w:rPr>
            </w:pPr>
          </w:p>
        </w:tc>
      </w:tr>
      <w:tr w14:paraId="6B16E8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72CCFC83">
            <w:pPr>
              <w:snapToGrid w:val="0"/>
              <w:spacing w:before="50" w:after="50"/>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497C12C">
            <w:pPr>
              <w:snapToGrid w:val="0"/>
              <w:spacing w:before="50" w:after="50"/>
              <w:jc w:val="center"/>
              <w:rPr>
                <w:rFonts w:ascii="宋体" w:hAnsi="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D749C58">
            <w:pPr>
              <w:snapToGrid w:val="0"/>
              <w:spacing w:before="50" w:after="50"/>
              <w:jc w:val="center"/>
              <w:rPr>
                <w:rFonts w:ascii="宋体" w:hAnsi="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4A786077">
            <w:pPr>
              <w:snapToGrid w:val="0"/>
              <w:spacing w:before="50" w:after="50"/>
              <w:jc w:val="center"/>
              <w:rPr>
                <w:rFonts w:ascii="宋体" w:hAnsi="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72E2C473">
            <w:pPr>
              <w:snapToGrid w:val="0"/>
              <w:spacing w:before="50" w:after="50"/>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16D238DF">
            <w:pPr>
              <w:snapToGrid w:val="0"/>
              <w:spacing w:before="50" w:after="50"/>
              <w:jc w:val="center"/>
              <w:rPr>
                <w:rFonts w:ascii="宋体" w:hAnsi="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3D919512">
            <w:pPr>
              <w:snapToGrid w:val="0"/>
              <w:spacing w:before="50" w:after="50"/>
              <w:jc w:val="center"/>
              <w:rPr>
                <w:rFonts w:ascii="宋体" w:hAnsi="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7D435073">
            <w:pPr>
              <w:snapToGrid w:val="0"/>
              <w:spacing w:before="50" w:after="50"/>
              <w:jc w:val="center"/>
              <w:rPr>
                <w:rFonts w:ascii="宋体" w:hAnsi="宋体" w:cs="宋体"/>
                <w:color w:val="auto"/>
                <w:sz w:val="24"/>
                <w:highlight w:val="none"/>
              </w:rPr>
            </w:pPr>
          </w:p>
        </w:tc>
      </w:tr>
      <w:tr w14:paraId="74A7CB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0C5A76D4">
            <w:pPr>
              <w:snapToGrid w:val="0"/>
              <w:spacing w:before="50" w:after="50"/>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093E9A46">
            <w:pPr>
              <w:snapToGrid w:val="0"/>
              <w:spacing w:before="50" w:after="50"/>
              <w:jc w:val="center"/>
              <w:rPr>
                <w:rFonts w:ascii="宋体" w:hAnsi="宋体" w:cs="宋体"/>
                <w:color w:val="auto"/>
                <w:sz w:val="24"/>
                <w:highlight w:val="none"/>
              </w:rPr>
            </w:pPr>
          </w:p>
        </w:tc>
        <w:tc>
          <w:tcPr>
            <w:tcW w:w="803" w:type="dxa"/>
            <w:tcBorders>
              <w:top w:val="single" w:color="auto" w:sz="4" w:space="0"/>
              <w:left w:val="single" w:color="auto" w:sz="4" w:space="0"/>
              <w:bottom w:val="single" w:color="auto" w:sz="4" w:space="0"/>
              <w:right w:val="single" w:color="auto" w:sz="4" w:space="0"/>
            </w:tcBorders>
            <w:noWrap w:val="0"/>
            <w:vAlign w:val="center"/>
          </w:tcPr>
          <w:p w14:paraId="770E121D">
            <w:pPr>
              <w:snapToGrid w:val="0"/>
              <w:spacing w:before="50" w:after="50"/>
              <w:jc w:val="center"/>
              <w:rPr>
                <w:rFonts w:ascii="宋体" w:hAnsi="宋体" w:cs="宋体"/>
                <w:color w:val="auto"/>
                <w:sz w:val="24"/>
                <w:highlight w:val="none"/>
              </w:rPr>
            </w:pPr>
          </w:p>
        </w:tc>
        <w:tc>
          <w:tcPr>
            <w:tcW w:w="895" w:type="dxa"/>
            <w:tcBorders>
              <w:top w:val="single" w:color="auto" w:sz="4" w:space="0"/>
              <w:left w:val="single" w:color="auto" w:sz="4" w:space="0"/>
              <w:bottom w:val="single" w:color="auto" w:sz="4" w:space="0"/>
              <w:right w:val="single" w:color="auto" w:sz="4" w:space="0"/>
            </w:tcBorders>
            <w:noWrap w:val="0"/>
            <w:vAlign w:val="center"/>
          </w:tcPr>
          <w:p w14:paraId="022A153F">
            <w:pPr>
              <w:snapToGrid w:val="0"/>
              <w:spacing w:before="50" w:after="50"/>
              <w:jc w:val="center"/>
              <w:rPr>
                <w:rFonts w:ascii="宋体" w:hAnsi="宋体" w:cs="宋体"/>
                <w:color w:val="auto"/>
                <w:sz w:val="24"/>
                <w:highlight w:val="none"/>
              </w:rPr>
            </w:pPr>
          </w:p>
        </w:tc>
        <w:tc>
          <w:tcPr>
            <w:tcW w:w="1786" w:type="dxa"/>
            <w:tcBorders>
              <w:top w:val="single" w:color="auto" w:sz="4" w:space="0"/>
              <w:left w:val="single" w:color="auto" w:sz="4" w:space="0"/>
              <w:bottom w:val="single" w:color="auto" w:sz="4" w:space="0"/>
              <w:right w:val="single" w:color="auto" w:sz="4" w:space="0"/>
            </w:tcBorders>
            <w:noWrap w:val="0"/>
            <w:vAlign w:val="top"/>
          </w:tcPr>
          <w:p w14:paraId="16A65C39">
            <w:pPr>
              <w:snapToGrid w:val="0"/>
              <w:spacing w:before="50" w:after="50"/>
              <w:jc w:val="center"/>
              <w:rPr>
                <w:rFonts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noWrap w:val="0"/>
            <w:vAlign w:val="center"/>
          </w:tcPr>
          <w:p w14:paraId="70365421">
            <w:pPr>
              <w:snapToGrid w:val="0"/>
              <w:spacing w:before="50" w:after="50"/>
              <w:jc w:val="center"/>
              <w:rPr>
                <w:rFonts w:ascii="宋体" w:hAnsi="宋体" w:cs="宋体"/>
                <w:color w:val="auto"/>
                <w:sz w:val="24"/>
                <w:highlight w:val="none"/>
              </w:rPr>
            </w:pPr>
          </w:p>
        </w:tc>
        <w:tc>
          <w:tcPr>
            <w:tcW w:w="737" w:type="dxa"/>
            <w:tcBorders>
              <w:top w:val="single" w:color="auto" w:sz="4" w:space="0"/>
              <w:left w:val="single" w:color="auto" w:sz="4" w:space="0"/>
              <w:bottom w:val="single" w:color="auto" w:sz="4" w:space="0"/>
              <w:right w:val="single" w:color="auto" w:sz="4" w:space="0"/>
            </w:tcBorders>
            <w:noWrap w:val="0"/>
            <w:vAlign w:val="center"/>
          </w:tcPr>
          <w:p w14:paraId="0326982B">
            <w:pPr>
              <w:snapToGrid w:val="0"/>
              <w:spacing w:before="50" w:after="50"/>
              <w:jc w:val="center"/>
              <w:rPr>
                <w:rFonts w:ascii="宋体" w:hAnsi="宋体" w:cs="宋体"/>
                <w:color w:val="auto"/>
                <w:sz w:val="24"/>
                <w:highlight w:val="none"/>
              </w:rPr>
            </w:pPr>
          </w:p>
        </w:tc>
        <w:tc>
          <w:tcPr>
            <w:tcW w:w="1496" w:type="dxa"/>
            <w:tcBorders>
              <w:top w:val="single" w:color="auto" w:sz="4" w:space="0"/>
              <w:left w:val="single" w:color="auto" w:sz="4" w:space="0"/>
              <w:bottom w:val="single" w:color="auto" w:sz="4" w:space="0"/>
              <w:right w:val="single" w:color="auto" w:sz="4" w:space="0"/>
            </w:tcBorders>
            <w:noWrap w:val="0"/>
            <w:vAlign w:val="center"/>
          </w:tcPr>
          <w:p w14:paraId="1802EFC4">
            <w:pPr>
              <w:snapToGrid w:val="0"/>
              <w:spacing w:before="50" w:after="50"/>
              <w:jc w:val="center"/>
              <w:rPr>
                <w:rFonts w:ascii="宋体" w:hAnsi="宋体" w:cs="宋体"/>
                <w:color w:val="auto"/>
                <w:sz w:val="24"/>
                <w:highlight w:val="none"/>
              </w:rPr>
            </w:pPr>
          </w:p>
        </w:tc>
      </w:tr>
    </w:tbl>
    <w:p w14:paraId="5D032D94">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备注：</w:t>
      </w:r>
    </w:p>
    <w:p w14:paraId="24527E5D">
      <w:pPr>
        <w:tabs>
          <w:tab w:val="left" w:pos="1065"/>
        </w:tabs>
        <w:adjustRightInd w:val="0"/>
        <w:spacing w:line="360" w:lineRule="auto"/>
        <w:contextualSpacing/>
        <w:rPr>
          <w:rFonts w:ascii="宋体" w:hAnsi="宋体" w:cs="宋体"/>
          <w:color w:val="auto"/>
          <w:sz w:val="24"/>
          <w:highlight w:val="none"/>
        </w:rPr>
      </w:pPr>
      <w:r>
        <w:rPr>
          <w:rFonts w:hint="eastAsia" w:ascii="宋体" w:hAnsi="宋体" w:cs="宋体"/>
          <w:b/>
          <w:bCs/>
          <w:color w:val="auto"/>
          <w:sz w:val="24"/>
          <w:highlight w:val="none"/>
        </w:rPr>
        <w:t>以上货物配置清单中“货物名称、数量及单位、品牌、规格型号、制造商、原产地、参数性能、指标及配置”必须如实填写完整，品牌、规格型号没有则填无，填写有缺漏的，响应文件按无效处理</w:t>
      </w:r>
      <w:r>
        <w:rPr>
          <w:rFonts w:hint="eastAsia" w:ascii="宋体" w:hAnsi="宋体" w:cs="宋体"/>
          <w:b/>
          <w:color w:val="auto"/>
          <w:sz w:val="24"/>
          <w:highlight w:val="none"/>
        </w:rPr>
        <w:t>。</w:t>
      </w:r>
      <w:r>
        <w:rPr>
          <w:rFonts w:hint="eastAsia" w:ascii="宋体" w:hAnsi="宋体" w:cs="宋体"/>
          <w:color w:val="auto"/>
          <w:sz w:val="24"/>
          <w:highlight w:val="none"/>
        </w:rPr>
        <w:t>货物名称、数量及单位、品牌必须与“竞标报价表”一致，</w:t>
      </w:r>
      <w:r>
        <w:rPr>
          <w:rFonts w:hint="eastAsia" w:ascii="宋体" w:hAnsi="宋体" w:cs="宋体"/>
          <w:bCs/>
          <w:color w:val="auto"/>
          <w:sz w:val="24"/>
          <w:highlight w:val="none"/>
        </w:rPr>
        <w:t>否则响应文件按无效处理</w:t>
      </w:r>
      <w:r>
        <w:rPr>
          <w:rFonts w:hint="eastAsia" w:ascii="宋体" w:hAnsi="宋体" w:cs="宋体"/>
          <w:b/>
          <w:color w:val="auto"/>
          <w:sz w:val="24"/>
          <w:highlight w:val="none"/>
        </w:rPr>
        <w:t>。</w:t>
      </w:r>
    </w:p>
    <w:p w14:paraId="6526FF37">
      <w:pPr>
        <w:adjustRightInd w:val="0"/>
        <w:spacing w:line="360" w:lineRule="auto"/>
        <w:contextualSpacing/>
        <w:jc w:val="left"/>
        <w:rPr>
          <w:rFonts w:ascii="宋体" w:hAnsi="宋体" w:cs="宋体"/>
          <w:color w:val="auto"/>
          <w:sz w:val="24"/>
          <w:highlight w:val="none"/>
        </w:rPr>
      </w:pPr>
    </w:p>
    <w:p w14:paraId="1E1CC40D">
      <w:pPr>
        <w:adjustRightInd w:val="0"/>
        <w:spacing w:line="360" w:lineRule="auto"/>
        <w:contextualSpacing/>
        <w:jc w:val="left"/>
        <w:rPr>
          <w:rFonts w:ascii="宋体" w:hAnsi="宋体" w:cs="宋体"/>
          <w:color w:val="auto"/>
          <w:sz w:val="24"/>
          <w:highlight w:val="none"/>
        </w:rPr>
      </w:pPr>
    </w:p>
    <w:p w14:paraId="2920B728">
      <w:pPr>
        <w:adjustRightInd w:val="0"/>
        <w:spacing w:line="360" w:lineRule="auto"/>
        <w:contextualSpacing/>
        <w:jc w:val="left"/>
        <w:rPr>
          <w:rFonts w:ascii="宋体" w:hAnsi="宋体" w:cs="宋体"/>
          <w:color w:val="auto"/>
          <w:sz w:val="24"/>
          <w:highlight w:val="none"/>
        </w:rPr>
      </w:pPr>
    </w:p>
    <w:p w14:paraId="2E405206">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33551025">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09851297">
      <w:pPr>
        <w:spacing w:line="360" w:lineRule="auto"/>
        <w:ind w:right="-817" w:rightChars="-389" w:firstLine="2880" w:firstLineChars="1200"/>
        <w:contextualSpacing/>
        <w:rPr>
          <w:rFonts w:ascii="宋体" w:hAnsi="宋体" w:cs="宋体"/>
          <w:b/>
          <w:color w:val="auto"/>
          <w:sz w:val="32"/>
          <w:szCs w:val="32"/>
          <w:highlight w:val="none"/>
        </w:rPr>
      </w:pPr>
      <w:r>
        <w:rPr>
          <w:rFonts w:hint="eastAsia" w:ascii="宋体" w:hAnsi="宋体" w:cs="宋体"/>
          <w:color w:val="auto"/>
          <w:sz w:val="24"/>
          <w:highlight w:val="none"/>
        </w:rPr>
        <w:t>日期：   年   月   日</w:t>
      </w:r>
    </w:p>
    <w:p w14:paraId="62FC52D6">
      <w:pPr>
        <w:adjustRightInd w:val="0"/>
        <w:snapToGrid w:val="0"/>
        <w:spacing w:line="300" w:lineRule="auto"/>
        <w:rPr>
          <w:rFonts w:ascii="宋体" w:hAnsi="宋体" w:cs="宋体"/>
          <w:color w:val="auto"/>
          <w:szCs w:val="21"/>
          <w:highlight w:val="none"/>
          <w:u w:val="single"/>
        </w:rPr>
      </w:pPr>
    </w:p>
    <w:p w14:paraId="0594CC74">
      <w:pPr>
        <w:adjustRightInd w:val="0"/>
        <w:snapToGrid w:val="0"/>
        <w:spacing w:line="300" w:lineRule="auto"/>
        <w:rPr>
          <w:rFonts w:ascii="宋体" w:hAnsi="宋体" w:cs="宋体"/>
          <w:color w:val="auto"/>
          <w:szCs w:val="21"/>
          <w:highlight w:val="none"/>
          <w:u w:val="single"/>
        </w:rPr>
      </w:pPr>
    </w:p>
    <w:p w14:paraId="46B66F28">
      <w:pPr>
        <w:adjustRightInd w:val="0"/>
        <w:snapToGrid w:val="0"/>
        <w:spacing w:line="300" w:lineRule="auto"/>
        <w:rPr>
          <w:rFonts w:ascii="宋体" w:hAnsi="宋体" w:cs="宋体"/>
          <w:color w:val="auto"/>
          <w:szCs w:val="21"/>
          <w:highlight w:val="none"/>
          <w:u w:val="single"/>
        </w:rPr>
      </w:pPr>
    </w:p>
    <w:p w14:paraId="3ECEC9F7">
      <w:pPr>
        <w:adjustRightInd w:val="0"/>
        <w:snapToGrid w:val="0"/>
        <w:spacing w:line="300" w:lineRule="auto"/>
        <w:rPr>
          <w:rFonts w:ascii="宋体" w:hAnsi="宋体" w:cs="宋体"/>
          <w:color w:val="auto"/>
          <w:szCs w:val="21"/>
          <w:highlight w:val="none"/>
          <w:u w:val="single"/>
        </w:rPr>
      </w:pPr>
    </w:p>
    <w:p w14:paraId="4811F7B7">
      <w:pPr>
        <w:adjustRightInd w:val="0"/>
        <w:snapToGrid w:val="0"/>
        <w:spacing w:line="300" w:lineRule="auto"/>
        <w:rPr>
          <w:rFonts w:ascii="宋体" w:hAnsi="宋体" w:cs="宋体"/>
          <w:color w:val="auto"/>
          <w:szCs w:val="21"/>
          <w:highlight w:val="none"/>
          <w:u w:val="single"/>
        </w:rPr>
      </w:pPr>
    </w:p>
    <w:p w14:paraId="1C38E59C">
      <w:pPr>
        <w:adjustRightInd w:val="0"/>
        <w:snapToGrid w:val="0"/>
        <w:spacing w:line="300" w:lineRule="auto"/>
        <w:rPr>
          <w:rFonts w:ascii="宋体" w:hAnsi="宋体" w:cs="宋体"/>
          <w:color w:val="auto"/>
          <w:szCs w:val="21"/>
          <w:highlight w:val="none"/>
          <w:u w:val="single"/>
        </w:rPr>
      </w:pPr>
    </w:p>
    <w:p w14:paraId="5AF7F45E">
      <w:pPr>
        <w:adjustRightInd w:val="0"/>
        <w:snapToGrid w:val="0"/>
        <w:spacing w:line="300" w:lineRule="auto"/>
        <w:rPr>
          <w:rFonts w:ascii="宋体" w:hAnsi="宋体" w:cs="宋体"/>
          <w:color w:val="auto"/>
          <w:szCs w:val="21"/>
          <w:highlight w:val="none"/>
          <w:u w:val="single"/>
        </w:rPr>
      </w:pPr>
    </w:p>
    <w:p w14:paraId="7A50E2E6">
      <w:pPr>
        <w:adjustRightInd w:val="0"/>
        <w:snapToGrid w:val="0"/>
        <w:spacing w:line="300" w:lineRule="auto"/>
        <w:rPr>
          <w:rFonts w:ascii="宋体" w:hAnsi="宋体" w:cs="宋体"/>
          <w:color w:val="auto"/>
          <w:szCs w:val="21"/>
          <w:highlight w:val="none"/>
          <w:u w:val="single"/>
        </w:rPr>
      </w:pPr>
    </w:p>
    <w:p w14:paraId="0FB62AA4">
      <w:pPr>
        <w:adjustRightInd w:val="0"/>
        <w:snapToGrid w:val="0"/>
        <w:spacing w:line="300" w:lineRule="auto"/>
        <w:jc w:val="center"/>
        <w:rPr>
          <w:rFonts w:ascii="宋体" w:hAnsi="宋体" w:cs="宋体"/>
          <w:bCs/>
          <w:color w:val="auto"/>
          <w:sz w:val="44"/>
          <w:szCs w:val="44"/>
          <w:highlight w:val="none"/>
        </w:rPr>
      </w:pPr>
      <w:r>
        <w:rPr>
          <w:rFonts w:hint="eastAsia" w:ascii="宋体" w:hAnsi="宋体" w:cs="宋体"/>
          <w:bCs/>
          <w:color w:val="auto"/>
          <w:sz w:val="44"/>
          <w:szCs w:val="44"/>
          <w:highlight w:val="none"/>
        </w:rPr>
        <w:br w:type="page"/>
      </w:r>
      <w:r>
        <w:rPr>
          <w:rFonts w:hint="eastAsia" w:ascii="宋体" w:hAnsi="宋体" w:cs="宋体"/>
          <w:bCs/>
          <w:color w:val="auto"/>
          <w:sz w:val="44"/>
          <w:szCs w:val="44"/>
          <w:highlight w:val="none"/>
        </w:rPr>
        <w:t>技术要求偏离表</w:t>
      </w:r>
    </w:p>
    <w:p w14:paraId="7E017DCF">
      <w:pPr>
        <w:spacing w:line="520" w:lineRule="exact"/>
        <w:rPr>
          <w:rFonts w:ascii="宋体" w:hAnsi="宋体" w:cs="宋体"/>
          <w:color w:val="auto"/>
          <w:sz w:val="32"/>
          <w:szCs w:val="32"/>
          <w:highlight w:val="none"/>
        </w:rPr>
      </w:pPr>
    </w:p>
    <w:p w14:paraId="01B44329">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p>
    <w:p w14:paraId="02B1179F">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p>
    <w:p w14:paraId="206F4772">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p>
    <w:tbl>
      <w:tblPr>
        <w:tblStyle w:val="29"/>
        <w:tblW w:w="894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01"/>
        <w:gridCol w:w="901"/>
        <w:gridCol w:w="2988"/>
        <w:gridCol w:w="2689"/>
        <w:gridCol w:w="1467"/>
      </w:tblGrid>
      <w:tr w14:paraId="71B401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110D3CF3">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901" w:type="dxa"/>
            <w:tcBorders>
              <w:right w:val="single" w:color="auto" w:sz="4" w:space="0"/>
            </w:tcBorders>
            <w:noWrap w:val="0"/>
            <w:vAlign w:val="center"/>
          </w:tcPr>
          <w:p w14:paraId="026392B9">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名称</w:t>
            </w:r>
          </w:p>
        </w:tc>
        <w:tc>
          <w:tcPr>
            <w:tcW w:w="2988" w:type="dxa"/>
            <w:tcBorders>
              <w:left w:val="single" w:color="auto" w:sz="4" w:space="0"/>
            </w:tcBorders>
            <w:noWrap w:val="0"/>
            <w:vAlign w:val="center"/>
          </w:tcPr>
          <w:p w14:paraId="38001A1C">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谈判文件要求</w:t>
            </w:r>
          </w:p>
        </w:tc>
        <w:tc>
          <w:tcPr>
            <w:tcW w:w="2689" w:type="dxa"/>
            <w:noWrap w:val="0"/>
            <w:vAlign w:val="center"/>
          </w:tcPr>
          <w:p w14:paraId="33293748">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竞标响应</w:t>
            </w:r>
          </w:p>
        </w:tc>
        <w:tc>
          <w:tcPr>
            <w:tcW w:w="1467" w:type="dxa"/>
            <w:noWrap w:val="0"/>
            <w:vAlign w:val="center"/>
          </w:tcPr>
          <w:p w14:paraId="2C7F1916">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偏离说明</w:t>
            </w:r>
          </w:p>
        </w:tc>
      </w:tr>
      <w:tr w14:paraId="73236D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7537FA41">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901" w:type="dxa"/>
            <w:tcBorders>
              <w:right w:val="single" w:color="auto" w:sz="4" w:space="0"/>
            </w:tcBorders>
            <w:noWrap w:val="0"/>
            <w:vAlign w:val="center"/>
          </w:tcPr>
          <w:p w14:paraId="26807554">
            <w:pPr>
              <w:pStyle w:val="14"/>
              <w:spacing w:line="360" w:lineRule="auto"/>
              <w:ind w:firstLine="0" w:firstLineChars="0"/>
              <w:jc w:val="center"/>
              <w:rPr>
                <w:rFonts w:ascii="宋体" w:hAnsi="宋体" w:eastAsia="宋体" w:cs="宋体"/>
                <w:color w:val="auto"/>
                <w:kern w:val="2"/>
                <w:sz w:val="24"/>
                <w:szCs w:val="24"/>
                <w:highlight w:val="none"/>
              </w:rPr>
            </w:pPr>
          </w:p>
        </w:tc>
        <w:tc>
          <w:tcPr>
            <w:tcW w:w="2988" w:type="dxa"/>
            <w:tcBorders>
              <w:left w:val="single" w:color="auto" w:sz="4" w:space="0"/>
            </w:tcBorders>
            <w:noWrap w:val="0"/>
            <w:vAlign w:val="center"/>
          </w:tcPr>
          <w:p w14:paraId="26007187">
            <w:pPr>
              <w:pStyle w:val="14"/>
              <w:spacing w:line="360" w:lineRule="auto"/>
              <w:ind w:firstLine="0" w:firstLineChars="0"/>
              <w:jc w:val="center"/>
              <w:rPr>
                <w:rFonts w:ascii="宋体" w:hAnsi="宋体" w:eastAsia="宋体" w:cs="宋体"/>
                <w:color w:val="auto"/>
                <w:kern w:val="2"/>
                <w:sz w:val="24"/>
                <w:szCs w:val="24"/>
                <w:highlight w:val="none"/>
              </w:rPr>
            </w:pPr>
          </w:p>
        </w:tc>
        <w:tc>
          <w:tcPr>
            <w:tcW w:w="2689" w:type="dxa"/>
            <w:noWrap w:val="0"/>
            <w:vAlign w:val="center"/>
          </w:tcPr>
          <w:p w14:paraId="30C4D1D7">
            <w:pPr>
              <w:pStyle w:val="14"/>
              <w:spacing w:line="360" w:lineRule="auto"/>
              <w:ind w:firstLine="0" w:firstLineChars="0"/>
              <w:jc w:val="center"/>
              <w:rPr>
                <w:rFonts w:ascii="宋体" w:hAnsi="宋体" w:eastAsia="宋体" w:cs="宋体"/>
                <w:color w:val="auto"/>
                <w:kern w:val="2"/>
                <w:sz w:val="24"/>
                <w:szCs w:val="24"/>
                <w:highlight w:val="none"/>
              </w:rPr>
            </w:pPr>
          </w:p>
        </w:tc>
        <w:tc>
          <w:tcPr>
            <w:tcW w:w="1467" w:type="dxa"/>
            <w:noWrap w:val="0"/>
            <w:vAlign w:val="center"/>
          </w:tcPr>
          <w:p w14:paraId="15F693DE">
            <w:pPr>
              <w:pStyle w:val="14"/>
              <w:spacing w:line="360" w:lineRule="auto"/>
              <w:ind w:firstLine="0" w:firstLineChars="0"/>
              <w:jc w:val="center"/>
              <w:rPr>
                <w:rFonts w:ascii="宋体" w:hAnsi="宋体" w:eastAsia="宋体" w:cs="宋体"/>
                <w:color w:val="auto"/>
                <w:kern w:val="2"/>
                <w:sz w:val="24"/>
                <w:szCs w:val="24"/>
                <w:highlight w:val="none"/>
              </w:rPr>
            </w:pPr>
          </w:p>
        </w:tc>
      </w:tr>
      <w:tr w14:paraId="7E9C8E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13D3FEE0">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901" w:type="dxa"/>
            <w:tcBorders>
              <w:right w:val="single" w:color="auto" w:sz="4" w:space="0"/>
            </w:tcBorders>
            <w:noWrap w:val="0"/>
            <w:vAlign w:val="center"/>
          </w:tcPr>
          <w:p w14:paraId="703868B9">
            <w:pPr>
              <w:pStyle w:val="14"/>
              <w:spacing w:line="360" w:lineRule="auto"/>
              <w:ind w:firstLine="0" w:firstLineChars="0"/>
              <w:jc w:val="center"/>
              <w:rPr>
                <w:rFonts w:ascii="宋体" w:hAnsi="宋体" w:eastAsia="宋体" w:cs="宋体"/>
                <w:color w:val="auto"/>
                <w:kern w:val="2"/>
                <w:sz w:val="24"/>
                <w:szCs w:val="24"/>
                <w:highlight w:val="none"/>
              </w:rPr>
            </w:pPr>
          </w:p>
        </w:tc>
        <w:tc>
          <w:tcPr>
            <w:tcW w:w="2988" w:type="dxa"/>
            <w:tcBorders>
              <w:left w:val="single" w:color="auto" w:sz="4" w:space="0"/>
            </w:tcBorders>
            <w:noWrap w:val="0"/>
            <w:vAlign w:val="center"/>
          </w:tcPr>
          <w:p w14:paraId="45DBF000">
            <w:pPr>
              <w:pStyle w:val="14"/>
              <w:spacing w:line="360" w:lineRule="auto"/>
              <w:ind w:firstLine="0" w:firstLineChars="0"/>
              <w:jc w:val="center"/>
              <w:rPr>
                <w:rFonts w:ascii="宋体" w:hAnsi="宋体" w:eastAsia="宋体" w:cs="宋体"/>
                <w:color w:val="auto"/>
                <w:kern w:val="2"/>
                <w:sz w:val="24"/>
                <w:szCs w:val="24"/>
                <w:highlight w:val="none"/>
              </w:rPr>
            </w:pPr>
          </w:p>
        </w:tc>
        <w:tc>
          <w:tcPr>
            <w:tcW w:w="2689" w:type="dxa"/>
            <w:noWrap w:val="0"/>
            <w:vAlign w:val="center"/>
          </w:tcPr>
          <w:p w14:paraId="7ACC1E37">
            <w:pPr>
              <w:pStyle w:val="14"/>
              <w:spacing w:line="360" w:lineRule="auto"/>
              <w:ind w:firstLine="0" w:firstLineChars="0"/>
              <w:jc w:val="center"/>
              <w:rPr>
                <w:rFonts w:ascii="宋体" w:hAnsi="宋体" w:eastAsia="宋体" w:cs="宋体"/>
                <w:color w:val="auto"/>
                <w:kern w:val="2"/>
                <w:sz w:val="24"/>
                <w:szCs w:val="24"/>
                <w:highlight w:val="none"/>
              </w:rPr>
            </w:pPr>
          </w:p>
        </w:tc>
        <w:tc>
          <w:tcPr>
            <w:tcW w:w="1467" w:type="dxa"/>
            <w:noWrap w:val="0"/>
            <w:vAlign w:val="center"/>
          </w:tcPr>
          <w:p w14:paraId="0117D421">
            <w:pPr>
              <w:pStyle w:val="14"/>
              <w:spacing w:line="360" w:lineRule="auto"/>
              <w:ind w:firstLine="0" w:firstLineChars="0"/>
              <w:jc w:val="center"/>
              <w:rPr>
                <w:rFonts w:ascii="宋体" w:hAnsi="宋体" w:eastAsia="宋体" w:cs="宋体"/>
                <w:color w:val="auto"/>
                <w:kern w:val="2"/>
                <w:sz w:val="24"/>
                <w:szCs w:val="24"/>
                <w:highlight w:val="none"/>
              </w:rPr>
            </w:pPr>
          </w:p>
        </w:tc>
      </w:tr>
      <w:tr w14:paraId="09B5228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62B3A241">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901" w:type="dxa"/>
            <w:tcBorders>
              <w:right w:val="single" w:color="auto" w:sz="4" w:space="0"/>
            </w:tcBorders>
            <w:noWrap w:val="0"/>
            <w:vAlign w:val="center"/>
          </w:tcPr>
          <w:p w14:paraId="3236912D">
            <w:pPr>
              <w:pStyle w:val="14"/>
              <w:spacing w:line="360" w:lineRule="auto"/>
              <w:ind w:firstLine="0" w:firstLineChars="0"/>
              <w:jc w:val="center"/>
              <w:rPr>
                <w:rFonts w:ascii="宋体" w:hAnsi="宋体" w:eastAsia="宋体" w:cs="宋体"/>
                <w:color w:val="auto"/>
                <w:kern w:val="2"/>
                <w:sz w:val="24"/>
                <w:szCs w:val="24"/>
                <w:highlight w:val="none"/>
              </w:rPr>
            </w:pPr>
          </w:p>
        </w:tc>
        <w:tc>
          <w:tcPr>
            <w:tcW w:w="2988" w:type="dxa"/>
            <w:tcBorders>
              <w:left w:val="single" w:color="auto" w:sz="4" w:space="0"/>
            </w:tcBorders>
            <w:noWrap w:val="0"/>
            <w:vAlign w:val="center"/>
          </w:tcPr>
          <w:p w14:paraId="00D1B17E">
            <w:pPr>
              <w:pStyle w:val="14"/>
              <w:spacing w:line="360" w:lineRule="auto"/>
              <w:ind w:firstLine="0" w:firstLineChars="0"/>
              <w:jc w:val="center"/>
              <w:rPr>
                <w:rFonts w:ascii="宋体" w:hAnsi="宋体" w:eastAsia="宋体" w:cs="宋体"/>
                <w:color w:val="auto"/>
                <w:kern w:val="2"/>
                <w:sz w:val="24"/>
                <w:szCs w:val="24"/>
                <w:highlight w:val="none"/>
              </w:rPr>
            </w:pPr>
          </w:p>
        </w:tc>
        <w:tc>
          <w:tcPr>
            <w:tcW w:w="2689" w:type="dxa"/>
            <w:noWrap w:val="0"/>
            <w:vAlign w:val="center"/>
          </w:tcPr>
          <w:p w14:paraId="654D47EB">
            <w:pPr>
              <w:pStyle w:val="14"/>
              <w:spacing w:line="360" w:lineRule="auto"/>
              <w:ind w:firstLine="0" w:firstLineChars="0"/>
              <w:jc w:val="center"/>
              <w:rPr>
                <w:rFonts w:ascii="宋体" w:hAnsi="宋体" w:eastAsia="宋体" w:cs="宋体"/>
                <w:color w:val="auto"/>
                <w:kern w:val="2"/>
                <w:sz w:val="24"/>
                <w:szCs w:val="24"/>
                <w:highlight w:val="none"/>
              </w:rPr>
            </w:pPr>
          </w:p>
        </w:tc>
        <w:tc>
          <w:tcPr>
            <w:tcW w:w="1467" w:type="dxa"/>
            <w:noWrap w:val="0"/>
            <w:vAlign w:val="center"/>
          </w:tcPr>
          <w:p w14:paraId="774E69F4">
            <w:pPr>
              <w:pStyle w:val="14"/>
              <w:spacing w:line="360" w:lineRule="auto"/>
              <w:ind w:firstLine="0" w:firstLineChars="0"/>
              <w:jc w:val="center"/>
              <w:rPr>
                <w:rFonts w:ascii="宋体" w:hAnsi="宋体" w:eastAsia="宋体" w:cs="宋体"/>
                <w:color w:val="auto"/>
                <w:kern w:val="2"/>
                <w:sz w:val="24"/>
                <w:szCs w:val="24"/>
                <w:highlight w:val="none"/>
              </w:rPr>
            </w:pPr>
          </w:p>
        </w:tc>
      </w:tr>
      <w:tr w14:paraId="5DDD6D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7ABA6B85">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901" w:type="dxa"/>
            <w:tcBorders>
              <w:right w:val="single" w:color="auto" w:sz="4" w:space="0"/>
            </w:tcBorders>
            <w:noWrap w:val="0"/>
            <w:vAlign w:val="center"/>
          </w:tcPr>
          <w:p w14:paraId="31EB03F8">
            <w:pPr>
              <w:pStyle w:val="14"/>
              <w:spacing w:line="360" w:lineRule="auto"/>
              <w:ind w:firstLine="0" w:firstLineChars="0"/>
              <w:jc w:val="center"/>
              <w:rPr>
                <w:rFonts w:ascii="宋体" w:hAnsi="宋体" w:eastAsia="宋体" w:cs="宋体"/>
                <w:color w:val="auto"/>
                <w:kern w:val="2"/>
                <w:sz w:val="24"/>
                <w:szCs w:val="24"/>
                <w:highlight w:val="none"/>
              </w:rPr>
            </w:pPr>
          </w:p>
        </w:tc>
        <w:tc>
          <w:tcPr>
            <w:tcW w:w="2988" w:type="dxa"/>
            <w:tcBorders>
              <w:left w:val="single" w:color="auto" w:sz="4" w:space="0"/>
            </w:tcBorders>
            <w:noWrap w:val="0"/>
            <w:vAlign w:val="center"/>
          </w:tcPr>
          <w:p w14:paraId="4BD598F7">
            <w:pPr>
              <w:pStyle w:val="14"/>
              <w:spacing w:line="360" w:lineRule="auto"/>
              <w:ind w:firstLine="0" w:firstLineChars="0"/>
              <w:jc w:val="center"/>
              <w:rPr>
                <w:rFonts w:ascii="宋体" w:hAnsi="宋体" w:eastAsia="宋体" w:cs="宋体"/>
                <w:color w:val="auto"/>
                <w:kern w:val="2"/>
                <w:sz w:val="24"/>
                <w:szCs w:val="24"/>
                <w:highlight w:val="none"/>
              </w:rPr>
            </w:pPr>
          </w:p>
        </w:tc>
        <w:tc>
          <w:tcPr>
            <w:tcW w:w="2689" w:type="dxa"/>
            <w:noWrap w:val="0"/>
            <w:vAlign w:val="center"/>
          </w:tcPr>
          <w:p w14:paraId="64FE0EA6">
            <w:pPr>
              <w:pStyle w:val="14"/>
              <w:spacing w:line="360" w:lineRule="auto"/>
              <w:ind w:firstLine="0" w:firstLineChars="0"/>
              <w:jc w:val="center"/>
              <w:rPr>
                <w:rFonts w:ascii="宋体" w:hAnsi="宋体" w:eastAsia="宋体" w:cs="宋体"/>
                <w:color w:val="auto"/>
                <w:kern w:val="2"/>
                <w:sz w:val="24"/>
                <w:szCs w:val="24"/>
                <w:highlight w:val="none"/>
              </w:rPr>
            </w:pPr>
          </w:p>
        </w:tc>
        <w:tc>
          <w:tcPr>
            <w:tcW w:w="1467" w:type="dxa"/>
            <w:noWrap w:val="0"/>
            <w:vAlign w:val="center"/>
          </w:tcPr>
          <w:p w14:paraId="240748B2">
            <w:pPr>
              <w:pStyle w:val="14"/>
              <w:spacing w:line="360" w:lineRule="auto"/>
              <w:ind w:firstLine="0" w:firstLineChars="0"/>
              <w:jc w:val="center"/>
              <w:rPr>
                <w:rFonts w:ascii="宋体" w:hAnsi="宋体" w:eastAsia="宋体" w:cs="宋体"/>
                <w:color w:val="auto"/>
                <w:kern w:val="2"/>
                <w:sz w:val="24"/>
                <w:szCs w:val="24"/>
                <w:highlight w:val="none"/>
              </w:rPr>
            </w:pPr>
          </w:p>
        </w:tc>
      </w:tr>
      <w:tr w14:paraId="53545E3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01" w:type="dxa"/>
            <w:noWrap w:val="0"/>
            <w:vAlign w:val="center"/>
          </w:tcPr>
          <w:p w14:paraId="3ECA0A06">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w:t>
            </w:r>
          </w:p>
        </w:tc>
        <w:tc>
          <w:tcPr>
            <w:tcW w:w="901" w:type="dxa"/>
            <w:tcBorders>
              <w:right w:val="single" w:color="auto" w:sz="4" w:space="0"/>
            </w:tcBorders>
            <w:noWrap w:val="0"/>
            <w:vAlign w:val="center"/>
          </w:tcPr>
          <w:p w14:paraId="371C8B6C">
            <w:pPr>
              <w:pStyle w:val="14"/>
              <w:spacing w:line="360" w:lineRule="auto"/>
              <w:ind w:firstLine="0" w:firstLineChars="0"/>
              <w:jc w:val="center"/>
              <w:rPr>
                <w:rFonts w:ascii="宋体" w:hAnsi="宋体" w:eastAsia="宋体" w:cs="宋体"/>
                <w:color w:val="auto"/>
                <w:kern w:val="2"/>
                <w:sz w:val="24"/>
                <w:szCs w:val="24"/>
                <w:highlight w:val="none"/>
              </w:rPr>
            </w:pPr>
          </w:p>
        </w:tc>
        <w:tc>
          <w:tcPr>
            <w:tcW w:w="2988" w:type="dxa"/>
            <w:tcBorders>
              <w:left w:val="single" w:color="auto" w:sz="4" w:space="0"/>
            </w:tcBorders>
            <w:noWrap w:val="0"/>
            <w:vAlign w:val="center"/>
          </w:tcPr>
          <w:p w14:paraId="759044A4">
            <w:pPr>
              <w:pStyle w:val="14"/>
              <w:spacing w:line="360" w:lineRule="auto"/>
              <w:ind w:firstLine="0" w:firstLineChars="0"/>
              <w:jc w:val="center"/>
              <w:rPr>
                <w:rFonts w:ascii="宋体" w:hAnsi="宋体" w:eastAsia="宋体" w:cs="宋体"/>
                <w:color w:val="auto"/>
                <w:kern w:val="2"/>
                <w:sz w:val="24"/>
                <w:szCs w:val="24"/>
                <w:highlight w:val="none"/>
              </w:rPr>
            </w:pPr>
          </w:p>
        </w:tc>
        <w:tc>
          <w:tcPr>
            <w:tcW w:w="2689" w:type="dxa"/>
            <w:noWrap w:val="0"/>
            <w:vAlign w:val="center"/>
          </w:tcPr>
          <w:p w14:paraId="1DDF0A5C">
            <w:pPr>
              <w:pStyle w:val="14"/>
              <w:spacing w:line="360" w:lineRule="auto"/>
              <w:ind w:firstLine="0" w:firstLineChars="0"/>
              <w:jc w:val="center"/>
              <w:rPr>
                <w:rFonts w:ascii="宋体" w:hAnsi="宋体" w:eastAsia="宋体" w:cs="宋体"/>
                <w:color w:val="auto"/>
                <w:kern w:val="2"/>
                <w:sz w:val="24"/>
                <w:szCs w:val="24"/>
                <w:highlight w:val="none"/>
              </w:rPr>
            </w:pPr>
          </w:p>
        </w:tc>
        <w:tc>
          <w:tcPr>
            <w:tcW w:w="1467" w:type="dxa"/>
            <w:noWrap w:val="0"/>
            <w:vAlign w:val="center"/>
          </w:tcPr>
          <w:p w14:paraId="0DCE7FB8">
            <w:pPr>
              <w:pStyle w:val="14"/>
              <w:spacing w:line="360" w:lineRule="auto"/>
              <w:ind w:firstLine="0" w:firstLineChars="0"/>
              <w:jc w:val="center"/>
              <w:rPr>
                <w:rFonts w:ascii="宋体" w:hAnsi="宋体" w:eastAsia="宋体" w:cs="宋体"/>
                <w:color w:val="auto"/>
                <w:kern w:val="2"/>
                <w:sz w:val="24"/>
                <w:szCs w:val="24"/>
                <w:highlight w:val="none"/>
              </w:rPr>
            </w:pPr>
          </w:p>
        </w:tc>
      </w:tr>
      <w:tr w14:paraId="3028FE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01" w:type="dxa"/>
            <w:noWrap w:val="0"/>
            <w:vAlign w:val="center"/>
          </w:tcPr>
          <w:p w14:paraId="510AF8E5">
            <w:pPr>
              <w:pStyle w:val="14"/>
              <w:spacing w:line="360" w:lineRule="auto"/>
              <w:ind w:firstLine="0" w:firstLineChars="0"/>
              <w:jc w:val="center"/>
              <w:rPr>
                <w:rFonts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p>
        </w:tc>
        <w:tc>
          <w:tcPr>
            <w:tcW w:w="901" w:type="dxa"/>
            <w:tcBorders>
              <w:right w:val="single" w:color="auto" w:sz="4" w:space="0"/>
            </w:tcBorders>
            <w:noWrap w:val="0"/>
            <w:vAlign w:val="center"/>
          </w:tcPr>
          <w:p w14:paraId="793D430F">
            <w:pPr>
              <w:pStyle w:val="14"/>
              <w:spacing w:line="360" w:lineRule="auto"/>
              <w:ind w:firstLine="0" w:firstLineChars="0"/>
              <w:jc w:val="center"/>
              <w:rPr>
                <w:rFonts w:ascii="宋体" w:hAnsi="宋体" w:eastAsia="宋体" w:cs="宋体"/>
                <w:color w:val="auto"/>
                <w:kern w:val="2"/>
                <w:sz w:val="24"/>
                <w:szCs w:val="24"/>
                <w:highlight w:val="none"/>
              </w:rPr>
            </w:pPr>
          </w:p>
        </w:tc>
        <w:tc>
          <w:tcPr>
            <w:tcW w:w="2988" w:type="dxa"/>
            <w:tcBorders>
              <w:left w:val="single" w:color="auto" w:sz="4" w:space="0"/>
            </w:tcBorders>
            <w:noWrap w:val="0"/>
            <w:vAlign w:val="center"/>
          </w:tcPr>
          <w:p w14:paraId="4EF30CFA">
            <w:pPr>
              <w:pStyle w:val="14"/>
              <w:spacing w:line="360" w:lineRule="auto"/>
              <w:ind w:firstLine="0" w:firstLineChars="0"/>
              <w:jc w:val="center"/>
              <w:rPr>
                <w:rFonts w:ascii="宋体" w:hAnsi="宋体" w:eastAsia="宋体" w:cs="宋体"/>
                <w:color w:val="auto"/>
                <w:kern w:val="2"/>
                <w:sz w:val="24"/>
                <w:szCs w:val="24"/>
                <w:highlight w:val="none"/>
              </w:rPr>
            </w:pPr>
          </w:p>
        </w:tc>
        <w:tc>
          <w:tcPr>
            <w:tcW w:w="2689" w:type="dxa"/>
            <w:noWrap w:val="0"/>
            <w:vAlign w:val="center"/>
          </w:tcPr>
          <w:p w14:paraId="2DE2FF3F">
            <w:pPr>
              <w:pStyle w:val="14"/>
              <w:spacing w:line="360" w:lineRule="auto"/>
              <w:ind w:firstLine="0" w:firstLineChars="0"/>
              <w:jc w:val="center"/>
              <w:rPr>
                <w:rFonts w:ascii="宋体" w:hAnsi="宋体" w:eastAsia="宋体" w:cs="宋体"/>
                <w:color w:val="auto"/>
                <w:kern w:val="2"/>
                <w:sz w:val="24"/>
                <w:szCs w:val="24"/>
                <w:highlight w:val="none"/>
              </w:rPr>
            </w:pPr>
          </w:p>
        </w:tc>
        <w:tc>
          <w:tcPr>
            <w:tcW w:w="1467" w:type="dxa"/>
            <w:tcBorders>
              <w:right w:val="single" w:color="auto" w:sz="4" w:space="0"/>
            </w:tcBorders>
            <w:noWrap w:val="0"/>
            <w:vAlign w:val="center"/>
          </w:tcPr>
          <w:p w14:paraId="777CF7DD">
            <w:pPr>
              <w:pStyle w:val="14"/>
              <w:spacing w:line="360" w:lineRule="auto"/>
              <w:ind w:firstLine="0" w:firstLineChars="0"/>
              <w:jc w:val="center"/>
              <w:rPr>
                <w:rFonts w:ascii="宋体" w:hAnsi="宋体" w:eastAsia="宋体" w:cs="宋体"/>
                <w:color w:val="auto"/>
                <w:kern w:val="2"/>
                <w:sz w:val="24"/>
                <w:szCs w:val="24"/>
                <w:highlight w:val="none"/>
              </w:rPr>
            </w:pPr>
          </w:p>
        </w:tc>
      </w:tr>
    </w:tbl>
    <w:p w14:paraId="6A8313E0">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2D180034">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 说明：应对照谈判文件“第三章采购需求”中的技术要求逐条实质性响应，并作出偏离说明。</w:t>
      </w:r>
    </w:p>
    <w:p w14:paraId="6F7EBA13">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2.供应商应根据竞标设备的性能指标，对照谈判文件要求，在“偏离说明”中注明“正偏离”、“负偏离”或者“无偏离”。既不属于“正偏离”也不属于“负偏离”即为“无偏离”。</w:t>
      </w:r>
    </w:p>
    <w:p w14:paraId="4C50A666">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竞标响应有正偏离的，请在技术要求偏离表中列明，且在响应文件中提供竞标产品的彩页或国家认可有资质的第三方检测机构出具的检测报告复印件或产品生产厂家出具的技术参数说明证明作为佐证，以上佐证材料均需加盖生产厂家或代理商（附生产厂家授权资料）公章。</w:t>
      </w:r>
    </w:p>
    <w:p w14:paraId="3519AC76">
      <w:pPr>
        <w:pStyle w:val="14"/>
        <w:spacing w:line="360" w:lineRule="auto"/>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4.如技术要求偏离表中的竞标响应与佐证材料不一致的，以佐证材料为准。</w:t>
      </w:r>
    </w:p>
    <w:p w14:paraId="4C541ED6">
      <w:pPr>
        <w:pStyle w:val="14"/>
        <w:spacing w:line="360" w:lineRule="auto"/>
        <w:ind w:firstLine="0" w:firstLineChars="0"/>
        <w:contextualSpacing/>
        <w:rPr>
          <w:rFonts w:ascii="宋体" w:hAnsi="宋体" w:eastAsia="宋体" w:cs="宋体"/>
          <w:color w:val="auto"/>
          <w:sz w:val="24"/>
          <w:szCs w:val="24"/>
          <w:highlight w:val="none"/>
        </w:rPr>
      </w:pPr>
    </w:p>
    <w:p w14:paraId="22287B2B">
      <w:pPr>
        <w:spacing w:line="360" w:lineRule="auto"/>
        <w:ind w:right="-817" w:rightChars="-389"/>
        <w:contextualSpacing/>
        <w:rPr>
          <w:rFonts w:ascii="宋体" w:hAnsi="宋体" w:cs="宋体"/>
          <w:color w:val="auto"/>
          <w:sz w:val="24"/>
          <w:highlight w:val="none"/>
        </w:rPr>
      </w:pPr>
    </w:p>
    <w:p w14:paraId="07AC9213">
      <w:pPr>
        <w:spacing w:line="360" w:lineRule="auto"/>
        <w:ind w:right="-817" w:rightChars="-389"/>
        <w:contextualSpacing/>
        <w:jc w:val="center"/>
        <w:rPr>
          <w:rFonts w:ascii="宋体" w:hAnsi="宋体" w:cs="宋体"/>
          <w:color w:val="auto"/>
          <w:sz w:val="24"/>
          <w:highlight w:val="none"/>
        </w:rPr>
      </w:pPr>
      <w:r>
        <w:rPr>
          <w:rFonts w:hint="eastAsia" w:ascii="宋体" w:hAnsi="宋体" w:cs="宋体"/>
          <w:color w:val="auto"/>
          <w:sz w:val="24"/>
          <w:highlight w:val="none"/>
        </w:rPr>
        <w:t>法定代表人或者委托代理人（签字或者电子签名）：</w:t>
      </w:r>
    </w:p>
    <w:p w14:paraId="3E7E90F9">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 xml:space="preserve">供应商名称（电子签章）：      </w:t>
      </w:r>
    </w:p>
    <w:p w14:paraId="684759D8">
      <w:pPr>
        <w:spacing w:line="360" w:lineRule="auto"/>
        <w:ind w:right="-817" w:rightChars="-389" w:firstLine="2880" w:firstLineChars="1200"/>
        <w:contextualSpacing/>
        <w:rPr>
          <w:rFonts w:ascii="宋体" w:hAnsi="宋体" w:cs="宋体"/>
          <w:color w:val="auto"/>
          <w:sz w:val="24"/>
          <w:highlight w:val="none"/>
        </w:rPr>
      </w:pPr>
      <w:r>
        <w:rPr>
          <w:rFonts w:hint="eastAsia" w:ascii="宋体" w:hAnsi="宋体" w:cs="宋体"/>
          <w:color w:val="auto"/>
          <w:sz w:val="24"/>
          <w:highlight w:val="none"/>
        </w:rPr>
        <w:t>日期：   年   月   日</w:t>
      </w:r>
    </w:p>
    <w:p w14:paraId="617C4F2A">
      <w:pPr>
        <w:rPr>
          <w:rFonts w:ascii="宋体" w:hAnsi="宋体" w:cs="宋体"/>
          <w:b/>
          <w:bCs/>
          <w:color w:val="auto"/>
          <w:sz w:val="24"/>
          <w:highlight w:val="none"/>
        </w:rPr>
      </w:pPr>
      <w:r>
        <w:rPr>
          <w:rFonts w:hint="eastAsia" w:ascii="宋体" w:hAnsi="宋体" w:cs="宋体"/>
          <w:b/>
          <w:bCs/>
          <w:color w:val="auto"/>
          <w:sz w:val="24"/>
          <w:highlight w:val="none"/>
        </w:rPr>
        <w:br w:type="page"/>
      </w:r>
    </w:p>
    <w:p w14:paraId="50664837">
      <w:pPr>
        <w:spacing w:line="300" w:lineRule="auto"/>
        <w:rPr>
          <w:rFonts w:ascii="宋体" w:hAnsi="宋体" w:cs="宋体"/>
          <w:color w:val="auto"/>
          <w:szCs w:val="21"/>
          <w:highlight w:val="none"/>
        </w:rPr>
      </w:pPr>
      <w:r>
        <w:rPr>
          <w:rFonts w:hint="eastAsia" w:ascii="宋体" w:hAnsi="宋体" w:cs="宋体"/>
          <w:b/>
          <w:bCs/>
          <w:color w:val="auto"/>
          <w:sz w:val="24"/>
          <w:highlight w:val="none"/>
        </w:rPr>
        <w:t>其他文书、文件格式</w:t>
      </w:r>
    </w:p>
    <w:p w14:paraId="206C0B1C">
      <w:pPr>
        <w:adjustRightInd w:val="0"/>
        <w:snapToGrid w:val="0"/>
        <w:spacing w:line="300" w:lineRule="auto"/>
        <w:jc w:val="center"/>
        <w:rPr>
          <w:rFonts w:ascii="宋体" w:hAnsi="宋体" w:cs="宋体"/>
          <w:bCs/>
          <w:color w:val="auto"/>
          <w:sz w:val="44"/>
          <w:szCs w:val="44"/>
          <w:highlight w:val="none"/>
        </w:rPr>
      </w:pPr>
      <w:bookmarkStart w:id="105" w:name="_Toc71366061"/>
      <w:bookmarkStart w:id="106" w:name="_Toc71365383"/>
      <w:r>
        <w:rPr>
          <w:rFonts w:hint="eastAsia" w:ascii="宋体" w:hAnsi="宋体" w:cs="宋体"/>
          <w:bCs/>
          <w:color w:val="auto"/>
          <w:sz w:val="44"/>
          <w:szCs w:val="44"/>
          <w:highlight w:val="none"/>
        </w:rPr>
        <w:t>中小企业声明函（货物）</w:t>
      </w:r>
      <w:bookmarkEnd w:id="105"/>
      <w:bookmarkEnd w:id="106"/>
    </w:p>
    <w:p w14:paraId="168C2E37">
      <w:pPr>
        <w:rPr>
          <w:rFonts w:ascii="宋体" w:hAnsi="宋体" w:cs="宋体"/>
          <w:color w:val="auto"/>
          <w:highlight w:val="none"/>
        </w:rPr>
      </w:pPr>
    </w:p>
    <w:p w14:paraId="2999ADD9">
      <w:pPr>
        <w:pStyle w:val="12"/>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采购活动，提供的货物全部由符合政策要求的中小企业制造。相关企业（含联合体中的中小企业、签订分包意向协议的中小企业）的具体情况如下：</w:t>
      </w:r>
    </w:p>
    <w:p w14:paraId="66CB4520">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57D9C1FC">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行业；制造商为</w:t>
      </w:r>
      <w:r>
        <w:rPr>
          <w:rFonts w:hint="eastAsia" w:ascii="宋体" w:hAnsi="宋体" w:cs="宋体"/>
          <w:color w:val="auto"/>
          <w:sz w:val="24"/>
          <w:highlight w:val="none"/>
          <w:u w:val="single"/>
        </w:rPr>
        <w:t>（企业名称）</w:t>
      </w:r>
      <w:r>
        <w:rPr>
          <w:rFonts w:hint="eastAsia" w:ascii="宋体" w:hAnsi="宋体" w:cs="宋体"/>
          <w:color w:val="auto"/>
          <w:sz w:val="24"/>
          <w:highlight w:val="none"/>
        </w:rPr>
        <w:t>，从业人员人，营业收入为万元，资产总额为万元，属于</w:t>
      </w:r>
      <w:r>
        <w:rPr>
          <w:rFonts w:hint="eastAsia" w:ascii="宋体" w:hAnsi="宋体" w:cs="宋体"/>
          <w:color w:val="auto"/>
          <w:sz w:val="24"/>
          <w:highlight w:val="none"/>
          <w:u w:val="single"/>
        </w:rPr>
        <w:t>（中型企业、小型企业、微型企业）</w:t>
      </w:r>
      <w:r>
        <w:rPr>
          <w:rFonts w:hint="eastAsia" w:ascii="宋体" w:hAnsi="宋体" w:cs="宋体"/>
          <w:color w:val="auto"/>
          <w:sz w:val="24"/>
          <w:highlight w:val="none"/>
        </w:rPr>
        <w:t>；</w:t>
      </w:r>
    </w:p>
    <w:p w14:paraId="665818F2">
      <w:pPr>
        <w:pStyle w:val="12"/>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7B186FBF">
      <w:pPr>
        <w:pStyle w:val="12"/>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0C962808">
      <w:pPr>
        <w:pStyle w:val="12"/>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7753EC6B">
      <w:pPr>
        <w:pStyle w:val="12"/>
        <w:spacing w:after="0" w:line="360" w:lineRule="auto"/>
        <w:ind w:left="3960" w:right="1808"/>
        <w:contextualSpacing/>
        <w:rPr>
          <w:rFonts w:ascii="宋体" w:hAnsi="宋体" w:cs="宋体"/>
          <w:color w:val="auto"/>
          <w:sz w:val="24"/>
          <w:highlight w:val="none"/>
        </w:rPr>
      </w:pPr>
    </w:p>
    <w:p w14:paraId="56C5E4C4">
      <w:pPr>
        <w:pStyle w:val="12"/>
        <w:spacing w:after="0" w:line="360" w:lineRule="auto"/>
        <w:ind w:left="3960" w:right="1808"/>
        <w:contextualSpacing/>
        <w:rPr>
          <w:rFonts w:ascii="宋体" w:hAnsi="宋体" w:cs="宋体"/>
          <w:color w:val="auto"/>
          <w:sz w:val="24"/>
          <w:highlight w:val="none"/>
        </w:rPr>
      </w:pPr>
      <w:r>
        <w:rPr>
          <w:rFonts w:hint="eastAsia" w:ascii="宋体" w:hAnsi="宋体" w:cs="宋体"/>
          <w:color w:val="auto"/>
          <w:sz w:val="24"/>
          <w:highlight w:val="none"/>
        </w:rPr>
        <w:t xml:space="preserve">企业名称（章）： </w:t>
      </w:r>
    </w:p>
    <w:p w14:paraId="0F6357BC">
      <w:pPr>
        <w:pStyle w:val="12"/>
        <w:spacing w:after="0" w:line="360" w:lineRule="auto"/>
        <w:ind w:left="3960" w:right="1808"/>
        <w:contextualSpacing/>
        <w:rPr>
          <w:rFonts w:ascii="宋体" w:hAnsi="宋体" w:cs="宋体"/>
          <w:color w:val="auto"/>
          <w:sz w:val="24"/>
          <w:highlight w:val="none"/>
        </w:rPr>
      </w:pPr>
      <w:r>
        <w:rPr>
          <w:rFonts w:hint="eastAsia" w:ascii="宋体" w:hAnsi="宋体" w:cs="宋体"/>
          <w:color w:val="auto"/>
          <w:sz w:val="24"/>
          <w:highlight w:val="none"/>
        </w:rPr>
        <w:t>日期：</w:t>
      </w:r>
    </w:p>
    <w:p w14:paraId="1794D3F3">
      <w:pPr>
        <w:pStyle w:val="12"/>
        <w:spacing w:after="0" w:line="360" w:lineRule="auto"/>
        <w:ind w:left="3960" w:right="1808"/>
        <w:contextualSpacing/>
        <w:rPr>
          <w:rFonts w:ascii="宋体" w:hAnsi="宋体" w:cs="宋体"/>
          <w:color w:val="auto"/>
          <w:highlight w:val="none"/>
        </w:rPr>
      </w:pPr>
    </w:p>
    <w:p w14:paraId="1F36C8A3">
      <w:pPr>
        <w:spacing w:line="360" w:lineRule="auto"/>
        <w:contextualSpacing/>
        <w:jc w:val="left"/>
        <w:rPr>
          <w:rFonts w:ascii="宋体" w:hAnsi="宋体" w:cs="宋体"/>
          <w:color w:val="auto"/>
          <w:sz w:val="24"/>
          <w:highlight w:val="none"/>
        </w:rPr>
      </w:pPr>
      <w:r>
        <w:rPr>
          <w:rFonts w:hint="eastAsia" w:ascii="宋体" w:hAnsi="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724DB6B4">
      <w:pPr>
        <w:spacing w:line="360" w:lineRule="auto"/>
        <w:contextualSpacing/>
        <w:jc w:val="center"/>
        <w:rPr>
          <w:rFonts w:ascii="宋体" w:hAnsi="宋体" w:cs="宋体"/>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残疾人福利性单位声明函</w:t>
      </w:r>
    </w:p>
    <w:p w14:paraId="0CD473E1">
      <w:pPr>
        <w:spacing w:line="520" w:lineRule="exact"/>
        <w:rPr>
          <w:rFonts w:ascii="宋体" w:hAnsi="宋体" w:cs="宋体"/>
          <w:color w:val="auto"/>
          <w:sz w:val="32"/>
          <w:szCs w:val="32"/>
          <w:highlight w:val="none"/>
        </w:rPr>
      </w:pPr>
    </w:p>
    <w:p w14:paraId="51F6BE8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民政部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A91B4EC">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3E3D309D">
      <w:pPr>
        <w:spacing w:line="360" w:lineRule="auto"/>
        <w:contextualSpacing/>
        <w:rPr>
          <w:rFonts w:ascii="宋体" w:hAnsi="宋体" w:cs="宋体"/>
          <w:color w:val="auto"/>
          <w:sz w:val="24"/>
          <w:highlight w:val="none"/>
        </w:rPr>
      </w:pPr>
    </w:p>
    <w:p w14:paraId="476BA1A6">
      <w:pPr>
        <w:spacing w:line="360" w:lineRule="auto"/>
        <w:contextualSpacing/>
        <w:rPr>
          <w:rFonts w:ascii="宋体" w:hAnsi="宋体" w:cs="宋体"/>
          <w:color w:val="auto"/>
          <w:sz w:val="24"/>
          <w:highlight w:val="none"/>
        </w:rPr>
      </w:pPr>
    </w:p>
    <w:p w14:paraId="0F0796E7">
      <w:pPr>
        <w:spacing w:line="360" w:lineRule="auto"/>
        <w:contextualSpacing/>
        <w:rPr>
          <w:rFonts w:ascii="宋体" w:hAnsi="宋体" w:cs="宋体"/>
          <w:color w:val="auto"/>
          <w:sz w:val="24"/>
          <w:highlight w:val="none"/>
        </w:rPr>
      </w:pPr>
    </w:p>
    <w:p w14:paraId="4A8E65C5">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单位名称（盖章）：</w:t>
      </w:r>
    </w:p>
    <w:p w14:paraId="5B964662">
      <w:pPr>
        <w:spacing w:line="360" w:lineRule="auto"/>
        <w:ind w:firstLine="3600" w:firstLineChars="1500"/>
        <w:contextualSpacing/>
        <w:rPr>
          <w:rFonts w:ascii="宋体" w:hAnsi="宋体" w:cs="宋体"/>
          <w:color w:val="auto"/>
          <w:sz w:val="24"/>
          <w:highlight w:val="none"/>
        </w:rPr>
      </w:pPr>
      <w:r>
        <w:rPr>
          <w:rFonts w:hint="eastAsia" w:ascii="宋体" w:hAnsi="宋体" w:cs="宋体"/>
          <w:color w:val="auto"/>
          <w:sz w:val="24"/>
          <w:highlight w:val="none"/>
        </w:rPr>
        <w:t>日期：</w:t>
      </w:r>
    </w:p>
    <w:p w14:paraId="32BD6471">
      <w:pPr>
        <w:spacing w:line="360" w:lineRule="auto"/>
        <w:contextualSpacing/>
        <w:rPr>
          <w:rFonts w:ascii="宋体" w:hAnsi="宋体" w:cs="宋体"/>
          <w:color w:val="auto"/>
          <w:sz w:val="24"/>
          <w:highlight w:val="none"/>
        </w:rPr>
      </w:pPr>
    </w:p>
    <w:p w14:paraId="41676088">
      <w:pPr>
        <w:spacing w:line="360" w:lineRule="auto"/>
        <w:contextualSpacing/>
        <w:rPr>
          <w:rFonts w:ascii="宋体" w:hAnsi="宋体" w:cs="宋体"/>
          <w:color w:val="auto"/>
          <w:sz w:val="24"/>
          <w:highlight w:val="none"/>
        </w:rPr>
      </w:pPr>
    </w:p>
    <w:p w14:paraId="6AD97C78">
      <w:pPr>
        <w:spacing w:line="360" w:lineRule="auto"/>
        <w:contextualSpacing/>
        <w:rPr>
          <w:rFonts w:ascii="宋体" w:hAnsi="宋体" w:cs="宋体"/>
          <w:color w:val="auto"/>
          <w:sz w:val="24"/>
          <w:highlight w:val="none"/>
        </w:rPr>
      </w:pPr>
    </w:p>
    <w:p w14:paraId="23D746BA">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72F9907D">
      <w:pPr>
        <w:spacing w:line="360" w:lineRule="auto"/>
        <w:jc w:val="center"/>
        <w:rPr>
          <w:rFonts w:hint="eastAsia" w:ascii="宋体" w:hAnsi="宋体" w:cs="宋体"/>
          <w:color w:val="auto"/>
          <w:sz w:val="24"/>
          <w:highlight w:val="none"/>
        </w:rPr>
      </w:pPr>
    </w:p>
    <w:p w14:paraId="360DDB89">
      <w:pPr>
        <w:spacing w:line="360" w:lineRule="auto"/>
        <w:jc w:val="center"/>
        <w:rPr>
          <w:rFonts w:hint="eastAsia" w:ascii="宋体" w:hAnsi="宋体" w:cs="宋体"/>
          <w:color w:val="auto"/>
          <w:sz w:val="24"/>
          <w:highlight w:val="none"/>
        </w:rPr>
      </w:pPr>
    </w:p>
    <w:p w14:paraId="192C67A0">
      <w:pPr>
        <w:spacing w:line="360" w:lineRule="auto"/>
        <w:jc w:val="center"/>
        <w:rPr>
          <w:rFonts w:hint="eastAsia" w:ascii="宋体" w:hAnsi="宋体" w:cs="宋体"/>
          <w:color w:val="auto"/>
          <w:sz w:val="24"/>
          <w:highlight w:val="none"/>
        </w:rPr>
      </w:pPr>
    </w:p>
    <w:p w14:paraId="21EA208C">
      <w:pPr>
        <w:spacing w:line="360" w:lineRule="auto"/>
        <w:jc w:val="center"/>
        <w:rPr>
          <w:rFonts w:hint="eastAsia" w:ascii="宋体" w:hAnsi="宋体" w:cs="宋体"/>
          <w:color w:val="auto"/>
          <w:sz w:val="24"/>
          <w:highlight w:val="none"/>
        </w:rPr>
      </w:pPr>
    </w:p>
    <w:p w14:paraId="7A872725">
      <w:pPr>
        <w:spacing w:line="360" w:lineRule="auto"/>
        <w:jc w:val="center"/>
        <w:rPr>
          <w:rFonts w:hint="eastAsia" w:ascii="宋体" w:hAnsi="宋体" w:cs="宋体"/>
          <w:color w:val="auto"/>
          <w:sz w:val="24"/>
          <w:highlight w:val="none"/>
        </w:rPr>
      </w:pPr>
    </w:p>
    <w:p w14:paraId="022A3ADC">
      <w:pPr>
        <w:spacing w:line="360" w:lineRule="auto"/>
        <w:jc w:val="center"/>
        <w:rPr>
          <w:rFonts w:hint="eastAsia" w:ascii="宋体" w:hAnsi="宋体" w:cs="宋体"/>
          <w:color w:val="auto"/>
          <w:sz w:val="24"/>
          <w:highlight w:val="none"/>
        </w:rPr>
      </w:pPr>
    </w:p>
    <w:p w14:paraId="499D8C3D">
      <w:pPr>
        <w:spacing w:line="360" w:lineRule="auto"/>
        <w:jc w:val="center"/>
        <w:rPr>
          <w:rFonts w:hint="eastAsia" w:ascii="宋体" w:hAnsi="宋体" w:cs="宋体"/>
          <w:color w:val="auto"/>
          <w:sz w:val="24"/>
          <w:highlight w:val="none"/>
        </w:rPr>
      </w:pPr>
    </w:p>
    <w:p w14:paraId="21B0B385">
      <w:pPr>
        <w:spacing w:line="360" w:lineRule="auto"/>
        <w:jc w:val="center"/>
        <w:rPr>
          <w:rFonts w:hint="eastAsia" w:ascii="宋体" w:hAnsi="宋体" w:cs="宋体"/>
          <w:color w:val="auto"/>
          <w:sz w:val="24"/>
          <w:highlight w:val="none"/>
        </w:rPr>
      </w:pPr>
    </w:p>
    <w:p w14:paraId="5AC6D4B1">
      <w:pPr>
        <w:spacing w:line="360" w:lineRule="auto"/>
        <w:jc w:val="center"/>
        <w:rPr>
          <w:rFonts w:hint="eastAsia" w:ascii="宋体" w:hAnsi="宋体" w:cs="宋体"/>
          <w:color w:val="auto"/>
          <w:sz w:val="24"/>
          <w:highlight w:val="none"/>
        </w:rPr>
      </w:pPr>
    </w:p>
    <w:p w14:paraId="595874BD">
      <w:pPr>
        <w:spacing w:line="360" w:lineRule="auto"/>
        <w:jc w:val="center"/>
        <w:rPr>
          <w:rFonts w:hint="eastAsia" w:ascii="宋体" w:hAnsi="宋体" w:cs="宋体"/>
          <w:color w:val="auto"/>
          <w:sz w:val="24"/>
          <w:highlight w:val="none"/>
        </w:rPr>
      </w:pPr>
    </w:p>
    <w:p w14:paraId="17353B73">
      <w:pPr>
        <w:spacing w:line="360" w:lineRule="auto"/>
        <w:jc w:val="center"/>
        <w:rPr>
          <w:rFonts w:hint="eastAsia" w:ascii="宋体" w:hAnsi="宋体" w:cs="宋体"/>
          <w:color w:val="auto"/>
          <w:sz w:val="24"/>
          <w:highlight w:val="none"/>
        </w:rPr>
      </w:pPr>
    </w:p>
    <w:p w14:paraId="3CCB33A8">
      <w:pPr>
        <w:pStyle w:val="12"/>
        <w:rPr>
          <w:rFonts w:ascii="宋体" w:hAnsi="宋体"/>
          <w:b/>
          <w:color w:val="auto"/>
          <w:highlight w:val="none"/>
        </w:rPr>
      </w:pPr>
      <w:r>
        <w:rPr>
          <w:rFonts w:hint="eastAsia" w:ascii="宋体" w:hAnsi="宋体"/>
          <w:b/>
          <w:color w:val="auto"/>
          <w:highlight w:val="none"/>
        </w:rPr>
        <w:t>关于符合本国产品标准的声明函格式</w:t>
      </w:r>
    </w:p>
    <w:p w14:paraId="2C6CBE54">
      <w:pPr>
        <w:pStyle w:val="12"/>
        <w:rPr>
          <w:color w:val="auto"/>
          <w:highlight w:val="none"/>
        </w:rPr>
      </w:pPr>
    </w:p>
    <w:p w14:paraId="22CFB0DC">
      <w:pPr>
        <w:widowControl/>
        <w:shd w:val="clear" w:color="auto" w:fill="FFFFFF"/>
        <w:jc w:val="center"/>
        <w:rPr>
          <w:rFonts w:ascii="宋体" w:hAnsi="宋体" w:cs="宋体"/>
          <w:color w:val="auto"/>
          <w:kern w:val="0"/>
          <w:sz w:val="36"/>
          <w:szCs w:val="36"/>
          <w:highlight w:val="none"/>
        </w:rPr>
      </w:pPr>
      <w:r>
        <w:rPr>
          <w:rFonts w:hint="eastAsia" w:ascii="宋体" w:hAnsi="宋体" w:cs="宋体"/>
          <w:b/>
          <w:bCs/>
          <w:color w:val="auto"/>
          <w:kern w:val="0"/>
          <w:sz w:val="36"/>
          <w:szCs w:val="36"/>
          <w:highlight w:val="none"/>
        </w:rPr>
        <w:t>关于符合本国产品标准的声明函</w:t>
      </w:r>
    </w:p>
    <w:p w14:paraId="4A597EF8">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54529BF2">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本公司（单位）郑重声明，根据《国务院办公厅关于在政府采购中实施本国产品标准及相关政策的通知》（国办发〔2025〕34号）的规定，本公司（单位）提供的以下产品属于本国产品。具体情况如下：</w:t>
      </w:r>
    </w:p>
    <w:p w14:paraId="7931A90C">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1.（产品名称1）</w:t>
      </w:r>
      <w:r>
        <w:rPr>
          <w:rFonts w:hint="eastAsia" w:ascii="宋体" w:hAnsi="宋体" w:cs="宋体"/>
          <w:color w:val="auto"/>
          <w:kern w:val="0"/>
          <w:sz w:val="18"/>
          <w:szCs w:val="18"/>
          <w:highlight w:val="none"/>
          <w:vertAlign w:val="superscript"/>
        </w:rPr>
        <w:t>1</w:t>
      </w:r>
      <w:r>
        <w:rPr>
          <w:rFonts w:hint="eastAsia" w:ascii="宋体" w:hAnsi="宋体" w:cs="宋体"/>
          <w:color w:val="auto"/>
          <w:kern w:val="0"/>
          <w:sz w:val="24"/>
          <w:highlight w:val="none"/>
        </w:rPr>
        <w:t>，生产厂为（厂名）</w:t>
      </w:r>
      <w:r>
        <w:rPr>
          <w:rFonts w:hint="eastAsia" w:ascii="宋体" w:hAnsi="宋体" w:cs="宋体"/>
          <w:color w:val="auto"/>
          <w:kern w:val="0"/>
          <w:sz w:val="18"/>
          <w:szCs w:val="18"/>
          <w:highlight w:val="none"/>
          <w:vertAlign w:val="superscript"/>
        </w:rPr>
        <w:t>2</w:t>
      </w:r>
      <w:r>
        <w:rPr>
          <w:rFonts w:hint="eastAsia" w:ascii="宋体" w:hAnsi="宋体" w:cs="宋体"/>
          <w:color w:val="auto"/>
          <w:kern w:val="0"/>
          <w:sz w:val="24"/>
          <w:highlight w:val="none"/>
        </w:rPr>
        <w:t>，厂址为（生产厂址）。（产品名称1）的中国境内生产的组件成本占比≥（规定比例）</w:t>
      </w:r>
      <w:r>
        <w:rPr>
          <w:rFonts w:hint="eastAsia" w:ascii="宋体" w:hAnsi="宋体" w:cs="宋体"/>
          <w:color w:val="auto"/>
          <w:kern w:val="0"/>
          <w:sz w:val="18"/>
          <w:szCs w:val="18"/>
          <w:highlight w:val="none"/>
          <w:vertAlign w:val="superscript"/>
        </w:rPr>
        <w:t>3</w:t>
      </w:r>
      <w:r>
        <w:rPr>
          <w:rFonts w:hint="eastAsia" w:ascii="宋体" w:hAnsi="宋体" w:cs="宋体"/>
          <w:color w:val="auto"/>
          <w:kern w:val="0"/>
          <w:sz w:val="24"/>
          <w:highlight w:val="none"/>
        </w:rPr>
        <w:t>。（产品名称1）的（关键组件）</w:t>
      </w:r>
      <w:r>
        <w:rPr>
          <w:rFonts w:hint="eastAsia" w:ascii="宋体" w:hAnsi="宋体" w:cs="宋体"/>
          <w:color w:val="auto"/>
          <w:kern w:val="0"/>
          <w:sz w:val="18"/>
          <w:szCs w:val="18"/>
          <w:highlight w:val="none"/>
          <w:vertAlign w:val="superscript"/>
        </w:rPr>
        <w:t>4</w:t>
      </w:r>
      <w:r>
        <w:rPr>
          <w:rFonts w:hint="eastAsia" w:ascii="宋体" w:hAnsi="宋体" w:cs="宋体"/>
          <w:color w:val="auto"/>
          <w:kern w:val="0"/>
          <w:sz w:val="24"/>
          <w:highlight w:val="none"/>
        </w:rPr>
        <w:t>在中国境内生产。（产品名称1）的（关键工序）</w:t>
      </w:r>
      <w:r>
        <w:rPr>
          <w:rFonts w:hint="eastAsia" w:ascii="宋体" w:hAnsi="宋体" w:cs="宋体"/>
          <w:color w:val="auto"/>
          <w:kern w:val="0"/>
          <w:sz w:val="18"/>
          <w:szCs w:val="18"/>
          <w:highlight w:val="none"/>
          <w:vertAlign w:val="superscript"/>
        </w:rPr>
        <w:t>5</w:t>
      </w:r>
      <w:r>
        <w:rPr>
          <w:rFonts w:hint="eastAsia" w:ascii="宋体" w:hAnsi="宋体" w:cs="宋体"/>
          <w:color w:val="auto"/>
          <w:kern w:val="0"/>
          <w:sz w:val="24"/>
          <w:highlight w:val="none"/>
        </w:rPr>
        <w:t>在中国境内完成。</w:t>
      </w:r>
    </w:p>
    <w:p w14:paraId="1A0A945D">
      <w:pPr>
        <w:widowControl/>
        <w:shd w:val="clear" w:color="auto" w:fill="FFFFFF"/>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产品名称2），生产厂为（厂名），厂址为（生产厂址）。（产品名称2）的中国境内生产的组件成本占比≥（规定比例）。（产品名称2）的（关键组件）在中国境内生产。（产品名称2）的（关键工序）在中国境内完成。</w:t>
      </w:r>
    </w:p>
    <w:p w14:paraId="25BD2EC2">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35AD4B98">
      <w:pPr>
        <w:widowControl/>
        <w:shd w:val="clear" w:color="auto" w:fill="FFFFFF"/>
        <w:spacing w:before="30" w:after="30"/>
        <w:ind w:firstLine="48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本公司（单位）对上述声明内容的真实性负责。如有虚假，愿承担相应法律责任。</w:t>
      </w:r>
    </w:p>
    <w:p w14:paraId="2BA4CEA7">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14:paraId="35AC56B0">
      <w:pPr>
        <w:widowControl/>
        <w:shd w:val="clear" w:color="auto" w:fill="FFFFFF"/>
        <w:spacing w:before="30" w:after="3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公司（单位）名称（盖章）：　        </w:t>
      </w:r>
    </w:p>
    <w:p w14:paraId="24B093B5">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日期：　     年　  月　  日         </w:t>
      </w:r>
    </w:p>
    <w:p w14:paraId="0160929C">
      <w:pPr>
        <w:widowControl/>
        <w:shd w:val="clear" w:color="auto" w:fill="FFFFFF"/>
        <w:spacing w:before="30" w:after="30"/>
        <w:jc w:val="left"/>
        <w:rPr>
          <w:rFonts w:hint="eastAsia" w:ascii="宋体" w:hAnsi="宋体" w:cs="宋体"/>
          <w:color w:val="auto"/>
          <w:kern w:val="0"/>
          <w:sz w:val="24"/>
          <w:highlight w:val="none"/>
        </w:rPr>
      </w:pPr>
      <w:r>
        <w:rPr>
          <w:rFonts w:hint="eastAsia" w:ascii="宋体" w:hAnsi="宋体" w:cs="宋体"/>
          <w:color w:val="auto"/>
          <w:kern w:val="0"/>
          <w:sz w:val="24"/>
          <w:highlight w:val="none"/>
        </w:rPr>
        <w:t>__________________</w:t>
      </w:r>
    </w:p>
    <w:p w14:paraId="79614C5D">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1.产品如有型号，请在“产品名称”栏一并填写。</w:t>
      </w:r>
    </w:p>
    <w:p w14:paraId="445489C9">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2.生产厂名与厂址应与生产厂营业执照载明的相关信息保持一致。</w:t>
      </w:r>
    </w:p>
    <w:p w14:paraId="5BDC42C1">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3.该产品的中国境内生产的组件成本占比相关要求实施前，“规定比例”栏可不填，下同。</w:t>
      </w:r>
    </w:p>
    <w:p w14:paraId="0FFDE7D9">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4.该产品的关键组件要求实施前，“关键组件”栏可不填，下同。</w:t>
      </w:r>
    </w:p>
    <w:p w14:paraId="576048D8">
      <w:pPr>
        <w:widowControl/>
        <w:shd w:val="clear" w:color="auto" w:fill="FFFFFF"/>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5.该产品的关键工序要求实施前，“关键工序”栏可不填，下同。</w:t>
      </w:r>
    </w:p>
    <w:p w14:paraId="6A908AB0">
      <w:pPr>
        <w:spacing w:line="360" w:lineRule="auto"/>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color w:val="auto"/>
          <w:sz w:val="44"/>
          <w:szCs w:val="44"/>
          <w:highlight w:val="none"/>
        </w:rPr>
        <w:t>质疑函（格式）</w:t>
      </w:r>
    </w:p>
    <w:p w14:paraId="72576438">
      <w:pPr>
        <w:spacing w:line="360" w:lineRule="auto"/>
        <w:jc w:val="center"/>
        <w:rPr>
          <w:rFonts w:ascii="宋体" w:hAnsi="宋体" w:cs="宋体"/>
          <w:b/>
          <w:bCs/>
          <w:color w:val="auto"/>
          <w:sz w:val="32"/>
          <w:szCs w:val="32"/>
          <w:highlight w:val="none"/>
        </w:rPr>
      </w:pPr>
    </w:p>
    <w:p w14:paraId="4C846CE9">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27893906">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质疑供应商：</w:t>
      </w:r>
    </w:p>
    <w:p w14:paraId="6BA27526">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30C1A1E9">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联系人：联系电话：</w:t>
      </w:r>
    </w:p>
    <w:p w14:paraId="6A7D0C60">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授权代表：</w:t>
      </w:r>
    </w:p>
    <w:p w14:paraId="42D02DAD">
      <w:pPr>
        <w:pStyle w:val="17"/>
        <w:spacing w:line="360" w:lineRule="auto"/>
        <w:ind w:firstLine="480" w:firstLineChars="200"/>
        <w:contextualSpacing/>
        <w:rPr>
          <w:rFonts w:hAnsi="宋体" w:cs="宋体"/>
          <w:bCs/>
          <w:color w:val="auto"/>
          <w:sz w:val="24"/>
          <w:szCs w:val="24"/>
          <w:highlight w:val="none"/>
          <w:u w:val="single"/>
        </w:rPr>
      </w:pPr>
      <w:r>
        <w:rPr>
          <w:rFonts w:hint="eastAsia" w:hAnsi="宋体" w:cs="宋体"/>
          <w:bCs/>
          <w:color w:val="auto"/>
          <w:sz w:val="24"/>
          <w:szCs w:val="24"/>
          <w:highlight w:val="none"/>
        </w:rPr>
        <w:t>联系电话：</w:t>
      </w:r>
    </w:p>
    <w:p w14:paraId="4419EB42">
      <w:pPr>
        <w:pStyle w:val="17"/>
        <w:spacing w:line="360" w:lineRule="auto"/>
        <w:ind w:firstLine="480" w:firstLineChars="200"/>
        <w:contextualSpacing/>
        <w:rPr>
          <w:rFonts w:hAnsi="宋体" w:cs="宋体"/>
          <w:bCs/>
          <w:color w:val="auto"/>
          <w:sz w:val="24"/>
          <w:szCs w:val="24"/>
          <w:highlight w:val="none"/>
        </w:rPr>
      </w:pPr>
      <w:r>
        <w:rPr>
          <w:rFonts w:hint="eastAsia" w:hAnsi="宋体" w:cs="宋体"/>
          <w:bCs/>
          <w:color w:val="auto"/>
          <w:sz w:val="24"/>
          <w:szCs w:val="24"/>
          <w:highlight w:val="none"/>
        </w:rPr>
        <w:t>地址：邮编：</w:t>
      </w:r>
    </w:p>
    <w:p w14:paraId="6450AF8D">
      <w:pPr>
        <w:pStyle w:val="17"/>
        <w:spacing w:line="360" w:lineRule="auto"/>
        <w:ind w:firstLine="482" w:firstLineChars="200"/>
        <w:contextualSpacing/>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2218089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p>
    <w:p w14:paraId="793AA694">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p>
    <w:p w14:paraId="6D56F7F1">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p>
    <w:p w14:paraId="3088E9E9">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439CC3C2">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□采购文件获取日期：</w:t>
      </w:r>
    </w:p>
    <w:p w14:paraId="1139AF7F">
      <w:pPr>
        <w:pStyle w:val="17"/>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□采购过程</w:t>
      </w:r>
    </w:p>
    <w:p w14:paraId="2B989FE8">
      <w:pPr>
        <w:pStyle w:val="17"/>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□成交结果</w:t>
      </w:r>
    </w:p>
    <w:p w14:paraId="566C4DF7">
      <w:pPr>
        <w:pStyle w:val="17"/>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082409D2">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p>
    <w:p w14:paraId="731DFBD3">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p>
    <w:p w14:paraId="3D7DB12A">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p>
    <w:p w14:paraId="0F25C24E">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3351023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4F53FC5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10C26DEC">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p>
    <w:p w14:paraId="5828BD69">
      <w:pPr>
        <w:pStyle w:val="17"/>
        <w:spacing w:line="360" w:lineRule="auto"/>
        <w:ind w:left="25" w:leftChars="12" w:firstLine="352" w:firstLineChars="147"/>
        <w:contextualSpacing/>
        <w:rPr>
          <w:rFonts w:hAnsi="宋体" w:cs="宋体"/>
          <w:color w:val="auto"/>
          <w:sz w:val="24"/>
          <w:szCs w:val="24"/>
          <w:highlight w:val="none"/>
        </w:rPr>
      </w:pPr>
    </w:p>
    <w:p w14:paraId="341F7094">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签字（签章）：公章：</w:t>
      </w:r>
    </w:p>
    <w:p w14:paraId="09803722">
      <w:pPr>
        <w:pStyle w:val="17"/>
        <w:spacing w:line="360" w:lineRule="auto"/>
        <w:ind w:left="25" w:leftChars="12" w:firstLine="352" w:firstLineChars="147"/>
        <w:contextualSpacing/>
        <w:rPr>
          <w:rFonts w:hAnsi="宋体" w:cs="宋体"/>
          <w:color w:val="auto"/>
          <w:sz w:val="24"/>
          <w:szCs w:val="24"/>
          <w:highlight w:val="none"/>
        </w:rPr>
      </w:pPr>
    </w:p>
    <w:p w14:paraId="1834A047">
      <w:pPr>
        <w:pStyle w:val="17"/>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74DDB4FB">
      <w:pPr>
        <w:pStyle w:val="17"/>
        <w:spacing w:line="360" w:lineRule="auto"/>
        <w:contextualSpacing/>
        <w:rPr>
          <w:rFonts w:hAnsi="宋体" w:cs="宋体"/>
          <w:b/>
          <w:color w:val="auto"/>
          <w:sz w:val="24"/>
          <w:szCs w:val="24"/>
          <w:highlight w:val="none"/>
        </w:rPr>
      </w:pPr>
    </w:p>
    <w:p w14:paraId="23652E00">
      <w:pPr>
        <w:pStyle w:val="17"/>
        <w:spacing w:line="360" w:lineRule="auto"/>
        <w:contextualSpacing/>
        <w:rPr>
          <w:rFonts w:hAnsi="宋体" w:cs="宋体"/>
          <w:b/>
          <w:color w:val="auto"/>
          <w:sz w:val="24"/>
          <w:szCs w:val="24"/>
          <w:highlight w:val="none"/>
        </w:rPr>
      </w:pPr>
      <w:r>
        <w:rPr>
          <w:rFonts w:hint="eastAsia" w:hAnsi="宋体" w:cs="宋体"/>
          <w:b/>
          <w:color w:val="auto"/>
          <w:sz w:val="24"/>
          <w:szCs w:val="24"/>
          <w:highlight w:val="none"/>
        </w:rPr>
        <w:t>说明：</w:t>
      </w:r>
    </w:p>
    <w:p w14:paraId="632D271D">
      <w:pPr>
        <w:pStyle w:val="17"/>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149EDADA">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BD57D17">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30A03071">
      <w:pPr>
        <w:pStyle w:val="17"/>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47E95198">
      <w:pPr>
        <w:pStyle w:val="17"/>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0A6B825E">
      <w:pPr>
        <w:pStyle w:val="17"/>
        <w:snapToGrid w:val="0"/>
        <w:rPr>
          <w:rFonts w:hAnsi="宋体" w:cs="宋体"/>
          <w:b/>
          <w:color w:val="auto"/>
          <w:sz w:val="24"/>
          <w:szCs w:val="24"/>
          <w:highlight w:val="none"/>
        </w:rPr>
      </w:pPr>
    </w:p>
    <w:p w14:paraId="0B1C79C3">
      <w:pPr>
        <w:rPr>
          <w:rFonts w:ascii="宋体" w:hAnsi="宋体" w:cs="宋体"/>
          <w:color w:val="auto"/>
          <w:highlight w:val="none"/>
        </w:rPr>
      </w:pPr>
      <w:r>
        <w:rPr>
          <w:rFonts w:hint="eastAsia" w:ascii="宋体" w:hAnsi="宋体" w:cs="宋体"/>
          <w:color w:val="auto"/>
          <w:highlight w:val="none"/>
        </w:rPr>
        <w:br w:type="page"/>
      </w:r>
    </w:p>
    <w:p w14:paraId="72F3DC22">
      <w:pPr>
        <w:spacing w:line="36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投诉书（格式）</w:t>
      </w:r>
    </w:p>
    <w:p w14:paraId="17650413">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7D6D4609">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p>
    <w:p w14:paraId="19488EB4">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地址：邮编：</w:t>
      </w:r>
    </w:p>
    <w:p w14:paraId="2C900749">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p>
    <w:p w14:paraId="416A85BC">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p>
    <w:p w14:paraId="1086DEE0">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授权代表：联系电话：</w:t>
      </w:r>
    </w:p>
    <w:p w14:paraId="3034B612">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64C419F7">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64673FE1">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4F4D5FCD">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p>
    <w:p w14:paraId="35599C3D">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p>
    <w:p w14:paraId="4FFFA85A">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联系人：联系电话：</w:t>
      </w:r>
    </w:p>
    <w:p w14:paraId="11DEC5D2">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0E81D81A">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15C4A787">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p>
    <w:p w14:paraId="0B2DC484">
      <w:pPr>
        <w:pStyle w:val="17"/>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地址：邮编：</w:t>
      </w:r>
    </w:p>
    <w:p w14:paraId="72C2192F">
      <w:pPr>
        <w:pStyle w:val="17"/>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联系人：联系电话：</w:t>
      </w:r>
    </w:p>
    <w:p w14:paraId="1AE7F843">
      <w:pPr>
        <w:pStyle w:val="17"/>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4A2231D0">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p>
    <w:p w14:paraId="68701B0D">
      <w:pPr>
        <w:pStyle w:val="17"/>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p>
    <w:p w14:paraId="27F804CD">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p>
    <w:p w14:paraId="26027B56">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p>
    <w:p w14:paraId="41945120">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采购文件公告：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6278C28F">
      <w:pPr>
        <w:pStyle w:val="17"/>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p>
    <w:p w14:paraId="5B1D44AC">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11492411">
      <w:pPr>
        <w:pStyle w:val="17"/>
        <w:spacing w:line="360" w:lineRule="auto"/>
        <w:ind w:left="23" w:leftChars="11" w:firstLine="540" w:firstLineChars="225"/>
        <w:rPr>
          <w:rFonts w:hAnsi="宋体" w:cs="宋体"/>
          <w:color w:val="auto"/>
          <w:sz w:val="24"/>
          <w:szCs w:val="24"/>
          <w:highlight w:val="none"/>
        </w:rPr>
      </w:pPr>
      <w:r>
        <w:rPr>
          <w:rFonts w:hint="eastAsia" w:hAnsi="宋体" w:cs="宋体"/>
          <w:color w:val="auto"/>
          <w:sz w:val="24"/>
          <w:szCs w:val="24"/>
          <w:highlight w:val="none"/>
        </w:rPr>
        <w:t>投诉人于年月日，向提出质疑，质疑事项为：</w:t>
      </w:r>
    </w:p>
    <w:p w14:paraId="6BDEE03F">
      <w:pPr>
        <w:pStyle w:val="17"/>
        <w:spacing w:line="360" w:lineRule="auto"/>
        <w:ind w:left="23" w:leftChars="11" w:firstLine="540" w:firstLineChars="225"/>
        <w:rPr>
          <w:rFonts w:hAnsi="宋体" w:cs="宋体"/>
          <w:bCs/>
          <w:color w:val="auto"/>
          <w:sz w:val="24"/>
          <w:szCs w:val="24"/>
          <w:highlight w:val="none"/>
          <w:u w:val="single"/>
        </w:rPr>
      </w:pPr>
    </w:p>
    <w:p w14:paraId="2853897C">
      <w:pPr>
        <w:pStyle w:val="17"/>
        <w:spacing w:line="360" w:lineRule="auto"/>
        <w:ind w:left="23" w:leftChars="11" w:firstLine="540" w:firstLineChars="225"/>
        <w:rPr>
          <w:rFonts w:hAnsi="宋体" w:cs="宋体"/>
          <w:bCs/>
          <w:color w:val="auto"/>
          <w:sz w:val="24"/>
          <w:szCs w:val="24"/>
          <w:highlight w:val="none"/>
          <w:u w:val="single"/>
        </w:rPr>
      </w:pPr>
    </w:p>
    <w:p w14:paraId="2ED4CBC7">
      <w:pPr>
        <w:pStyle w:val="17"/>
        <w:spacing w:line="360" w:lineRule="auto"/>
        <w:ind w:left="23" w:leftChars="11" w:firstLine="540" w:firstLineChars="225"/>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rPr>
        <w:t>年月日，</w:t>
      </w:r>
      <w:r>
        <w:rPr>
          <w:rFonts w:hint="eastAsia" w:hAnsi="宋体" w:cs="宋体"/>
          <w:bCs/>
          <w:color w:val="auto"/>
          <w:sz w:val="24"/>
          <w:szCs w:val="24"/>
          <w:highlight w:val="none"/>
        </w:rPr>
        <w:t>就质疑事项作出了答复/没有在法定期限内作出答复。</w:t>
      </w:r>
    </w:p>
    <w:p w14:paraId="726BFED2">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229F0167">
      <w:pPr>
        <w:pStyle w:val="17"/>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p>
    <w:p w14:paraId="6DEE10C8">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p>
    <w:p w14:paraId="64BCD5A7">
      <w:pPr>
        <w:pStyle w:val="17"/>
        <w:spacing w:line="360" w:lineRule="auto"/>
        <w:ind w:left="25" w:leftChars="12" w:firstLine="472" w:firstLineChars="197"/>
        <w:rPr>
          <w:rFonts w:hAnsi="宋体" w:cs="宋体"/>
          <w:color w:val="auto"/>
          <w:sz w:val="24"/>
          <w:szCs w:val="24"/>
          <w:highlight w:val="none"/>
        </w:rPr>
      </w:pPr>
    </w:p>
    <w:p w14:paraId="47CB67DE">
      <w:pPr>
        <w:pStyle w:val="17"/>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p>
    <w:p w14:paraId="5E6B0016">
      <w:pPr>
        <w:pStyle w:val="17"/>
        <w:spacing w:line="360" w:lineRule="auto"/>
        <w:ind w:left="25" w:leftChars="12" w:firstLine="352" w:firstLineChars="147"/>
        <w:rPr>
          <w:rFonts w:hAnsi="宋体" w:cs="宋体"/>
          <w:bCs/>
          <w:color w:val="auto"/>
          <w:sz w:val="24"/>
          <w:szCs w:val="24"/>
          <w:highlight w:val="none"/>
          <w:u w:val="single"/>
        </w:rPr>
      </w:pPr>
    </w:p>
    <w:p w14:paraId="2D04A972">
      <w:pPr>
        <w:pStyle w:val="17"/>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p>
    <w:p w14:paraId="403760AC">
      <w:pPr>
        <w:pStyle w:val="17"/>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552C58C0">
      <w:pPr>
        <w:pStyle w:val="17"/>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1123B9B">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p>
    <w:p w14:paraId="5DC961C8">
      <w:pPr>
        <w:pStyle w:val="17"/>
        <w:spacing w:line="360" w:lineRule="auto"/>
        <w:ind w:left="25" w:leftChars="12" w:firstLine="352" w:firstLineChars="147"/>
        <w:rPr>
          <w:rFonts w:hAnsi="宋体" w:cs="宋体"/>
          <w:color w:val="auto"/>
          <w:sz w:val="24"/>
          <w:szCs w:val="24"/>
          <w:highlight w:val="none"/>
        </w:rPr>
      </w:pPr>
    </w:p>
    <w:p w14:paraId="267009E3">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签字（签章）：公章：</w:t>
      </w:r>
    </w:p>
    <w:p w14:paraId="6C7B2421">
      <w:pPr>
        <w:pStyle w:val="17"/>
        <w:spacing w:line="360" w:lineRule="auto"/>
        <w:ind w:left="25" w:leftChars="12" w:firstLine="352" w:firstLineChars="147"/>
        <w:rPr>
          <w:rFonts w:hAnsi="宋体" w:cs="宋体"/>
          <w:color w:val="auto"/>
          <w:sz w:val="24"/>
          <w:szCs w:val="24"/>
          <w:highlight w:val="none"/>
        </w:rPr>
      </w:pPr>
    </w:p>
    <w:p w14:paraId="52FB4447">
      <w:pPr>
        <w:pStyle w:val="17"/>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FACA3F5">
      <w:pPr>
        <w:pStyle w:val="17"/>
        <w:spacing w:line="360" w:lineRule="auto"/>
        <w:ind w:left="25" w:leftChars="12" w:firstLine="472" w:firstLineChars="197"/>
        <w:rPr>
          <w:rFonts w:hAnsi="宋体" w:cs="宋体"/>
          <w:color w:val="auto"/>
          <w:sz w:val="24"/>
          <w:szCs w:val="24"/>
          <w:highlight w:val="none"/>
        </w:rPr>
      </w:pPr>
    </w:p>
    <w:p w14:paraId="3DD991E3">
      <w:pPr>
        <w:pStyle w:val="17"/>
        <w:snapToGrid w:val="0"/>
        <w:spacing w:line="360" w:lineRule="auto"/>
        <w:rPr>
          <w:rFonts w:hAnsi="宋体" w:cs="宋体"/>
          <w:b/>
          <w:color w:val="auto"/>
          <w:sz w:val="24"/>
          <w:szCs w:val="24"/>
          <w:highlight w:val="none"/>
        </w:rPr>
      </w:pPr>
    </w:p>
    <w:p w14:paraId="4043445D">
      <w:pPr>
        <w:pStyle w:val="17"/>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0F18D77F">
      <w:pPr>
        <w:pStyle w:val="17"/>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3C3B3873">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C9BAB9A">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3BDA00F5">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32EB927B">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4D488123">
      <w:pPr>
        <w:pStyle w:val="17"/>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64A00AA5">
      <w:pPr>
        <w:snapToGrid w:val="0"/>
        <w:spacing w:line="400" w:lineRule="exact"/>
        <w:jc w:val="center"/>
        <w:rPr>
          <w:rFonts w:ascii="宋体" w:hAnsi="宋体" w:cs="宋体"/>
          <w:color w:val="auto"/>
          <w:highlight w:val="none"/>
        </w:rPr>
      </w:pPr>
      <w:r>
        <w:rPr>
          <w:rFonts w:hint="eastAsia" w:ascii="宋体" w:hAnsi="宋体" w:cs="宋体"/>
          <w:color w:val="auto"/>
          <w:highlight w:val="none"/>
        </w:rPr>
        <w:br w:type="page"/>
      </w:r>
    </w:p>
    <w:p w14:paraId="538721A0">
      <w:pPr>
        <w:pStyle w:val="2"/>
        <w:jc w:val="center"/>
        <w:rPr>
          <w:rFonts w:ascii="宋体" w:hAnsi="宋体" w:cs="宋体"/>
          <w:color w:val="auto"/>
          <w:highlight w:val="none"/>
        </w:rPr>
      </w:pPr>
      <w:bookmarkStart w:id="107" w:name="_Toc17282"/>
      <w:bookmarkStart w:id="108" w:name="_Toc74322013"/>
      <w:bookmarkStart w:id="109" w:name="_Hlk55381736"/>
      <w:r>
        <w:rPr>
          <w:rFonts w:hint="eastAsia" w:ascii="宋体" w:hAnsi="宋体" w:cs="宋体"/>
          <w:color w:val="auto"/>
          <w:highlight w:val="none"/>
        </w:rPr>
        <w:t>第六章 合同文本</w:t>
      </w:r>
      <w:bookmarkEnd w:id="107"/>
      <w:bookmarkEnd w:id="108"/>
    </w:p>
    <w:p w14:paraId="009397D8">
      <w:pPr>
        <w:spacing w:line="360" w:lineRule="auto"/>
        <w:rPr>
          <w:rFonts w:ascii="宋体" w:hAnsi="宋体" w:cs="宋体"/>
          <w:b/>
          <w:color w:val="auto"/>
          <w:sz w:val="32"/>
          <w:szCs w:val="32"/>
          <w:highlight w:val="none"/>
        </w:rPr>
      </w:pPr>
      <w:r>
        <w:rPr>
          <w:rFonts w:hint="eastAsia" w:ascii="宋体" w:hAnsi="宋体" w:cs="宋体"/>
          <w:b/>
          <w:color w:val="auto"/>
          <w:sz w:val="32"/>
          <w:szCs w:val="32"/>
          <w:highlight w:val="none"/>
        </w:rPr>
        <w:t>一般货物类</w:t>
      </w:r>
    </w:p>
    <w:p w14:paraId="62D20F6F">
      <w:pPr>
        <w:spacing w:line="440" w:lineRule="exact"/>
        <w:rPr>
          <w:rFonts w:ascii="宋体" w:hAnsi="宋体" w:cs="宋体"/>
          <w:color w:val="auto"/>
          <w:sz w:val="24"/>
          <w:highlight w:val="none"/>
        </w:rPr>
      </w:pPr>
      <w:r>
        <w:rPr>
          <w:rFonts w:hint="eastAsia" w:ascii="宋体" w:hAnsi="宋体" w:cs="宋体"/>
          <w:color w:val="auto"/>
          <w:sz w:val="24"/>
          <w:highlight w:val="none"/>
        </w:rPr>
        <w:t>项目名称：</w:t>
      </w:r>
    </w:p>
    <w:p w14:paraId="003F3723">
      <w:pPr>
        <w:spacing w:line="440" w:lineRule="exact"/>
        <w:rPr>
          <w:rFonts w:hint="eastAsia" w:ascii="宋体" w:hAnsi="宋体" w:cs="宋体"/>
          <w:color w:val="auto"/>
          <w:sz w:val="24"/>
          <w:highlight w:val="none"/>
        </w:rPr>
      </w:pPr>
      <w:r>
        <w:rPr>
          <w:rFonts w:hint="eastAsia" w:ascii="宋体" w:hAnsi="宋体" w:cs="宋体"/>
          <w:color w:val="auto"/>
          <w:sz w:val="24"/>
          <w:highlight w:val="none"/>
        </w:rPr>
        <w:t>合同编号：</w:t>
      </w:r>
    </w:p>
    <w:p w14:paraId="19E85C29">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采购人（甲方）：******                      </w:t>
      </w:r>
    </w:p>
    <w:p w14:paraId="4C40D8BA">
      <w:pPr>
        <w:spacing w:line="440" w:lineRule="exact"/>
        <w:rPr>
          <w:rFonts w:ascii="宋体" w:hAnsi="宋体" w:cs="宋体"/>
          <w:color w:val="auto"/>
          <w:sz w:val="24"/>
          <w:highlight w:val="none"/>
        </w:rPr>
      </w:pPr>
      <w:r>
        <w:rPr>
          <w:rFonts w:hint="eastAsia" w:ascii="宋体" w:hAnsi="宋体" w:cs="宋体"/>
          <w:color w:val="auto"/>
          <w:sz w:val="24"/>
          <w:highlight w:val="none"/>
        </w:rPr>
        <w:t xml:space="preserve">供应商（乙方）：   </w:t>
      </w:r>
    </w:p>
    <w:p w14:paraId="12E27939">
      <w:pPr>
        <w:spacing w:line="440" w:lineRule="exact"/>
        <w:rPr>
          <w:rFonts w:hint="eastAsia"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rPr>
        <w:fldChar w:fldCharType="begin"/>
      </w:r>
      <w:r>
        <w:rPr>
          <w:rFonts w:hint="eastAsia" w:ascii="宋体" w:hAnsi="宋体" w:cs="宋体"/>
          <w:color w:val="auto"/>
          <w:sz w:val="24"/>
          <w:highlight w:val="none"/>
        </w:rPr>
        <w:instrText xml:space="preserve"> HYPERLINK "https://www.gcy.zfcg.gxzf.gov.cn/gaea/api/project/flow/redirect?projectId=7225471733482127376&amp;newUrl=https://www.gcy.zfcg.gxzf.gov.cn/micro-app-back-index/blank?_flow_type_=agency&amp;_flow_projectId_=7225471733482127376&amp;_jump_page_type_=project_procurement_management_flow&amp;_app_=zcy.procurement&amp;oldUrl=https://www.gcy.zfcg.gxzf.gov.cn/project-center/_procurement_/project-result-detail/7225471733482127376" \t "https://www.gcy.zfcg.gxzf.gov.cn/project-center/_procurement_/self-project/_blank" </w:instrText>
      </w:r>
      <w:r>
        <w:rPr>
          <w:rFonts w:hint="eastAsia" w:ascii="宋体" w:hAnsi="宋体" w:cs="宋体"/>
          <w:color w:val="auto"/>
          <w:sz w:val="24"/>
          <w:highlight w:val="none"/>
        </w:rPr>
        <w:fldChar w:fldCharType="separate"/>
      </w:r>
      <w:r>
        <w:rPr>
          <w:rFonts w:hint="eastAsia" w:ascii="宋体" w:hAnsi="宋体" w:cs="宋体"/>
          <w:color w:val="auto"/>
          <w:sz w:val="24"/>
          <w:highlight w:val="none"/>
        </w:rPr>
        <w:t>GXZC2026-J1-     -GXTZ</w:t>
      </w:r>
      <w:r>
        <w:rPr>
          <w:rFonts w:hint="eastAsia" w:ascii="宋体" w:hAnsi="宋体" w:cs="宋体"/>
          <w:color w:val="auto"/>
          <w:sz w:val="24"/>
          <w:highlight w:val="none"/>
        </w:rPr>
        <w:fldChar w:fldCharType="end"/>
      </w:r>
    </w:p>
    <w:p w14:paraId="3476D781">
      <w:pPr>
        <w:spacing w:line="440" w:lineRule="exact"/>
        <w:rPr>
          <w:rFonts w:ascii="宋体" w:hAnsi="宋体" w:cs="宋体"/>
          <w:color w:val="auto"/>
          <w:sz w:val="24"/>
          <w:highlight w:val="none"/>
        </w:rPr>
      </w:pPr>
      <w:r>
        <w:rPr>
          <w:rFonts w:hint="eastAsia" w:ascii="宋体" w:hAnsi="宋体" w:cs="宋体"/>
          <w:color w:val="auto"/>
          <w:sz w:val="24"/>
          <w:highlight w:val="none"/>
        </w:rPr>
        <w:t>签订地点：</w:t>
      </w:r>
      <w:r>
        <w:rPr>
          <w:rFonts w:hint="eastAsia" w:ascii="宋体" w:hAnsi="宋体" w:cs="宋体"/>
          <w:color w:val="auto"/>
          <w:sz w:val="24"/>
          <w:highlight w:val="none"/>
          <w:u w:val="single"/>
        </w:rPr>
        <w:t>广西壮族自治区南宁市青秀区</w:t>
      </w:r>
      <w:r>
        <w:rPr>
          <w:rFonts w:hint="eastAsia" w:ascii="宋体" w:hAnsi="宋体" w:cs="宋体"/>
          <w:color w:val="auto"/>
          <w:sz w:val="24"/>
          <w:highlight w:val="none"/>
        </w:rPr>
        <w:t xml:space="preserve">  </w:t>
      </w:r>
    </w:p>
    <w:p w14:paraId="1BBA81F4">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本合同为中小企业预留合同：（是</w:t>
      </w:r>
      <w:r>
        <w:rPr>
          <w:rFonts w:hint="eastAsia" w:ascii="黑体" w:hAnsi="黑体" w:eastAsia="黑体" w:cs="宋体"/>
          <w:b/>
          <w:color w:val="auto"/>
          <w:sz w:val="24"/>
          <w:highlight w:val="none"/>
        </w:rPr>
        <w:t>□</w:t>
      </w:r>
      <w:r>
        <w:rPr>
          <w:rFonts w:hint="eastAsia" w:ascii="宋体" w:hAnsi="宋体" w:cs="宋体"/>
          <w:color w:val="auto"/>
          <w:sz w:val="24"/>
          <w:highlight w:val="none"/>
        </w:rPr>
        <w:t>/否</w:t>
      </w:r>
      <w:r>
        <w:rPr>
          <w:rFonts w:hint="eastAsia" w:ascii="黑体" w:hAnsi="黑体" w:eastAsia="黑体" w:cs="宋体"/>
          <w:b/>
          <w:color w:val="auto"/>
          <w:sz w:val="24"/>
          <w:highlight w:val="none"/>
        </w:rPr>
        <w:t>□</w:t>
      </w:r>
      <w:r>
        <w:rPr>
          <w:rFonts w:hint="eastAsia" w:ascii="宋体" w:hAnsi="宋体" w:cs="宋体"/>
          <w:color w:val="auto"/>
          <w:sz w:val="24"/>
          <w:highlight w:val="none"/>
        </w:rPr>
        <w:t>）</w:t>
      </w:r>
    </w:p>
    <w:p w14:paraId="10C3E9B9">
      <w:pPr>
        <w:pStyle w:val="111"/>
        <w:rPr>
          <w:color w:val="auto"/>
          <w:highlight w:val="none"/>
        </w:rPr>
      </w:pPr>
    </w:p>
    <w:p w14:paraId="6B7A8F16">
      <w:pPr>
        <w:snapToGrid w:val="0"/>
        <w:spacing w:line="360" w:lineRule="auto"/>
        <w:ind w:firstLine="480" w:firstLineChars="200"/>
        <w:rPr>
          <w:rFonts w:ascii="宋体" w:hAnsi="宋体" w:cs="宋体"/>
          <w:color w:val="auto"/>
          <w:sz w:val="24"/>
          <w:highlight w:val="none"/>
        </w:rPr>
      </w:pPr>
    </w:p>
    <w:p w14:paraId="02527FA5">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根据《中华人民共和国政府采购法》《中华人民共和国民法典》等法律、法规规定，按照竞争性谈判采购文件规定条款和成交供应商承诺，甲乙双方签订本合同。</w:t>
      </w:r>
    </w:p>
    <w:p w14:paraId="7FDC6C39">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合同标的</w:t>
      </w:r>
    </w:p>
    <w:p w14:paraId="1726A636">
      <w:pPr>
        <w:snapToGrid w:val="0"/>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供货一览表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6" w:type="dxa"/>
          <w:left w:w="77" w:type="dxa"/>
          <w:bottom w:w="56" w:type="dxa"/>
          <w:right w:w="77" w:type="dxa"/>
        </w:tblCellMar>
      </w:tblPr>
      <w:tblGrid>
        <w:gridCol w:w="543"/>
        <w:gridCol w:w="855"/>
        <w:gridCol w:w="855"/>
        <w:gridCol w:w="855"/>
        <w:gridCol w:w="855"/>
        <w:gridCol w:w="545"/>
        <w:gridCol w:w="702"/>
        <w:gridCol w:w="545"/>
        <w:gridCol w:w="1324"/>
        <w:gridCol w:w="1805"/>
      </w:tblGrid>
      <w:tr w14:paraId="35D1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jc w:val="center"/>
        </w:trPr>
        <w:tc>
          <w:tcPr>
            <w:tcW w:w="306" w:type="pct"/>
            <w:noWrap w:val="0"/>
            <w:vAlign w:val="center"/>
          </w:tcPr>
          <w:p w14:paraId="5C6CA407">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81" w:type="pct"/>
            <w:noWrap w:val="0"/>
            <w:vAlign w:val="center"/>
          </w:tcPr>
          <w:p w14:paraId="380DB0E9">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标的名称</w:t>
            </w:r>
          </w:p>
        </w:tc>
        <w:tc>
          <w:tcPr>
            <w:tcW w:w="481" w:type="pct"/>
            <w:noWrap w:val="0"/>
            <w:vAlign w:val="center"/>
          </w:tcPr>
          <w:p w14:paraId="5A68A97E">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商标品牌</w:t>
            </w:r>
          </w:p>
        </w:tc>
        <w:tc>
          <w:tcPr>
            <w:tcW w:w="481" w:type="pct"/>
            <w:noWrap w:val="0"/>
            <w:vAlign w:val="center"/>
          </w:tcPr>
          <w:p w14:paraId="0369D9A9">
            <w:pPr>
              <w:snapToGrid w:val="0"/>
              <w:spacing w:line="460" w:lineRule="exact"/>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481" w:type="pct"/>
            <w:noWrap w:val="0"/>
            <w:vAlign w:val="center"/>
          </w:tcPr>
          <w:p w14:paraId="22B8E302">
            <w:pPr>
              <w:snapToGrid w:val="0"/>
              <w:jc w:val="center"/>
              <w:rPr>
                <w:rFonts w:ascii="宋体" w:hAnsi="宋体" w:cs="宋体"/>
                <w:b/>
                <w:color w:val="auto"/>
                <w:sz w:val="24"/>
                <w:highlight w:val="none"/>
              </w:rPr>
            </w:pPr>
            <w:r>
              <w:rPr>
                <w:rFonts w:hint="eastAsia" w:ascii="宋体" w:hAnsi="宋体" w:cs="宋体"/>
                <w:b/>
                <w:color w:val="auto"/>
                <w:sz w:val="24"/>
                <w:highlight w:val="none"/>
              </w:rPr>
              <w:t>生产厂家</w:t>
            </w:r>
          </w:p>
        </w:tc>
        <w:tc>
          <w:tcPr>
            <w:tcW w:w="307" w:type="pct"/>
            <w:noWrap w:val="0"/>
            <w:vAlign w:val="center"/>
          </w:tcPr>
          <w:p w14:paraId="5E440208">
            <w:pPr>
              <w:snapToGrid w:val="0"/>
              <w:jc w:val="center"/>
              <w:rPr>
                <w:rFonts w:ascii="宋体" w:hAnsi="宋体" w:cs="宋体"/>
                <w:b/>
                <w:color w:val="auto"/>
                <w:sz w:val="24"/>
                <w:highlight w:val="none"/>
              </w:rPr>
            </w:pPr>
            <w:r>
              <w:rPr>
                <w:rFonts w:hint="eastAsia" w:ascii="宋体" w:hAnsi="宋体" w:cs="宋体"/>
                <w:b/>
                <w:color w:val="auto"/>
                <w:sz w:val="24"/>
                <w:highlight w:val="none"/>
              </w:rPr>
              <w:t>产地</w:t>
            </w:r>
          </w:p>
        </w:tc>
        <w:tc>
          <w:tcPr>
            <w:tcW w:w="395" w:type="pct"/>
            <w:noWrap w:val="0"/>
            <w:vAlign w:val="center"/>
          </w:tcPr>
          <w:p w14:paraId="10C9CBDA">
            <w:pPr>
              <w:snapToGrid w:val="0"/>
              <w:jc w:val="center"/>
              <w:rPr>
                <w:rFonts w:ascii="宋体" w:hAnsi="宋体" w:cs="宋体"/>
                <w:b/>
                <w:color w:val="auto"/>
                <w:sz w:val="24"/>
                <w:highlight w:val="none"/>
              </w:rPr>
            </w:pPr>
            <w:r>
              <w:rPr>
                <w:rFonts w:hint="eastAsia" w:ascii="宋体" w:hAnsi="宋体" w:cs="宋体"/>
                <w:b/>
                <w:color w:val="auto"/>
                <w:sz w:val="24"/>
                <w:highlight w:val="none"/>
              </w:rPr>
              <w:t>数  量</w:t>
            </w:r>
          </w:p>
        </w:tc>
        <w:tc>
          <w:tcPr>
            <w:tcW w:w="307" w:type="pct"/>
            <w:noWrap w:val="0"/>
            <w:vAlign w:val="center"/>
          </w:tcPr>
          <w:p w14:paraId="25DF26D8">
            <w:pPr>
              <w:snapToGrid w:val="0"/>
              <w:jc w:val="center"/>
              <w:rPr>
                <w:rFonts w:ascii="宋体" w:hAnsi="宋体" w:cs="宋体"/>
                <w:b/>
                <w:color w:val="auto"/>
                <w:sz w:val="24"/>
                <w:highlight w:val="none"/>
              </w:rPr>
            </w:pPr>
            <w:r>
              <w:rPr>
                <w:rFonts w:hint="eastAsia" w:ascii="宋体" w:hAnsi="宋体" w:cs="宋体"/>
                <w:b/>
                <w:color w:val="auto"/>
                <w:sz w:val="24"/>
                <w:highlight w:val="none"/>
              </w:rPr>
              <w:t>单位</w:t>
            </w:r>
          </w:p>
        </w:tc>
        <w:tc>
          <w:tcPr>
            <w:tcW w:w="745" w:type="pct"/>
            <w:noWrap w:val="0"/>
            <w:vAlign w:val="center"/>
          </w:tcPr>
          <w:p w14:paraId="048C580D">
            <w:pPr>
              <w:snapToGrid w:val="0"/>
              <w:jc w:val="center"/>
              <w:rPr>
                <w:rFonts w:ascii="宋体" w:hAnsi="宋体" w:cs="宋体"/>
                <w:b/>
                <w:color w:val="auto"/>
                <w:sz w:val="24"/>
                <w:highlight w:val="none"/>
              </w:rPr>
            </w:pPr>
            <w:r>
              <w:rPr>
                <w:rFonts w:hint="eastAsia" w:ascii="宋体" w:hAnsi="宋体" w:cs="宋体"/>
                <w:b/>
                <w:color w:val="auto"/>
                <w:sz w:val="24"/>
                <w:highlight w:val="none"/>
              </w:rPr>
              <w:t>单  价</w:t>
            </w:r>
          </w:p>
          <w:p w14:paraId="176337B3">
            <w:pPr>
              <w:snapToGrid w:val="0"/>
              <w:jc w:val="center"/>
              <w:rPr>
                <w:rFonts w:ascii="宋体" w:hAnsi="宋体" w:cs="宋体"/>
                <w:b/>
                <w:color w:val="auto"/>
                <w:sz w:val="24"/>
                <w:highlight w:val="none"/>
              </w:rPr>
            </w:pPr>
            <w:r>
              <w:rPr>
                <w:rFonts w:hint="eastAsia" w:ascii="宋体" w:hAnsi="宋体" w:cs="宋体"/>
                <w:b/>
                <w:color w:val="auto"/>
                <w:sz w:val="24"/>
                <w:highlight w:val="none"/>
              </w:rPr>
              <w:t>（元/人民币）</w:t>
            </w:r>
          </w:p>
        </w:tc>
        <w:tc>
          <w:tcPr>
            <w:tcW w:w="1011" w:type="pct"/>
            <w:noWrap w:val="0"/>
            <w:vAlign w:val="center"/>
          </w:tcPr>
          <w:p w14:paraId="639B3907">
            <w:pPr>
              <w:snapToGrid w:val="0"/>
              <w:jc w:val="center"/>
              <w:rPr>
                <w:rFonts w:ascii="宋体" w:hAnsi="宋体" w:cs="宋体"/>
                <w:b/>
                <w:color w:val="auto"/>
                <w:sz w:val="24"/>
                <w:highlight w:val="none"/>
              </w:rPr>
            </w:pPr>
            <w:r>
              <w:rPr>
                <w:rFonts w:hint="eastAsia" w:ascii="宋体" w:hAnsi="宋体" w:cs="宋体"/>
                <w:b/>
                <w:color w:val="auto"/>
                <w:sz w:val="24"/>
                <w:highlight w:val="none"/>
              </w:rPr>
              <w:t>单项合计</w:t>
            </w:r>
            <w:r>
              <w:rPr>
                <w:rFonts w:hint="eastAsia" w:ascii="宋体" w:hAnsi="宋体" w:cs="宋体"/>
                <w:b/>
                <w:color w:val="auto"/>
                <w:szCs w:val="21"/>
                <w:highlight w:val="none"/>
              </w:rPr>
              <w:t>（元/人民币）</w:t>
            </w:r>
          </w:p>
        </w:tc>
      </w:tr>
      <w:tr w14:paraId="76BD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jc w:val="center"/>
        </w:trPr>
        <w:tc>
          <w:tcPr>
            <w:tcW w:w="306" w:type="pct"/>
            <w:noWrap w:val="0"/>
            <w:vAlign w:val="center"/>
          </w:tcPr>
          <w:p w14:paraId="5676105A">
            <w:pPr>
              <w:snapToGrid w:val="0"/>
              <w:spacing w:line="460" w:lineRule="exact"/>
              <w:jc w:val="center"/>
              <w:rPr>
                <w:rFonts w:ascii="宋体" w:hAnsi="宋体" w:cs="宋体"/>
                <w:color w:val="auto"/>
                <w:sz w:val="24"/>
                <w:highlight w:val="none"/>
              </w:rPr>
            </w:pPr>
            <w:r>
              <w:rPr>
                <w:rFonts w:hint="eastAsia" w:ascii="宋体" w:hAnsi="宋体" w:cs="宋体"/>
                <w:color w:val="auto"/>
                <w:sz w:val="24"/>
                <w:highlight w:val="none"/>
              </w:rPr>
              <w:t>1</w:t>
            </w:r>
          </w:p>
        </w:tc>
        <w:tc>
          <w:tcPr>
            <w:tcW w:w="481" w:type="pct"/>
            <w:noWrap w:val="0"/>
            <w:vAlign w:val="center"/>
          </w:tcPr>
          <w:p w14:paraId="0E57331F">
            <w:pPr>
              <w:snapToGrid w:val="0"/>
              <w:spacing w:line="460" w:lineRule="exact"/>
              <w:jc w:val="center"/>
              <w:rPr>
                <w:rFonts w:ascii="宋体" w:hAnsi="宋体" w:cs="宋体"/>
                <w:color w:val="auto"/>
                <w:sz w:val="24"/>
                <w:highlight w:val="none"/>
              </w:rPr>
            </w:pPr>
          </w:p>
        </w:tc>
        <w:tc>
          <w:tcPr>
            <w:tcW w:w="481" w:type="pct"/>
            <w:noWrap w:val="0"/>
            <w:vAlign w:val="center"/>
          </w:tcPr>
          <w:p w14:paraId="6B53BE43">
            <w:pPr>
              <w:snapToGrid w:val="0"/>
              <w:spacing w:line="460" w:lineRule="exact"/>
              <w:jc w:val="center"/>
              <w:rPr>
                <w:rFonts w:ascii="宋体" w:hAnsi="宋体" w:cs="宋体"/>
                <w:color w:val="auto"/>
                <w:sz w:val="24"/>
                <w:highlight w:val="none"/>
              </w:rPr>
            </w:pPr>
          </w:p>
        </w:tc>
        <w:tc>
          <w:tcPr>
            <w:tcW w:w="481" w:type="pct"/>
            <w:noWrap w:val="0"/>
            <w:vAlign w:val="center"/>
          </w:tcPr>
          <w:p w14:paraId="63DBA04B">
            <w:pPr>
              <w:snapToGrid w:val="0"/>
              <w:spacing w:line="460" w:lineRule="exact"/>
              <w:jc w:val="center"/>
              <w:rPr>
                <w:rFonts w:ascii="宋体" w:hAnsi="宋体" w:cs="宋体"/>
                <w:color w:val="auto"/>
                <w:sz w:val="24"/>
                <w:highlight w:val="none"/>
              </w:rPr>
            </w:pPr>
          </w:p>
        </w:tc>
        <w:tc>
          <w:tcPr>
            <w:tcW w:w="481" w:type="pct"/>
            <w:noWrap w:val="0"/>
            <w:vAlign w:val="top"/>
          </w:tcPr>
          <w:p w14:paraId="53D7074D">
            <w:pPr>
              <w:snapToGrid w:val="0"/>
              <w:spacing w:line="460" w:lineRule="exact"/>
              <w:jc w:val="center"/>
              <w:rPr>
                <w:rFonts w:ascii="宋体" w:hAnsi="宋体" w:cs="宋体"/>
                <w:color w:val="auto"/>
                <w:sz w:val="24"/>
                <w:highlight w:val="none"/>
              </w:rPr>
            </w:pPr>
          </w:p>
        </w:tc>
        <w:tc>
          <w:tcPr>
            <w:tcW w:w="307" w:type="pct"/>
            <w:noWrap w:val="0"/>
            <w:vAlign w:val="center"/>
          </w:tcPr>
          <w:p w14:paraId="298DA67B">
            <w:pPr>
              <w:snapToGrid w:val="0"/>
              <w:spacing w:line="460" w:lineRule="exact"/>
              <w:jc w:val="center"/>
              <w:rPr>
                <w:rFonts w:ascii="宋体" w:hAnsi="宋体" w:cs="宋体"/>
                <w:color w:val="auto"/>
                <w:sz w:val="24"/>
                <w:highlight w:val="none"/>
              </w:rPr>
            </w:pPr>
          </w:p>
        </w:tc>
        <w:tc>
          <w:tcPr>
            <w:tcW w:w="395" w:type="pct"/>
            <w:noWrap w:val="0"/>
            <w:vAlign w:val="center"/>
          </w:tcPr>
          <w:p w14:paraId="5C97972B">
            <w:pPr>
              <w:snapToGrid w:val="0"/>
              <w:spacing w:line="460" w:lineRule="exact"/>
              <w:jc w:val="center"/>
              <w:rPr>
                <w:rFonts w:ascii="宋体" w:hAnsi="宋体" w:cs="宋体"/>
                <w:color w:val="auto"/>
                <w:sz w:val="24"/>
                <w:highlight w:val="none"/>
              </w:rPr>
            </w:pPr>
          </w:p>
        </w:tc>
        <w:tc>
          <w:tcPr>
            <w:tcW w:w="307" w:type="pct"/>
            <w:noWrap w:val="0"/>
            <w:vAlign w:val="top"/>
          </w:tcPr>
          <w:p w14:paraId="54E8C1CD">
            <w:pPr>
              <w:snapToGrid w:val="0"/>
              <w:spacing w:line="460" w:lineRule="exact"/>
              <w:jc w:val="center"/>
              <w:rPr>
                <w:rFonts w:ascii="宋体" w:hAnsi="宋体" w:cs="宋体"/>
                <w:color w:val="auto"/>
                <w:sz w:val="24"/>
                <w:highlight w:val="none"/>
              </w:rPr>
            </w:pPr>
          </w:p>
        </w:tc>
        <w:tc>
          <w:tcPr>
            <w:tcW w:w="745" w:type="pct"/>
            <w:noWrap w:val="0"/>
            <w:vAlign w:val="center"/>
          </w:tcPr>
          <w:p w14:paraId="5E954C5B">
            <w:pPr>
              <w:snapToGrid w:val="0"/>
              <w:spacing w:line="460" w:lineRule="exact"/>
              <w:jc w:val="center"/>
              <w:rPr>
                <w:rFonts w:ascii="宋体" w:hAnsi="宋体" w:cs="宋体"/>
                <w:color w:val="auto"/>
                <w:sz w:val="24"/>
                <w:highlight w:val="none"/>
              </w:rPr>
            </w:pPr>
          </w:p>
        </w:tc>
        <w:tc>
          <w:tcPr>
            <w:tcW w:w="1011" w:type="pct"/>
            <w:noWrap w:val="0"/>
            <w:vAlign w:val="top"/>
          </w:tcPr>
          <w:p w14:paraId="5CA52D06">
            <w:pPr>
              <w:snapToGrid w:val="0"/>
              <w:spacing w:line="460" w:lineRule="exact"/>
              <w:jc w:val="center"/>
              <w:rPr>
                <w:rFonts w:ascii="宋体" w:hAnsi="宋体" w:cs="宋体"/>
                <w:color w:val="auto"/>
                <w:sz w:val="24"/>
                <w:highlight w:val="none"/>
              </w:rPr>
            </w:pPr>
          </w:p>
        </w:tc>
      </w:tr>
      <w:tr w14:paraId="4B2A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jc w:val="center"/>
        </w:trPr>
        <w:tc>
          <w:tcPr>
            <w:tcW w:w="306" w:type="pct"/>
            <w:noWrap w:val="0"/>
            <w:vAlign w:val="center"/>
          </w:tcPr>
          <w:p w14:paraId="5EF2FD76">
            <w:pPr>
              <w:snapToGrid w:val="0"/>
              <w:spacing w:line="460" w:lineRule="exact"/>
              <w:jc w:val="center"/>
              <w:rPr>
                <w:rFonts w:ascii="宋体" w:hAnsi="宋体" w:cs="宋体"/>
                <w:color w:val="auto"/>
                <w:sz w:val="24"/>
                <w:highlight w:val="none"/>
              </w:rPr>
            </w:pPr>
          </w:p>
        </w:tc>
        <w:tc>
          <w:tcPr>
            <w:tcW w:w="481" w:type="pct"/>
            <w:noWrap w:val="0"/>
            <w:vAlign w:val="center"/>
          </w:tcPr>
          <w:p w14:paraId="4AD61451">
            <w:pPr>
              <w:snapToGrid w:val="0"/>
              <w:spacing w:line="460" w:lineRule="exact"/>
              <w:jc w:val="center"/>
              <w:rPr>
                <w:rFonts w:ascii="宋体" w:hAnsi="宋体" w:cs="宋体"/>
                <w:color w:val="auto"/>
                <w:sz w:val="24"/>
                <w:highlight w:val="none"/>
              </w:rPr>
            </w:pPr>
          </w:p>
        </w:tc>
        <w:tc>
          <w:tcPr>
            <w:tcW w:w="481" w:type="pct"/>
            <w:noWrap w:val="0"/>
            <w:vAlign w:val="center"/>
          </w:tcPr>
          <w:p w14:paraId="7B182B2B">
            <w:pPr>
              <w:snapToGrid w:val="0"/>
              <w:spacing w:line="460" w:lineRule="exact"/>
              <w:jc w:val="center"/>
              <w:rPr>
                <w:rFonts w:ascii="宋体" w:hAnsi="宋体" w:cs="宋体"/>
                <w:color w:val="auto"/>
                <w:sz w:val="24"/>
                <w:highlight w:val="none"/>
              </w:rPr>
            </w:pPr>
          </w:p>
        </w:tc>
        <w:tc>
          <w:tcPr>
            <w:tcW w:w="481" w:type="pct"/>
            <w:noWrap w:val="0"/>
            <w:vAlign w:val="center"/>
          </w:tcPr>
          <w:p w14:paraId="61ED84EF">
            <w:pPr>
              <w:snapToGrid w:val="0"/>
              <w:spacing w:line="460" w:lineRule="exact"/>
              <w:jc w:val="center"/>
              <w:rPr>
                <w:rFonts w:ascii="宋体" w:hAnsi="宋体" w:cs="宋体"/>
                <w:color w:val="auto"/>
                <w:sz w:val="24"/>
                <w:highlight w:val="none"/>
              </w:rPr>
            </w:pPr>
          </w:p>
        </w:tc>
        <w:tc>
          <w:tcPr>
            <w:tcW w:w="481" w:type="pct"/>
            <w:noWrap w:val="0"/>
            <w:vAlign w:val="top"/>
          </w:tcPr>
          <w:p w14:paraId="5732875F">
            <w:pPr>
              <w:snapToGrid w:val="0"/>
              <w:spacing w:line="460" w:lineRule="exact"/>
              <w:jc w:val="center"/>
              <w:rPr>
                <w:rFonts w:ascii="宋体" w:hAnsi="宋体" w:cs="宋体"/>
                <w:color w:val="auto"/>
                <w:sz w:val="24"/>
                <w:highlight w:val="none"/>
              </w:rPr>
            </w:pPr>
          </w:p>
        </w:tc>
        <w:tc>
          <w:tcPr>
            <w:tcW w:w="307" w:type="pct"/>
            <w:noWrap w:val="0"/>
            <w:vAlign w:val="center"/>
          </w:tcPr>
          <w:p w14:paraId="7BB69B67">
            <w:pPr>
              <w:snapToGrid w:val="0"/>
              <w:spacing w:line="460" w:lineRule="exact"/>
              <w:jc w:val="center"/>
              <w:rPr>
                <w:rFonts w:ascii="宋体" w:hAnsi="宋体" w:cs="宋体"/>
                <w:color w:val="auto"/>
                <w:sz w:val="24"/>
                <w:highlight w:val="none"/>
              </w:rPr>
            </w:pPr>
          </w:p>
        </w:tc>
        <w:tc>
          <w:tcPr>
            <w:tcW w:w="395" w:type="pct"/>
            <w:noWrap w:val="0"/>
            <w:vAlign w:val="center"/>
          </w:tcPr>
          <w:p w14:paraId="1F11CEA1">
            <w:pPr>
              <w:snapToGrid w:val="0"/>
              <w:spacing w:line="460" w:lineRule="exact"/>
              <w:jc w:val="center"/>
              <w:rPr>
                <w:rFonts w:ascii="宋体" w:hAnsi="宋体" w:cs="宋体"/>
                <w:color w:val="auto"/>
                <w:sz w:val="24"/>
                <w:highlight w:val="none"/>
              </w:rPr>
            </w:pPr>
          </w:p>
        </w:tc>
        <w:tc>
          <w:tcPr>
            <w:tcW w:w="307" w:type="pct"/>
            <w:noWrap w:val="0"/>
            <w:vAlign w:val="top"/>
          </w:tcPr>
          <w:p w14:paraId="7B1D9EC6">
            <w:pPr>
              <w:snapToGrid w:val="0"/>
              <w:spacing w:line="460" w:lineRule="exact"/>
              <w:jc w:val="center"/>
              <w:rPr>
                <w:rFonts w:ascii="宋体" w:hAnsi="宋体" w:cs="宋体"/>
                <w:color w:val="auto"/>
                <w:sz w:val="24"/>
                <w:highlight w:val="none"/>
              </w:rPr>
            </w:pPr>
          </w:p>
        </w:tc>
        <w:tc>
          <w:tcPr>
            <w:tcW w:w="745" w:type="pct"/>
            <w:noWrap w:val="0"/>
            <w:vAlign w:val="center"/>
          </w:tcPr>
          <w:p w14:paraId="097A5EB4">
            <w:pPr>
              <w:snapToGrid w:val="0"/>
              <w:spacing w:line="460" w:lineRule="exact"/>
              <w:jc w:val="center"/>
              <w:rPr>
                <w:rFonts w:ascii="宋体" w:hAnsi="宋体" w:cs="宋体"/>
                <w:color w:val="auto"/>
                <w:sz w:val="24"/>
                <w:highlight w:val="none"/>
              </w:rPr>
            </w:pPr>
          </w:p>
        </w:tc>
        <w:tc>
          <w:tcPr>
            <w:tcW w:w="1011" w:type="pct"/>
            <w:noWrap w:val="0"/>
            <w:vAlign w:val="top"/>
          </w:tcPr>
          <w:p w14:paraId="32D8E88B">
            <w:pPr>
              <w:snapToGrid w:val="0"/>
              <w:spacing w:line="460" w:lineRule="exact"/>
              <w:jc w:val="center"/>
              <w:rPr>
                <w:rFonts w:ascii="宋体" w:hAnsi="宋体" w:cs="宋体"/>
                <w:color w:val="auto"/>
                <w:sz w:val="24"/>
                <w:highlight w:val="none"/>
              </w:rPr>
            </w:pPr>
          </w:p>
        </w:tc>
      </w:tr>
      <w:tr w14:paraId="6F2D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6" w:type="dxa"/>
            <w:left w:w="77" w:type="dxa"/>
            <w:bottom w:w="56" w:type="dxa"/>
            <w:right w:w="77" w:type="dxa"/>
          </w:tblCellMar>
        </w:tblPrEx>
        <w:trPr>
          <w:jc w:val="center"/>
        </w:trPr>
        <w:tc>
          <w:tcPr>
            <w:tcW w:w="5000" w:type="pct"/>
            <w:gridSpan w:val="10"/>
            <w:noWrap w:val="0"/>
            <w:vAlign w:val="top"/>
          </w:tcPr>
          <w:p w14:paraId="3978489F">
            <w:pPr>
              <w:snapToGrid w:val="0"/>
              <w:spacing w:line="460" w:lineRule="exact"/>
              <w:jc w:val="left"/>
              <w:rPr>
                <w:rFonts w:ascii="宋体" w:hAnsi="宋体" w:cs="宋体"/>
                <w:color w:val="auto"/>
                <w:sz w:val="24"/>
                <w:highlight w:val="none"/>
              </w:rPr>
            </w:pPr>
            <w:r>
              <w:rPr>
                <w:rFonts w:hint="eastAsia" w:ascii="宋体" w:hAnsi="宋体" w:cs="宋体"/>
                <w:color w:val="auto"/>
                <w:sz w:val="24"/>
                <w:highlight w:val="none"/>
              </w:rPr>
              <w:t>合计金额（人民币大写</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 </w:t>
            </w:r>
            <w:r>
              <w:rPr>
                <w:rFonts w:ascii="宋体" w:hAnsi="宋体" w:cs="宋体"/>
                <w:b/>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rPr>
              <w:t>（小写）</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p>
        </w:tc>
      </w:tr>
    </w:tbl>
    <w:p w14:paraId="11F3FD7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2.合同合计金额包括货物价款、</w:t>
      </w:r>
      <w:r>
        <w:rPr>
          <w:rFonts w:ascii="宋体" w:hAnsi="宋体" w:cs="宋体"/>
          <w:color w:val="auto"/>
          <w:sz w:val="24"/>
          <w:highlight w:val="none"/>
        </w:rPr>
        <w:t>配套软件授权费</w:t>
      </w:r>
      <w:r>
        <w:rPr>
          <w:rFonts w:hint="eastAsia" w:ascii="宋体" w:hAnsi="宋体" w:cs="宋体"/>
          <w:color w:val="auto"/>
          <w:sz w:val="24"/>
          <w:highlight w:val="none"/>
        </w:rPr>
        <w:t>、软件定制</w:t>
      </w:r>
      <w:r>
        <w:rPr>
          <w:rFonts w:ascii="宋体" w:hAnsi="宋体" w:cs="宋体"/>
          <w:color w:val="auto"/>
          <w:sz w:val="24"/>
          <w:highlight w:val="none"/>
        </w:rPr>
        <w:t>服务</w:t>
      </w:r>
      <w:r>
        <w:rPr>
          <w:rFonts w:hint="eastAsia" w:ascii="宋体" w:hAnsi="宋体" w:cs="宋体"/>
          <w:color w:val="auto"/>
          <w:sz w:val="24"/>
          <w:highlight w:val="none"/>
        </w:rPr>
        <w:t>（含软件</w:t>
      </w:r>
      <w:r>
        <w:rPr>
          <w:rFonts w:ascii="宋体" w:hAnsi="宋体" w:cs="宋体"/>
          <w:color w:val="auto"/>
          <w:sz w:val="24"/>
          <w:highlight w:val="none"/>
        </w:rPr>
        <w:t>功能二次</w:t>
      </w:r>
      <w:r>
        <w:rPr>
          <w:rFonts w:hint="eastAsia" w:ascii="宋体" w:hAnsi="宋体" w:cs="宋体"/>
          <w:color w:val="auto"/>
          <w:sz w:val="24"/>
          <w:highlight w:val="none"/>
        </w:rPr>
        <w:t>开发</w:t>
      </w:r>
      <w:r>
        <w:rPr>
          <w:rFonts w:ascii="宋体" w:hAnsi="宋体" w:cs="宋体"/>
          <w:color w:val="auto"/>
          <w:sz w:val="24"/>
          <w:highlight w:val="none"/>
        </w:rPr>
        <w:t>、软件UI界面定制、软件应用配置</w:t>
      </w:r>
      <w:r>
        <w:rPr>
          <w:rFonts w:hint="eastAsia" w:ascii="宋体" w:hAnsi="宋体" w:cs="宋体"/>
          <w:color w:val="auto"/>
          <w:sz w:val="24"/>
          <w:highlight w:val="none"/>
        </w:rPr>
        <w:t>、</w:t>
      </w:r>
      <w:r>
        <w:rPr>
          <w:rFonts w:ascii="宋体" w:hAnsi="宋体" w:cs="宋体"/>
          <w:color w:val="auto"/>
          <w:sz w:val="24"/>
          <w:highlight w:val="none"/>
        </w:rPr>
        <w:t>软件调优</w:t>
      </w:r>
      <w:r>
        <w:rPr>
          <w:rFonts w:hint="eastAsia" w:ascii="宋体" w:hAnsi="宋体" w:cs="宋体"/>
          <w:color w:val="auto"/>
          <w:sz w:val="24"/>
          <w:highlight w:val="none"/>
        </w:rPr>
        <w:t>完善</w:t>
      </w:r>
      <w:r>
        <w:rPr>
          <w:rFonts w:ascii="宋体" w:hAnsi="宋体" w:cs="宋体"/>
          <w:color w:val="auto"/>
          <w:sz w:val="24"/>
          <w:highlight w:val="none"/>
        </w:rPr>
        <w:t>等）</w:t>
      </w:r>
      <w:r>
        <w:rPr>
          <w:rFonts w:hint="eastAsia" w:ascii="宋体" w:hAnsi="宋体" w:cs="宋体"/>
          <w:color w:val="auto"/>
          <w:sz w:val="24"/>
          <w:highlight w:val="none"/>
        </w:rPr>
        <w:t>、标准附件、随配附件、备品备件、辅助材料、专用工具、包装、运抵指定交货地点、运输、装卸、完工清场清洁、货到就位、安装、调试、检验、技术培训、技术资料、售后服务、保险、投标费用、预验收及履约验收及售后服务、人工费、一切税费等全部费用。税费因政策等原因发生变化的，由乙方承担。合同履行过程中，甲方不再支付合同以外的其他费用。</w:t>
      </w:r>
    </w:p>
    <w:p w14:paraId="0F4A8E93">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第二条　质量要求</w:t>
      </w:r>
    </w:p>
    <w:p w14:paraId="6B0E67E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1.乙方所提供的产品名称、商标品牌、生产厂家、规格型号、技术参数等质量必须与采购文件规定及响应文件承诺相一致。乙方提供的节能和环保产品必须是列入政府采购品目清单的产品。</w:t>
      </w:r>
    </w:p>
    <w:p w14:paraId="65EFE80B">
      <w:pPr>
        <w:snapToGrid w:val="0"/>
        <w:spacing w:line="460" w:lineRule="exact"/>
        <w:ind w:firstLine="480" w:firstLineChars="200"/>
        <w:rPr>
          <w:color w:val="auto"/>
          <w:highlight w:val="none"/>
        </w:rPr>
      </w:pPr>
      <w:r>
        <w:rPr>
          <w:rFonts w:hint="eastAsia" w:ascii="宋体" w:hAnsi="宋体" w:cs="宋体"/>
          <w:color w:val="auto"/>
          <w:sz w:val="24"/>
          <w:highlight w:val="none"/>
        </w:rPr>
        <w:t>2.乙方所提供的货物必须是产品厂家合法销售渠道的合格全新、未使用的原装正规</w:t>
      </w:r>
      <w:r>
        <w:rPr>
          <w:rFonts w:ascii="宋体" w:hAnsi="宋体" w:cs="宋体"/>
          <w:color w:val="auto"/>
          <w:sz w:val="24"/>
          <w:highlight w:val="none"/>
        </w:rPr>
        <w:t>产品</w:t>
      </w:r>
      <w:r>
        <w:rPr>
          <w:rFonts w:hint="eastAsia" w:ascii="宋体" w:hAnsi="宋体" w:cs="宋体"/>
          <w:color w:val="auto"/>
          <w:sz w:val="24"/>
          <w:highlight w:val="none"/>
        </w:rPr>
        <w:t>，产品符合国家及行业有关标准和安全规定，并按厂家承诺实行“三包”服务，且在正常安装、使用和保养条件下，其使用寿命期内各项指标均达到采购文件规定或者响应文件承诺的质量要求。供货时</w:t>
      </w:r>
      <w:r>
        <w:rPr>
          <w:rFonts w:ascii="宋体" w:hAnsi="宋体" w:cs="宋体"/>
          <w:color w:val="auto"/>
          <w:sz w:val="24"/>
          <w:highlight w:val="none"/>
        </w:rPr>
        <w:t>，</w:t>
      </w:r>
      <w:r>
        <w:rPr>
          <w:rFonts w:hint="eastAsia" w:ascii="宋体" w:hAnsi="宋体" w:cs="宋体"/>
          <w:color w:val="auto"/>
          <w:sz w:val="24"/>
          <w:highlight w:val="none"/>
        </w:rPr>
        <w:t>乙方必须提供产品厂家给本项目或甲方供货的详细清单证明和售后服务保证书的原件，否则甲方有权拒绝接收，不予以验收。</w:t>
      </w:r>
    </w:p>
    <w:p w14:paraId="062D14CC">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第三条　权利保证</w:t>
      </w:r>
    </w:p>
    <w:p w14:paraId="210C9EB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1.乙方应保证所提供货物在使用时不会侵犯任何第三方的专利权、商标权、工业设计权或者其他权利。</w:t>
      </w:r>
    </w:p>
    <w:p w14:paraId="1F76DD86">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2.乙方应按采购文件规定或者响应文件承诺的时间向甲方提供使用货物的有关技术资料。</w:t>
      </w:r>
    </w:p>
    <w:p w14:paraId="359EC0A4">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17AD1DCF">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4.乙方保证将要交付的货物的所有权完全属于乙方且无任何抵押、质押、查封等产权瑕疵。</w:t>
      </w:r>
    </w:p>
    <w:p w14:paraId="0E6CCD04">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包装、运输和签收</w:t>
      </w:r>
    </w:p>
    <w:p w14:paraId="3F267FE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1.乙方提供的货物均应包装完整，每一包装单元内应附详细的装箱单和质量合格证。</w:t>
      </w:r>
    </w:p>
    <w:p w14:paraId="0F8A7F46">
      <w:pPr>
        <w:pStyle w:val="17"/>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2.货物的运输：</w:t>
      </w:r>
      <w:r>
        <w:rPr>
          <w:rFonts w:hAnsi="宋体" w:cs="宋体"/>
          <w:color w:val="auto"/>
          <w:sz w:val="24"/>
          <w:szCs w:val="24"/>
          <w:highlight w:val="none"/>
          <w:u w:val="single"/>
        </w:rPr>
        <w:t xml:space="preserve"> </w:t>
      </w:r>
      <w:r>
        <w:rPr>
          <w:rFonts w:hint="eastAsia" w:hAnsi="宋体" w:cs="宋体"/>
          <w:color w:val="auto"/>
          <w:sz w:val="24"/>
          <w:szCs w:val="24"/>
          <w:highlight w:val="none"/>
          <w:u w:val="single"/>
        </w:rPr>
        <w:t>乙方自定</w:t>
      </w:r>
      <w:r>
        <w:rPr>
          <w:rFonts w:hAnsi="宋体" w:cs="宋体"/>
          <w:color w:val="auto"/>
          <w:sz w:val="24"/>
          <w:szCs w:val="24"/>
          <w:highlight w:val="none"/>
          <w:u w:val="single"/>
        </w:rPr>
        <w:t>。</w:t>
      </w:r>
    </w:p>
    <w:p w14:paraId="237F93D9">
      <w:pPr>
        <w:pStyle w:val="17"/>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 乙方负责货物运输，货物运输合理损耗及计算方法：</w:t>
      </w:r>
      <w:r>
        <w:rPr>
          <w:rFonts w:hint="eastAsia" w:hAnsi="宋体" w:cs="宋体"/>
          <w:color w:val="auto"/>
          <w:sz w:val="24"/>
          <w:szCs w:val="24"/>
          <w:highlight w:val="none"/>
          <w:u w:val="single"/>
        </w:rPr>
        <w:t>甲方不接受损耗。</w:t>
      </w:r>
    </w:p>
    <w:p w14:paraId="6CE7CDB2">
      <w:pPr>
        <w:pStyle w:val="17"/>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4.</w:t>
      </w:r>
      <w:r>
        <w:rPr>
          <w:rFonts w:hint="eastAsia" w:hAnsi="宋体" w:cs="宋体"/>
          <w:color w:val="auto"/>
          <w:sz w:val="24"/>
          <w:szCs w:val="24"/>
          <w:highlight w:val="none"/>
        </w:rPr>
        <w:t>乙方应在货物发运前对其进行满足运输距离、防潮、防震、防锈和防破损装卸等要求包装，以保证货物安全运达甲方指定地点。</w:t>
      </w:r>
    </w:p>
    <w:p w14:paraId="2FF79819">
      <w:pPr>
        <w:pStyle w:val="17"/>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5.</w:t>
      </w:r>
      <w:r>
        <w:rPr>
          <w:rFonts w:hint="eastAsia" w:hAnsi="宋体" w:cs="宋体"/>
          <w:color w:val="auto"/>
          <w:sz w:val="24"/>
          <w:szCs w:val="24"/>
          <w:highlight w:val="none"/>
        </w:rPr>
        <w:t xml:space="preserve"> 使用说明书、质量检验证明书、随配附件和工具以及清单一并附于货物内。</w:t>
      </w:r>
    </w:p>
    <w:p w14:paraId="0A66FB9B">
      <w:pPr>
        <w:pStyle w:val="17"/>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6</w:t>
      </w:r>
      <w:r>
        <w:rPr>
          <w:rFonts w:hint="eastAsia" w:hAnsi="宋体" w:cs="宋体"/>
          <w:color w:val="auto"/>
          <w:sz w:val="24"/>
          <w:szCs w:val="24"/>
          <w:highlight w:val="none"/>
        </w:rPr>
        <w:t>.乙方在货物发运手续办理完毕后2</w:t>
      </w:r>
      <w:r>
        <w:rPr>
          <w:rFonts w:hAnsi="宋体" w:cs="宋体"/>
          <w:color w:val="auto"/>
          <w:sz w:val="24"/>
          <w:szCs w:val="24"/>
          <w:highlight w:val="none"/>
        </w:rPr>
        <w:t>4</w:t>
      </w:r>
      <w:r>
        <w:rPr>
          <w:rFonts w:hint="eastAsia" w:hAnsi="宋体" w:cs="宋体"/>
          <w:color w:val="auto"/>
          <w:sz w:val="24"/>
          <w:szCs w:val="24"/>
          <w:highlight w:val="none"/>
        </w:rPr>
        <w:t>小时内或者货到甲方4</w:t>
      </w:r>
      <w:r>
        <w:rPr>
          <w:rFonts w:hAnsi="宋体" w:cs="宋体"/>
          <w:color w:val="auto"/>
          <w:sz w:val="24"/>
          <w:szCs w:val="24"/>
          <w:highlight w:val="none"/>
        </w:rPr>
        <w:t>8</w:t>
      </w:r>
      <w:r>
        <w:rPr>
          <w:rFonts w:hint="eastAsia" w:hAnsi="宋体" w:cs="宋体"/>
          <w:color w:val="auto"/>
          <w:sz w:val="24"/>
          <w:szCs w:val="24"/>
          <w:highlight w:val="none"/>
        </w:rPr>
        <w:t>小时前通知甲方，以准备接货。</w:t>
      </w:r>
    </w:p>
    <w:p w14:paraId="5DCBBC40">
      <w:pPr>
        <w:pStyle w:val="17"/>
        <w:snapToGrid w:val="0"/>
        <w:spacing w:line="440" w:lineRule="exact"/>
        <w:ind w:firstLine="480" w:firstLineChars="200"/>
        <w:rPr>
          <w:rFonts w:hAnsi="宋体" w:cs="宋体"/>
          <w:color w:val="auto"/>
          <w:sz w:val="24"/>
          <w:szCs w:val="24"/>
          <w:highlight w:val="none"/>
        </w:rPr>
      </w:pPr>
      <w:r>
        <w:rPr>
          <w:rFonts w:hAnsi="宋体" w:cs="宋体"/>
          <w:color w:val="auto"/>
          <w:sz w:val="24"/>
          <w:szCs w:val="24"/>
          <w:highlight w:val="none"/>
        </w:rPr>
        <w:t>7</w:t>
      </w:r>
      <w:r>
        <w:rPr>
          <w:rFonts w:hint="eastAsia" w:hAnsi="宋体" w:cs="宋体"/>
          <w:color w:val="auto"/>
          <w:sz w:val="24"/>
          <w:szCs w:val="24"/>
          <w:highlight w:val="none"/>
        </w:rPr>
        <w:t>.货物在规定的交付期限内由乙方送达甲方指定的地点，乙方同时需通知甲方货物已送达，甲方清点货物后签收，货物签收不作为最终验收合格的依据。</w:t>
      </w:r>
    </w:p>
    <w:p w14:paraId="206C5955">
      <w:pPr>
        <w:snapToGrid w:val="0"/>
        <w:spacing w:line="460" w:lineRule="exact"/>
        <w:ind w:firstLine="482" w:firstLineChars="200"/>
        <w:rPr>
          <w:rFonts w:hAnsi="宋体" w:cs="宋体"/>
          <w:b/>
          <w:color w:val="auto"/>
          <w:sz w:val="24"/>
          <w:highlight w:val="none"/>
        </w:rPr>
      </w:pPr>
      <w:r>
        <w:rPr>
          <w:rFonts w:hint="eastAsia" w:ascii="宋体" w:hAnsi="宋体" w:cs="宋体"/>
          <w:b/>
          <w:color w:val="auto"/>
          <w:sz w:val="24"/>
          <w:highlight w:val="none"/>
        </w:rPr>
        <w:t>第五条　</w:t>
      </w:r>
      <w:r>
        <w:rPr>
          <w:rFonts w:hint="eastAsia" w:hAnsi="宋体" w:cs="宋体"/>
          <w:b/>
          <w:color w:val="auto"/>
          <w:sz w:val="24"/>
          <w:highlight w:val="none"/>
        </w:rPr>
        <w:t>安装和培训</w:t>
      </w:r>
    </w:p>
    <w:p w14:paraId="6C7A617D">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1.甲方应提供必要安装条件（如场地、电源、水源等）。</w:t>
      </w:r>
    </w:p>
    <w:p w14:paraId="295116F1">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2.乙方响应文件承诺负责甲方有关人员的培训：</w:t>
      </w:r>
      <w:r>
        <w:rPr>
          <w:rFonts w:hint="eastAsia" w:ascii="宋体" w:hAnsi="宋体" w:cs="宋体"/>
          <w:color w:val="auto"/>
          <w:sz w:val="24"/>
          <w:highlight w:val="none"/>
          <w:u w:val="single"/>
        </w:rPr>
        <w:t>根据甲方要求开展。</w:t>
      </w:r>
    </w:p>
    <w:p w14:paraId="69D11BB0">
      <w:pPr>
        <w:snapToGrid w:val="0"/>
        <w:spacing w:line="460" w:lineRule="exact"/>
        <w:ind w:firstLine="480" w:firstLineChars="200"/>
        <w:rPr>
          <w:color w:val="auto"/>
          <w:highlight w:val="none"/>
        </w:rPr>
      </w:pPr>
      <w:r>
        <w:rPr>
          <w:rFonts w:hint="eastAsia" w:ascii="宋体" w:hAnsi="宋体" w:cs="宋体"/>
          <w:color w:val="auto"/>
          <w:sz w:val="24"/>
          <w:highlight w:val="none"/>
        </w:rPr>
        <w:t>3.培训时间、地点：</w:t>
      </w:r>
      <w:r>
        <w:rPr>
          <w:rFonts w:hint="eastAsia" w:ascii="宋体" w:hAnsi="宋体" w:cs="宋体"/>
          <w:color w:val="auto"/>
          <w:sz w:val="24"/>
          <w:highlight w:val="none"/>
          <w:u w:val="single"/>
        </w:rPr>
        <w:t>在</w:t>
      </w:r>
      <w:r>
        <w:rPr>
          <w:rFonts w:ascii="宋体" w:hAnsi="宋体" w:cs="宋体"/>
          <w:color w:val="auto"/>
          <w:sz w:val="24"/>
          <w:highlight w:val="none"/>
          <w:u w:val="single"/>
        </w:rPr>
        <w:t>甲方指定地点按</w:t>
      </w:r>
      <w:r>
        <w:rPr>
          <w:rFonts w:hint="eastAsia" w:ascii="宋体" w:hAnsi="宋体" w:cs="宋体"/>
          <w:color w:val="auto"/>
          <w:sz w:val="24"/>
          <w:highlight w:val="none"/>
          <w:u w:val="single"/>
        </w:rPr>
        <w:t>双方</w:t>
      </w:r>
      <w:r>
        <w:rPr>
          <w:rFonts w:ascii="宋体" w:hAnsi="宋体" w:cs="宋体"/>
          <w:color w:val="auto"/>
          <w:sz w:val="24"/>
          <w:highlight w:val="none"/>
          <w:u w:val="single"/>
        </w:rPr>
        <w:t>根据项目约定时间内</w:t>
      </w:r>
      <w:r>
        <w:rPr>
          <w:rFonts w:hint="eastAsia" w:ascii="宋体" w:hAnsi="宋体" w:cs="宋体"/>
          <w:color w:val="auto"/>
          <w:sz w:val="24"/>
          <w:highlight w:val="none"/>
          <w:u w:val="single"/>
        </w:rPr>
        <w:t>进行</w:t>
      </w:r>
      <w:r>
        <w:rPr>
          <w:rFonts w:ascii="宋体" w:hAnsi="宋体" w:cs="宋体"/>
          <w:color w:val="auto"/>
          <w:sz w:val="24"/>
          <w:highlight w:val="none"/>
          <w:u w:val="single"/>
        </w:rPr>
        <w:t>培训</w:t>
      </w:r>
      <w:r>
        <w:rPr>
          <w:rFonts w:hint="eastAsia" w:ascii="宋体" w:hAnsi="宋体" w:cs="宋体"/>
          <w:color w:val="auto"/>
          <w:sz w:val="24"/>
          <w:highlight w:val="none"/>
          <w:u w:val="single"/>
        </w:rPr>
        <w:t>。</w:t>
      </w:r>
    </w:p>
    <w:p w14:paraId="2877D2D9">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第六条　调试、交付和验收</w:t>
      </w:r>
    </w:p>
    <w:p w14:paraId="1FEBD298">
      <w:pPr>
        <w:snapToGrid w:val="0"/>
        <w:spacing w:line="4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1.交付时间：自签订合同之日起</w:t>
      </w:r>
      <w:r>
        <w:rPr>
          <w:rFonts w:ascii="宋体" w:hAnsi="宋体" w:cs="宋体"/>
          <w:color w:val="auto"/>
          <w:sz w:val="24"/>
          <w:highlight w:val="none"/>
          <w:u w:val="single"/>
        </w:rPr>
        <w:t>6</w:t>
      </w:r>
      <w:r>
        <w:rPr>
          <w:rFonts w:hint="eastAsia" w:ascii="宋体" w:hAnsi="宋体" w:cs="宋体"/>
          <w:color w:val="auto"/>
          <w:sz w:val="24"/>
          <w:highlight w:val="none"/>
          <w:u w:val="single"/>
        </w:rPr>
        <w:t>0个日历日</w:t>
      </w:r>
      <w:r>
        <w:rPr>
          <w:rFonts w:hint="eastAsia" w:ascii="宋体" w:hAnsi="宋体" w:cs="宋体"/>
          <w:color w:val="auto"/>
          <w:sz w:val="24"/>
          <w:highlight w:val="none"/>
        </w:rPr>
        <w:t>内全部交货安装完成并验收合格。</w:t>
      </w:r>
    </w:p>
    <w:p w14:paraId="4DFC7E81">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2.乙方提供不符合采购文件规定或者响应文件承诺的和本合同规定的货物，甲方有权拒绝接受。</w:t>
      </w:r>
    </w:p>
    <w:p w14:paraId="6F710B94">
      <w:pPr>
        <w:snapToGrid w:val="0"/>
        <w:spacing w:line="360" w:lineRule="auto"/>
        <w:ind w:firstLine="480" w:firstLineChars="200"/>
        <w:rPr>
          <w:rFonts w:ascii="宋体" w:hAnsi="宋体"/>
          <w:color w:val="auto"/>
          <w:sz w:val="24"/>
          <w:highlight w:val="none"/>
        </w:rPr>
      </w:pPr>
      <w:r>
        <w:rPr>
          <w:rFonts w:hint="eastAsia" w:ascii="宋体" w:hAnsi="宋体"/>
          <w:color w:val="auto"/>
          <w:sz w:val="24"/>
          <w:highlight w:val="none"/>
        </w:rPr>
        <w:t>3.乙方提供不符合招标文件要求或提供虚假承诺、虚假检测报告等虚假材料的，甲方有权拒绝验收并认定乙方违约，甲方有权单方面解除合同，乙方承担所有责任和费用，甲方保留进一步追究责任的权利。</w:t>
      </w:r>
    </w:p>
    <w:p w14:paraId="3CF3328E">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.乙方应将所提供货物的装箱清单、用户手册、原厂保修卡、随机资料、工具和备品、备件等交付给甲方，供货时应同时附上中文使用说明书，</w:t>
      </w:r>
      <w:r>
        <w:rPr>
          <w:rFonts w:ascii="宋体" w:hAnsi="宋体" w:cs="宋体"/>
          <w:color w:val="auto"/>
          <w:sz w:val="24"/>
          <w:highlight w:val="none"/>
        </w:rPr>
        <w:t>如有还需提供相关管理</w:t>
      </w:r>
      <w:r>
        <w:rPr>
          <w:rFonts w:hint="eastAsia" w:ascii="宋体" w:hAnsi="宋体" w:cs="宋体"/>
          <w:color w:val="auto"/>
          <w:sz w:val="24"/>
          <w:highlight w:val="none"/>
        </w:rPr>
        <w:t>软件安装</w:t>
      </w:r>
      <w:r>
        <w:rPr>
          <w:rFonts w:ascii="宋体" w:hAnsi="宋体" w:cs="宋体"/>
          <w:color w:val="auto"/>
          <w:sz w:val="24"/>
          <w:highlight w:val="none"/>
        </w:rPr>
        <w:t>程序包</w:t>
      </w:r>
      <w:r>
        <w:rPr>
          <w:rFonts w:hint="eastAsia" w:ascii="宋体" w:hAnsi="宋体" w:cs="宋体"/>
          <w:color w:val="auto"/>
          <w:sz w:val="24"/>
          <w:highlight w:val="none"/>
        </w:rPr>
        <w:t>等，如有缺失应在5个工作日内补齐，否则视为逾期交货。</w:t>
      </w:r>
    </w:p>
    <w:p w14:paraId="27F15BE5">
      <w:pPr>
        <w:snapToGrid w:val="0"/>
        <w:spacing w:line="360" w:lineRule="auto"/>
        <w:ind w:firstLine="480" w:firstLineChars="200"/>
        <w:rPr>
          <w:rFonts w:ascii="宋体" w:hAnsi="宋体" w:cs="宋体"/>
          <w:color w:val="auto"/>
          <w:sz w:val="24"/>
          <w:highlight w:val="none"/>
        </w:rPr>
      </w:pPr>
      <w:r>
        <w:rPr>
          <w:rFonts w:ascii="宋体" w:hAnsi="宋体"/>
          <w:color w:val="auto"/>
          <w:sz w:val="24"/>
          <w:highlight w:val="none"/>
        </w:rPr>
        <w:t>5.</w:t>
      </w:r>
      <w:r>
        <w:rPr>
          <w:rFonts w:hint="eastAsia" w:ascii="宋体" w:hAnsi="宋体" w:cs="宋体"/>
          <w:color w:val="auto"/>
          <w:sz w:val="24"/>
          <w:highlight w:val="none"/>
        </w:rPr>
        <w:t>乙方应对产品作出全面检查和对验收文件进行整理，并列出清单，作为甲方验收和使用的技术条件依据，检验的结果应随货物交甲方。</w:t>
      </w:r>
    </w:p>
    <w:p w14:paraId="2907EF78">
      <w:pPr>
        <w:pStyle w:val="17"/>
        <w:snapToGrid w:val="0"/>
        <w:spacing w:line="360" w:lineRule="auto"/>
        <w:ind w:firstLine="480" w:firstLineChars="200"/>
        <w:rPr>
          <w:rFonts w:hAnsi="宋体" w:cs="宋体"/>
          <w:color w:val="auto"/>
          <w:sz w:val="24"/>
          <w:szCs w:val="24"/>
          <w:highlight w:val="none"/>
        </w:rPr>
      </w:pPr>
      <w:r>
        <w:rPr>
          <w:rFonts w:hAnsi="宋体"/>
          <w:color w:val="auto"/>
          <w:sz w:val="24"/>
          <w:szCs w:val="24"/>
          <w:highlight w:val="none"/>
        </w:rPr>
        <w:t>6.</w:t>
      </w:r>
      <w:r>
        <w:rPr>
          <w:rFonts w:hint="eastAsia" w:hAnsi="宋体" w:cs="宋体"/>
          <w:color w:val="auto"/>
          <w:sz w:val="24"/>
          <w:szCs w:val="24"/>
          <w:highlight w:val="none"/>
        </w:rPr>
        <w:t>甲方对乙方提供的货物在使用前进行调试时，乙方需负责安装并培训甲方的使用操作人员，并协助甲方一起调试，直到符合技术要求，甲方才做最终验收。</w:t>
      </w:r>
    </w:p>
    <w:p w14:paraId="7167F17C">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乙方应当在到货并安装、调试完毕后，达到验收条件时以书面形式提请甲方进行验收，甲方应在收到乙方书面验收请求后</w:t>
      </w:r>
      <w:r>
        <w:rPr>
          <w:rFonts w:ascii="宋体" w:hAnsi="宋体" w:cs="宋体"/>
          <w:color w:val="auto"/>
          <w:sz w:val="24"/>
          <w:highlight w:val="none"/>
        </w:rPr>
        <w:t>7</w:t>
      </w:r>
      <w:r>
        <w:rPr>
          <w:rFonts w:hint="eastAsia" w:ascii="宋体" w:hAnsi="宋体" w:cs="宋体"/>
          <w:color w:val="auto"/>
          <w:sz w:val="24"/>
          <w:highlight w:val="none"/>
        </w:rPr>
        <w:t>个工作日内组织开展履约验收（预验收）。验收合格后由甲乙双方签署货物验收单并加盖甲方公章，甲乙双方各执壹份。甲方使用单位预验收及甲方履约验收过程中所产生的一切费用均由乙方承担。</w:t>
      </w:r>
    </w:p>
    <w:p w14:paraId="68BFEE4D">
      <w:pPr>
        <w:pStyle w:val="17"/>
        <w:snapToGrid w:val="0"/>
        <w:spacing w:line="360" w:lineRule="auto"/>
        <w:ind w:firstLine="480" w:firstLineChars="200"/>
        <w:rPr>
          <w:rFonts w:hAnsi="宋体" w:cs="宋体"/>
          <w:color w:val="auto"/>
          <w:sz w:val="24"/>
          <w:szCs w:val="24"/>
          <w:highlight w:val="none"/>
        </w:rPr>
      </w:pPr>
      <w:r>
        <w:rPr>
          <w:rFonts w:hAnsi="宋体"/>
          <w:color w:val="auto"/>
          <w:sz w:val="24"/>
          <w:szCs w:val="24"/>
          <w:highlight w:val="none"/>
        </w:rPr>
        <w:t>8.</w:t>
      </w:r>
      <w:r>
        <w:rPr>
          <w:rFonts w:hint="eastAsia" w:hAnsi="宋体" w:cs="宋体"/>
          <w:color w:val="auto"/>
          <w:sz w:val="24"/>
          <w:szCs w:val="24"/>
          <w:highlight w:val="none"/>
        </w:rPr>
        <w:t>对技术复杂的货物，甲方可请国家认可的专业检测机构参与初步验收及最终验收，并由其出具质量检测报告。</w:t>
      </w:r>
    </w:p>
    <w:p w14:paraId="43B3B505">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9.</w:t>
      </w:r>
      <w:r>
        <w:rPr>
          <w:rFonts w:hint="eastAsia" w:ascii="宋体" w:hAnsi="宋体" w:cs="宋体"/>
          <w:color w:val="auto"/>
          <w:sz w:val="24"/>
          <w:highlight w:val="none"/>
        </w:rPr>
        <w:t>预验收未通过或者履约验收未通过的，应限期整改或进行退换货处理，整改完成后重新组织履约验收。整改后仍不能通过验收的，依法追究相关责任。</w:t>
      </w:r>
    </w:p>
    <w:p w14:paraId="685CD0C2">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10.</w:t>
      </w:r>
      <w:r>
        <w:rPr>
          <w:rFonts w:hint="eastAsia" w:ascii="宋体" w:hAnsi="宋体" w:cs="宋体"/>
          <w:color w:val="auto"/>
          <w:sz w:val="24"/>
          <w:highlight w:val="none"/>
        </w:rPr>
        <w:t>在验收过程中发现乙方有违约情形，可暂缓资金结算，待乙方违约情形整改后，方可办理资金结算事宜。</w:t>
      </w:r>
    </w:p>
    <w:p w14:paraId="085232D9">
      <w:pPr>
        <w:snapToGrid w:val="0"/>
        <w:spacing w:line="360" w:lineRule="auto"/>
        <w:ind w:firstLine="480" w:firstLineChars="200"/>
        <w:rPr>
          <w:rFonts w:ascii="宋体" w:hAnsi="宋体" w:cs="宋体"/>
          <w:color w:val="auto"/>
          <w:sz w:val="24"/>
          <w:highlight w:val="none"/>
          <w:u w:val="single"/>
        </w:rPr>
      </w:pPr>
      <w:r>
        <w:rPr>
          <w:rFonts w:ascii="宋体" w:hAnsi="宋体" w:cs="宋体"/>
          <w:color w:val="auto"/>
          <w:sz w:val="24"/>
          <w:highlight w:val="none"/>
        </w:rPr>
        <w:t>11.</w:t>
      </w:r>
      <w:r>
        <w:rPr>
          <w:rFonts w:hint="eastAsia" w:ascii="宋体" w:hAnsi="宋体" w:cs="宋体"/>
          <w:color w:val="auto"/>
          <w:sz w:val="24"/>
          <w:highlight w:val="none"/>
        </w:rPr>
        <w:t>甲方对验收有异议的，在验收后</w:t>
      </w:r>
      <w:r>
        <w:rPr>
          <w:rFonts w:ascii="宋体" w:hAnsi="宋体" w:cs="宋体"/>
          <w:color w:val="auto"/>
          <w:sz w:val="24"/>
          <w:highlight w:val="none"/>
        </w:rPr>
        <w:t>5</w:t>
      </w:r>
      <w:r>
        <w:rPr>
          <w:rFonts w:hint="eastAsia" w:ascii="宋体" w:hAnsi="宋体" w:cs="宋体"/>
          <w:color w:val="auto"/>
          <w:sz w:val="24"/>
          <w:highlight w:val="none"/>
        </w:rPr>
        <w:t>个工作日内以书面形式向乙方提出，乙方应自收到甲方书面异议后</w:t>
      </w:r>
      <w:r>
        <w:rPr>
          <w:rFonts w:ascii="宋体" w:hAnsi="宋体" w:cs="宋体"/>
          <w:color w:val="auto"/>
          <w:sz w:val="24"/>
          <w:highlight w:val="none"/>
        </w:rPr>
        <w:t>7</w:t>
      </w:r>
      <w:r>
        <w:rPr>
          <w:rFonts w:hint="eastAsia" w:ascii="宋体" w:hAnsi="宋体" w:cs="宋体"/>
          <w:color w:val="auto"/>
          <w:sz w:val="24"/>
          <w:highlight w:val="none"/>
        </w:rPr>
        <w:t>日内及时予以解决。</w:t>
      </w:r>
    </w:p>
    <w:p w14:paraId="30AC068B">
      <w:pPr>
        <w:snapToGrid w:val="0"/>
        <w:spacing w:line="360" w:lineRule="auto"/>
        <w:ind w:left="-61" w:firstLine="514"/>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验收时乙方必须在现场，验收完毕后作出验收结果报告；验收过程所产生的一切费用均由乙方承担。</w:t>
      </w:r>
    </w:p>
    <w:p w14:paraId="3A3C3A17">
      <w:pPr>
        <w:snapToGrid w:val="0"/>
        <w:spacing w:line="360" w:lineRule="auto"/>
        <w:ind w:left="-61" w:firstLine="514"/>
        <w:rPr>
          <w:rFonts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货物在验收合同交付甲方前发生的风险均由乙方负责。</w:t>
      </w:r>
    </w:p>
    <w:p w14:paraId="2D743850">
      <w:pPr>
        <w:pStyle w:val="12"/>
        <w:ind w:firstLine="480" w:firstLineChars="200"/>
        <w:rPr>
          <w:color w:val="auto"/>
          <w:highlight w:val="none"/>
        </w:rPr>
      </w:pPr>
      <w:r>
        <w:rPr>
          <w:rFonts w:ascii="宋体" w:hAnsi="宋体" w:cs="宋体"/>
          <w:color w:val="auto"/>
          <w:sz w:val="24"/>
          <w:highlight w:val="none"/>
        </w:rPr>
        <w:t>14.</w:t>
      </w:r>
      <w:r>
        <w:rPr>
          <w:rFonts w:hint="eastAsia" w:ascii="宋体" w:hAnsi="宋体" w:cs="宋体"/>
          <w:color w:val="auto"/>
          <w:sz w:val="24"/>
          <w:highlight w:val="none"/>
        </w:rPr>
        <w:t>本合同的验收条款与采购需求商务条款中的货物验收条款互为补充。</w:t>
      </w:r>
    </w:p>
    <w:p w14:paraId="14C5C24F">
      <w:pPr>
        <w:snapToGrid w:val="0"/>
        <w:spacing w:line="360" w:lineRule="auto"/>
        <w:ind w:left="-61" w:firstLine="514"/>
        <w:rPr>
          <w:rFonts w:ascii="宋体" w:hAnsi="宋体" w:cs="宋体"/>
          <w:b/>
          <w:color w:val="auto"/>
          <w:sz w:val="24"/>
          <w:highlight w:val="none"/>
        </w:rPr>
      </w:pPr>
      <w:r>
        <w:rPr>
          <w:rFonts w:hint="eastAsia" w:ascii="宋体" w:hAnsi="宋体" w:cs="宋体"/>
          <w:b/>
          <w:color w:val="auto"/>
          <w:sz w:val="24"/>
          <w:highlight w:val="none"/>
        </w:rPr>
        <w:t>第七条　付款方式</w:t>
      </w:r>
    </w:p>
    <w:p w14:paraId="018E20B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本项目采取分批付款方式支付合同款，具体要求如下：</w:t>
      </w:r>
    </w:p>
    <w:p w14:paraId="60D0569B">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w:t>
      </w:r>
      <w:r>
        <w:rPr>
          <w:rFonts w:hint="eastAsia" w:ascii="宋体" w:hAnsi="宋体" w:cs="宋体"/>
          <w:color w:val="auto"/>
          <w:sz w:val="24"/>
          <w:highlight w:val="none"/>
        </w:rPr>
        <w:t>分批支付</w:t>
      </w:r>
      <w:r>
        <w:rPr>
          <w:rFonts w:ascii="宋体" w:hAnsi="宋体" w:cs="宋体"/>
          <w:color w:val="auto"/>
          <w:sz w:val="24"/>
          <w:highlight w:val="none"/>
        </w:rPr>
        <w:t>合同款</w:t>
      </w:r>
      <w:r>
        <w:rPr>
          <w:rFonts w:hint="eastAsia" w:ascii="宋体" w:hAnsi="宋体" w:cs="宋体"/>
          <w:color w:val="auto"/>
          <w:sz w:val="24"/>
          <w:highlight w:val="none"/>
        </w:rPr>
        <w:t>：</w:t>
      </w:r>
    </w:p>
    <w:p w14:paraId="74A5E677">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（1）合同签订并缴纳项目履约保证金后15个工作日内，</w:t>
      </w:r>
      <w:r>
        <w:rPr>
          <w:rFonts w:ascii="宋体" w:hAnsi="宋体" w:cs="宋体"/>
          <w:color w:val="auto"/>
          <w:sz w:val="24"/>
          <w:highlight w:val="none"/>
        </w:rPr>
        <w:t>甲方</w:t>
      </w:r>
      <w:r>
        <w:rPr>
          <w:rFonts w:hint="eastAsia" w:ascii="宋体" w:hAnsi="宋体" w:cs="宋体"/>
          <w:color w:val="auto"/>
          <w:sz w:val="24"/>
          <w:highlight w:val="none"/>
        </w:rPr>
        <w:t>向乙方支付合同金额的40%做为预付款；</w:t>
      </w:r>
    </w:p>
    <w:p w14:paraId="4952C055">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项目采购清单设备全部到货并通过甲方确认后，甲方自收到乙方书面申请之日起10个工作日内，</w:t>
      </w:r>
      <w:r>
        <w:rPr>
          <w:rFonts w:ascii="宋体" w:hAnsi="宋体" w:cs="宋体"/>
          <w:color w:val="auto"/>
          <w:sz w:val="24"/>
          <w:highlight w:val="none"/>
        </w:rPr>
        <w:t>甲方</w:t>
      </w:r>
      <w:r>
        <w:rPr>
          <w:rFonts w:hint="eastAsia" w:ascii="宋体" w:hAnsi="宋体" w:cs="宋体"/>
          <w:color w:val="auto"/>
          <w:sz w:val="24"/>
          <w:highlight w:val="none"/>
        </w:rPr>
        <w:t>向乙方支付合同金额40%的进度款；</w:t>
      </w:r>
    </w:p>
    <w:p w14:paraId="65401DD8">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（3）项目完成并通过最终验收后，甲方自收到乙方书面申请之日起10个工作日内，</w:t>
      </w:r>
      <w:r>
        <w:rPr>
          <w:rFonts w:ascii="宋体" w:hAnsi="宋体" w:cs="宋体"/>
          <w:color w:val="auto"/>
          <w:sz w:val="24"/>
          <w:highlight w:val="none"/>
        </w:rPr>
        <w:t>甲方</w:t>
      </w:r>
      <w:r>
        <w:rPr>
          <w:rFonts w:hint="eastAsia" w:ascii="宋体" w:hAnsi="宋体" w:cs="宋体"/>
          <w:color w:val="auto"/>
          <w:sz w:val="24"/>
          <w:highlight w:val="none"/>
        </w:rPr>
        <w:t>向乙方支付合同金额20%的进度款。</w:t>
      </w:r>
    </w:p>
    <w:p w14:paraId="76340FE4">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（4）项目免费质保期结束后，双方根据服务质量及履约情况结算扣除款项，再由甲方一次性无息返还结余的履约保证金给乙方（项目履约保证金见“履约保证金”说明）。</w:t>
      </w:r>
    </w:p>
    <w:p w14:paraId="3A361046">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w:t>
      </w:r>
      <w:r>
        <w:rPr>
          <w:rFonts w:hint="eastAsia" w:ascii="宋体" w:hAnsi="宋体" w:cs="宋体"/>
          <w:color w:val="auto"/>
          <w:sz w:val="24"/>
          <w:highlight w:val="none"/>
        </w:rPr>
        <w:t>乙方每次申请付款材料必须包括请付合同款的等额发票、付款申请函以及关键性的履约佐证材料等，否则甲方有权延缓支付当次及后续的合同款项。</w:t>
      </w:r>
    </w:p>
    <w:p w14:paraId="011E6DCA">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w:t>
      </w:r>
      <w:r>
        <w:rPr>
          <w:rFonts w:hint="eastAsia" w:ascii="宋体" w:hAnsi="宋体" w:cs="宋体"/>
          <w:color w:val="auto"/>
          <w:sz w:val="24"/>
          <w:highlight w:val="none"/>
        </w:rPr>
        <w:t>乙方提供的项目合同款项发票必须属于真实、有效、合法的正式发票，并由甲方查验票据合格后方可支付请付款项。一旦发现乙方提供虚假发票，除须向甲方补开合法发票外，须向甲方支付发票票面金额一倍的违约金，且甲方有权终止合同， 因终止合同而产生的一切损失均由乙方承担。</w:t>
      </w:r>
    </w:p>
    <w:p w14:paraId="7A1D8B82">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本项目合同使用货币币制如未作特别说明均为人民币。</w:t>
      </w:r>
    </w:p>
    <w:p w14:paraId="0C0371E0">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ascii="宋体" w:hAnsi="宋体" w:cs="宋体"/>
          <w:color w:val="auto"/>
          <w:sz w:val="24"/>
          <w:highlight w:val="none"/>
        </w:rPr>
        <w:t>.</w:t>
      </w:r>
      <w:r>
        <w:rPr>
          <w:rFonts w:hint="eastAsia" w:ascii="宋体" w:hAnsi="宋体" w:cs="宋体"/>
          <w:color w:val="auto"/>
          <w:sz w:val="24"/>
          <w:highlight w:val="none"/>
        </w:rPr>
        <w:t>乙方收款账户信息：</w:t>
      </w:r>
    </w:p>
    <w:p w14:paraId="094C42D0">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u w:val="single"/>
        </w:rPr>
        <w:t xml:space="preserve">                                         </w:t>
      </w:r>
    </w:p>
    <w:p w14:paraId="2DAAB40E">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67936724">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w:t>
      </w:r>
      <w:r>
        <w:rPr>
          <w:rFonts w:hint="eastAsia" w:ascii="宋体" w:hAnsi="宋体" w:cs="宋体"/>
          <w:color w:val="auto"/>
          <w:sz w:val="24"/>
          <w:highlight w:val="none"/>
          <w:u w:val="single"/>
        </w:rPr>
        <w:t xml:space="preserve">                                         </w:t>
      </w:r>
    </w:p>
    <w:p w14:paraId="38C2D449">
      <w:pPr>
        <w:snapToGrid w:val="0"/>
        <w:spacing w:line="46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甲方开发票信息：</w:t>
      </w:r>
    </w:p>
    <w:p w14:paraId="5C329164">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甲方名称：</w:t>
      </w:r>
      <w:r>
        <w:rPr>
          <w:rFonts w:hint="eastAsia" w:ascii="宋体" w:hAnsi="宋体" w:cs="宋体"/>
          <w:color w:val="auto"/>
          <w:sz w:val="24"/>
          <w:highlight w:val="none"/>
          <w:u w:val="single"/>
        </w:rPr>
        <w:t xml:space="preserve">广西壮族自治区人民检察院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p>
    <w:p w14:paraId="7FA551A5">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统一社会信用代码：</w:t>
      </w:r>
      <w:r>
        <w:rPr>
          <w:rFonts w:hint="eastAsia" w:ascii="宋体" w:hAnsi="宋体" w:cs="宋体"/>
          <w:color w:val="auto"/>
          <w:sz w:val="24"/>
          <w:highlight w:val="none"/>
          <w:u w:val="single"/>
        </w:rPr>
        <w:t xml:space="preserve">11450000007565485L         </w:t>
      </w:r>
    </w:p>
    <w:p w14:paraId="19BC02AF">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南宁市凤翔路3号                       </w:t>
      </w:r>
    </w:p>
    <w:p w14:paraId="3CCF2B55">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0771-5506029                           </w:t>
      </w:r>
    </w:p>
    <w:p w14:paraId="78B5EA9A">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履约保证金</w:t>
      </w:r>
    </w:p>
    <w:p w14:paraId="17F21CD7">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1.履约保证金金额：</w:t>
      </w:r>
      <w:r>
        <w:rPr>
          <w:rFonts w:hint="eastAsia" w:ascii="宋体" w:hAnsi="宋体" w:cs="宋体"/>
          <w:color w:val="auto"/>
          <w:sz w:val="24"/>
          <w:highlight w:val="none"/>
          <w:u w:val="single"/>
          <w:lang w:eastAsia="zh-Hans"/>
        </w:rPr>
        <w:t>合同金额的</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w:t>
      </w:r>
      <w:r>
        <w:rPr>
          <w:rFonts w:hint="eastAsia" w:ascii="宋体" w:hAnsi="宋体" w:cs="宋体"/>
          <w:color w:val="auto"/>
          <w:sz w:val="24"/>
          <w:highlight w:val="none"/>
          <w:u w:val="single"/>
        </w:rPr>
        <w:t>00）</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即人民币（大写）   </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hint="eastAsia" w:ascii="宋体" w:hAnsi="宋体" w:cs="宋体"/>
          <w:color w:val="auto"/>
          <w:sz w:val="24"/>
          <w:highlight w:val="none"/>
        </w:rPr>
        <w:t>乙方在签订合同时交至指定账户。</w:t>
      </w:r>
    </w:p>
    <w:p w14:paraId="3A7F77D2">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履约保证金递交方式：银行转账、支票、汇票、本票或者银行、保险机构出具的保函等非现金方式。如乙方采用保函形式缴纳履约保证金的，该保函需载明：（1）见索即付；（2）收到甲方法定代表人或授权委托代理人签字确认并加盖公章的书面索赔通知后即应不争辩、不挑剔、不可撤销地向甲方支付索赔款，直至最高担保金额。（如乙方提供的保函未载明前述内容的，甲方可直接拒收该保函，乙方应以银行转账或其他能切实发挥履约担保作用的方式提供履约保证金）。</w:t>
      </w:r>
    </w:p>
    <w:p w14:paraId="7E9FE4A8">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3.履约保证金缴纳期限：自中标通知书发出之日起 5个工作日内。</w:t>
      </w:r>
    </w:p>
    <w:p w14:paraId="049EB86B">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履约保证金退付方式、时间及条件：履约保证金在项目履约完成（按合同约定履行完合同所有内容，包括但不限于承诺的免费保修）后无息退还。由乙方向甲方提供《广西壮族自治区政府采购项目合同验收书》（详见桂财采〔2015〕22号）等</w:t>
      </w:r>
      <w:r>
        <w:rPr>
          <w:rFonts w:ascii="宋体" w:hAnsi="宋体" w:cs="宋体"/>
          <w:color w:val="auto"/>
          <w:sz w:val="24"/>
          <w:highlight w:val="none"/>
        </w:rPr>
        <w:t>材料</w:t>
      </w:r>
      <w:r>
        <w:rPr>
          <w:rFonts w:hint="eastAsia" w:ascii="宋体" w:hAnsi="宋体" w:cs="宋体"/>
          <w:color w:val="auto"/>
          <w:sz w:val="24"/>
          <w:highlight w:val="none"/>
        </w:rPr>
        <w:t>申请退还，甲方在收到申请退还材料经</w:t>
      </w:r>
      <w:r>
        <w:rPr>
          <w:rFonts w:ascii="宋体" w:hAnsi="宋体" w:cs="宋体"/>
          <w:color w:val="auto"/>
          <w:sz w:val="24"/>
          <w:highlight w:val="none"/>
        </w:rPr>
        <w:t>审查确认</w:t>
      </w:r>
      <w:r>
        <w:rPr>
          <w:rFonts w:hint="eastAsia" w:ascii="宋体" w:hAnsi="宋体" w:cs="宋体"/>
          <w:color w:val="auto"/>
          <w:sz w:val="24"/>
          <w:highlight w:val="none"/>
        </w:rPr>
        <w:t>后10个工作日内办理退还手续（不计利息）。</w:t>
      </w:r>
    </w:p>
    <w:p w14:paraId="79B23867">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5.不予退还的情形：签订合同后，如乙方不按双方签订的合同规定履约，则其全部履约保证金不予退还，如存在违约行为则根据合同约定扣除违约处罚费用后再结算退还。</w:t>
      </w:r>
    </w:p>
    <w:p w14:paraId="17661F92">
      <w:pPr>
        <w:snapToGrid w:val="0"/>
        <w:spacing w:line="46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6</w:t>
      </w:r>
      <w:r>
        <w:rPr>
          <w:rFonts w:hint="eastAsia" w:ascii="宋体" w:hAnsi="宋体" w:cs="宋体"/>
          <w:color w:val="auto"/>
          <w:sz w:val="24"/>
          <w:highlight w:val="none"/>
        </w:rPr>
        <w:t>.甲方履约保证金指定账户：</w:t>
      </w:r>
    </w:p>
    <w:p w14:paraId="25DBF84F">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开户名称：</w:t>
      </w:r>
      <w:r>
        <w:rPr>
          <w:rFonts w:hint="eastAsia" w:ascii="宋体" w:hAnsi="宋体" w:cs="宋体"/>
          <w:color w:val="auto"/>
          <w:sz w:val="24"/>
          <w:highlight w:val="none"/>
          <w:u w:val="single"/>
        </w:rPr>
        <w:t xml:space="preserve">广西壮族自治区人民检察院       </w:t>
      </w:r>
    </w:p>
    <w:p w14:paraId="65CD5E04">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农行南宁市古城支行凤翔分理处   </w:t>
      </w:r>
    </w:p>
    <w:p w14:paraId="18C3BF59">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银行账号：</w:t>
      </w:r>
      <w:r>
        <w:rPr>
          <w:rFonts w:hint="eastAsia" w:ascii="宋体" w:hAnsi="宋体" w:cs="宋体"/>
          <w:color w:val="auto"/>
          <w:sz w:val="24"/>
          <w:highlight w:val="none"/>
          <w:u w:val="single"/>
        </w:rPr>
        <w:t xml:space="preserve">20009201040000296              </w:t>
      </w:r>
    </w:p>
    <w:p w14:paraId="5C11063B">
      <w:pPr>
        <w:snapToGrid w:val="0"/>
        <w:spacing w:line="460" w:lineRule="exact"/>
        <w:ind w:firstLine="480" w:firstLineChars="200"/>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.其他要求：</w:t>
      </w:r>
    </w:p>
    <w:p w14:paraId="1FA24277">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（1）履约保证金必须足额缴纳，或出具的保函额度必须足额且保函有效期不能低于合同履行期限（即签订采购合同之日起至履行完合同约定的权利及义务之日止），否则视为无效履约保证金。</w:t>
      </w:r>
    </w:p>
    <w:p w14:paraId="4552F195">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（2）采用保函的，必须为无条件保函，否则视为无效履约保证金。</w:t>
      </w:r>
    </w:p>
    <w:p w14:paraId="72551335">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w:t>
      </w:r>
      <w:r>
        <w:rPr>
          <w:rFonts w:ascii="宋体" w:hAnsi="宋体" w:cs="宋体"/>
          <w:color w:val="auto"/>
          <w:sz w:val="24"/>
          <w:highlight w:val="none"/>
        </w:rPr>
        <w:t>履约保证金缴纳时须明确备注项目</w:t>
      </w:r>
      <w:r>
        <w:rPr>
          <w:rFonts w:hint="eastAsia" w:ascii="宋体" w:hAnsi="宋体" w:cs="宋体"/>
          <w:color w:val="auto"/>
          <w:sz w:val="24"/>
          <w:highlight w:val="none"/>
        </w:rPr>
        <w:t>名称（编号）：</w:t>
      </w:r>
      <w:r>
        <w:rPr>
          <w:rFonts w:hint="eastAsia" w:ascii="宋体" w:hAnsi="宋体" w:cs="宋体"/>
          <w:color w:val="auto"/>
          <w:sz w:val="24"/>
          <w:highlight w:val="none"/>
          <w:u w:val="single"/>
          <w:lang w:eastAsia="zh-CN"/>
        </w:rPr>
        <w:t>全区检察机关信访联动指挥一体化系统项目（重）</w:t>
      </w:r>
      <w:r>
        <w:rPr>
          <w:rFonts w:hint="eastAsia" w:ascii="宋体" w:hAnsi="宋体" w:cs="宋体"/>
          <w:color w:val="auto"/>
          <w:sz w:val="24"/>
          <w:highlight w:val="none"/>
        </w:rPr>
        <w:t>（</w:t>
      </w:r>
      <w:r>
        <w:rPr>
          <w:rFonts w:ascii="宋体" w:hAnsi="宋体" w:cs="宋体"/>
          <w:color w:val="auto"/>
          <w:sz w:val="24"/>
          <w:highlight w:val="none"/>
          <w:u w:val="single"/>
        </w:rPr>
        <w:t>GXZC</w:t>
      </w:r>
      <w:r>
        <w:rPr>
          <w:rFonts w:hint="eastAsia" w:ascii="宋体" w:hAnsi="宋体" w:cs="宋体"/>
          <w:color w:val="auto"/>
          <w:sz w:val="24"/>
          <w:highlight w:val="none"/>
          <w:u w:val="single"/>
        </w:rPr>
        <w:t>2026</w:t>
      </w:r>
      <w:r>
        <w:rPr>
          <w:rFonts w:ascii="宋体" w:hAnsi="宋体" w:cs="宋体"/>
          <w:color w:val="auto"/>
          <w:sz w:val="24"/>
          <w:highlight w:val="none"/>
          <w:u w:val="single"/>
        </w:rPr>
        <w:t>-J1-000000-****</w:t>
      </w:r>
      <w:r>
        <w:rPr>
          <w:rFonts w:hint="eastAsia" w:ascii="宋体" w:hAnsi="宋体" w:cs="宋体"/>
          <w:color w:val="auto"/>
          <w:sz w:val="24"/>
          <w:highlight w:val="none"/>
        </w:rPr>
        <w:t>）履约保证金。</w:t>
      </w:r>
    </w:p>
    <w:p w14:paraId="58525C00">
      <w:pPr>
        <w:snapToGrid w:val="0"/>
        <w:spacing w:line="4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ascii="宋体" w:hAnsi="宋体" w:cs="宋体"/>
          <w:color w:val="auto"/>
          <w:sz w:val="24"/>
          <w:highlight w:val="none"/>
        </w:rPr>
        <w:t>）</w:t>
      </w:r>
      <w:r>
        <w:rPr>
          <w:rFonts w:hint="eastAsia" w:ascii="宋体" w:hAnsi="宋体" w:cs="宋体"/>
          <w:color w:val="auto"/>
          <w:sz w:val="24"/>
          <w:highlight w:val="none"/>
        </w:rPr>
        <w:t>乙方在履约保证金申请退还时，若乙方的开户名称、开户银行、账号有变动的，请以书面形式同时通知甲方，否则由此产生的后果由乙方自负。</w:t>
      </w:r>
    </w:p>
    <w:p w14:paraId="164D7A1C">
      <w:pPr>
        <w:snapToGrid w:val="0"/>
        <w:spacing w:line="460" w:lineRule="exact"/>
        <w:ind w:firstLine="514"/>
        <w:rPr>
          <w:rFonts w:ascii="宋体" w:hAnsi="宋体" w:cs="宋体"/>
          <w:b/>
          <w:color w:val="auto"/>
          <w:sz w:val="24"/>
          <w:highlight w:val="none"/>
        </w:rPr>
      </w:pPr>
      <w:r>
        <w:rPr>
          <w:rFonts w:hint="eastAsia" w:ascii="宋体" w:hAnsi="宋体" w:cs="宋体"/>
          <w:b/>
          <w:color w:val="auto"/>
          <w:sz w:val="24"/>
          <w:highlight w:val="none"/>
        </w:rPr>
        <w:t>第九条  税费</w:t>
      </w:r>
    </w:p>
    <w:p w14:paraId="43B271D9">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本合同执行中相关的一切税费均由乙方负担，合同另有约定的除外。合同执行期间税费发生变化的，由乙方承担。</w:t>
      </w:r>
    </w:p>
    <w:p w14:paraId="33214B06">
      <w:pPr>
        <w:snapToGrid w:val="0"/>
        <w:spacing w:line="460" w:lineRule="exact"/>
        <w:ind w:firstLine="514"/>
        <w:rPr>
          <w:rFonts w:ascii="宋体" w:hAnsi="宋体" w:cs="宋体"/>
          <w:color w:val="auto"/>
          <w:sz w:val="24"/>
          <w:highlight w:val="none"/>
        </w:rPr>
      </w:pPr>
      <w:r>
        <w:rPr>
          <w:rFonts w:hint="eastAsia" w:ascii="宋体" w:hAnsi="宋体" w:cs="宋体"/>
          <w:b/>
          <w:color w:val="auto"/>
          <w:sz w:val="24"/>
          <w:highlight w:val="none"/>
        </w:rPr>
        <w:t>第十条  质量保证、售后服务</w:t>
      </w:r>
    </w:p>
    <w:p w14:paraId="11DBC44A">
      <w:pPr>
        <w:snapToGrid w:val="0"/>
        <w:spacing w:line="460" w:lineRule="exact"/>
        <w:ind w:firstLine="480" w:firstLineChars="200"/>
        <w:rPr>
          <w:rFonts w:ascii="宋体" w:hAnsi="宋体" w:cs="宋体"/>
          <w:bCs/>
          <w:color w:val="auto"/>
          <w:kern w:val="0"/>
          <w:sz w:val="24"/>
          <w:highlight w:val="none"/>
        </w:rPr>
      </w:pPr>
      <w:r>
        <w:rPr>
          <w:rFonts w:hint="eastAsia" w:hAnsi="宋体" w:cs="宋体"/>
          <w:color w:val="auto"/>
          <w:sz w:val="24"/>
          <w:highlight w:val="none"/>
        </w:rPr>
        <w:t>1</w:t>
      </w:r>
      <w:r>
        <w:rPr>
          <w:rFonts w:hint="eastAsia" w:ascii="宋体" w:hAnsi="宋体" w:cs="宋体"/>
          <w:bCs/>
          <w:color w:val="auto"/>
          <w:kern w:val="0"/>
          <w:sz w:val="24"/>
          <w:highlight w:val="none"/>
        </w:rPr>
        <w:t>.乙方应按照国家有关法律法规和“三包”规定以及采购文件要求、响应文件承诺和本合同所附的《售后服务承诺》，为甲方提供售后服务。</w:t>
      </w:r>
    </w:p>
    <w:p w14:paraId="2540877E">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2.乙方应按采购文件规定的设备和软件性能、技术要求、质量标准向甲方提供未经使用的全新产品。对达不到要求者，根据实际情况，经双方协商，可按以下办法处理：</w:t>
      </w:r>
    </w:p>
    <w:p w14:paraId="2AE6D92D">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（1）更换：由乙方承担所发生的全部费用。</w:t>
      </w:r>
    </w:p>
    <w:p w14:paraId="6BE741C1">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（2）贬值处理：由甲乙双方合议定价。</w:t>
      </w:r>
    </w:p>
    <w:p w14:paraId="3B351DA2">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（3）退货处理：乙方应退还甲方支付的合同款，同时应承担该货物的直接费用（运输、保险、检验、货款利息及银行手续费等）。</w:t>
      </w:r>
    </w:p>
    <w:p w14:paraId="29E7A097">
      <w:pPr>
        <w:snapToGrid w:val="0"/>
        <w:spacing w:line="460" w:lineRule="exact"/>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如果双方不能就上述第（1）、（2）项达成协议，则甲方有权单方选择第（3）项方式。</w:t>
      </w:r>
    </w:p>
    <w:p w14:paraId="3343545E">
      <w:pPr>
        <w:snapToGrid w:val="0"/>
        <w:spacing w:line="460" w:lineRule="exact"/>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3</w:t>
      </w:r>
      <w:r>
        <w:rPr>
          <w:rFonts w:hint="eastAsia" w:ascii="宋体" w:hAnsi="宋体" w:cs="宋体"/>
          <w:bCs/>
          <w:color w:val="auto"/>
          <w:kern w:val="0"/>
          <w:sz w:val="24"/>
          <w:highlight w:val="none"/>
        </w:rPr>
        <w:t>.乙方提供的服务承诺和售后服务及质量保证期责任等其他具体约定事项（见合同附件）。</w:t>
      </w:r>
    </w:p>
    <w:p w14:paraId="2909ABED">
      <w:pPr>
        <w:snapToGrid w:val="0"/>
        <w:spacing w:line="460" w:lineRule="exact"/>
        <w:ind w:firstLine="480" w:firstLineChars="200"/>
        <w:rPr>
          <w:rFonts w:ascii="宋体" w:hAnsi="宋体" w:cs="宋体"/>
          <w:bCs/>
          <w:color w:val="auto"/>
          <w:kern w:val="0"/>
          <w:sz w:val="24"/>
          <w:highlight w:val="none"/>
        </w:rPr>
      </w:pPr>
      <w:r>
        <w:rPr>
          <w:rFonts w:hAnsi="宋体" w:cs="宋体"/>
          <w:color w:val="auto"/>
          <w:sz w:val="24"/>
          <w:highlight w:val="none"/>
        </w:rPr>
        <w:t>4</w:t>
      </w:r>
      <w:r>
        <w:rPr>
          <w:rFonts w:hint="eastAsia" w:ascii="宋体" w:hAnsi="宋体" w:cs="宋体"/>
          <w:bCs/>
          <w:color w:val="auto"/>
          <w:kern w:val="0"/>
          <w:sz w:val="24"/>
          <w:highlight w:val="none"/>
        </w:rPr>
        <w:t>.乙方除承担运输、安装、调试、验收与培训等义务外，还将为甲方提供技术支持，包括质量保证期外的技术指导。</w:t>
      </w:r>
    </w:p>
    <w:p w14:paraId="49FD4DD2">
      <w:pPr>
        <w:snapToGrid w:val="0"/>
        <w:spacing w:line="460" w:lineRule="exact"/>
        <w:ind w:firstLine="480" w:firstLineChars="200"/>
        <w:rPr>
          <w:rFonts w:ascii="宋体" w:hAnsi="宋体" w:cs="宋体"/>
          <w:bCs/>
          <w:color w:val="auto"/>
          <w:kern w:val="0"/>
          <w:sz w:val="24"/>
          <w:highlight w:val="none"/>
        </w:rPr>
      </w:pPr>
      <w:r>
        <w:rPr>
          <w:rFonts w:hAnsi="宋体" w:cs="宋体"/>
          <w:color w:val="auto"/>
          <w:sz w:val="24"/>
          <w:highlight w:val="none"/>
        </w:rPr>
        <w:t>5</w:t>
      </w:r>
      <w:r>
        <w:rPr>
          <w:rFonts w:hint="eastAsia" w:ascii="宋体" w:hAnsi="宋体" w:cs="宋体"/>
          <w:bCs/>
          <w:color w:val="auto"/>
          <w:kern w:val="0"/>
          <w:sz w:val="24"/>
          <w:highlight w:val="none"/>
        </w:rPr>
        <w:t>.在质保期内，乙方应对货物出现的质量及安全问题负责处理解决并承担一切费用。</w:t>
      </w:r>
    </w:p>
    <w:p w14:paraId="3CB0C217">
      <w:pPr>
        <w:snapToGrid w:val="0"/>
        <w:spacing w:line="460" w:lineRule="exact"/>
        <w:ind w:firstLine="480" w:firstLineChars="200"/>
        <w:rPr>
          <w:rFonts w:ascii="宋体" w:hAnsi="宋体" w:cs="宋体"/>
          <w:bCs/>
          <w:color w:val="auto"/>
          <w:kern w:val="0"/>
          <w:sz w:val="24"/>
          <w:highlight w:val="none"/>
        </w:rPr>
      </w:pPr>
      <w:r>
        <w:rPr>
          <w:rFonts w:hAnsi="宋体" w:cs="宋体"/>
          <w:color w:val="auto"/>
          <w:sz w:val="24"/>
          <w:highlight w:val="none"/>
        </w:rPr>
        <w:t>6</w:t>
      </w:r>
      <w:r>
        <w:rPr>
          <w:rFonts w:hint="eastAsia" w:ascii="宋体" w:hAnsi="宋体" w:cs="宋体"/>
          <w:bCs/>
          <w:color w:val="auto"/>
          <w:kern w:val="0"/>
          <w:sz w:val="24"/>
          <w:highlight w:val="none"/>
        </w:rPr>
        <w:t>.超过质量保证期的机器设备，终身维修，维修时只收部件成本费。</w:t>
      </w:r>
    </w:p>
    <w:p w14:paraId="7CDF2AD7">
      <w:pPr>
        <w:snapToGrid w:val="0"/>
        <w:spacing w:line="460" w:lineRule="exact"/>
        <w:ind w:firstLine="480" w:firstLineChars="200"/>
        <w:rPr>
          <w:rFonts w:ascii="宋体" w:hAnsi="宋体" w:cs="宋体"/>
          <w:bCs/>
          <w:color w:val="auto"/>
          <w:kern w:val="0"/>
          <w:sz w:val="24"/>
          <w:highlight w:val="none"/>
          <w:u w:val="single"/>
        </w:rPr>
      </w:pPr>
      <w:r>
        <w:rPr>
          <w:rFonts w:hAnsi="宋体" w:cs="宋体"/>
          <w:color w:val="auto"/>
          <w:sz w:val="24"/>
          <w:highlight w:val="none"/>
        </w:rPr>
        <w:t>7</w:t>
      </w:r>
      <w:r>
        <w:rPr>
          <w:rFonts w:hint="eastAsia" w:ascii="宋体" w:hAnsi="宋体" w:cs="宋体"/>
          <w:bCs/>
          <w:color w:val="auto"/>
          <w:kern w:val="0"/>
          <w:sz w:val="24"/>
          <w:highlight w:val="none"/>
        </w:rPr>
        <w:t>.货物质量保证期：</w:t>
      </w:r>
      <w:r>
        <w:rPr>
          <w:rFonts w:hint="eastAsia" w:ascii="宋体" w:hAnsi="宋体" w:cs="宋体"/>
          <w:color w:val="auto"/>
          <w:sz w:val="24"/>
          <w:highlight w:val="none"/>
          <w:u w:val="single"/>
        </w:rPr>
        <w:t>按国家有关产品“三包”规定执行“三包”，质量保证期共计</w:t>
      </w:r>
      <w:r>
        <w:rPr>
          <w:rFonts w:ascii="宋体" w:hAnsi="宋体" w:cs="宋体"/>
          <w:color w:val="auto"/>
          <w:sz w:val="24"/>
          <w:highlight w:val="none"/>
          <w:u w:val="single"/>
        </w:rPr>
        <w:t>3</w:t>
      </w:r>
      <w:r>
        <w:rPr>
          <w:rFonts w:hint="eastAsia" w:ascii="宋体" w:hAnsi="宋体" w:cs="宋体"/>
          <w:color w:val="auto"/>
          <w:sz w:val="24"/>
          <w:highlight w:val="none"/>
          <w:u w:val="single"/>
        </w:rPr>
        <w:t>年（质量保证期自项目合同验收合格之日起计。分项货物或配置有明确要求的按分项要求；生产厂家承诺的</w:t>
      </w:r>
      <w:r>
        <w:rPr>
          <w:rFonts w:hint="eastAsia" w:ascii="宋体" w:hAnsi="宋体" w:cs="宋体"/>
          <w:bCs/>
          <w:color w:val="auto"/>
          <w:kern w:val="0"/>
          <w:sz w:val="24"/>
          <w:highlight w:val="none"/>
          <w:u w:val="single"/>
        </w:rPr>
        <w:t>质量保证期</w:t>
      </w:r>
      <w:r>
        <w:rPr>
          <w:rFonts w:hint="eastAsia" w:ascii="宋体" w:hAnsi="宋体" w:cs="宋体"/>
          <w:color w:val="auto"/>
          <w:sz w:val="24"/>
          <w:highlight w:val="none"/>
          <w:u w:val="single"/>
        </w:rPr>
        <w:t>更长的按生产厂家的承诺；</w:t>
      </w:r>
      <w:r>
        <w:rPr>
          <w:rFonts w:hint="eastAsia" w:ascii="宋体" w:hAnsi="宋体" w:cs="宋体"/>
          <w:bCs/>
          <w:color w:val="auto"/>
          <w:kern w:val="0"/>
          <w:sz w:val="24"/>
          <w:highlight w:val="none"/>
          <w:u w:val="single"/>
        </w:rPr>
        <w:t>乙方响应文件承诺更优的，以乙方响应文件承诺为准</w:t>
      </w:r>
      <w:r>
        <w:rPr>
          <w:rFonts w:hint="eastAsia" w:ascii="宋体" w:hAnsi="宋体" w:cs="宋体"/>
          <w:color w:val="auto"/>
          <w:sz w:val="24"/>
          <w:highlight w:val="none"/>
          <w:u w:val="single"/>
        </w:rPr>
        <w:t>）</w:t>
      </w:r>
      <w:r>
        <w:rPr>
          <w:rFonts w:hint="eastAsia" w:ascii="宋体" w:hAnsi="宋体" w:cs="宋体"/>
          <w:bCs/>
          <w:color w:val="auto"/>
          <w:kern w:val="0"/>
          <w:sz w:val="24"/>
          <w:highlight w:val="none"/>
          <w:u w:val="single"/>
        </w:rPr>
        <w:t>。</w:t>
      </w:r>
    </w:p>
    <w:p w14:paraId="04B0FE0C">
      <w:pPr>
        <w:snapToGrid w:val="0"/>
        <w:spacing w:line="460" w:lineRule="exact"/>
        <w:ind w:firstLine="480" w:firstLineChars="200"/>
        <w:rPr>
          <w:rFonts w:hint="eastAsia" w:ascii="宋体" w:hAnsi="宋体" w:cs="宋体"/>
          <w:bCs/>
          <w:color w:val="auto"/>
          <w:kern w:val="0"/>
          <w:sz w:val="24"/>
          <w:highlight w:val="none"/>
        </w:rPr>
      </w:pPr>
      <w:r>
        <w:rPr>
          <w:rFonts w:hint="eastAsia" w:ascii="宋体" w:hAnsi="宋体" w:cs="宋体"/>
          <w:bCs/>
          <w:color w:val="auto"/>
          <w:kern w:val="0"/>
          <w:sz w:val="24"/>
          <w:highlight w:val="none"/>
        </w:rPr>
        <w:t>8</w:t>
      </w:r>
      <w:r>
        <w:rPr>
          <w:rFonts w:ascii="宋体" w:hAnsi="宋体" w:cs="宋体"/>
          <w:bCs/>
          <w:color w:val="auto"/>
          <w:kern w:val="0"/>
          <w:sz w:val="24"/>
          <w:highlight w:val="none"/>
        </w:rPr>
        <w:t>.</w:t>
      </w:r>
      <w:r>
        <w:rPr>
          <w:rFonts w:hint="eastAsia" w:ascii="宋体" w:hAnsi="宋体" w:cs="宋体"/>
          <w:bCs/>
          <w:color w:val="auto"/>
          <w:kern w:val="0"/>
          <w:sz w:val="24"/>
          <w:highlight w:val="none"/>
        </w:rPr>
        <w:t>质保期第1年（共计12个月）为软件定制内容（包括软件二次开发的功能、定制UI界面、软件配置信息、软件完善调优等内容）适应期，适应期间乙方应按照</w:t>
      </w:r>
      <w:r>
        <w:rPr>
          <w:rFonts w:ascii="宋体" w:hAnsi="宋体" w:cs="宋体"/>
          <w:bCs/>
          <w:color w:val="auto"/>
          <w:kern w:val="0"/>
          <w:sz w:val="24"/>
          <w:highlight w:val="none"/>
        </w:rPr>
        <w:t>甲方要求</w:t>
      </w:r>
      <w:r>
        <w:rPr>
          <w:rFonts w:hint="eastAsia" w:ascii="宋体" w:hAnsi="宋体" w:cs="宋体"/>
          <w:bCs/>
          <w:color w:val="auto"/>
          <w:kern w:val="0"/>
          <w:sz w:val="24"/>
          <w:highlight w:val="none"/>
        </w:rPr>
        <w:t>免费提供升级、完善、</w:t>
      </w:r>
      <w:r>
        <w:rPr>
          <w:rFonts w:ascii="宋体" w:hAnsi="宋体" w:cs="宋体"/>
          <w:bCs/>
          <w:color w:val="auto"/>
          <w:kern w:val="0"/>
          <w:sz w:val="24"/>
          <w:highlight w:val="none"/>
        </w:rPr>
        <w:t>调优等</w:t>
      </w:r>
      <w:r>
        <w:rPr>
          <w:rFonts w:hint="eastAsia" w:ascii="宋体" w:hAnsi="宋体" w:cs="宋体"/>
          <w:bCs/>
          <w:color w:val="auto"/>
          <w:kern w:val="0"/>
          <w:sz w:val="24"/>
          <w:highlight w:val="none"/>
        </w:rPr>
        <w:t>定制化服务，承诺全力配合甲方根据工作实际，及时对使用过程中提出的合理意见和建议进行软件定制修订，不能另行收费。</w:t>
      </w:r>
    </w:p>
    <w:p w14:paraId="12DD9377">
      <w:pPr>
        <w:snapToGrid w:val="0"/>
        <w:spacing w:line="460" w:lineRule="exact"/>
        <w:ind w:firstLine="480" w:firstLineChars="200"/>
        <w:rPr>
          <w:rFonts w:ascii="宋体" w:hAnsi="宋体" w:cs="宋体"/>
          <w:bCs/>
          <w:color w:val="auto"/>
          <w:kern w:val="0"/>
          <w:sz w:val="24"/>
          <w:highlight w:val="none"/>
        </w:rPr>
      </w:pPr>
      <w:r>
        <w:rPr>
          <w:rFonts w:ascii="宋体" w:hAnsi="宋体" w:cs="宋体"/>
          <w:bCs/>
          <w:color w:val="auto"/>
          <w:kern w:val="0"/>
          <w:sz w:val="24"/>
          <w:highlight w:val="none"/>
        </w:rPr>
        <w:t>9</w:t>
      </w:r>
      <w:r>
        <w:rPr>
          <w:rFonts w:hint="eastAsia" w:ascii="宋体" w:hAnsi="宋体" w:cs="宋体"/>
          <w:bCs/>
          <w:color w:val="auto"/>
          <w:kern w:val="0"/>
          <w:sz w:val="24"/>
          <w:highlight w:val="none"/>
        </w:rPr>
        <w:t>.质保期乙方应按竞标时响应的需求参数、售后服务及合同条款等约定履行义务，如在质保期内乙方收到采购的售后服务申请后未按要求履行售后服务的，甲方有权按每次</w:t>
      </w:r>
      <w:r>
        <w:rPr>
          <w:rFonts w:hint="eastAsia" w:ascii="宋体" w:hAnsi="宋体" w:cs="宋体"/>
          <w:bCs/>
          <w:color w:val="auto"/>
          <w:kern w:val="0"/>
          <w:sz w:val="24"/>
          <w:highlight w:val="none"/>
          <w:u w:val="single"/>
        </w:rPr>
        <w:t xml:space="preserve"> 1000 元</w:t>
      </w:r>
      <w:r>
        <w:rPr>
          <w:rFonts w:hint="eastAsia" w:ascii="宋体" w:hAnsi="宋体" w:cs="宋体"/>
          <w:bCs/>
          <w:color w:val="auto"/>
          <w:kern w:val="0"/>
          <w:sz w:val="24"/>
          <w:highlight w:val="none"/>
        </w:rPr>
        <w:t>的金额扣除履约保证金。因乙方未提供售后服务，甲方有权委托第三方进行维护排除故障， 由此产生的费用，甲方有权从履约保证金中扣除。其他违约责任在合同中约定。</w:t>
      </w:r>
    </w:p>
    <w:p w14:paraId="2EDF1A3D">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违约责任</w:t>
      </w:r>
    </w:p>
    <w:p w14:paraId="3A7C6C00">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333F2060">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2.乙方提供的货物如侵犯了第三方合法权益而引发的任何纠纷或者诉讼，均由乙方负责交涉并承担全部责任。</w:t>
      </w:r>
    </w:p>
    <w:p w14:paraId="26A306D0">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3.因包装、运输引起的货物损坏，按质量不合格处理。</w:t>
      </w:r>
    </w:p>
    <w:p w14:paraId="1D5C9B28">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4.合同一方不履行合同义务、履行合同义务不符合约定或者违反合同项下所作保证的，应向对方承担继续履行、采取修理、更换、退货等补救措施或者赔偿损失等违约责任。</w:t>
      </w:r>
    </w:p>
    <w:p w14:paraId="15CE98F7">
      <w:pPr>
        <w:pStyle w:val="17"/>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5.</w:t>
      </w:r>
      <w:r>
        <w:rPr>
          <w:rFonts w:hint="eastAsia"/>
          <w:color w:val="auto"/>
          <w:highlight w:val="none"/>
        </w:rPr>
        <w:t xml:space="preserve"> </w:t>
      </w:r>
      <w:r>
        <w:rPr>
          <w:rFonts w:hint="eastAsia" w:hAnsi="宋体" w:cs="宋体"/>
          <w:color w:val="auto"/>
          <w:sz w:val="24"/>
          <w:szCs w:val="24"/>
          <w:highlight w:val="none"/>
        </w:rPr>
        <w:t>因乙方自身原因造成逾期30日未交货的，甲方有权解除合同并向乙方追回合同已支付的全部预付款，没收项目全部的履约保证金，给甲方造成损失的，甲方依法进行追偿。</w:t>
      </w:r>
    </w:p>
    <w:p w14:paraId="5A63331C">
      <w:pPr>
        <w:pStyle w:val="17"/>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6.乙方提供不符合采购需求和本合同规定的货物，甲方有权拒绝接受并要求成交乙方在5日内免费更换或补充符合采购需求和本合同规定的货物。如乙方未能在约定期限内完成整改，甲方可单方面解除合同，甲方不再支付合同剩余款项并依法向乙方追回合同已支付的全部预付款，并要求乙方支付合同总值10%的违约金，违约金不足以弥补采购人损失的，乙方还应负责赔偿。</w:t>
      </w:r>
    </w:p>
    <w:p w14:paraId="7A970052">
      <w:pPr>
        <w:pStyle w:val="17"/>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7.甲方逾期支付（申请支付》货款的，自逾期之日起，向乙方每日偿付合同总价0.5‰的违约金，累计支付违约金不超过合同金额的5%；甲方无正当理由拒付货款的，应向乙方偿付合同总价5%的违约金。</w:t>
      </w:r>
    </w:p>
    <w:p w14:paraId="65526161">
      <w:pPr>
        <w:pStyle w:val="17"/>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8乙方逾期供货的，自逾期之日起，向甲方每日偿付合同总价0.5‰的违约金；乙方逾期</w:t>
      </w:r>
      <w:r>
        <w:rPr>
          <w:rFonts w:hint="eastAsia" w:hAnsi="宋体" w:cs="宋体"/>
          <w:color w:val="auto"/>
          <w:sz w:val="24"/>
          <w:szCs w:val="24"/>
          <w:highlight w:val="none"/>
          <w:u w:val="single"/>
        </w:rPr>
        <w:t>10</w:t>
      </w:r>
      <w:r>
        <w:rPr>
          <w:rFonts w:hint="eastAsia" w:hAnsi="宋体" w:cs="宋体"/>
          <w:color w:val="auto"/>
          <w:sz w:val="24"/>
          <w:szCs w:val="24"/>
          <w:highlight w:val="none"/>
        </w:rPr>
        <w:t>日不能交货的，应向甲方支付合同总价10%的违约金，并且甲方有权解除本合同，不再退还履约保证金（如有）。乙方未在约定时间内完成安装调试（如有）的，参照前款约定承担违约责任。</w:t>
      </w:r>
    </w:p>
    <w:p w14:paraId="6F28939A">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9.乙方未按本合同和响应文件承诺提供售后服务的，乙方应按本合同总价的5%向甲方支付违约金。</w:t>
      </w:r>
    </w:p>
    <w:p w14:paraId="6C4709FA">
      <w:pPr>
        <w:pStyle w:val="17"/>
        <w:snapToGrid w:val="0"/>
        <w:spacing w:line="440" w:lineRule="exact"/>
        <w:ind w:firstLine="480" w:firstLineChars="200"/>
        <w:rPr>
          <w:rFonts w:hAnsi="宋体" w:cs="宋体"/>
          <w:color w:val="auto"/>
          <w:sz w:val="24"/>
          <w:szCs w:val="24"/>
          <w:highlight w:val="none"/>
        </w:rPr>
      </w:pPr>
      <w:r>
        <w:rPr>
          <w:rFonts w:hint="eastAsia" w:hAnsi="宋体"/>
          <w:color w:val="auto"/>
          <w:sz w:val="24"/>
          <w:szCs w:val="24"/>
          <w:highlight w:val="none"/>
        </w:rPr>
        <w:t>10</w:t>
      </w:r>
      <w:r>
        <w:rPr>
          <w:rFonts w:hAnsi="宋体"/>
          <w:color w:val="auto"/>
          <w:sz w:val="24"/>
          <w:szCs w:val="24"/>
          <w:highlight w:val="none"/>
        </w:rPr>
        <w:t>.</w:t>
      </w:r>
      <w:r>
        <w:rPr>
          <w:rFonts w:hint="eastAsia" w:hAnsi="宋体"/>
          <w:color w:val="auto"/>
          <w:sz w:val="24"/>
          <w:szCs w:val="24"/>
          <w:highlight w:val="none"/>
        </w:rPr>
        <w:t>乙方违约，甲方对本合同享有单方解除权。</w:t>
      </w:r>
    </w:p>
    <w:p w14:paraId="37404DE3">
      <w:pPr>
        <w:pStyle w:val="17"/>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11.因某一方</w:t>
      </w:r>
      <w:r>
        <w:rPr>
          <w:rFonts w:hint="eastAsia" w:hAnsi="宋体"/>
          <w:bCs/>
          <w:color w:val="auto"/>
          <w:sz w:val="24"/>
          <w:highlight w:val="none"/>
          <w:shd w:val="clear" w:color="auto" w:fill="FFFFFF"/>
        </w:rPr>
        <w:t>单方面</w:t>
      </w:r>
      <w:r>
        <w:rPr>
          <w:rFonts w:hint="eastAsia" w:hAnsi="宋体" w:cs="宋体"/>
          <w:color w:val="auto"/>
          <w:sz w:val="24"/>
          <w:szCs w:val="24"/>
          <w:highlight w:val="none"/>
        </w:rPr>
        <w:t>原因导致变更、中止或者终止</w:t>
      </w:r>
      <w:bookmarkStart w:id="110" w:name="_Hlk123747227"/>
      <w:r>
        <w:rPr>
          <w:rFonts w:hint="eastAsia" w:hAnsi="宋体"/>
          <w:bCs/>
          <w:color w:val="auto"/>
          <w:sz w:val="24"/>
          <w:highlight w:val="none"/>
          <w:shd w:val="clear" w:color="auto" w:fill="FFFFFF"/>
        </w:rPr>
        <w:t>本</w:t>
      </w:r>
      <w:bookmarkEnd w:id="110"/>
      <w:r>
        <w:rPr>
          <w:rFonts w:hint="eastAsia" w:hAnsi="宋体" w:cs="宋体"/>
          <w:color w:val="auto"/>
          <w:sz w:val="24"/>
          <w:szCs w:val="24"/>
          <w:highlight w:val="none"/>
        </w:rPr>
        <w:t>合同的，该方应当对另一方</w:t>
      </w:r>
      <w:r>
        <w:rPr>
          <w:rFonts w:hint="eastAsia" w:hAnsi="宋体"/>
          <w:bCs/>
          <w:color w:val="auto"/>
          <w:sz w:val="24"/>
          <w:highlight w:val="none"/>
          <w:shd w:val="clear" w:color="auto" w:fill="FFFFFF"/>
        </w:rPr>
        <w:t>因此</w:t>
      </w:r>
      <w:r>
        <w:rPr>
          <w:rFonts w:hint="eastAsia" w:hAnsi="宋体" w:cs="宋体"/>
          <w:color w:val="auto"/>
          <w:sz w:val="24"/>
          <w:szCs w:val="24"/>
          <w:highlight w:val="none"/>
        </w:rPr>
        <w:t>受到的损失予以赔偿或者补偿。</w:t>
      </w:r>
    </w:p>
    <w:p w14:paraId="4DA2C319">
      <w:pPr>
        <w:pStyle w:val="17"/>
        <w:snapToGrid w:val="0"/>
        <w:spacing w:line="44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12.乙方提供的货物在质量保证期内，因设计、工艺或者材料的缺陷和其它质量原因造成的问题，由乙方负责，费用从余款或者履约保证金中扣除，不足另补。</w:t>
      </w:r>
    </w:p>
    <w:p w14:paraId="0534D311">
      <w:pPr>
        <w:pStyle w:val="17"/>
        <w:snapToGrid w:val="0"/>
        <w:spacing w:line="44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任何一方违约应赔偿对方经济损失，该损失包括但不限于直接损失，包括因违约方的违约行为而引起的律师费、诉讼费、保全及担保费、赔偿金、差旅费、公证鉴定费、调查取证费、罚款或罚金等在内的全部损失，以及守约方因违约方的违约行为对第三方支付的赔偿和违约金等。</w:t>
      </w:r>
    </w:p>
    <w:p w14:paraId="13C4BDEC">
      <w:pPr>
        <w:pStyle w:val="17"/>
        <w:snapToGrid w:val="0"/>
        <w:spacing w:line="44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14.其他违约责任按《中华人民共和国民法典》处理。</w:t>
      </w:r>
    </w:p>
    <w:p w14:paraId="3F011AB2">
      <w:pPr>
        <w:pStyle w:val="17"/>
        <w:snapToGrid w:val="0"/>
        <w:spacing w:line="460" w:lineRule="exact"/>
        <w:ind w:firstLine="472" w:firstLineChars="196"/>
        <w:rPr>
          <w:rFonts w:hAnsi="宋体" w:cs="宋体"/>
          <w:b/>
          <w:bCs/>
          <w:color w:val="auto"/>
          <w:sz w:val="24"/>
          <w:szCs w:val="24"/>
          <w:highlight w:val="none"/>
        </w:rPr>
      </w:pPr>
      <w:r>
        <w:rPr>
          <w:rFonts w:hint="eastAsia" w:hAnsi="宋体" w:cs="宋体"/>
          <w:b/>
          <w:bCs/>
          <w:color w:val="auto"/>
          <w:sz w:val="24"/>
          <w:szCs w:val="24"/>
          <w:highlight w:val="none"/>
        </w:rPr>
        <w:t>第十二条  不可抗力事件处理</w:t>
      </w:r>
    </w:p>
    <w:p w14:paraId="55985F06">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1.在合同有效期内，任何一方因不可抗力事件导致不能履行合同，则合同履行期可延长，其延长期与不可抗力影响期相同。</w:t>
      </w:r>
    </w:p>
    <w:p w14:paraId="6F168550">
      <w:pPr>
        <w:pStyle w:val="17"/>
        <w:snapToGrid w:val="0"/>
        <w:spacing w:line="4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2.不可抗力事件发生后，应立即通知对方，并寄送有关权威机构出具的证明。</w:t>
      </w:r>
    </w:p>
    <w:p w14:paraId="47A687E1">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3.不可抗力事件延续</w:t>
      </w:r>
      <w:r>
        <w:rPr>
          <w:rFonts w:ascii="宋体" w:hAnsi="宋体" w:cs="宋体"/>
          <w:color w:val="auto"/>
          <w:sz w:val="24"/>
          <w:highlight w:val="none"/>
        </w:rPr>
        <w:t>60</w:t>
      </w:r>
      <w:r>
        <w:rPr>
          <w:rFonts w:hint="eastAsia" w:ascii="宋体" w:hAnsi="宋体" w:cs="宋体"/>
          <w:color w:val="auto"/>
          <w:sz w:val="24"/>
          <w:highlight w:val="none"/>
        </w:rPr>
        <w:t>天以上，双方应通过友好协商，确定是否继续履行合同。</w:t>
      </w:r>
    </w:p>
    <w:p w14:paraId="7A2EAF42">
      <w:pPr>
        <w:snapToGrid w:val="0"/>
        <w:spacing w:line="460" w:lineRule="exact"/>
        <w:ind w:firstLine="482" w:firstLineChars="200"/>
        <w:rPr>
          <w:rFonts w:ascii="宋体" w:hAnsi="宋体" w:cs="宋体"/>
          <w:color w:val="auto"/>
          <w:sz w:val="24"/>
          <w:highlight w:val="none"/>
        </w:rPr>
      </w:pPr>
      <w:r>
        <w:rPr>
          <w:rFonts w:hint="eastAsia" w:ascii="宋体" w:hAnsi="宋体" w:cs="宋体"/>
          <w:b/>
          <w:color w:val="auto"/>
          <w:sz w:val="24"/>
          <w:highlight w:val="none"/>
        </w:rPr>
        <w:t>第十三条  合同争议解决</w:t>
      </w:r>
    </w:p>
    <w:p w14:paraId="247B149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1.因货物质量问题发生争议的，应邀请国家认可的质量检测机构对货物质量进行鉴定。货物符合标准的，鉴定费由甲方承担；货物不符合标准的，鉴定费由乙方承担。</w:t>
      </w:r>
    </w:p>
    <w:p w14:paraId="778C14FA">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2.因履行本合同引起的或者与本合同有关的争议，甲乙双方应首先通过友好协商解决，如果协商不能解决，任何一方可向甲方所在地有管辖权的人民法院提起诉讼。</w:t>
      </w:r>
    </w:p>
    <w:p w14:paraId="656D1684">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3.诉讼期间，本合同无争议部分须继续履行。</w:t>
      </w:r>
    </w:p>
    <w:p w14:paraId="04425D9B">
      <w:pPr>
        <w:pStyle w:val="17"/>
        <w:snapToGrid w:val="0"/>
        <w:spacing w:line="460" w:lineRule="exact"/>
        <w:ind w:firstLine="472" w:firstLineChars="196"/>
        <w:rPr>
          <w:rFonts w:hAnsi="宋体" w:cs="宋体"/>
          <w:b/>
          <w:color w:val="auto"/>
          <w:sz w:val="24"/>
          <w:szCs w:val="24"/>
          <w:highlight w:val="none"/>
        </w:rPr>
      </w:pPr>
      <w:r>
        <w:rPr>
          <w:rFonts w:hint="eastAsia" w:hAnsi="宋体" w:cs="宋体"/>
          <w:b/>
          <w:color w:val="auto"/>
          <w:sz w:val="24"/>
          <w:szCs w:val="24"/>
          <w:highlight w:val="none"/>
        </w:rPr>
        <w:t>第十四条  合同生效及其他</w:t>
      </w:r>
    </w:p>
    <w:p w14:paraId="5C707BFB">
      <w:pPr>
        <w:pStyle w:val="17"/>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1.合同自双方法定代表人或者委托代理人签字并加盖单位公章或合同专用章之日起生效（委托代理人签字的须后附授权委托书，格式自拟）。</w:t>
      </w:r>
    </w:p>
    <w:p w14:paraId="5FF31BE1">
      <w:pPr>
        <w:pStyle w:val="17"/>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2.本合同未尽事宜，遵照《中华人民共和国民法典》有关条文执行。</w:t>
      </w:r>
    </w:p>
    <w:p w14:paraId="0DA40F11">
      <w:pPr>
        <w:pStyle w:val="17"/>
        <w:snapToGrid w:val="0"/>
        <w:spacing w:line="460" w:lineRule="exact"/>
        <w:ind w:firstLine="480" w:firstLineChars="200"/>
        <w:rPr>
          <w:rFonts w:hAnsi="宋体" w:cs="宋体"/>
          <w:color w:val="auto"/>
          <w:kern w:val="2"/>
          <w:sz w:val="24"/>
          <w:szCs w:val="24"/>
          <w:highlight w:val="none"/>
        </w:rPr>
      </w:pPr>
      <w:r>
        <w:rPr>
          <w:rFonts w:hint="eastAsia" w:hAnsi="宋体" w:cs="宋体"/>
          <w:color w:val="auto"/>
          <w:kern w:val="2"/>
          <w:sz w:val="24"/>
          <w:szCs w:val="24"/>
          <w:highlight w:val="none"/>
        </w:rPr>
        <w:t>3</w:t>
      </w:r>
      <w:r>
        <w:rPr>
          <w:rFonts w:hAnsi="宋体" w:cs="宋体"/>
          <w:color w:val="auto"/>
          <w:kern w:val="2"/>
          <w:sz w:val="24"/>
          <w:szCs w:val="24"/>
          <w:highlight w:val="none"/>
        </w:rPr>
        <w:t>.</w:t>
      </w:r>
      <w:r>
        <w:rPr>
          <w:rFonts w:hint="eastAsia" w:hAnsi="宋体" w:cs="宋体"/>
          <w:color w:val="auto"/>
          <w:kern w:val="2"/>
          <w:sz w:val="24"/>
          <w:szCs w:val="24"/>
          <w:highlight w:val="none"/>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6008F9EE">
      <w:pPr>
        <w:snapToGrid w:val="0"/>
        <w:spacing w:line="46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第十五条　合同的变更、终止与转让</w:t>
      </w:r>
    </w:p>
    <w:p w14:paraId="2E6F3DDC">
      <w:pPr>
        <w:snapToGrid w:val="0"/>
        <w:spacing w:line="4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1.除《中华人民共和国政府采购法》第五十条规定的情形外，本合同一经签订，甲乙双方不得擅自变更、中止或者终止。</w:t>
      </w:r>
    </w:p>
    <w:p w14:paraId="5201D079">
      <w:pPr>
        <w:snapToGrid w:val="0"/>
        <w:spacing w:line="460" w:lineRule="exact"/>
        <w:ind w:firstLine="514"/>
        <w:rPr>
          <w:rFonts w:ascii="宋体" w:hAnsi="宋体" w:cs="宋体"/>
          <w:color w:val="auto"/>
          <w:sz w:val="24"/>
          <w:highlight w:val="none"/>
        </w:rPr>
      </w:pPr>
      <w:r>
        <w:rPr>
          <w:rFonts w:hint="eastAsia" w:ascii="宋体" w:hAnsi="宋体" w:cs="宋体"/>
          <w:color w:val="auto"/>
          <w:sz w:val="24"/>
          <w:highlight w:val="none"/>
        </w:rPr>
        <w:t>2.乙方不得擅自转让其应履行的合同义务。</w:t>
      </w:r>
    </w:p>
    <w:p w14:paraId="6E34B862">
      <w:pPr>
        <w:pStyle w:val="17"/>
        <w:snapToGrid w:val="0"/>
        <w:spacing w:line="460" w:lineRule="exact"/>
        <w:ind w:firstLine="472" w:firstLineChars="196"/>
        <w:rPr>
          <w:rFonts w:hAnsi="宋体" w:cs="宋体"/>
          <w:color w:val="auto"/>
          <w:sz w:val="24"/>
          <w:szCs w:val="24"/>
          <w:highlight w:val="none"/>
        </w:rPr>
      </w:pPr>
      <w:r>
        <w:rPr>
          <w:rFonts w:hint="eastAsia" w:hAnsi="宋体" w:cs="宋体"/>
          <w:b/>
          <w:color w:val="auto"/>
          <w:sz w:val="24"/>
          <w:szCs w:val="24"/>
          <w:highlight w:val="none"/>
        </w:rPr>
        <w:t>第十六条　</w:t>
      </w:r>
      <w:r>
        <w:rPr>
          <w:rFonts w:hint="eastAsia" w:hAnsi="宋体" w:cs="宋体"/>
          <w:color w:val="auto"/>
          <w:spacing w:val="-2"/>
          <w:sz w:val="24"/>
          <w:szCs w:val="24"/>
          <w:highlight w:val="none"/>
        </w:rPr>
        <w:t>本</w:t>
      </w:r>
      <w:r>
        <w:rPr>
          <w:rFonts w:hint="eastAsia" w:hAnsi="宋体" w:cs="宋体"/>
          <w:color w:val="auto"/>
          <w:sz w:val="24"/>
          <w:szCs w:val="24"/>
          <w:highlight w:val="none"/>
        </w:rPr>
        <w:t>合同书</w:t>
      </w:r>
      <w:r>
        <w:rPr>
          <w:rFonts w:hint="eastAsia" w:hAnsi="宋体" w:cs="宋体"/>
          <w:color w:val="auto"/>
          <w:spacing w:val="-2"/>
          <w:sz w:val="24"/>
          <w:szCs w:val="24"/>
          <w:highlight w:val="none"/>
        </w:rPr>
        <w:t>与</w:t>
      </w:r>
      <w:r>
        <w:rPr>
          <w:rFonts w:hint="eastAsia" w:hAnsi="宋体" w:cs="宋体"/>
          <w:color w:val="auto"/>
          <w:sz w:val="24"/>
          <w:szCs w:val="24"/>
          <w:highlight w:val="none"/>
        </w:rPr>
        <w:t>下</w:t>
      </w:r>
      <w:r>
        <w:rPr>
          <w:rFonts w:hint="eastAsia" w:hAnsi="宋体" w:cs="宋体"/>
          <w:color w:val="auto"/>
          <w:spacing w:val="-2"/>
          <w:sz w:val="24"/>
          <w:szCs w:val="24"/>
          <w:highlight w:val="none"/>
        </w:rPr>
        <w:t>列</w:t>
      </w:r>
      <w:r>
        <w:rPr>
          <w:rFonts w:hint="eastAsia" w:hAnsi="宋体" w:cs="宋体"/>
          <w:color w:val="auto"/>
          <w:sz w:val="24"/>
          <w:szCs w:val="24"/>
          <w:highlight w:val="none"/>
        </w:rPr>
        <w:t>文</w:t>
      </w:r>
      <w:r>
        <w:rPr>
          <w:rFonts w:hint="eastAsia" w:hAnsi="宋体" w:cs="宋体"/>
          <w:color w:val="auto"/>
          <w:spacing w:val="-2"/>
          <w:sz w:val="24"/>
          <w:szCs w:val="24"/>
          <w:highlight w:val="none"/>
        </w:rPr>
        <w:t>件一</w:t>
      </w:r>
      <w:r>
        <w:rPr>
          <w:rFonts w:hint="eastAsia" w:hAnsi="宋体" w:cs="宋体"/>
          <w:color w:val="auto"/>
          <w:sz w:val="24"/>
          <w:szCs w:val="24"/>
          <w:highlight w:val="none"/>
        </w:rPr>
        <w:t>起构</w:t>
      </w:r>
      <w:r>
        <w:rPr>
          <w:rFonts w:hint="eastAsia" w:hAnsi="宋体" w:cs="宋体"/>
          <w:color w:val="auto"/>
          <w:spacing w:val="-2"/>
          <w:sz w:val="24"/>
          <w:szCs w:val="24"/>
          <w:highlight w:val="none"/>
        </w:rPr>
        <w:t>成</w:t>
      </w:r>
      <w:r>
        <w:rPr>
          <w:rFonts w:hint="eastAsia" w:hAnsi="宋体" w:cs="宋体"/>
          <w:color w:val="auto"/>
          <w:sz w:val="24"/>
          <w:szCs w:val="24"/>
          <w:highlight w:val="none"/>
        </w:rPr>
        <w:t>合</w:t>
      </w:r>
      <w:r>
        <w:rPr>
          <w:rFonts w:hint="eastAsia" w:hAnsi="宋体" w:cs="宋体"/>
          <w:color w:val="auto"/>
          <w:spacing w:val="-2"/>
          <w:sz w:val="24"/>
          <w:szCs w:val="24"/>
          <w:highlight w:val="none"/>
        </w:rPr>
        <w:t>同</w:t>
      </w:r>
      <w:r>
        <w:rPr>
          <w:rFonts w:hint="eastAsia" w:hAnsi="宋体" w:cs="宋体"/>
          <w:color w:val="auto"/>
          <w:sz w:val="24"/>
          <w:szCs w:val="24"/>
          <w:highlight w:val="none"/>
        </w:rPr>
        <w:t>文</w:t>
      </w:r>
      <w:r>
        <w:rPr>
          <w:rFonts w:hint="eastAsia" w:hAnsi="宋体" w:cs="宋体"/>
          <w:color w:val="auto"/>
          <w:spacing w:val="-2"/>
          <w:sz w:val="24"/>
          <w:szCs w:val="24"/>
          <w:highlight w:val="none"/>
        </w:rPr>
        <w:t>件</w:t>
      </w:r>
    </w:p>
    <w:p w14:paraId="14E3F7C5">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1.成交通知书</w:t>
      </w:r>
    </w:p>
    <w:p w14:paraId="566C4693">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2.采购需求</w:t>
      </w:r>
    </w:p>
    <w:p w14:paraId="4E216DD7">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3.</w:t>
      </w:r>
      <w:r>
        <w:rPr>
          <w:rFonts w:hint="eastAsia" w:hAnsi="宋体" w:cs="宋体"/>
          <w:color w:val="auto"/>
          <w:sz w:val="24"/>
          <w:highlight w:val="none"/>
        </w:rPr>
        <w:t>参与竞争性谈判</w:t>
      </w:r>
      <w:r>
        <w:rPr>
          <w:rFonts w:hint="eastAsia" w:hAnsi="宋体" w:cs="宋体"/>
          <w:color w:val="auto"/>
          <w:sz w:val="24"/>
          <w:szCs w:val="24"/>
          <w:highlight w:val="none"/>
        </w:rPr>
        <w:t>声明函</w:t>
      </w:r>
    </w:p>
    <w:p w14:paraId="0544202C">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4.</w:t>
      </w:r>
      <w:r>
        <w:rPr>
          <w:rFonts w:hint="eastAsia" w:hAnsi="宋体" w:cs="宋体"/>
          <w:color w:val="auto"/>
          <w:sz w:val="24"/>
          <w:highlight w:val="none"/>
        </w:rPr>
        <w:t>竞争性谈判</w:t>
      </w:r>
      <w:r>
        <w:rPr>
          <w:rFonts w:hint="eastAsia" w:hAnsi="宋体" w:cs="宋体"/>
          <w:color w:val="auto"/>
          <w:sz w:val="24"/>
          <w:szCs w:val="24"/>
          <w:highlight w:val="none"/>
        </w:rPr>
        <w:t>报价表及货物配置清单</w:t>
      </w:r>
    </w:p>
    <w:p w14:paraId="2EC2E17F">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5.商务要求偏离表和技术要求偏离表</w:t>
      </w:r>
    </w:p>
    <w:p w14:paraId="38C798D8">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6.售后服务承诺</w:t>
      </w:r>
    </w:p>
    <w:p w14:paraId="069FED39">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7.其他合同文件</w:t>
      </w:r>
    </w:p>
    <w:p w14:paraId="0058F6B0">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上述合同文件互相补充和解释。如果合同文件之间存在矛盾或者不一致之处，以上述文件的排列顺序在先者为准。</w:t>
      </w:r>
    </w:p>
    <w:p w14:paraId="2A8503C8">
      <w:pPr>
        <w:pStyle w:val="17"/>
        <w:snapToGrid w:val="0"/>
        <w:spacing w:line="460" w:lineRule="exact"/>
        <w:ind w:firstLine="472" w:firstLineChars="196"/>
        <w:rPr>
          <w:rFonts w:hint="eastAsia" w:hAnsi="宋体" w:cs="宋体"/>
          <w:b/>
          <w:color w:val="auto"/>
          <w:sz w:val="24"/>
          <w:szCs w:val="24"/>
          <w:highlight w:val="none"/>
        </w:rPr>
      </w:pPr>
      <w:r>
        <w:rPr>
          <w:rFonts w:hint="eastAsia" w:hAnsi="宋体" w:cs="宋体"/>
          <w:b/>
          <w:color w:val="auto"/>
          <w:sz w:val="24"/>
          <w:szCs w:val="24"/>
          <w:highlight w:val="none"/>
        </w:rPr>
        <w:t>第十七条</w:t>
      </w:r>
      <w:r>
        <w:rPr>
          <w:rFonts w:hint="eastAsia" w:hAnsi="宋体" w:cs="宋体"/>
          <w:b/>
          <w:color w:val="auto"/>
          <w:sz w:val="24"/>
          <w:szCs w:val="24"/>
          <w:highlight w:val="none"/>
        </w:rPr>
        <w:tab/>
      </w:r>
      <w:r>
        <w:rPr>
          <w:rFonts w:hint="eastAsia" w:hAnsi="宋体" w:cs="宋体"/>
          <w:b/>
          <w:color w:val="auto"/>
          <w:sz w:val="24"/>
          <w:szCs w:val="24"/>
          <w:highlight w:val="none"/>
        </w:rPr>
        <w:t>反商业贿赂</w:t>
      </w:r>
    </w:p>
    <w:p w14:paraId="759CDE24">
      <w:pPr>
        <w:pStyle w:val="17"/>
        <w:snapToGrid w:val="0"/>
        <w:spacing w:line="460" w:lineRule="exact"/>
        <w:ind w:firstLine="470" w:firstLineChars="196"/>
        <w:rPr>
          <w:rFonts w:hint="eastAsia" w:hAnsi="宋体" w:cs="宋体"/>
          <w:color w:val="auto"/>
          <w:sz w:val="24"/>
          <w:szCs w:val="24"/>
          <w:highlight w:val="none"/>
        </w:rPr>
      </w:pPr>
      <w:r>
        <w:rPr>
          <w:rFonts w:hint="eastAsia" w:hAnsi="宋体" w:cs="宋体"/>
          <w:color w:val="auto"/>
          <w:sz w:val="24"/>
          <w:szCs w:val="24"/>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25F91046">
      <w:pPr>
        <w:pStyle w:val="17"/>
        <w:snapToGrid w:val="0"/>
        <w:spacing w:line="460" w:lineRule="exact"/>
        <w:ind w:firstLine="472" w:firstLineChars="196"/>
        <w:rPr>
          <w:rFonts w:hAnsi="宋体" w:cs="宋体"/>
          <w:color w:val="auto"/>
          <w:sz w:val="24"/>
          <w:highlight w:val="none"/>
        </w:rPr>
      </w:pPr>
      <w:r>
        <w:rPr>
          <w:rFonts w:hint="eastAsia" w:hAnsi="宋体" w:cs="宋体"/>
          <w:b/>
          <w:color w:val="auto"/>
          <w:sz w:val="24"/>
          <w:highlight w:val="none"/>
        </w:rPr>
        <w:t>第十八条　</w:t>
      </w:r>
      <w:r>
        <w:rPr>
          <w:rFonts w:hint="eastAsia" w:hAnsi="宋体" w:cs="宋体"/>
          <w:color w:val="auto"/>
          <w:sz w:val="24"/>
          <w:szCs w:val="24"/>
          <w:highlight w:val="none"/>
        </w:rPr>
        <w:t>本合同一式捌份，具有同等法律效力，甲方肆份，乙方叁份，采购代理机构壹份。</w:t>
      </w:r>
    </w:p>
    <w:p w14:paraId="0CE96897">
      <w:pPr>
        <w:pStyle w:val="17"/>
        <w:snapToGrid w:val="0"/>
        <w:spacing w:line="460" w:lineRule="exact"/>
        <w:ind w:firstLine="470" w:firstLineChars="196"/>
        <w:rPr>
          <w:rFonts w:hAnsi="宋体" w:cs="宋体"/>
          <w:color w:val="auto"/>
          <w:sz w:val="24"/>
          <w:szCs w:val="24"/>
          <w:highlight w:val="none"/>
        </w:rPr>
      </w:pPr>
      <w:r>
        <w:rPr>
          <w:rFonts w:hint="eastAsia" w:hAnsi="宋体" w:cs="宋体"/>
          <w:color w:val="auto"/>
          <w:sz w:val="24"/>
          <w:szCs w:val="24"/>
          <w:highlight w:val="none"/>
        </w:rPr>
        <w:t>（以下无正文）</w:t>
      </w:r>
    </w:p>
    <w:p w14:paraId="558B90B6">
      <w:pPr>
        <w:pStyle w:val="17"/>
        <w:snapToGrid w:val="0"/>
        <w:spacing w:line="460" w:lineRule="exact"/>
        <w:ind w:firstLine="470" w:firstLineChars="196"/>
        <w:rPr>
          <w:rFonts w:hAnsi="宋体" w:cs="宋体"/>
          <w:color w:val="auto"/>
          <w:sz w:val="24"/>
          <w:highlight w:val="none"/>
        </w:rPr>
      </w:pPr>
    </w:p>
    <w:bookmarkEnd w:id="109"/>
    <w:tbl>
      <w:tblPr>
        <w:tblStyle w:val="29"/>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9"/>
        <w:gridCol w:w="4360"/>
      </w:tblGrid>
      <w:tr w14:paraId="56FF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71" w:hRule="atLeast"/>
          <w:jc w:val="center"/>
        </w:trPr>
        <w:tc>
          <w:tcPr>
            <w:tcW w:w="4359" w:type="dxa"/>
            <w:noWrap w:val="0"/>
            <w:vAlign w:val="center"/>
          </w:tcPr>
          <w:p w14:paraId="25192D09">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甲方（章）           </w:t>
            </w:r>
          </w:p>
          <w:p w14:paraId="240A7DA2">
            <w:pPr>
              <w:snapToGrid w:val="0"/>
              <w:spacing w:line="460" w:lineRule="exact"/>
              <w:ind w:firstLine="1080" w:firstLineChars="450"/>
              <w:rPr>
                <w:rFonts w:hint="eastAsia" w:ascii="宋体" w:hAnsi="宋体" w:cs="宋体"/>
                <w:color w:val="auto"/>
                <w:sz w:val="24"/>
                <w:highlight w:val="none"/>
              </w:rPr>
            </w:pPr>
            <w:r>
              <w:rPr>
                <w:rFonts w:hint="eastAsia" w:ascii="宋体" w:hAnsi="宋体" w:cs="宋体"/>
                <w:color w:val="auto"/>
                <w:sz w:val="24"/>
                <w:highlight w:val="none"/>
              </w:rPr>
              <w:t>******</w:t>
            </w:r>
          </w:p>
          <w:p w14:paraId="36B74D2B">
            <w:pPr>
              <w:snapToGrid w:val="0"/>
              <w:spacing w:line="460" w:lineRule="exact"/>
              <w:ind w:firstLine="1080" w:firstLineChars="450"/>
              <w:jc w:val="right"/>
              <w:rPr>
                <w:rFonts w:ascii="宋体" w:hAnsi="宋体" w:cs="宋体"/>
                <w:color w:val="auto"/>
                <w:sz w:val="24"/>
                <w:highlight w:val="none"/>
              </w:rPr>
            </w:pPr>
            <w:r>
              <w:rPr>
                <w:rFonts w:hint="eastAsia" w:ascii="宋体" w:hAnsi="宋体" w:cs="宋体"/>
                <w:color w:val="auto"/>
                <w:sz w:val="24"/>
                <w:highlight w:val="none"/>
              </w:rPr>
              <w:t>年   月   日</w:t>
            </w:r>
          </w:p>
        </w:tc>
        <w:tc>
          <w:tcPr>
            <w:tcW w:w="4360" w:type="dxa"/>
            <w:noWrap w:val="0"/>
            <w:vAlign w:val="center"/>
          </w:tcPr>
          <w:p w14:paraId="658B0295">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 xml:space="preserve">乙方（章）              </w:t>
            </w:r>
          </w:p>
          <w:p w14:paraId="2565CB9D">
            <w:pPr>
              <w:snapToGrid w:val="0"/>
              <w:spacing w:line="460" w:lineRule="exact"/>
              <w:jc w:val="right"/>
              <w:rPr>
                <w:rFonts w:ascii="宋体" w:hAnsi="宋体" w:cs="宋体"/>
                <w:color w:val="auto"/>
                <w:sz w:val="24"/>
                <w:highlight w:val="none"/>
              </w:rPr>
            </w:pPr>
            <w:r>
              <w:rPr>
                <w:rFonts w:hint="eastAsia" w:ascii="宋体" w:hAnsi="宋体" w:cs="宋体"/>
                <w:color w:val="auto"/>
                <w:sz w:val="24"/>
                <w:highlight w:val="none"/>
              </w:rPr>
              <w:t xml:space="preserve"> 年   月   日</w:t>
            </w:r>
          </w:p>
        </w:tc>
      </w:tr>
      <w:tr w14:paraId="55EB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noWrap w:val="0"/>
            <w:vAlign w:val="center"/>
          </w:tcPr>
          <w:p w14:paraId="0FBCFA0B">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 xml:space="preserve">单位地址： </w:t>
            </w:r>
          </w:p>
        </w:tc>
        <w:tc>
          <w:tcPr>
            <w:tcW w:w="4360" w:type="dxa"/>
            <w:noWrap w:val="0"/>
            <w:vAlign w:val="center"/>
          </w:tcPr>
          <w:p w14:paraId="40C9DE82">
            <w:pPr>
              <w:pStyle w:val="25"/>
              <w:widowControl/>
              <w:spacing w:line="460" w:lineRule="exact"/>
              <w:rPr>
                <w:rFonts w:ascii="宋体" w:hAnsi="宋体" w:cs="宋体"/>
                <w:color w:val="auto"/>
                <w:highlight w:val="none"/>
              </w:rPr>
            </w:pPr>
            <w:r>
              <w:rPr>
                <w:rFonts w:hint="eastAsia" w:ascii="宋体" w:hAnsi="宋体" w:cs="宋体"/>
                <w:color w:val="auto"/>
                <w:highlight w:val="none"/>
              </w:rPr>
              <w:t>单位地址：</w:t>
            </w:r>
          </w:p>
        </w:tc>
      </w:tr>
      <w:tr w14:paraId="2169E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noWrap w:val="0"/>
            <w:vAlign w:val="center"/>
          </w:tcPr>
          <w:p w14:paraId="46CF31E1">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法定代表人（签字）：</w:t>
            </w:r>
          </w:p>
        </w:tc>
        <w:tc>
          <w:tcPr>
            <w:tcW w:w="4360" w:type="dxa"/>
            <w:noWrap w:val="0"/>
            <w:vAlign w:val="center"/>
          </w:tcPr>
          <w:p w14:paraId="71209469">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法定代表人（签字）：</w:t>
            </w:r>
          </w:p>
        </w:tc>
      </w:tr>
      <w:tr w14:paraId="7A74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4359" w:type="dxa"/>
            <w:noWrap w:val="0"/>
            <w:vAlign w:val="center"/>
          </w:tcPr>
          <w:p w14:paraId="2FBD1228">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委托代理人（签字）：</w:t>
            </w:r>
          </w:p>
        </w:tc>
        <w:tc>
          <w:tcPr>
            <w:tcW w:w="4360" w:type="dxa"/>
            <w:noWrap w:val="0"/>
            <w:vAlign w:val="center"/>
          </w:tcPr>
          <w:p w14:paraId="4E4F2A66">
            <w:pPr>
              <w:snapToGrid w:val="0"/>
              <w:spacing w:line="460" w:lineRule="exact"/>
              <w:rPr>
                <w:rFonts w:ascii="宋体" w:hAnsi="宋体" w:cs="宋体"/>
                <w:color w:val="auto"/>
                <w:sz w:val="24"/>
                <w:highlight w:val="none"/>
              </w:rPr>
            </w:pPr>
            <w:r>
              <w:rPr>
                <w:rFonts w:hint="eastAsia" w:ascii="宋体" w:hAnsi="宋体" w:cs="宋体"/>
                <w:color w:val="auto"/>
                <w:sz w:val="24"/>
                <w:highlight w:val="none"/>
              </w:rPr>
              <w:t>委托代理人（签字）：</w:t>
            </w:r>
          </w:p>
        </w:tc>
      </w:tr>
      <w:tr w14:paraId="053E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noWrap w:val="0"/>
            <w:vAlign w:val="center"/>
          </w:tcPr>
          <w:p w14:paraId="747E7D41">
            <w:pPr>
              <w:snapToGrid w:val="0"/>
              <w:spacing w:line="460" w:lineRule="exact"/>
              <w:rPr>
                <w:rFonts w:hint="eastAsia" w:ascii="宋体" w:hAnsi="宋体" w:cs="宋体"/>
                <w:color w:val="auto"/>
                <w:sz w:val="24"/>
                <w:highlight w:val="none"/>
              </w:rPr>
            </w:pPr>
            <w:r>
              <w:rPr>
                <w:rFonts w:hint="eastAsia" w:ascii="宋体" w:hAnsi="宋体" w:cs="宋体"/>
                <w:color w:val="auto"/>
                <w:sz w:val="24"/>
                <w:highlight w:val="none"/>
              </w:rPr>
              <w:t>电话：</w:t>
            </w:r>
            <w:r>
              <w:rPr>
                <w:rFonts w:ascii="宋体" w:hAnsi="宋体" w:cs="宋体"/>
                <w:color w:val="auto"/>
                <w:sz w:val="24"/>
                <w:highlight w:val="none"/>
              </w:rPr>
              <w:t>0771-</w:t>
            </w:r>
            <w:r>
              <w:rPr>
                <w:rFonts w:hint="eastAsia" w:ascii="宋体" w:hAnsi="宋体" w:cs="宋体"/>
                <w:color w:val="auto"/>
                <w:sz w:val="24"/>
                <w:highlight w:val="none"/>
              </w:rPr>
              <w:t xml:space="preserve"> </w:t>
            </w:r>
          </w:p>
        </w:tc>
        <w:tc>
          <w:tcPr>
            <w:tcW w:w="4360" w:type="dxa"/>
            <w:noWrap w:val="0"/>
            <w:vAlign w:val="center"/>
          </w:tcPr>
          <w:p w14:paraId="792AC2C1">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lang w:bidi="ar"/>
              </w:rPr>
              <w:t xml:space="preserve"> </w:t>
            </w:r>
          </w:p>
        </w:tc>
      </w:tr>
      <w:tr w14:paraId="54727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noWrap w:val="0"/>
            <w:vAlign w:val="center"/>
          </w:tcPr>
          <w:p w14:paraId="704FA667">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电子邮箱： </w:t>
            </w:r>
          </w:p>
        </w:tc>
        <w:tc>
          <w:tcPr>
            <w:tcW w:w="4360" w:type="dxa"/>
            <w:noWrap w:val="0"/>
            <w:vAlign w:val="center"/>
          </w:tcPr>
          <w:p w14:paraId="02218707">
            <w:pPr>
              <w:snapToGrid w:val="0"/>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电子邮箱：</w:t>
            </w:r>
          </w:p>
        </w:tc>
      </w:tr>
      <w:tr w14:paraId="66AB0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5" w:hRule="atLeast"/>
          <w:jc w:val="center"/>
        </w:trPr>
        <w:tc>
          <w:tcPr>
            <w:tcW w:w="4359" w:type="dxa"/>
            <w:noWrap w:val="0"/>
            <w:vAlign w:val="center"/>
          </w:tcPr>
          <w:p w14:paraId="74249369">
            <w:pPr>
              <w:snapToGrid w:val="0"/>
              <w:spacing w:line="460" w:lineRule="exact"/>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开户银行： </w:t>
            </w:r>
          </w:p>
        </w:tc>
        <w:tc>
          <w:tcPr>
            <w:tcW w:w="4360" w:type="dxa"/>
            <w:noWrap w:val="0"/>
            <w:vAlign w:val="center"/>
          </w:tcPr>
          <w:p w14:paraId="4A3EDD3E">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开户银行：</w:t>
            </w:r>
          </w:p>
        </w:tc>
      </w:tr>
      <w:tr w14:paraId="0B150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4359" w:type="dxa"/>
            <w:noWrap w:val="0"/>
            <w:vAlign w:val="center"/>
          </w:tcPr>
          <w:p w14:paraId="4D8A190E">
            <w:pPr>
              <w:pStyle w:val="25"/>
              <w:widowControl/>
              <w:rPr>
                <w:rFonts w:hint="eastAsia" w:ascii="宋体" w:hAnsi="宋体" w:cs="宋体"/>
                <w:color w:val="auto"/>
                <w:highlight w:val="none"/>
              </w:rPr>
            </w:pPr>
            <w:r>
              <w:rPr>
                <w:rFonts w:hint="eastAsia" w:ascii="宋体" w:hAnsi="宋体" w:cs="宋体"/>
                <w:color w:val="auto"/>
                <w:highlight w:val="none"/>
              </w:rPr>
              <w:t xml:space="preserve">账号： </w:t>
            </w:r>
          </w:p>
        </w:tc>
        <w:tc>
          <w:tcPr>
            <w:tcW w:w="4360" w:type="dxa"/>
            <w:noWrap w:val="0"/>
            <w:vAlign w:val="center"/>
          </w:tcPr>
          <w:p w14:paraId="3C3876A5">
            <w:pPr>
              <w:widowControl/>
              <w:spacing w:line="460" w:lineRule="exact"/>
              <w:jc w:val="left"/>
              <w:rPr>
                <w:rFonts w:ascii="宋体" w:hAnsi="宋体" w:cs="宋体"/>
                <w:color w:val="auto"/>
                <w:highlight w:val="none"/>
              </w:rPr>
            </w:pPr>
            <w:r>
              <w:rPr>
                <w:rFonts w:hint="eastAsia" w:ascii="宋体" w:hAnsi="宋体" w:cs="宋体"/>
                <w:color w:val="auto"/>
                <w:highlight w:val="none"/>
              </w:rPr>
              <w:t>账号：</w:t>
            </w:r>
          </w:p>
        </w:tc>
      </w:tr>
      <w:tr w14:paraId="0A35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4359" w:type="dxa"/>
            <w:noWrap w:val="0"/>
            <w:vAlign w:val="center"/>
          </w:tcPr>
          <w:p w14:paraId="7775187C">
            <w:pPr>
              <w:pStyle w:val="25"/>
              <w:widowControl/>
              <w:rPr>
                <w:rFonts w:hint="eastAsia" w:ascii="宋体" w:hAnsi="宋体" w:cs="宋体"/>
                <w:color w:val="auto"/>
                <w:highlight w:val="none"/>
              </w:rPr>
            </w:pPr>
            <w:r>
              <w:rPr>
                <w:rFonts w:hint="eastAsia" w:ascii="宋体" w:hAnsi="宋体" w:cs="宋体"/>
                <w:color w:val="auto"/>
                <w:highlight w:val="none"/>
              </w:rPr>
              <w:t xml:space="preserve">邮政编码： </w:t>
            </w:r>
          </w:p>
        </w:tc>
        <w:tc>
          <w:tcPr>
            <w:tcW w:w="4360" w:type="dxa"/>
            <w:noWrap w:val="0"/>
            <w:vAlign w:val="center"/>
          </w:tcPr>
          <w:p w14:paraId="19BE0076">
            <w:pPr>
              <w:widowControl/>
              <w:spacing w:line="4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邮政编码：</w:t>
            </w:r>
          </w:p>
        </w:tc>
      </w:tr>
    </w:tbl>
    <w:p w14:paraId="6D92F2EE">
      <w:pPr>
        <w:jc w:val="center"/>
        <w:rPr>
          <w:rFonts w:hint="eastAsia" w:ascii="宋体" w:hAnsi="宋体" w:cs="宋体"/>
          <w:b/>
          <w:bCs/>
          <w:color w:val="auto"/>
          <w:kern w:val="0"/>
          <w:sz w:val="32"/>
          <w:szCs w:val="32"/>
          <w:highlight w:val="none"/>
        </w:rPr>
      </w:pPr>
    </w:p>
    <w:p w14:paraId="765995A7">
      <w:pPr>
        <w:jc w:val="center"/>
        <w:rPr>
          <w:rFonts w:hint="eastAsia" w:ascii="宋体" w:hAnsi="宋体" w:cs="宋体"/>
          <w:b/>
          <w:bCs/>
          <w:color w:val="auto"/>
          <w:kern w:val="0"/>
          <w:sz w:val="32"/>
          <w:szCs w:val="32"/>
          <w:highlight w:val="none"/>
        </w:rPr>
      </w:pPr>
    </w:p>
    <w:p w14:paraId="2BB2A098">
      <w:pPr>
        <w:jc w:val="center"/>
        <w:rPr>
          <w:rFonts w:hint="eastAsia" w:ascii="宋体" w:hAnsi="宋体" w:cs="宋体"/>
          <w:b/>
          <w:bCs/>
          <w:color w:val="auto"/>
          <w:kern w:val="0"/>
          <w:sz w:val="32"/>
          <w:szCs w:val="32"/>
          <w:highlight w:val="none"/>
        </w:rPr>
      </w:pPr>
    </w:p>
    <w:p w14:paraId="7A3D1C74">
      <w:pPr>
        <w:jc w:val="center"/>
        <w:rPr>
          <w:rFonts w:hint="eastAsia" w:ascii="宋体" w:hAnsi="宋体" w:cs="宋体"/>
          <w:b/>
          <w:bCs/>
          <w:color w:val="auto"/>
          <w:kern w:val="0"/>
          <w:sz w:val="32"/>
          <w:szCs w:val="32"/>
          <w:highlight w:val="none"/>
        </w:rPr>
      </w:pPr>
    </w:p>
    <w:p w14:paraId="13369618">
      <w:pPr>
        <w:jc w:val="center"/>
        <w:rPr>
          <w:rFonts w:hint="eastAsia" w:ascii="宋体" w:hAnsi="宋体" w:cs="宋体"/>
          <w:b/>
          <w:bCs/>
          <w:color w:val="auto"/>
          <w:kern w:val="0"/>
          <w:sz w:val="32"/>
          <w:szCs w:val="32"/>
          <w:highlight w:val="none"/>
        </w:rPr>
      </w:pPr>
    </w:p>
    <w:p w14:paraId="6BFC617A">
      <w:pPr>
        <w:jc w:val="center"/>
        <w:rPr>
          <w:rFonts w:hint="eastAsia" w:ascii="宋体" w:hAnsi="宋体" w:cs="宋体"/>
          <w:b/>
          <w:bCs/>
          <w:color w:val="auto"/>
          <w:kern w:val="0"/>
          <w:sz w:val="32"/>
          <w:szCs w:val="32"/>
          <w:highlight w:val="none"/>
        </w:rPr>
      </w:pPr>
    </w:p>
    <w:p w14:paraId="58C31B40">
      <w:pPr>
        <w:jc w:val="center"/>
        <w:rPr>
          <w:rFonts w:hint="eastAsia" w:ascii="宋体" w:hAnsi="宋体" w:cs="宋体"/>
          <w:b/>
          <w:bCs/>
          <w:color w:val="auto"/>
          <w:kern w:val="0"/>
          <w:sz w:val="32"/>
          <w:szCs w:val="32"/>
          <w:highlight w:val="none"/>
        </w:rPr>
      </w:pPr>
    </w:p>
    <w:p w14:paraId="0DAA7073">
      <w:pPr>
        <w:jc w:val="center"/>
        <w:rPr>
          <w:rFonts w:hint="eastAsia" w:ascii="宋体" w:hAnsi="宋体" w:cs="宋体"/>
          <w:b/>
          <w:bCs/>
          <w:color w:val="auto"/>
          <w:kern w:val="0"/>
          <w:sz w:val="32"/>
          <w:szCs w:val="32"/>
          <w:highlight w:val="none"/>
        </w:rPr>
      </w:pPr>
    </w:p>
    <w:p w14:paraId="6E6E6020">
      <w:pPr>
        <w:jc w:val="center"/>
        <w:rPr>
          <w:rFonts w:hint="eastAsia" w:ascii="宋体" w:hAnsi="宋体" w:cs="宋体"/>
          <w:b/>
          <w:bCs/>
          <w:color w:val="auto"/>
          <w:kern w:val="0"/>
          <w:sz w:val="32"/>
          <w:szCs w:val="32"/>
          <w:highlight w:val="none"/>
        </w:rPr>
      </w:pPr>
    </w:p>
    <w:p w14:paraId="68F63C8B">
      <w:pPr>
        <w:jc w:val="center"/>
        <w:rPr>
          <w:rFonts w:hint="eastAsia" w:ascii="宋体" w:hAnsi="宋体" w:cs="宋体"/>
          <w:b/>
          <w:bCs/>
          <w:color w:val="auto"/>
          <w:kern w:val="0"/>
          <w:sz w:val="32"/>
          <w:szCs w:val="32"/>
          <w:highlight w:val="none"/>
        </w:rPr>
      </w:pPr>
    </w:p>
    <w:p w14:paraId="7372DD3B">
      <w:pPr>
        <w:jc w:val="center"/>
        <w:rPr>
          <w:rFonts w:hint="eastAsia" w:ascii="宋体" w:hAnsi="宋体" w:cs="宋体"/>
          <w:b/>
          <w:bCs/>
          <w:color w:val="auto"/>
          <w:kern w:val="0"/>
          <w:sz w:val="32"/>
          <w:szCs w:val="32"/>
          <w:highlight w:val="none"/>
        </w:rPr>
      </w:pPr>
    </w:p>
    <w:p w14:paraId="66073CB2">
      <w:pPr>
        <w:jc w:val="center"/>
        <w:rPr>
          <w:rFonts w:hint="eastAsia" w:ascii="宋体" w:hAnsi="宋体" w:cs="宋体"/>
          <w:b/>
          <w:bCs/>
          <w:color w:val="auto"/>
          <w:kern w:val="0"/>
          <w:sz w:val="32"/>
          <w:szCs w:val="32"/>
          <w:highlight w:val="none"/>
        </w:rPr>
      </w:pPr>
    </w:p>
    <w:p w14:paraId="3C491702">
      <w:pPr>
        <w:jc w:val="center"/>
        <w:rPr>
          <w:rFonts w:hint="eastAsia" w:ascii="宋体" w:hAnsi="宋体" w:cs="宋体"/>
          <w:b/>
          <w:bCs/>
          <w:color w:val="auto"/>
          <w:kern w:val="0"/>
          <w:sz w:val="32"/>
          <w:szCs w:val="32"/>
          <w:highlight w:val="none"/>
        </w:rPr>
      </w:pPr>
    </w:p>
    <w:p w14:paraId="5278F8C2">
      <w:pPr>
        <w:jc w:val="center"/>
        <w:rPr>
          <w:rFonts w:hint="eastAsia" w:ascii="宋体" w:hAnsi="宋体" w:cs="宋体"/>
          <w:b/>
          <w:bCs/>
          <w:color w:val="auto"/>
          <w:kern w:val="0"/>
          <w:sz w:val="32"/>
          <w:szCs w:val="32"/>
          <w:highlight w:val="none"/>
        </w:rPr>
      </w:pPr>
    </w:p>
    <w:p w14:paraId="3C4E96B8">
      <w:pPr>
        <w:jc w:val="center"/>
        <w:rPr>
          <w:rFonts w:hint="eastAsia" w:ascii="宋体" w:hAnsi="宋体" w:cs="宋体"/>
          <w:b/>
          <w:bCs/>
          <w:color w:val="auto"/>
          <w:kern w:val="0"/>
          <w:sz w:val="32"/>
          <w:szCs w:val="32"/>
          <w:highlight w:val="none"/>
        </w:rPr>
      </w:pPr>
    </w:p>
    <w:p w14:paraId="2B9E7499">
      <w:pPr>
        <w:jc w:val="center"/>
        <w:rPr>
          <w:rFonts w:hint="eastAsia" w:ascii="宋体" w:hAnsi="宋体" w:cs="宋体"/>
          <w:b/>
          <w:bCs/>
          <w:color w:val="auto"/>
          <w:kern w:val="0"/>
          <w:sz w:val="32"/>
          <w:szCs w:val="32"/>
          <w:highlight w:val="none"/>
        </w:rPr>
      </w:pPr>
    </w:p>
    <w:p w14:paraId="6346737D">
      <w:pPr>
        <w:jc w:val="center"/>
        <w:rPr>
          <w:rFonts w:hint="eastAsia" w:ascii="宋体" w:hAnsi="宋体" w:cs="宋体"/>
          <w:b/>
          <w:bCs/>
          <w:color w:val="auto"/>
          <w:kern w:val="0"/>
          <w:sz w:val="32"/>
          <w:szCs w:val="32"/>
          <w:highlight w:val="none"/>
        </w:rPr>
      </w:pPr>
    </w:p>
    <w:p w14:paraId="789FD357">
      <w:pPr>
        <w:jc w:val="center"/>
        <w:rPr>
          <w:rFonts w:hint="eastAsia" w:ascii="宋体" w:hAnsi="宋体" w:cs="宋体"/>
          <w:b/>
          <w:bCs/>
          <w:color w:val="auto"/>
          <w:kern w:val="0"/>
          <w:sz w:val="32"/>
          <w:szCs w:val="32"/>
          <w:highlight w:val="none"/>
        </w:rPr>
      </w:pPr>
    </w:p>
    <w:p w14:paraId="77EE951C">
      <w:pPr>
        <w:jc w:val="center"/>
        <w:rPr>
          <w:rFonts w:hint="eastAsia" w:ascii="宋体" w:hAnsi="宋体" w:cs="宋体"/>
          <w:b/>
          <w:bCs/>
          <w:color w:val="auto"/>
          <w:kern w:val="0"/>
          <w:sz w:val="32"/>
          <w:szCs w:val="32"/>
          <w:highlight w:val="none"/>
        </w:rPr>
      </w:pPr>
    </w:p>
    <w:p w14:paraId="219DCD3A">
      <w:pPr>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广西壮族自治区政府采购项目合同验收书（格式）</w:t>
      </w:r>
    </w:p>
    <w:p w14:paraId="6C5DDAFB">
      <w:pPr>
        <w:widowControl/>
        <w:shd w:val="clear" w:color="auto" w:fill="FFFFFF"/>
        <w:spacing w:line="480" w:lineRule="atLeast"/>
        <w:jc w:val="center"/>
        <w:rPr>
          <w:rFonts w:hint="eastAsia" w:ascii="仿宋" w:hAnsi="仿宋" w:eastAsia="仿宋" w:cs="宋体"/>
          <w:color w:val="auto"/>
          <w:kern w:val="0"/>
          <w:sz w:val="32"/>
          <w:szCs w:val="32"/>
          <w:highlight w:val="none"/>
        </w:rPr>
      </w:pPr>
    </w:p>
    <w:p w14:paraId="690C224C">
      <w:pPr>
        <w:widowControl/>
        <w:shd w:val="clear" w:color="auto" w:fill="FFFFFF"/>
        <w:snapToGrid w:val="0"/>
        <w:spacing w:line="320" w:lineRule="atLeast"/>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根据政府采购项目（</w:t>
      </w:r>
      <w:r>
        <w:rPr>
          <w:rFonts w:hint="eastAsia" w:ascii="宋体" w:hAnsi="宋体" w:cs="宋体"/>
          <w:color w:val="auto"/>
          <w:kern w:val="0"/>
          <w:szCs w:val="21"/>
          <w:highlight w:val="none"/>
          <w:u w:val="single"/>
        </w:rPr>
        <w:t>采购合同编号：</w:t>
      </w:r>
      <w:r>
        <w:rPr>
          <w:rFonts w:hint="eastAsia" w:ascii="宋体" w:hAnsi="宋体" w:cs="宋体"/>
          <w:color w:val="auto"/>
          <w:kern w:val="0"/>
          <w:szCs w:val="21"/>
          <w:highlight w:val="none"/>
          <w:u w:val="single"/>
        </w:rPr>
        <w:softHyphen/>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）的约定，我单位对（</w:t>
      </w:r>
      <w:r>
        <w:rPr>
          <w:rFonts w:hint="eastAsia" w:ascii="宋体" w:hAnsi="宋体" w:cs="宋体"/>
          <w:color w:val="auto"/>
          <w:kern w:val="0"/>
          <w:szCs w:val="21"/>
          <w:highlight w:val="none"/>
          <w:u w:val="single"/>
        </w:rPr>
        <w:t xml:space="preserve"> 项目名称 </w:t>
      </w:r>
      <w:r>
        <w:rPr>
          <w:rFonts w:hint="eastAsia" w:ascii="宋体" w:hAnsi="宋体" w:cs="宋体"/>
          <w:color w:val="auto"/>
          <w:kern w:val="0"/>
          <w:szCs w:val="21"/>
          <w:highlight w:val="none"/>
        </w:rPr>
        <w:t>） 政府采购项目中标（或成交）供应商</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公司名称 </w:t>
      </w:r>
      <w:r>
        <w:rPr>
          <w:rFonts w:hint="eastAsia" w:ascii="宋体" w:hAnsi="宋体" w:cs="宋体"/>
          <w:color w:val="auto"/>
          <w:kern w:val="0"/>
          <w:szCs w:val="21"/>
          <w:highlight w:val="none"/>
        </w:rPr>
        <w:t>）提供的货物（或者工程、服务）进行了验收，验收情况如下：</w:t>
      </w:r>
    </w:p>
    <w:tbl>
      <w:tblPr>
        <w:tblStyle w:val="29"/>
        <w:tblW w:w="5000" w:type="pct"/>
        <w:jc w:val="center"/>
        <w:tblLayout w:type="autofit"/>
        <w:tblCellMar>
          <w:top w:w="0" w:type="dxa"/>
          <w:left w:w="0" w:type="dxa"/>
          <w:bottom w:w="0" w:type="dxa"/>
          <w:right w:w="0" w:type="dxa"/>
        </w:tblCellMar>
      </w:tblPr>
      <w:tblGrid>
        <w:gridCol w:w="832"/>
        <w:gridCol w:w="854"/>
        <w:gridCol w:w="1682"/>
        <w:gridCol w:w="826"/>
        <w:gridCol w:w="107"/>
        <w:gridCol w:w="2076"/>
        <w:gridCol w:w="182"/>
        <w:gridCol w:w="712"/>
        <w:gridCol w:w="1479"/>
      </w:tblGrid>
      <w:tr w14:paraId="7FF87C25">
        <w:tblPrEx>
          <w:tblCellMar>
            <w:top w:w="0" w:type="dxa"/>
            <w:left w:w="0" w:type="dxa"/>
            <w:bottom w:w="0" w:type="dxa"/>
            <w:right w:w="0" w:type="dxa"/>
          </w:tblCellMar>
        </w:tblPrEx>
        <w:trPr>
          <w:trHeight w:val="497" w:hRule="atLeast"/>
          <w:jc w:val="center"/>
        </w:trPr>
        <w:tc>
          <w:tcPr>
            <w:tcW w:w="1925" w:type="pct"/>
            <w:gridSpan w:val="3"/>
            <w:tcBorders>
              <w:top w:val="single" w:color="auto" w:sz="8" w:space="0"/>
              <w:left w:val="single" w:color="auto" w:sz="8" w:space="0"/>
              <w:bottom w:val="single" w:color="auto" w:sz="8" w:space="0"/>
              <w:right w:val="single" w:color="auto" w:sz="8" w:space="0"/>
            </w:tcBorders>
            <w:noWrap w:val="0"/>
            <w:vAlign w:val="center"/>
          </w:tcPr>
          <w:p w14:paraId="7F5D520B">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验收方式：</w:t>
            </w:r>
          </w:p>
        </w:tc>
        <w:tc>
          <w:tcPr>
            <w:tcW w:w="3075" w:type="pct"/>
            <w:gridSpan w:val="6"/>
            <w:tcBorders>
              <w:top w:val="single" w:color="auto" w:sz="8" w:space="0"/>
              <w:left w:val="nil"/>
              <w:bottom w:val="single" w:color="auto" w:sz="8" w:space="0"/>
              <w:right w:val="single" w:color="auto" w:sz="8" w:space="0"/>
            </w:tcBorders>
            <w:noWrap w:val="0"/>
            <w:vAlign w:val="center"/>
          </w:tcPr>
          <w:p w14:paraId="0B2E1BC6">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□自行验收     □委托验收</w:t>
            </w:r>
          </w:p>
        </w:tc>
      </w:tr>
      <w:tr w14:paraId="203B3054">
        <w:tblPrEx>
          <w:tblCellMar>
            <w:top w:w="0" w:type="dxa"/>
            <w:left w:w="0" w:type="dxa"/>
            <w:bottom w:w="0" w:type="dxa"/>
            <w:right w:w="0" w:type="dxa"/>
          </w:tblCellMar>
        </w:tblPrEx>
        <w:trPr>
          <w:trHeight w:val="622" w:hRule="atLeast"/>
          <w:jc w:val="center"/>
        </w:trPr>
        <w:tc>
          <w:tcPr>
            <w:tcW w:w="476" w:type="pct"/>
            <w:tcBorders>
              <w:top w:val="nil"/>
              <w:left w:val="single" w:color="auto" w:sz="8" w:space="0"/>
              <w:bottom w:val="single" w:color="auto" w:sz="8" w:space="0"/>
              <w:right w:val="single" w:color="auto" w:sz="8" w:space="0"/>
            </w:tcBorders>
            <w:noWrap w:val="0"/>
            <w:vAlign w:val="center"/>
          </w:tcPr>
          <w:p w14:paraId="074F7427">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序号</w:t>
            </w:r>
          </w:p>
        </w:tc>
        <w:tc>
          <w:tcPr>
            <w:tcW w:w="1449" w:type="pct"/>
            <w:gridSpan w:val="2"/>
            <w:tcBorders>
              <w:top w:val="nil"/>
              <w:left w:val="nil"/>
              <w:bottom w:val="single" w:color="auto" w:sz="8" w:space="0"/>
              <w:right w:val="single" w:color="auto" w:sz="8" w:space="0"/>
            </w:tcBorders>
            <w:noWrap w:val="0"/>
            <w:vAlign w:val="center"/>
          </w:tcPr>
          <w:p w14:paraId="45489CB2">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名称</w:t>
            </w:r>
          </w:p>
        </w:tc>
        <w:tc>
          <w:tcPr>
            <w:tcW w:w="1718" w:type="pct"/>
            <w:gridSpan w:val="3"/>
            <w:tcBorders>
              <w:top w:val="nil"/>
              <w:left w:val="nil"/>
              <w:bottom w:val="single" w:color="auto" w:sz="8" w:space="0"/>
              <w:right w:val="single" w:color="auto" w:sz="8" w:space="0"/>
            </w:tcBorders>
            <w:noWrap w:val="0"/>
            <w:vAlign w:val="center"/>
          </w:tcPr>
          <w:p w14:paraId="5D6E31F8">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货物型号规格、标准及配置等（或者服务内容、标准）</w:t>
            </w:r>
          </w:p>
        </w:tc>
        <w:tc>
          <w:tcPr>
            <w:tcW w:w="511" w:type="pct"/>
            <w:gridSpan w:val="2"/>
            <w:tcBorders>
              <w:top w:val="nil"/>
              <w:left w:val="nil"/>
              <w:bottom w:val="single" w:color="auto" w:sz="8" w:space="0"/>
              <w:right w:val="single" w:color="auto" w:sz="8" w:space="0"/>
            </w:tcBorders>
            <w:noWrap w:val="0"/>
            <w:vAlign w:val="center"/>
          </w:tcPr>
          <w:p w14:paraId="0D1EB075">
            <w:pPr>
              <w:widowControl/>
              <w:snapToGrid w:val="0"/>
              <w:spacing w:before="100" w:beforeAutospacing="1" w:after="100" w:afterAutospacing="1" w:line="320" w:lineRule="atLeast"/>
              <w:jc w:val="center"/>
              <w:rPr>
                <w:rFonts w:ascii="宋体" w:hAnsi="宋体" w:cs="宋体"/>
                <w:color w:val="auto"/>
                <w:kern w:val="0"/>
                <w:szCs w:val="21"/>
                <w:highlight w:val="none"/>
              </w:rPr>
            </w:pPr>
            <w:r>
              <w:rPr>
                <w:rFonts w:ascii="宋体" w:hAnsi="宋体" w:cs="宋体"/>
                <w:color w:val="auto"/>
                <w:kern w:val="0"/>
                <w:szCs w:val="21"/>
                <w:highlight w:val="none"/>
              </w:rPr>
              <w:t>数量</w:t>
            </w:r>
          </w:p>
        </w:tc>
        <w:tc>
          <w:tcPr>
            <w:tcW w:w="845" w:type="pct"/>
            <w:tcBorders>
              <w:top w:val="nil"/>
              <w:left w:val="nil"/>
              <w:bottom w:val="single" w:color="auto" w:sz="8" w:space="0"/>
              <w:right w:val="single" w:color="auto" w:sz="8" w:space="0"/>
            </w:tcBorders>
            <w:noWrap w:val="0"/>
            <w:vAlign w:val="center"/>
          </w:tcPr>
          <w:p w14:paraId="70F48D83">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金额</w:t>
            </w:r>
          </w:p>
        </w:tc>
      </w:tr>
      <w:tr w14:paraId="7FA0B4E3">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noWrap w:val="0"/>
            <w:vAlign w:val="center"/>
          </w:tcPr>
          <w:p w14:paraId="034DC1ED">
            <w:pPr>
              <w:widowControl/>
              <w:spacing w:before="100" w:beforeAutospacing="1" w:after="100" w:afterAutospacing="1" w:line="240" w:lineRule="atLeast"/>
              <w:jc w:val="center"/>
              <w:rPr>
                <w:rFonts w:ascii="宋体" w:hAnsi="宋体" w:cs="宋体"/>
                <w:color w:val="auto"/>
                <w:kern w:val="0"/>
                <w:szCs w:val="21"/>
                <w:highlight w:val="none"/>
              </w:rPr>
            </w:pPr>
          </w:p>
        </w:tc>
        <w:tc>
          <w:tcPr>
            <w:tcW w:w="1449" w:type="pct"/>
            <w:gridSpan w:val="2"/>
            <w:tcBorders>
              <w:top w:val="nil"/>
              <w:left w:val="nil"/>
              <w:bottom w:val="single" w:color="auto" w:sz="8" w:space="0"/>
              <w:right w:val="single" w:color="auto" w:sz="8" w:space="0"/>
            </w:tcBorders>
            <w:noWrap w:val="0"/>
            <w:vAlign w:val="center"/>
          </w:tcPr>
          <w:p w14:paraId="34524968">
            <w:pPr>
              <w:widowControl/>
              <w:spacing w:before="100" w:beforeAutospacing="1" w:after="100" w:afterAutospacing="1" w:line="240" w:lineRule="atLeast"/>
              <w:jc w:val="center"/>
              <w:rPr>
                <w:rFonts w:ascii="宋体" w:hAnsi="宋体" w:cs="宋体"/>
                <w:color w:val="auto"/>
                <w:kern w:val="0"/>
                <w:szCs w:val="21"/>
                <w:highlight w:val="none"/>
              </w:rPr>
            </w:pPr>
          </w:p>
        </w:tc>
        <w:tc>
          <w:tcPr>
            <w:tcW w:w="1718" w:type="pct"/>
            <w:gridSpan w:val="3"/>
            <w:tcBorders>
              <w:top w:val="nil"/>
              <w:left w:val="nil"/>
              <w:bottom w:val="single" w:color="auto" w:sz="8" w:space="0"/>
              <w:right w:val="single" w:color="auto" w:sz="8" w:space="0"/>
            </w:tcBorders>
            <w:noWrap w:val="0"/>
            <w:vAlign w:val="center"/>
          </w:tcPr>
          <w:p w14:paraId="62361EA9">
            <w:pPr>
              <w:widowControl/>
              <w:spacing w:before="100" w:beforeAutospacing="1" w:after="100" w:afterAutospacing="1" w:line="240" w:lineRule="atLeast"/>
              <w:jc w:val="center"/>
              <w:rPr>
                <w:rFonts w:ascii="宋体" w:hAnsi="宋体" w:cs="宋体"/>
                <w:color w:val="auto"/>
                <w:kern w:val="0"/>
                <w:szCs w:val="21"/>
                <w:highlight w:val="none"/>
              </w:rPr>
            </w:pPr>
          </w:p>
        </w:tc>
        <w:tc>
          <w:tcPr>
            <w:tcW w:w="511" w:type="pct"/>
            <w:gridSpan w:val="2"/>
            <w:tcBorders>
              <w:top w:val="nil"/>
              <w:left w:val="nil"/>
              <w:bottom w:val="single" w:color="auto" w:sz="8" w:space="0"/>
              <w:right w:val="single" w:color="auto" w:sz="8" w:space="0"/>
            </w:tcBorders>
            <w:noWrap w:val="0"/>
            <w:vAlign w:val="center"/>
          </w:tcPr>
          <w:p w14:paraId="2CF02A45">
            <w:pPr>
              <w:widowControl/>
              <w:spacing w:before="100" w:beforeAutospacing="1" w:after="100" w:afterAutospacing="1" w:line="240" w:lineRule="atLeast"/>
              <w:jc w:val="center"/>
              <w:rPr>
                <w:rFonts w:ascii="宋体" w:hAnsi="宋体" w:cs="宋体"/>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1DF72311">
            <w:pPr>
              <w:widowControl/>
              <w:spacing w:before="100" w:beforeAutospacing="1" w:after="100" w:afterAutospacing="1" w:line="240" w:lineRule="atLeast"/>
              <w:jc w:val="center"/>
              <w:rPr>
                <w:rFonts w:ascii="宋体" w:hAnsi="宋体" w:cs="宋体"/>
                <w:color w:val="auto"/>
                <w:kern w:val="0"/>
                <w:szCs w:val="21"/>
                <w:highlight w:val="none"/>
              </w:rPr>
            </w:pPr>
          </w:p>
        </w:tc>
      </w:tr>
      <w:tr w14:paraId="344901C5">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noWrap w:val="0"/>
            <w:vAlign w:val="center"/>
          </w:tcPr>
          <w:p w14:paraId="7E9DB9C5">
            <w:pPr>
              <w:widowControl/>
              <w:spacing w:before="100" w:beforeAutospacing="1" w:after="100" w:afterAutospacing="1" w:line="240" w:lineRule="atLeast"/>
              <w:jc w:val="center"/>
              <w:rPr>
                <w:rFonts w:ascii="宋体" w:hAnsi="宋体" w:cs="宋体"/>
                <w:color w:val="auto"/>
                <w:kern w:val="0"/>
                <w:szCs w:val="21"/>
                <w:highlight w:val="none"/>
              </w:rPr>
            </w:pPr>
          </w:p>
        </w:tc>
        <w:tc>
          <w:tcPr>
            <w:tcW w:w="1449" w:type="pct"/>
            <w:gridSpan w:val="2"/>
            <w:tcBorders>
              <w:top w:val="nil"/>
              <w:left w:val="nil"/>
              <w:bottom w:val="single" w:color="auto" w:sz="8" w:space="0"/>
              <w:right w:val="single" w:color="auto" w:sz="8" w:space="0"/>
            </w:tcBorders>
            <w:noWrap w:val="0"/>
            <w:vAlign w:val="center"/>
          </w:tcPr>
          <w:p w14:paraId="422197BD">
            <w:pPr>
              <w:widowControl/>
              <w:spacing w:before="100" w:beforeAutospacing="1" w:after="100" w:afterAutospacing="1" w:line="240" w:lineRule="atLeast"/>
              <w:jc w:val="center"/>
              <w:rPr>
                <w:rFonts w:ascii="宋体" w:hAnsi="宋体" w:cs="宋体"/>
                <w:color w:val="auto"/>
                <w:kern w:val="0"/>
                <w:szCs w:val="21"/>
                <w:highlight w:val="none"/>
              </w:rPr>
            </w:pPr>
          </w:p>
        </w:tc>
        <w:tc>
          <w:tcPr>
            <w:tcW w:w="1718" w:type="pct"/>
            <w:gridSpan w:val="3"/>
            <w:tcBorders>
              <w:top w:val="nil"/>
              <w:left w:val="nil"/>
              <w:bottom w:val="single" w:color="auto" w:sz="8" w:space="0"/>
              <w:right w:val="single" w:color="auto" w:sz="8" w:space="0"/>
            </w:tcBorders>
            <w:noWrap w:val="0"/>
            <w:vAlign w:val="center"/>
          </w:tcPr>
          <w:p w14:paraId="03D0920D">
            <w:pPr>
              <w:widowControl/>
              <w:spacing w:before="100" w:beforeAutospacing="1" w:after="100" w:afterAutospacing="1" w:line="240" w:lineRule="atLeast"/>
              <w:jc w:val="center"/>
              <w:rPr>
                <w:rFonts w:ascii="宋体" w:hAnsi="宋体" w:cs="宋体"/>
                <w:color w:val="auto"/>
                <w:kern w:val="0"/>
                <w:szCs w:val="21"/>
                <w:highlight w:val="none"/>
              </w:rPr>
            </w:pPr>
          </w:p>
        </w:tc>
        <w:tc>
          <w:tcPr>
            <w:tcW w:w="511" w:type="pct"/>
            <w:gridSpan w:val="2"/>
            <w:tcBorders>
              <w:top w:val="nil"/>
              <w:left w:val="nil"/>
              <w:bottom w:val="single" w:color="auto" w:sz="8" w:space="0"/>
              <w:right w:val="single" w:color="auto" w:sz="8" w:space="0"/>
            </w:tcBorders>
            <w:noWrap w:val="0"/>
            <w:vAlign w:val="center"/>
          </w:tcPr>
          <w:p w14:paraId="4DF49120">
            <w:pPr>
              <w:widowControl/>
              <w:spacing w:before="100" w:beforeAutospacing="1" w:after="100" w:afterAutospacing="1" w:line="240" w:lineRule="atLeast"/>
              <w:jc w:val="center"/>
              <w:rPr>
                <w:rFonts w:ascii="宋体" w:hAnsi="宋体" w:cs="宋体"/>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06C25D7E">
            <w:pPr>
              <w:widowControl/>
              <w:spacing w:before="100" w:beforeAutospacing="1" w:after="100" w:afterAutospacing="1" w:line="240" w:lineRule="atLeast"/>
              <w:jc w:val="center"/>
              <w:rPr>
                <w:rFonts w:ascii="宋体" w:hAnsi="宋体" w:cs="宋体"/>
                <w:color w:val="auto"/>
                <w:kern w:val="0"/>
                <w:szCs w:val="21"/>
                <w:highlight w:val="none"/>
              </w:rPr>
            </w:pPr>
          </w:p>
        </w:tc>
      </w:tr>
      <w:tr w14:paraId="6F4C6DBE">
        <w:tblPrEx>
          <w:tblCellMar>
            <w:top w:w="0" w:type="dxa"/>
            <w:left w:w="0" w:type="dxa"/>
            <w:bottom w:w="0" w:type="dxa"/>
            <w:right w:w="0" w:type="dxa"/>
          </w:tblCellMar>
        </w:tblPrEx>
        <w:trPr>
          <w:trHeight w:val="487" w:hRule="atLeast"/>
          <w:jc w:val="center"/>
        </w:trPr>
        <w:tc>
          <w:tcPr>
            <w:tcW w:w="476" w:type="pct"/>
            <w:tcBorders>
              <w:top w:val="nil"/>
              <w:left w:val="single" w:color="auto" w:sz="8" w:space="0"/>
              <w:bottom w:val="single" w:color="auto" w:sz="8" w:space="0"/>
              <w:right w:val="single" w:color="auto" w:sz="8" w:space="0"/>
            </w:tcBorders>
            <w:noWrap w:val="0"/>
            <w:vAlign w:val="center"/>
          </w:tcPr>
          <w:p w14:paraId="5276EB7D">
            <w:pPr>
              <w:widowControl/>
              <w:spacing w:before="100" w:beforeAutospacing="1" w:after="100" w:afterAutospacing="1" w:line="240" w:lineRule="atLeast"/>
              <w:jc w:val="center"/>
              <w:rPr>
                <w:rFonts w:ascii="宋体" w:hAnsi="宋体" w:cs="宋体"/>
                <w:color w:val="auto"/>
                <w:kern w:val="0"/>
                <w:szCs w:val="21"/>
                <w:highlight w:val="none"/>
              </w:rPr>
            </w:pPr>
          </w:p>
        </w:tc>
        <w:tc>
          <w:tcPr>
            <w:tcW w:w="1449" w:type="pct"/>
            <w:gridSpan w:val="2"/>
            <w:tcBorders>
              <w:top w:val="nil"/>
              <w:left w:val="nil"/>
              <w:bottom w:val="single" w:color="auto" w:sz="8" w:space="0"/>
              <w:right w:val="single" w:color="auto" w:sz="8" w:space="0"/>
            </w:tcBorders>
            <w:noWrap w:val="0"/>
            <w:vAlign w:val="center"/>
          </w:tcPr>
          <w:p w14:paraId="49407BF8">
            <w:pPr>
              <w:widowControl/>
              <w:spacing w:before="100" w:beforeAutospacing="1" w:after="100" w:afterAutospacing="1" w:line="240" w:lineRule="atLeast"/>
              <w:jc w:val="center"/>
              <w:rPr>
                <w:rFonts w:ascii="宋体" w:hAnsi="宋体" w:cs="宋体"/>
                <w:color w:val="auto"/>
                <w:kern w:val="0"/>
                <w:szCs w:val="21"/>
                <w:highlight w:val="none"/>
              </w:rPr>
            </w:pPr>
          </w:p>
        </w:tc>
        <w:tc>
          <w:tcPr>
            <w:tcW w:w="1718" w:type="pct"/>
            <w:gridSpan w:val="3"/>
            <w:tcBorders>
              <w:top w:val="nil"/>
              <w:left w:val="nil"/>
              <w:bottom w:val="single" w:color="auto" w:sz="8" w:space="0"/>
              <w:right w:val="single" w:color="auto" w:sz="8" w:space="0"/>
            </w:tcBorders>
            <w:noWrap w:val="0"/>
            <w:vAlign w:val="center"/>
          </w:tcPr>
          <w:p w14:paraId="780EF58F">
            <w:pPr>
              <w:widowControl/>
              <w:spacing w:before="100" w:beforeAutospacing="1" w:after="100" w:afterAutospacing="1" w:line="240" w:lineRule="atLeast"/>
              <w:jc w:val="center"/>
              <w:rPr>
                <w:rFonts w:ascii="宋体" w:hAnsi="宋体" w:cs="宋体"/>
                <w:color w:val="auto"/>
                <w:kern w:val="0"/>
                <w:szCs w:val="21"/>
                <w:highlight w:val="none"/>
              </w:rPr>
            </w:pPr>
          </w:p>
        </w:tc>
        <w:tc>
          <w:tcPr>
            <w:tcW w:w="511" w:type="pct"/>
            <w:gridSpan w:val="2"/>
            <w:tcBorders>
              <w:top w:val="nil"/>
              <w:left w:val="nil"/>
              <w:bottom w:val="single" w:color="auto" w:sz="8" w:space="0"/>
              <w:right w:val="single" w:color="auto" w:sz="8" w:space="0"/>
            </w:tcBorders>
            <w:noWrap w:val="0"/>
            <w:vAlign w:val="center"/>
          </w:tcPr>
          <w:p w14:paraId="1BA0BB5D">
            <w:pPr>
              <w:widowControl/>
              <w:spacing w:before="100" w:beforeAutospacing="1" w:after="100" w:afterAutospacing="1" w:line="240" w:lineRule="atLeast"/>
              <w:jc w:val="center"/>
              <w:rPr>
                <w:rFonts w:ascii="宋体" w:hAnsi="宋体" w:cs="宋体"/>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0FFB998D">
            <w:pPr>
              <w:widowControl/>
              <w:spacing w:before="100" w:beforeAutospacing="1" w:after="100" w:afterAutospacing="1" w:line="240" w:lineRule="atLeast"/>
              <w:jc w:val="center"/>
              <w:rPr>
                <w:rFonts w:ascii="宋体" w:hAnsi="宋体" w:cs="宋体"/>
                <w:color w:val="auto"/>
                <w:kern w:val="0"/>
                <w:szCs w:val="21"/>
                <w:highlight w:val="none"/>
              </w:rPr>
            </w:pPr>
          </w:p>
        </w:tc>
      </w:tr>
      <w:tr w14:paraId="18B2CC0D">
        <w:tblPrEx>
          <w:tblCellMar>
            <w:top w:w="0" w:type="dxa"/>
            <w:left w:w="0" w:type="dxa"/>
            <w:bottom w:w="0" w:type="dxa"/>
            <w:right w:w="0" w:type="dxa"/>
          </w:tblCellMar>
        </w:tblPrEx>
        <w:trPr>
          <w:trHeight w:val="487" w:hRule="atLeast"/>
          <w:jc w:val="center"/>
        </w:trPr>
        <w:tc>
          <w:tcPr>
            <w:tcW w:w="3644" w:type="pct"/>
            <w:gridSpan w:val="6"/>
            <w:tcBorders>
              <w:top w:val="nil"/>
              <w:left w:val="single" w:color="auto" w:sz="8" w:space="0"/>
              <w:bottom w:val="single" w:color="auto" w:sz="8" w:space="0"/>
              <w:right w:val="single" w:color="auto" w:sz="8" w:space="0"/>
            </w:tcBorders>
            <w:noWrap w:val="0"/>
            <w:vAlign w:val="center"/>
          </w:tcPr>
          <w:p w14:paraId="64F2516B">
            <w:pPr>
              <w:widowControl/>
              <w:snapToGrid w:val="0"/>
              <w:spacing w:before="100" w:beforeAutospacing="1" w:after="100" w:afterAutospacing="1" w:line="320" w:lineRule="atLeast"/>
              <w:ind w:firstLine="5"/>
              <w:jc w:val="center"/>
              <w:rPr>
                <w:rFonts w:ascii="宋体" w:hAnsi="宋体" w:cs="宋体"/>
                <w:color w:val="auto"/>
                <w:kern w:val="0"/>
                <w:szCs w:val="21"/>
                <w:highlight w:val="none"/>
              </w:rPr>
            </w:pPr>
            <w:r>
              <w:rPr>
                <w:rFonts w:ascii="宋体" w:hAnsi="宋体" w:cs="宋体"/>
                <w:color w:val="auto"/>
                <w:kern w:val="0"/>
                <w:szCs w:val="21"/>
                <w:highlight w:val="none"/>
              </w:rPr>
              <w:t>合 计</w:t>
            </w:r>
          </w:p>
        </w:tc>
        <w:tc>
          <w:tcPr>
            <w:tcW w:w="511" w:type="pct"/>
            <w:gridSpan w:val="2"/>
            <w:tcBorders>
              <w:top w:val="nil"/>
              <w:left w:val="nil"/>
              <w:bottom w:val="single" w:color="auto" w:sz="8" w:space="0"/>
              <w:right w:val="single" w:color="auto" w:sz="8" w:space="0"/>
            </w:tcBorders>
            <w:noWrap w:val="0"/>
            <w:vAlign w:val="center"/>
          </w:tcPr>
          <w:p w14:paraId="67BD94A6">
            <w:pPr>
              <w:widowControl/>
              <w:spacing w:before="100" w:beforeAutospacing="1" w:after="100" w:afterAutospacing="1" w:line="240" w:lineRule="atLeast"/>
              <w:jc w:val="center"/>
              <w:rPr>
                <w:rFonts w:ascii="宋体" w:hAnsi="宋体" w:cs="宋体"/>
                <w:color w:val="auto"/>
                <w:kern w:val="0"/>
                <w:szCs w:val="21"/>
                <w:highlight w:val="none"/>
              </w:rPr>
            </w:pPr>
          </w:p>
        </w:tc>
        <w:tc>
          <w:tcPr>
            <w:tcW w:w="845" w:type="pct"/>
            <w:tcBorders>
              <w:top w:val="nil"/>
              <w:left w:val="nil"/>
              <w:bottom w:val="single" w:color="auto" w:sz="8" w:space="0"/>
              <w:right w:val="single" w:color="auto" w:sz="8" w:space="0"/>
            </w:tcBorders>
            <w:noWrap w:val="0"/>
            <w:vAlign w:val="center"/>
          </w:tcPr>
          <w:p w14:paraId="5EB44631">
            <w:pPr>
              <w:widowControl/>
              <w:spacing w:before="100" w:beforeAutospacing="1" w:after="100" w:afterAutospacing="1" w:line="240" w:lineRule="atLeast"/>
              <w:jc w:val="center"/>
              <w:rPr>
                <w:rFonts w:ascii="宋体" w:hAnsi="宋体" w:cs="宋体"/>
                <w:color w:val="auto"/>
                <w:kern w:val="0"/>
                <w:szCs w:val="21"/>
                <w:highlight w:val="none"/>
              </w:rPr>
            </w:pPr>
          </w:p>
        </w:tc>
      </w:tr>
      <w:tr w14:paraId="3A1D9DFD">
        <w:tblPrEx>
          <w:tblCellMar>
            <w:top w:w="0" w:type="dxa"/>
            <w:left w:w="0" w:type="dxa"/>
            <w:bottom w:w="0" w:type="dxa"/>
            <w:right w:w="0" w:type="dxa"/>
          </w:tblCellMar>
        </w:tblPrEx>
        <w:trPr>
          <w:trHeight w:val="641" w:hRule="atLeast"/>
          <w:jc w:val="center"/>
        </w:trPr>
        <w:tc>
          <w:tcPr>
            <w:tcW w:w="5000" w:type="pct"/>
            <w:gridSpan w:val="9"/>
            <w:tcBorders>
              <w:top w:val="nil"/>
              <w:left w:val="single" w:color="auto" w:sz="8" w:space="0"/>
              <w:bottom w:val="single" w:color="auto" w:sz="8" w:space="0"/>
              <w:right w:val="single" w:color="auto" w:sz="8" w:space="0"/>
            </w:tcBorders>
            <w:noWrap w:val="0"/>
            <w:vAlign w:val="center"/>
          </w:tcPr>
          <w:p w14:paraId="2E94B6E6">
            <w:pPr>
              <w:widowControl/>
              <w:snapToGrid w:val="0"/>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 xml:space="preserve">合计大写金额：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仟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佰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拾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万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仟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佰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拾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元</w:t>
            </w:r>
          </w:p>
        </w:tc>
      </w:tr>
      <w:tr w14:paraId="2348D6CE">
        <w:tblPrEx>
          <w:tblCellMar>
            <w:top w:w="0" w:type="dxa"/>
            <w:left w:w="0" w:type="dxa"/>
            <w:bottom w:w="0" w:type="dxa"/>
            <w:right w:w="0" w:type="dxa"/>
          </w:tblCellMar>
        </w:tblPrEx>
        <w:trPr>
          <w:trHeight w:val="641" w:hRule="atLeast"/>
          <w:jc w:val="center"/>
        </w:trPr>
        <w:tc>
          <w:tcPr>
            <w:tcW w:w="964" w:type="pct"/>
            <w:gridSpan w:val="2"/>
            <w:tcBorders>
              <w:top w:val="nil"/>
              <w:left w:val="single" w:color="auto" w:sz="8" w:space="0"/>
              <w:bottom w:val="single" w:color="auto" w:sz="8" w:space="0"/>
              <w:right w:val="single" w:color="auto" w:sz="8" w:space="0"/>
            </w:tcBorders>
            <w:noWrap w:val="0"/>
            <w:vAlign w:val="center"/>
          </w:tcPr>
          <w:p w14:paraId="459ABA10">
            <w:pPr>
              <w:widowControl/>
              <w:snapToGrid w:val="0"/>
              <w:spacing w:before="100" w:beforeAutospacing="1" w:after="100" w:afterAutospacing="1" w:line="320" w:lineRule="atLeast"/>
              <w:ind w:firstLine="2"/>
              <w:jc w:val="center"/>
              <w:rPr>
                <w:rFonts w:ascii="宋体" w:hAnsi="宋体" w:cs="宋体"/>
                <w:color w:val="auto"/>
                <w:kern w:val="0"/>
                <w:szCs w:val="21"/>
                <w:highlight w:val="none"/>
              </w:rPr>
            </w:pPr>
            <w:r>
              <w:rPr>
                <w:rFonts w:ascii="宋体" w:hAnsi="宋体" w:cs="宋体"/>
                <w:color w:val="auto"/>
                <w:kern w:val="0"/>
                <w:szCs w:val="21"/>
                <w:highlight w:val="none"/>
              </w:rPr>
              <w:t>实际供货日期</w:t>
            </w:r>
          </w:p>
        </w:tc>
        <w:tc>
          <w:tcPr>
            <w:tcW w:w="1433" w:type="pct"/>
            <w:gridSpan w:val="2"/>
            <w:tcBorders>
              <w:top w:val="nil"/>
              <w:left w:val="nil"/>
              <w:bottom w:val="single" w:color="auto" w:sz="8" w:space="0"/>
              <w:right w:val="single" w:color="auto" w:sz="8" w:space="0"/>
            </w:tcBorders>
            <w:noWrap w:val="0"/>
            <w:vAlign w:val="center"/>
          </w:tcPr>
          <w:p w14:paraId="35536D03">
            <w:pPr>
              <w:widowControl/>
              <w:spacing w:before="100" w:beforeAutospacing="1" w:after="100" w:afterAutospacing="1" w:line="240" w:lineRule="atLeast"/>
              <w:jc w:val="center"/>
              <w:rPr>
                <w:rFonts w:ascii="宋体" w:hAnsi="宋体" w:cs="宋体"/>
                <w:color w:val="auto"/>
                <w:kern w:val="0"/>
                <w:szCs w:val="21"/>
                <w:highlight w:val="none"/>
              </w:rPr>
            </w:pPr>
          </w:p>
        </w:tc>
        <w:tc>
          <w:tcPr>
            <w:tcW w:w="1351" w:type="pct"/>
            <w:gridSpan w:val="3"/>
            <w:tcBorders>
              <w:top w:val="nil"/>
              <w:left w:val="nil"/>
              <w:bottom w:val="single" w:color="auto" w:sz="8" w:space="0"/>
              <w:right w:val="single" w:color="auto" w:sz="8" w:space="0"/>
            </w:tcBorders>
            <w:noWrap w:val="0"/>
            <w:vAlign w:val="center"/>
          </w:tcPr>
          <w:p w14:paraId="2541F273">
            <w:pPr>
              <w:widowControl/>
              <w:snapToGrid w:val="0"/>
              <w:spacing w:before="100" w:beforeAutospacing="1" w:after="100" w:afterAutospacing="1" w:line="320" w:lineRule="atLeast"/>
              <w:ind w:firstLine="46"/>
              <w:jc w:val="center"/>
              <w:rPr>
                <w:rFonts w:ascii="宋体" w:hAnsi="宋体" w:cs="宋体"/>
                <w:color w:val="auto"/>
                <w:kern w:val="0"/>
                <w:szCs w:val="21"/>
                <w:highlight w:val="none"/>
              </w:rPr>
            </w:pPr>
            <w:r>
              <w:rPr>
                <w:rFonts w:ascii="宋体" w:hAnsi="宋体" w:cs="宋体"/>
                <w:color w:val="auto"/>
                <w:kern w:val="0"/>
                <w:szCs w:val="21"/>
                <w:highlight w:val="none"/>
              </w:rPr>
              <w:t>合同交货验收日期</w:t>
            </w:r>
          </w:p>
        </w:tc>
        <w:tc>
          <w:tcPr>
            <w:tcW w:w="1251" w:type="pct"/>
            <w:gridSpan w:val="2"/>
            <w:tcBorders>
              <w:top w:val="nil"/>
              <w:left w:val="nil"/>
              <w:bottom w:val="single" w:color="auto" w:sz="8" w:space="0"/>
              <w:right w:val="single" w:color="auto" w:sz="8" w:space="0"/>
            </w:tcBorders>
            <w:noWrap w:val="0"/>
            <w:vAlign w:val="center"/>
          </w:tcPr>
          <w:p w14:paraId="7BE3F5AF">
            <w:pPr>
              <w:widowControl/>
              <w:spacing w:before="100" w:beforeAutospacing="1" w:after="100" w:afterAutospacing="1" w:line="240" w:lineRule="atLeast"/>
              <w:jc w:val="center"/>
              <w:rPr>
                <w:rFonts w:ascii="宋体" w:hAnsi="宋体" w:cs="宋体"/>
                <w:color w:val="auto"/>
                <w:kern w:val="0"/>
                <w:szCs w:val="21"/>
                <w:highlight w:val="none"/>
              </w:rPr>
            </w:pPr>
          </w:p>
        </w:tc>
      </w:tr>
      <w:tr w14:paraId="5EC20078">
        <w:tblPrEx>
          <w:tblCellMar>
            <w:top w:w="0" w:type="dxa"/>
            <w:left w:w="0" w:type="dxa"/>
            <w:bottom w:w="0" w:type="dxa"/>
            <w:right w:w="0" w:type="dxa"/>
          </w:tblCellMar>
        </w:tblPrEx>
        <w:trPr>
          <w:trHeight w:val="394" w:hRule="atLeast"/>
          <w:jc w:val="center"/>
        </w:trPr>
        <w:tc>
          <w:tcPr>
            <w:tcW w:w="964" w:type="pct"/>
            <w:gridSpan w:val="2"/>
            <w:tcBorders>
              <w:top w:val="nil"/>
              <w:left w:val="single" w:color="auto" w:sz="8" w:space="0"/>
              <w:bottom w:val="single" w:color="auto" w:sz="8" w:space="0"/>
              <w:right w:val="single" w:color="auto" w:sz="8" w:space="0"/>
            </w:tcBorders>
            <w:noWrap w:val="0"/>
            <w:vAlign w:val="center"/>
          </w:tcPr>
          <w:p w14:paraId="0A172B49">
            <w:pPr>
              <w:widowControl/>
              <w:spacing w:before="100" w:beforeAutospacing="1" w:after="100" w:afterAutospacing="1" w:line="240" w:lineRule="atLeast"/>
              <w:jc w:val="center"/>
              <w:rPr>
                <w:rFonts w:ascii="宋体" w:hAnsi="宋体" w:cs="宋体"/>
                <w:color w:val="auto"/>
                <w:kern w:val="0"/>
                <w:szCs w:val="21"/>
                <w:highlight w:val="none"/>
              </w:rPr>
            </w:pPr>
          </w:p>
        </w:tc>
        <w:tc>
          <w:tcPr>
            <w:tcW w:w="1433" w:type="pct"/>
            <w:gridSpan w:val="2"/>
            <w:tcBorders>
              <w:top w:val="nil"/>
              <w:left w:val="nil"/>
              <w:bottom w:val="single" w:color="auto" w:sz="8" w:space="0"/>
              <w:right w:val="single" w:color="auto" w:sz="8" w:space="0"/>
            </w:tcBorders>
            <w:noWrap w:val="0"/>
            <w:vAlign w:val="center"/>
          </w:tcPr>
          <w:p w14:paraId="0D6DAB82">
            <w:pPr>
              <w:widowControl/>
              <w:spacing w:before="100" w:beforeAutospacing="1" w:after="100" w:afterAutospacing="1" w:line="240" w:lineRule="atLeast"/>
              <w:jc w:val="center"/>
              <w:rPr>
                <w:rFonts w:ascii="宋体" w:hAnsi="宋体" w:cs="宋体"/>
                <w:color w:val="auto"/>
                <w:kern w:val="0"/>
                <w:szCs w:val="21"/>
                <w:highlight w:val="none"/>
              </w:rPr>
            </w:pPr>
          </w:p>
        </w:tc>
        <w:tc>
          <w:tcPr>
            <w:tcW w:w="1351" w:type="pct"/>
            <w:gridSpan w:val="3"/>
            <w:tcBorders>
              <w:top w:val="nil"/>
              <w:left w:val="nil"/>
              <w:bottom w:val="single" w:color="auto" w:sz="8" w:space="0"/>
              <w:right w:val="single" w:color="auto" w:sz="8" w:space="0"/>
            </w:tcBorders>
            <w:noWrap w:val="0"/>
            <w:vAlign w:val="center"/>
          </w:tcPr>
          <w:p w14:paraId="3C0E0943">
            <w:pPr>
              <w:widowControl/>
              <w:spacing w:before="100" w:beforeAutospacing="1" w:after="100" w:afterAutospacing="1" w:line="240" w:lineRule="atLeast"/>
              <w:jc w:val="center"/>
              <w:rPr>
                <w:rFonts w:ascii="宋体" w:hAnsi="宋体" w:cs="宋体"/>
                <w:color w:val="auto"/>
                <w:kern w:val="0"/>
                <w:szCs w:val="21"/>
                <w:highlight w:val="none"/>
              </w:rPr>
            </w:pPr>
          </w:p>
        </w:tc>
        <w:tc>
          <w:tcPr>
            <w:tcW w:w="1251" w:type="pct"/>
            <w:gridSpan w:val="2"/>
            <w:tcBorders>
              <w:top w:val="nil"/>
              <w:left w:val="nil"/>
              <w:bottom w:val="single" w:color="auto" w:sz="8" w:space="0"/>
              <w:right w:val="single" w:color="auto" w:sz="8" w:space="0"/>
            </w:tcBorders>
            <w:noWrap w:val="0"/>
            <w:vAlign w:val="center"/>
          </w:tcPr>
          <w:p w14:paraId="6B51B3D6">
            <w:pPr>
              <w:widowControl/>
              <w:spacing w:before="100" w:beforeAutospacing="1" w:after="100" w:afterAutospacing="1" w:line="240" w:lineRule="atLeast"/>
              <w:jc w:val="center"/>
              <w:rPr>
                <w:rFonts w:ascii="宋体" w:hAnsi="宋体" w:cs="宋体"/>
                <w:color w:val="auto"/>
                <w:kern w:val="0"/>
                <w:szCs w:val="21"/>
                <w:highlight w:val="none"/>
              </w:rPr>
            </w:pPr>
          </w:p>
        </w:tc>
      </w:tr>
      <w:tr w14:paraId="5950EC52">
        <w:trPr>
          <w:trHeight w:val="693" w:hRule="atLeast"/>
          <w:jc w:val="center"/>
        </w:trPr>
        <w:tc>
          <w:tcPr>
            <w:tcW w:w="964" w:type="pct"/>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4CBF19">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验收具体内容</w:t>
            </w:r>
          </w:p>
        </w:tc>
        <w:tc>
          <w:tcPr>
            <w:tcW w:w="4036" w:type="pct"/>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C8ACA71">
            <w:pPr>
              <w:widowControl/>
              <w:snapToGrid w:val="0"/>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（应按采购合同、</w:t>
            </w:r>
            <w:r>
              <w:rPr>
                <w:rFonts w:hint="eastAsia" w:ascii="宋体" w:hAnsi="宋体" w:cs="宋体"/>
                <w:color w:val="auto"/>
                <w:kern w:val="0"/>
                <w:szCs w:val="21"/>
                <w:highlight w:val="none"/>
              </w:rPr>
              <w:t>采购文件、投标</w:t>
            </w:r>
            <w:r>
              <w:rPr>
                <w:rFonts w:ascii="宋体" w:hAnsi="宋体" w:cs="宋体"/>
                <w:color w:val="auto"/>
                <w:kern w:val="0"/>
                <w:szCs w:val="21"/>
                <w:highlight w:val="none"/>
              </w:rPr>
              <w:t>响应文件及验收方案等进行验收；并核对中标</w:t>
            </w:r>
            <w:r>
              <w:rPr>
                <w:rFonts w:hint="eastAsia" w:ascii="宋体" w:hAnsi="宋体" w:cs="宋体"/>
                <w:color w:val="auto"/>
                <w:kern w:val="0"/>
                <w:szCs w:val="21"/>
                <w:highlight w:val="none"/>
              </w:rPr>
              <w:t>或者中标供应商</w:t>
            </w:r>
            <w:r>
              <w:rPr>
                <w:rFonts w:ascii="宋体" w:hAnsi="宋体" w:cs="宋体"/>
                <w:color w:val="auto"/>
                <w:kern w:val="0"/>
                <w:szCs w:val="21"/>
                <w:highlight w:val="none"/>
              </w:rPr>
              <w:t>在安装调试等方面是否违反合同约定或者服务规范要求、提供的质量保证证明材料是否齐全、应有的配件及附件是否达到合同约定等。可附件)</w:t>
            </w:r>
          </w:p>
        </w:tc>
      </w:tr>
      <w:tr w14:paraId="3B7086D4">
        <w:tblPrEx>
          <w:tblCellMar>
            <w:top w:w="0" w:type="dxa"/>
            <w:left w:w="0" w:type="dxa"/>
            <w:bottom w:w="0" w:type="dxa"/>
            <w:right w:w="0" w:type="dxa"/>
          </w:tblCellMar>
        </w:tblPrEx>
        <w:trPr>
          <w:trHeight w:val="870" w:hRule="atLeast"/>
          <w:jc w:val="center"/>
        </w:trPr>
        <w:tc>
          <w:tcPr>
            <w:tcW w:w="964" w:type="pct"/>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9FB7B5E">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验收小组意见</w:t>
            </w:r>
          </w:p>
        </w:tc>
        <w:tc>
          <w:tcPr>
            <w:tcW w:w="4036" w:type="pct"/>
            <w:gridSpan w:val="7"/>
            <w:tcBorders>
              <w:top w:val="nil"/>
              <w:left w:val="nil"/>
              <w:bottom w:val="single" w:color="auto" w:sz="8" w:space="0"/>
              <w:right w:val="single" w:color="auto" w:sz="8" w:space="0"/>
            </w:tcBorders>
            <w:noWrap w:val="0"/>
            <w:vAlign w:val="center"/>
          </w:tcPr>
          <w:p w14:paraId="0A59BCE4">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验收结论性意见：</w:t>
            </w:r>
          </w:p>
        </w:tc>
      </w:tr>
      <w:tr w14:paraId="1ECF27DF">
        <w:tblPrEx>
          <w:tblCellMar>
            <w:top w:w="0" w:type="dxa"/>
            <w:left w:w="0" w:type="dxa"/>
            <w:bottom w:w="0" w:type="dxa"/>
            <w:right w:w="0" w:type="dxa"/>
          </w:tblCellMar>
        </w:tblPrEx>
        <w:trPr>
          <w:trHeight w:val="607" w:hRule="atLeast"/>
          <w:jc w:val="center"/>
        </w:trPr>
        <w:tc>
          <w:tcPr>
            <w:tcW w:w="964" w:type="pct"/>
            <w:gridSpan w:val="2"/>
            <w:vMerge w:val="continue"/>
            <w:tcBorders>
              <w:top w:val="nil"/>
              <w:left w:val="single" w:color="auto" w:sz="8" w:space="0"/>
              <w:bottom w:val="single" w:color="auto" w:sz="8" w:space="0"/>
              <w:right w:val="single" w:color="auto" w:sz="8" w:space="0"/>
            </w:tcBorders>
            <w:noWrap w:val="0"/>
            <w:vAlign w:val="center"/>
          </w:tcPr>
          <w:p w14:paraId="68B93A0F">
            <w:pPr>
              <w:widowControl/>
              <w:jc w:val="left"/>
              <w:rPr>
                <w:rFonts w:ascii="宋体" w:hAnsi="宋体" w:cs="宋体"/>
                <w:color w:val="auto"/>
                <w:kern w:val="0"/>
                <w:szCs w:val="21"/>
                <w:highlight w:val="none"/>
              </w:rPr>
            </w:pPr>
          </w:p>
        </w:tc>
        <w:tc>
          <w:tcPr>
            <w:tcW w:w="4036" w:type="pct"/>
            <w:gridSpan w:val="7"/>
            <w:tcBorders>
              <w:top w:val="nil"/>
              <w:left w:val="nil"/>
              <w:bottom w:val="single" w:color="auto" w:sz="8" w:space="0"/>
              <w:right w:val="single" w:color="auto" w:sz="8" w:space="0"/>
            </w:tcBorders>
            <w:noWrap w:val="0"/>
            <w:vAlign w:val="center"/>
          </w:tcPr>
          <w:p w14:paraId="3FFACE21">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有异议的意见和说明理由：</w:t>
            </w:r>
          </w:p>
          <w:p w14:paraId="6251286E">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签字：</w:t>
            </w:r>
          </w:p>
        </w:tc>
      </w:tr>
      <w:tr w14:paraId="2518547D">
        <w:tblPrEx>
          <w:tblCellMar>
            <w:top w:w="0" w:type="dxa"/>
            <w:left w:w="0" w:type="dxa"/>
            <w:bottom w:w="0" w:type="dxa"/>
            <w:right w:w="0" w:type="dxa"/>
          </w:tblCellMar>
        </w:tblPrEx>
        <w:trPr>
          <w:trHeight w:val="507" w:hRule="atLeast"/>
          <w:jc w:val="center"/>
        </w:trPr>
        <w:tc>
          <w:tcPr>
            <w:tcW w:w="5000" w:type="pct"/>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3FA230F">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验收小组成员签字：</w:t>
            </w:r>
          </w:p>
        </w:tc>
      </w:tr>
      <w:tr w14:paraId="493E877B">
        <w:tblPrEx>
          <w:tblCellMar>
            <w:top w:w="0" w:type="dxa"/>
            <w:left w:w="0" w:type="dxa"/>
            <w:bottom w:w="0" w:type="dxa"/>
            <w:right w:w="0" w:type="dxa"/>
          </w:tblCellMar>
        </w:tblPrEx>
        <w:trPr>
          <w:trHeight w:val="736" w:hRule="atLeast"/>
          <w:jc w:val="center"/>
        </w:trPr>
        <w:tc>
          <w:tcPr>
            <w:tcW w:w="5000" w:type="pct"/>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71B2DEC">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监督人员或者其他相关人员签字：</w:t>
            </w:r>
          </w:p>
          <w:p w14:paraId="486F3703">
            <w:pPr>
              <w:widowControl/>
              <w:spacing w:before="100" w:beforeAutospacing="1" w:after="100" w:afterAutospacing="1" w:line="320" w:lineRule="atLeast"/>
              <w:ind w:firstLine="74"/>
              <w:jc w:val="left"/>
              <w:rPr>
                <w:rFonts w:ascii="宋体" w:hAnsi="宋体" w:cs="宋体"/>
                <w:color w:val="auto"/>
                <w:kern w:val="0"/>
                <w:szCs w:val="21"/>
                <w:highlight w:val="none"/>
              </w:rPr>
            </w:pPr>
            <w:r>
              <w:rPr>
                <w:rFonts w:ascii="宋体" w:hAnsi="宋体" w:cs="宋体"/>
                <w:color w:val="auto"/>
                <w:kern w:val="0"/>
                <w:szCs w:val="21"/>
                <w:highlight w:val="none"/>
              </w:rPr>
              <w:t>或者受邀机构的意见（盖章）：</w:t>
            </w:r>
          </w:p>
        </w:tc>
      </w:tr>
      <w:tr w14:paraId="0744D946">
        <w:tblPrEx>
          <w:tblCellMar>
            <w:top w:w="0" w:type="dxa"/>
            <w:left w:w="0" w:type="dxa"/>
            <w:bottom w:w="0" w:type="dxa"/>
            <w:right w:w="0" w:type="dxa"/>
          </w:tblCellMar>
        </w:tblPrEx>
        <w:trPr>
          <w:trHeight w:val="264" w:hRule="atLeast"/>
          <w:jc w:val="center"/>
        </w:trPr>
        <w:tc>
          <w:tcPr>
            <w:tcW w:w="2458" w:type="pct"/>
            <w:gridSpan w:val="5"/>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1E306BE3">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中标</w:t>
            </w:r>
            <w:r>
              <w:rPr>
                <w:rFonts w:hint="eastAsia" w:ascii="宋体" w:hAnsi="宋体" w:cs="宋体"/>
                <w:color w:val="auto"/>
                <w:kern w:val="0"/>
                <w:szCs w:val="21"/>
                <w:highlight w:val="none"/>
              </w:rPr>
              <w:t>或者成交供应商</w:t>
            </w:r>
            <w:r>
              <w:rPr>
                <w:rFonts w:ascii="宋体" w:hAnsi="宋体" w:cs="宋体"/>
                <w:color w:val="auto"/>
                <w:kern w:val="0"/>
                <w:szCs w:val="21"/>
                <w:highlight w:val="none"/>
              </w:rPr>
              <w:t>负责人签字或盖章：</w:t>
            </w:r>
          </w:p>
          <w:p w14:paraId="23BF5B91">
            <w:pPr>
              <w:widowControl/>
              <w:spacing w:before="100" w:beforeAutospacing="1" w:after="100" w:afterAutospacing="1" w:line="320" w:lineRule="atLeast"/>
              <w:jc w:val="left"/>
              <w:rPr>
                <w:rFonts w:ascii="宋体" w:hAnsi="宋体" w:cs="宋体"/>
                <w:color w:val="auto"/>
                <w:kern w:val="0"/>
                <w:szCs w:val="21"/>
                <w:highlight w:val="none"/>
              </w:rPr>
            </w:pPr>
          </w:p>
          <w:p w14:paraId="3E28C75F">
            <w:pPr>
              <w:widowControl/>
              <w:spacing w:before="100" w:beforeAutospacing="1" w:after="100" w:afterAutospacing="1" w:line="320" w:lineRule="atLeast"/>
              <w:jc w:val="left"/>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 </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日</w:t>
            </w:r>
          </w:p>
        </w:tc>
        <w:tc>
          <w:tcPr>
            <w:tcW w:w="2542" w:type="pct"/>
            <w:gridSpan w:val="4"/>
            <w:tcBorders>
              <w:top w:val="nil"/>
              <w:left w:val="nil"/>
              <w:bottom w:val="single" w:color="auto" w:sz="8" w:space="0"/>
              <w:right w:val="single" w:color="auto" w:sz="8" w:space="0"/>
            </w:tcBorders>
            <w:noWrap w:val="0"/>
            <w:vAlign w:val="center"/>
          </w:tcPr>
          <w:p w14:paraId="14511039">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采购人或受托机构的意见（盖章）：</w:t>
            </w:r>
          </w:p>
          <w:p w14:paraId="21AEE3CB">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p>
          <w:p w14:paraId="580E1B2A">
            <w:pPr>
              <w:widowControl/>
              <w:spacing w:before="100" w:beforeAutospacing="1" w:after="100" w:afterAutospacing="1" w:line="320" w:lineRule="atLeast"/>
              <w:ind w:firstLine="210" w:firstLineChars="100"/>
              <w:jc w:val="left"/>
              <w:rPr>
                <w:rFonts w:ascii="宋体" w:hAnsi="宋体" w:cs="宋体"/>
                <w:color w:val="auto"/>
                <w:kern w:val="0"/>
                <w:szCs w:val="21"/>
                <w:highlight w:val="none"/>
              </w:rPr>
            </w:pPr>
            <w:r>
              <w:rPr>
                <w:rFonts w:ascii="宋体" w:hAnsi="宋体" w:cs="宋体"/>
                <w:color w:val="auto"/>
                <w:kern w:val="0"/>
                <w:szCs w:val="21"/>
                <w:highlight w:val="none"/>
              </w:rPr>
              <w:t>联系电话：</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年</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月</w:t>
            </w: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日</w:t>
            </w:r>
          </w:p>
        </w:tc>
      </w:tr>
    </w:tbl>
    <w:p w14:paraId="130D9A0D">
      <w:pPr>
        <w:pStyle w:val="17"/>
        <w:snapToGrid w:val="0"/>
        <w:rPr>
          <w:rFonts w:hint="eastAsia" w:hAnsi="宋体" w:cs="宋体"/>
          <w:color w:val="auto"/>
          <w:sz w:val="32"/>
          <w:szCs w:val="32"/>
          <w:highlight w:val="none"/>
        </w:rPr>
      </w:pPr>
      <w:r>
        <w:rPr>
          <w:rFonts w:hAnsi="宋体"/>
          <w:color w:val="auto"/>
          <w:highlight w:val="none"/>
        </w:rPr>
        <w:br w:type="page"/>
      </w:r>
      <w:r>
        <w:rPr>
          <w:rFonts w:hint="eastAsia" w:hAnsi="宋体"/>
          <w:color w:val="auto"/>
          <w:highlight w:val="none"/>
        </w:rPr>
        <w:t xml:space="preserve">                 </w:t>
      </w:r>
      <w:r>
        <w:rPr>
          <w:rFonts w:hint="eastAsia" w:hAnsi="宋体" w:cs="宋体"/>
          <w:b/>
          <w:bCs/>
          <w:color w:val="auto"/>
          <w:sz w:val="32"/>
          <w:szCs w:val="32"/>
          <w:highlight w:val="none"/>
        </w:rPr>
        <w:t>履约保证金退付意见书（格式）</w:t>
      </w:r>
    </w:p>
    <w:p w14:paraId="7C1CEBAA">
      <w:pPr>
        <w:snapToGrid w:val="0"/>
        <w:spacing w:line="400" w:lineRule="exact"/>
        <w:jc w:val="center"/>
        <w:rPr>
          <w:rFonts w:ascii="宋体" w:hAnsi="宋体" w:cs="宋体"/>
          <w:b/>
          <w:color w:val="auto"/>
          <w:sz w:val="24"/>
          <w:highlight w:val="none"/>
        </w:rPr>
      </w:pPr>
    </w:p>
    <w:tbl>
      <w:tblPr>
        <w:tblStyle w:val="29"/>
        <w:tblW w:w="890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7174"/>
      </w:tblGrid>
      <w:tr w14:paraId="0D58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30" w:type="dxa"/>
            <w:vMerge w:val="restart"/>
            <w:noWrap w:val="0"/>
            <w:vAlign w:val="center"/>
          </w:tcPr>
          <w:p w14:paraId="0D73C634">
            <w:pPr>
              <w:jc w:val="center"/>
              <w:rPr>
                <w:rFonts w:ascii="宋体" w:hAnsi="宋体"/>
                <w:color w:val="auto"/>
                <w:sz w:val="24"/>
                <w:highlight w:val="none"/>
              </w:rPr>
            </w:pPr>
            <w:r>
              <w:rPr>
                <w:rFonts w:hint="eastAsia" w:ascii="宋体" w:hAnsi="宋体"/>
                <w:color w:val="auto"/>
                <w:sz w:val="24"/>
                <w:highlight w:val="none"/>
              </w:rPr>
              <w:t>供应商申请</w:t>
            </w:r>
          </w:p>
        </w:tc>
        <w:tc>
          <w:tcPr>
            <w:tcW w:w="7174" w:type="dxa"/>
            <w:noWrap w:val="0"/>
            <w:vAlign w:val="center"/>
          </w:tcPr>
          <w:p w14:paraId="3B9C6BEE">
            <w:pPr>
              <w:rPr>
                <w:rFonts w:ascii="宋体" w:hAnsi="宋体"/>
                <w:color w:val="auto"/>
                <w:sz w:val="24"/>
                <w:highlight w:val="none"/>
              </w:rPr>
            </w:pPr>
            <w:r>
              <w:rPr>
                <w:rFonts w:hint="eastAsia" w:ascii="宋体" w:hAnsi="宋体"/>
                <w:color w:val="auto"/>
                <w:sz w:val="24"/>
                <w:highlight w:val="none"/>
              </w:rPr>
              <w:t>项目名称：</w:t>
            </w:r>
          </w:p>
        </w:tc>
      </w:tr>
      <w:tr w14:paraId="36416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730" w:type="dxa"/>
            <w:vMerge w:val="continue"/>
            <w:noWrap w:val="0"/>
            <w:vAlign w:val="top"/>
          </w:tcPr>
          <w:p w14:paraId="0AC362AB">
            <w:pPr>
              <w:rPr>
                <w:rFonts w:ascii="宋体" w:hAnsi="宋体"/>
                <w:color w:val="auto"/>
                <w:sz w:val="24"/>
                <w:highlight w:val="none"/>
              </w:rPr>
            </w:pPr>
          </w:p>
        </w:tc>
        <w:tc>
          <w:tcPr>
            <w:tcW w:w="7174" w:type="dxa"/>
            <w:noWrap w:val="0"/>
            <w:vAlign w:val="center"/>
          </w:tcPr>
          <w:p w14:paraId="37B14814">
            <w:pPr>
              <w:rPr>
                <w:rFonts w:ascii="宋体" w:hAnsi="宋体"/>
                <w:color w:val="auto"/>
                <w:sz w:val="24"/>
                <w:highlight w:val="none"/>
              </w:rPr>
            </w:pPr>
            <w:r>
              <w:rPr>
                <w:rFonts w:hint="eastAsia" w:ascii="宋体" w:hAnsi="宋体"/>
                <w:color w:val="auto"/>
                <w:sz w:val="24"/>
                <w:highlight w:val="none"/>
              </w:rPr>
              <w:t>合同编号：</w:t>
            </w:r>
          </w:p>
        </w:tc>
      </w:tr>
      <w:tr w14:paraId="0732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1" w:hRule="atLeast"/>
        </w:trPr>
        <w:tc>
          <w:tcPr>
            <w:tcW w:w="1730" w:type="dxa"/>
            <w:vMerge w:val="continue"/>
            <w:noWrap w:val="0"/>
            <w:vAlign w:val="top"/>
          </w:tcPr>
          <w:p w14:paraId="1D6F9D7C">
            <w:pPr>
              <w:rPr>
                <w:rFonts w:ascii="宋体" w:hAnsi="宋体"/>
                <w:color w:val="auto"/>
                <w:sz w:val="24"/>
                <w:highlight w:val="none"/>
              </w:rPr>
            </w:pPr>
          </w:p>
        </w:tc>
        <w:tc>
          <w:tcPr>
            <w:tcW w:w="7174" w:type="dxa"/>
            <w:noWrap w:val="0"/>
            <w:vAlign w:val="top"/>
          </w:tcPr>
          <w:p w14:paraId="066BA01F">
            <w:pPr>
              <w:rPr>
                <w:rFonts w:ascii="宋体" w:hAnsi="宋体"/>
                <w:color w:val="auto"/>
                <w:sz w:val="24"/>
                <w:highlight w:val="none"/>
              </w:rPr>
            </w:pPr>
          </w:p>
          <w:p w14:paraId="2AAC53B7">
            <w:pPr>
              <w:ind w:firstLine="600" w:firstLineChars="250"/>
              <w:rPr>
                <w:rFonts w:ascii="宋体" w:hAnsi="宋体"/>
                <w:color w:val="auto"/>
                <w:sz w:val="24"/>
                <w:highlight w:val="none"/>
              </w:rPr>
            </w:pPr>
            <w:r>
              <w:rPr>
                <w:rFonts w:hint="eastAsia" w:ascii="宋体" w:hAnsi="宋体"/>
                <w:color w:val="auto"/>
                <w:sz w:val="24"/>
                <w:highlight w:val="none"/>
              </w:rPr>
              <w:t>该项目已于   年    月   日按合同要求履约完成。根据合同规定，可将履约保证金（大写）人民币</w:t>
            </w:r>
            <w:r>
              <w:rPr>
                <w:rFonts w:hint="eastAsia" w:ascii="宋体" w:hAnsi="宋体"/>
                <w:color w:val="auto"/>
                <w:sz w:val="24"/>
                <w:highlight w:val="none"/>
                <w:u w:val="single"/>
              </w:rPr>
              <w:t xml:space="preserve">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.00</w:t>
            </w:r>
            <w:r>
              <w:rPr>
                <w:rFonts w:hint="eastAsia" w:ascii="宋体" w:hAnsi="宋体"/>
                <w:color w:val="auto"/>
                <w:sz w:val="24"/>
                <w:highlight w:val="none"/>
              </w:rPr>
              <w:t>退付到达以下账户：</w:t>
            </w:r>
          </w:p>
          <w:p w14:paraId="1803AF10">
            <w:pPr>
              <w:rPr>
                <w:rFonts w:ascii="宋体" w:hAnsi="宋体"/>
                <w:color w:val="auto"/>
                <w:sz w:val="24"/>
                <w:highlight w:val="none"/>
              </w:rPr>
            </w:pPr>
          </w:p>
          <w:p w14:paraId="4D9DFD95">
            <w:pPr>
              <w:spacing w:line="420" w:lineRule="exact"/>
              <w:rPr>
                <w:rFonts w:ascii="宋体" w:hAnsi="宋体"/>
                <w:color w:val="auto"/>
                <w:sz w:val="24"/>
                <w:highlight w:val="none"/>
              </w:rPr>
            </w:pPr>
            <w:r>
              <w:rPr>
                <w:rFonts w:hint="eastAsia" w:ascii="宋体" w:hAnsi="宋体"/>
                <w:color w:val="auto"/>
                <w:sz w:val="24"/>
                <w:highlight w:val="none"/>
              </w:rPr>
              <w:t>单位名称：</w:t>
            </w:r>
          </w:p>
          <w:p w14:paraId="72594CE5">
            <w:pPr>
              <w:spacing w:line="420" w:lineRule="exact"/>
              <w:rPr>
                <w:rFonts w:ascii="宋体" w:hAnsi="宋体"/>
                <w:color w:val="auto"/>
                <w:sz w:val="24"/>
                <w:highlight w:val="none"/>
              </w:rPr>
            </w:pPr>
            <w:r>
              <w:rPr>
                <w:rFonts w:hint="eastAsia" w:ascii="宋体" w:hAnsi="宋体"/>
                <w:color w:val="auto"/>
                <w:sz w:val="24"/>
                <w:highlight w:val="none"/>
              </w:rPr>
              <w:t>开户银行：</w:t>
            </w:r>
          </w:p>
          <w:p w14:paraId="6852EE31">
            <w:pPr>
              <w:spacing w:line="420" w:lineRule="exact"/>
              <w:rPr>
                <w:rFonts w:ascii="宋体" w:hAnsi="宋体"/>
                <w:color w:val="auto"/>
                <w:sz w:val="24"/>
                <w:highlight w:val="none"/>
              </w:rPr>
            </w:pPr>
            <w:r>
              <w:rPr>
                <w:rFonts w:hint="eastAsia" w:ascii="宋体" w:hAnsi="宋体"/>
                <w:color w:val="auto"/>
                <w:sz w:val="24"/>
                <w:highlight w:val="none"/>
              </w:rPr>
              <w:t>银行账户：</w:t>
            </w:r>
          </w:p>
          <w:p w14:paraId="1FDEE811">
            <w:pPr>
              <w:rPr>
                <w:rFonts w:ascii="宋体" w:hAnsi="宋体"/>
                <w:color w:val="auto"/>
                <w:sz w:val="24"/>
                <w:highlight w:val="none"/>
              </w:rPr>
            </w:pPr>
          </w:p>
          <w:p w14:paraId="3361DEEA">
            <w:pPr>
              <w:spacing w:line="420" w:lineRule="exact"/>
              <w:rPr>
                <w:rFonts w:ascii="宋体" w:hAnsi="宋体"/>
                <w:color w:val="auto"/>
                <w:sz w:val="24"/>
                <w:highlight w:val="none"/>
              </w:rPr>
            </w:pPr>
            <w:r>
              <w:rPr>
                <w:rFonts w:hint="eastAsia" w:ascii="宋体" w:hAnsi="宋体"/>
                <w:color w:val="auto"/>
                <w:sz w:val="24"/>
                <w:highlight w:val="none"/>
              </w:rPr>
              <w:t>联系人：</w:t>
            </w:r>
          </w:p>
          <w:p w14:paraId="7A3DEE94">
            <w:pPr>
              <w:spacing w:line="420" w:lineRule="exact"/>
              <w:rPr>
                <w:rFonts w:ascii="宋体" w:hAnsi="宋体"/>
                <w:color w:val="auto"/>
                <w:sz w:val="24"/>
                <w:highlight w:val="none"/>
              </w:rPr>
            </w:pPr>
            <w:r>
              <w:rPr>
                <w:rFonts w:hint="eastAsia" w:ascii="宋体" w:hAnsi="宋体"/>
                <w:color w:val="auto"/>
                <w:sz w:val="24"/>
                <w:highlight w:val="none"/>
              </w:rPr>
              <w:t>联系电话：</w:t>
            </w:r>
          </w:p>
          <w:p w14:paraId="3D6D7533">
            <w:pPr>
              <w:rPr>
                <w:rFonts w:ascii="宋体" w:hAnsi="宋体"/>
                <w:color w:val="auto"/>
                <w:sz w:val="24"/>
                <w:highlight w:val="none"/>
              </w:rPr>
            </w:pPr>
          </w:p>
          <w:p w14:paraId="1ECECFB9">
            <w:pPr>
              <w:spacing w:line="420" w:lineRule="exact"/>
              <w:rPr>
                <w:rFonts w:ascii="宋体" w:hAnsi="宋体"/>
                <w:color w:val="auto"/>
                <w:sz w:val="24"/>
                <w:highlight w:val="none"/>
                <w:u w:val="single"/>
              </w:rPr>
            </w:pPr>
            <w:r>
              <w:rPr>
                <w:rFonts w:hint="eastAsia" w:ascii="宋体" w:hAnsi="宋体"/>
                <w:color w:val="auto"/>
                <w:sz w:val="24"/>
                <w:highlight w:val="none"/>
              </w:rPr>
              <w:t xml:space="preserve">                                 供应商（签章）：</w:t>
            </w:r>
          </w:p>
          <w:p w14:paraId="6F55E1BE">
            <w:pPr>
              <w:spacing w:line="42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D6B2D8F">
            <w:pPr>
              <w:rPr>
                <w:rFonts w:ascii="宋体" w:hAnsi="宋体"/>
                <w:color w:val="auto"/>
                <w:sz w:val="24"/>
                <w:highlight w:val="none"/>
              </w:rPr>
            </w:pPr>
          </w:p>
        </w:tc>
      </w:tr>
      <w:tr w14:paraId="50D5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3" w:hRule="atLeast"/>
        </w:trPr>
        <w:tc>
          <w:tcPr>
            <w:tcW w:w="1730" w:type="dxa"/>
            <w:noWrap w:val="0"/>
            <w:vAlign w:val="center"/>
          </w:tcPr>
          <w:p w14:paraId="2F3E7688">
            <w:pPr>
              <w:jc w:val="center"/>
              <w:rPr>
                <w:rFonts w:ascii="宋体" w:hAnsi="宋体"/>
                <w:color w:val="auto"/>
                <w:sz w:val="24"/>
                <w:highlight w:val="none"/>
              </w:rPr>
            </w:pPr>
            <w:r>
              <w:rPr>
                <w:rFonts w:hint="eastAsia" w:ascii="宋体" w:hAnsi="宋体"/>
                <w:color w:val="auto"/>
                <w:sz w:val="24"/>
                <w:highlight w:val="none"/>
              </w:rPr>
              <w:t>使用单位</w:t>
            </w:r>
          </w:p>
          <w:p w14:paraId="01BA778D">
            <w:pPr>
              <w:jc w:val="center"/>
              <w:rPr>
                <w:rFonts w:ascii="宋体" w:hAnsi="宋体"/>
                <w:color w:val="auto"/>
                <w:sz w:val="24"/>
                <w:highlight w:val="none"/>
              </w:rPr>
            </w:pPr>
            <w:r>
              <w:rPr>
                <w:rFonts w:hint="eastAsia" w:ascii="宋体" w:hAnsi="宋体"/>
                <w:color w:val="auto"/>
                <w:sz w:val="24"/>
                <w:highlight w:val="none"/>
              </w:rPr>
              <w:t>意见</w:t>
            </w:r>
          </w:p>
        </w:tc>
        <w:tc>
          <w:tcPr>
            <w:tcW w:w="7174" w:type="dxa"/>
            <w:noWrap w:val="0"/>
            <w:vAlign w:val="top"/>
          </w:tcPr>
          <w:p w14:paraId="1BA221BA">
            <w:pPr>
              <w:rPr>
                <w:rFonts w:ascii="宋体" w:hAnsi="宋体"/>
                <w:color w:val="auto"/>
                <w:sz w:val="24"/>
                <w:highlight w:val="none"/>
              </w:rPr>
            </w:pPr>
            <w:r>
              <w:rPr>
                <w:rFonts w:hint="eastAsia" w:ascii="宋体" w:hAnsi="宋体"/>
                <w:color w:val="auto"/>
                <w:sz w:val="24"/>
                <w:highlight w:val="none"/>
              </w:rPr>
              <w:t>（退付意见：是否同意退付履约保证金）</w:t>
            </w:r>
          </w:p>
          <w:p w14:paraId="3A23F93F">
            <w:pPr>
              <w:spacing w:line="420" w:lineRule="exact"/>
              <w:rPr>
                <w:rFonts w:ascii="宋体" w:hAnsi="宋体"/>
                <w:color w:val="auto"/>
                <w:sz w:val="24"/>
                <w:highlight w:val="none"/>
              </w:rPr>
            </w:pPr>
          </w:p>
          <w:p w14:paraId="0C0EBA50">
            <w:pPr>
              <w:spacing w:line="420" w:lineRule="exact"/>
              <w:rPr>
                <w:rFonts w:ascii="宋体" w:hAnsi="宋体"/>
                <w:color w:val="auto"/>
                <w:sz w:val="24"/>
                <w:highlight w:val="none"/>
              </w:rPr>
            </w:pPr>
            <w:r>
              <w:rPr>
                <w:rFonts w:hint="eastAsia" w:ascii="宋体" w:hAnsi="宋体"/>
                <w:color w:val="auto"/>
                <w:sz w:val="24"/>
                <w:highlight w:val="none"/>
              </w:rPr>
              <w:t>项目负责人意见：</w:t>
            </w:r>
          </w:p>
          <w:p w14:paraId="0975073C">
            <w:pPr>
              <w:spacing w:line="420" w:lineRule="exact"/>
              <w:rPr>
                <w:rFonts w:ascii="宋体" w:hAnsi="宋体"/>
                <w:color w:val="auto"/>
                <w:sz w:val="24"/>
                <w:highlight w:val="none"/>
              </w:rPr>
            </w:pPr>
          </w:p>
          <w:p w14:paraId="28E377BF">
            <w:pPr>
              <w:spacing w:line="420" w:lineRule="exact"/>
              <w:rPr>
                <w:rFonts w:ascii="宋体" w:hAnsi="宋体"/>
                <w:color w:val="auto"/>
                <w:sz w:val="24"/>
                <w:highlight w:val="none"/>
              </w:rPr>
            </w:pPr>
            <w:r>
              <w:rPr>
                <w:rFonts w:hint="eastAsia" w:ascii="宋体" w:hAnsi="宋体"/>
                <w:color w:val="auto"/>
                <w:sz w:val="24"/>
                <w:highlight w:val="none"/>
              </w:rPr>
              <w:t>联系人：</w:t>
            </w:r>
          </w:p>
          <w:p w14:paraId="21D32F4C">
            <w:pPr>
              <w:spacing w:line="420" w:lineRule="exact"/>
              <w:rPr>
                <w:rFonts w:ascii="宋体" w:hAnsi="宋体"/>
                <w:color w:val="auto"/>
                <w:sz w:val="24"/>
                <w:highlight w:val="none"/>
              </w:rPr>
            </w:pPr>
            <w:r>
              <w:rPr>
                <w:rFonts w:hint="eastAsia" w:ascii="宋体" w:hAnsi="宋体"/>
                <w:color w:val="auto"/>
                <w:sz w:val="24"/>
                <w:highlight w:val="none"/>
              </w:rPr>
              <w:t>联系电话：</w:t>
            </w:r>
          </w:p>
          <w:p w14:paraId="2AC51F09">
            <w:pPr>
              <w:rPr>
                <w:rFonts w:ascii="宋体" w:hAnsi="宋体"/>
                <w:color w:val="auto"/>
                <w:sz w:val="24"/>
                <w:highlight w:val="none"/>
              </w:rPr>
            </w:pPr>
          </w:p>
          <w:p w14:paraId="432D215C">
            <w:pPr>
              <w:rPr>
                <w:rFonts w:ascii="宋体" w:hAnsi="宋体"/>
                <w:color w:val="auto"/>
                <w:sz w:val="24"/>
                <w:highlight w:val="none"/>
                <w:u w:val="single"/>
              </w:rPr>
            </w:pPr>
            <w:r>
              <w:rPr>
                <w:rFonts w:hint="eastAsia" w:ascii="宋体" w:hAnsi="宋体"/>
                <w:color w:val="auto"/>
                <w:sz w:val="24"/>
                <w:highlight w:val="none"/>
              </w:rPr>
              <w:t xml:space="preserve">                                   单位（签章）：</w:t>
            </w:r>
          </w:p>
          <w:p w14:paraId="17E48A9A">
            <w:pPr>
              <w:spacing w:line="420" w:lineRule="exac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r w14:paraId="6EF5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1730" w:type="dxa"/>
            <w:noWrap w:val="0"/>
            <w:vAlign w:val="center"/>
          </w:tcPr>
          <w:p w14:paraId="45D0B7E6">
            <w:pPr>
              <w:jc w:val="center"/>
              <w:rPr>
                <w:rFonts w:ascii="宋体" w:hAnsi="宋体"/>
                <w:color w:val="auto"/>
                <w:sz w:val="24"/>
                <w:highlight w:val="none"/>
              </w:rPr>
            </w:pPr>
            <w:r>
              <w:rPr>
                <w:rFonts w:hint="eastAsia" w:ascii="宋体" w:hAnsi="宋体"/>
                <w:color w:val="auto"/>
                <w:sz w:val="24"/>
                <w:highlight w:val="none"/>
              </w:rPr>
              <w:t>国有资产与实验室管理处（招标与采购管理中心）意见</w:t>
            </w:r>
          </w:p>
        </w:tc>
        <w:tc>
          <w:tcPr>
            <w:tcW w:w="7174" w:type="dxa"/>
            <w:noWrap w:val="0"/>
            <w:vAlign w:val="top"/>
          </w:tcPr>
          <w:p w14:paraId="1FCA2E57">
            <w:pPr>
              <w:rPr>
                <w:rFonts w:ascii="宋体" w:hAnsi="宋体"/>
                <w:color w:val="auto"/>
                <w:sz w:val="24"/>
                <w:highlight w:val="none"/>
              </w:rPr>
            </w:pPr>
          </w:p>
          <w:p w14:paraId="2DEC5508">
            <w:pPr>
              <w:rPr>
                <w:rFonts w:ascii="宋体" w:hAnsi="宋体"/>
                <w:color w:val="auto"/>
                <w:sz w:val="24"/>
                <w:highlight w:val="none"/>
              </w:rPr>
            </w:pPr>
          </w:p>
          <w:p w14:paraId="5B1ECF78">
            <w:pPr>
              <w:rPr>
                <w:rFonts w:ascii="宋体" w:hAnsi="宋体"/>
                <w:color w:val="auto"/>
                <w:sz w:val="24"/>
                <w:highlight w:val="none"/>
              </w:rPr>
            </w:pPr>
          </w:p>
          <w:p w14:paraId="26C50F2E">
            <w:pPr>
              <w:rPr>
                <w:rFonts w:ascii="宋体" w:hAnsi="宋体"/>
                <w:color w:val="auto"/>
                <w:sz w:val="24"/>
                <w:highlight w:val="none"/>
              </w:rPr>
            </w:pPr>
          </w:p>
          <w:p w14:paraId="0F98FB8C">
            <w:pPr>
              <w:rPr>
                <w:rFonts w:ascii="宋体" w:hAnsi="宋体"/>
                <w:color w:val="auto"/>
                <w:sz w:val="24"/>
                <w:highlight w:val="none"/>
              </w:rPr>
            </w:pPr>
            <w:r>
              <w:rPr>
                <w:rFonts w:hint="eastAsia" w:ascii="宋体" w:hAnsi="宋体"/>
                <w:color w:val="auto"/>
                <w:sz w:val="24"/>
                <w:highlight w:val="none"/>
              </w:rPr>
              <w:t xml:space="preserve">                                       </w:t>
            </w:r>
          </w:p>
          <w:p w14:paraId="520AC30D">
            <w:pPr>
              <w:rPr>
                <w:rFonts w:ascii="宋体" w:hAnsi="宋体"/>
                <w:color w:val="auto"/>
                <w:sz w:val="24"/>
                <w:highlight w:val="none"/>
              </w:rPr>
            </w:pPr>
          </w:p>
          <w:p w14:paraId="6B22A7F4">
            <w:pPr>
              <w:ind w:firstLine="4080" w:firstLineChars="1700"/>
              <w:rPr>
                <w:rFonts w:ascii="宋体" w:hAnsi="宋体"/>
                <w:color w:val="auto"/>
                <w:sz w:val="24"/>
                <w:highlight w:val="none"/>
              </w:rPr>
            </w:pPr>
            <w:r>
              <w:rPr>
                <w:rFonts w:hint="eastAsia" w:ascii="宋体" w:hAnsi="宋体"/>
                <w:color w:val="auto"/>
                <w:sz w:val="24"/>
                <w:highlight w:val="none"/>
              </w:rPr>
              <w:t>单位（签章）：</w:t>
            </w:r>
          </w:p>
          <w:p w14:paraId="2B2A3D8B">
            <w:pPr>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tc>
      </w:tr>
    </w:tbl>
    <w:p w14:paraId="1B60630D">
      <w:pPr>
        <w:rPr>
          <w:rFonts w:hint="eastAsia"/>
          <w:color w:val="auto"/>
          <w:highlight w:val="none"/>
        </w:rPr>
      </w:pPr>
    </w:p>
    <w:sectPr>
      <w:footerReference r:id="rId8" w:type="first"/>
      <w:headerReference r:id="rId6" w:type="default"/>
      <w:footerReference r:id="rId7" w:type="default"/>
      <w:pgSz w:w="11910" w:h="16840"/>
      <w:pgMar w:top="1340" w:right="1500" w:bottom="280" w:left="16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MS Mincho">
    <w:altName w:val="MS UI Gothic"/>
    <w:panose1 w:val="02020609040205080304"/>
    <w:charset w:val="80"/>
    <w:family w:val="modern"/>
    <w:pitch w:val="default"/>
    <w:sig w:usb0="00000000" w:usb1="00000000" w:usb2="00000010" w:usb3="00000000" w:csb0="4002009F" w:csb1="DFD70000"/>
  </w:font>
  <w:font w:name="MS UI Gothic">
    <w:panose1 w:val="020B0600070205080204"/>
    <w:charset w:val="80"/>
    <w:family w:val="auto"/>
    <w:pitch w:val="default"/>
    <w:sig w:usb0="E00002FF" w:usb1="6AC7FDFB" w:usb2="08000012" w:usb3="00000000" w:csb0="4002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671FE">
    <w:pPr>
      <w:pStyle w:val="20"/>
      <w:tabs>
        <w:tab w:val="clear" w:pos="4153"/>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1B9A">
    <w:pPr>
      <w:pStyle w:val="20"/>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B8EE2F">
                          <w:pPr>
                            <w:pStyle w:val="20"/>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2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BPMrUM4QEAAMEDAAAOAAAA&#10;AAAAAAEAIAAAAB4BAABkcnMvZTJvRG9jLnhtbFBLBQYAAAAABgAGAFkBAABxBQAAAAA=&#10;">
              <v:fill on="f" focussize="0,0"/>
              <v:stroke on="f"/>
              <v:imagedata o:title=""/>
              <o:lock v:ext="edit" aspectratio="f"/>
              <v:textbox inset="0mm,0mm,0mm,0mm" style="mso-fit-shape-to-text:t;">
                <w:txbxContent>
                  <w:p w14:paraId="6CB8EE2F">
                    <w:pPr>
                      <w:pStyle w:val="2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DE27C">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91FC2C">
                          <w:pPr>
                            <w:pStyle w:val="20"/>
                            <w:jc w:val="center"/>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90TwRN8BAADBAwAADgAAAAAA&#10;AAABACAAAAAeAQAAZHJzL2Uyb0RvYy54bWxQSwUGAAAAAAYABgBZAQAAbwUAAAAA&#10;">
              <v:fill on="f" focussize="0,0"/>
              <v:stroke on="f"/>
              <v:imagedata o:title=""/>
              <o:lock v:ext="edit" aspectratio="f"/>
              <v:textbox inset="0mm,0mm,0mm,0mm" style="mso-fit-shape-to-text:t;">
                <w:txbxContent>
                  <w:p w14:paraId="1491FC2C">
                    <w:pPr>
                      <w:pStyle w:val="20"/>
                      <w:jc w:val="center"/>
                    </w:pPr>
                    <w:r>
                      <w:fldChar w:fldCharType="begin"/>
                    </w:r>
                    <w:r>
                      <w:instrText xml:space="preserve"> PAGE  \* MERGEFORMAT </w:instrText>
                    </w:r>
                    <w:r>
                      <w:fldChar w:fldCharType="separate"/>
                    </w:r>
                    <w:r>
                      <w:t>1</w:t>
                    </w:r>
                    <w:r>
                      <w:fldChar w:fldCharType="end"/>
                    </w:r>
                  </w:p>
                </w:txbxContent>
              </v:textbox>
            </v:shape>
          </w:pict>
        </mc:Fallback>
      </mc:AlternateContent>
    </w:r>
  </w:p>
  <w:p w14:paraId="26802B78">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AF1F5">
    <w:pPr>
      <w:pStyle w:val="2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B88FA">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upright="0">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a4T1fLAQAAnAMAAA4AAAAAAAAAAQAgAAAAHgEAAGRycy9lMm9E&#10;b2MueG1sUEsFBgAAAAAGAAYAWQEAAFsFAAAAAA==&#10;">
              <v:fill on="f" focussize="0,0"/>
              <v:stroke on="f"/>
              <v:imagedata o:title=""/>
              <o:lock v:ext="edit" aspectratio="f"/>
              <v:textbox inset="0mm,0mm,0mm,0mm" style="mso-fit-shape-to-text:t;">
                <w:txbxContent>
                  <w:p w14:paraId="1C7B88FA">
                    <w:pPr>
                      <w:pStyle w:val="20"/>
                      <w:rPr>
                        <w:rFonts w:hint="eastAsia"/>
                      </w:rPr>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993A">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576B8">
    <w:pPr>
      <w:pStyle w:val="21"/>
      <w:tabs>
        <w:tab w:val="center" w:pos="0"/>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ED45875"/>
    <w:multiLevelType w:val="multilevel"/>
    <w:tmpl w:val="7ED4587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3,4,5,6,7"/>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3Y2MwMGM3Y2U2MjI1YWY0Yjc2ZTUwYWVhZjM1MDM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BC9"/>
    <w:rsid w:val="00012854"/>
    <w:rsid w:val="00012B5F"/>
    <w:rsid w:val="00012EA6"/>
    <w:rsid w:val="00013359"/>
    <w:rsid w:val="000139CF"/>
    <w:rsid w:val="00013AA4"/>
    <w:rsid w:val="00013DFE"/>
    <w:rsid w:val="000141EA"/>
    <w:rsid w:val="00015094"/>
    <w:rsid w:val="00016ABC"/>
    <w:rsid w:val="000177DB"/>
    <w:rsid w:val="000179C9"/>
    <w:rsid w:val="00017CCC"/>
    <w:rsid w:val="00020227"/>
    <w:rsid w:val="00020263"/>
    <w:rsid w:val="00020455"/>
    <w:rsid w:val="00020527"/>
    <w:rsid w:val="00020813"/>
    <w:rsid w:val="000220B2"/>
    <w:rsid w:val="0002264C"/>
    <w:rsid w:val="00022731"/>
    <w:rsid w:val="00022792"/>
    <w:rsid w:val="00022CD2"/>
    <w:rsid w:val="00024463"/>
    <w:rsid w:val="00025461"/>
    <w:rsid w:val="00025636"/>
    <w:rsid w:val="00025E36"/>
    <w:rsid w:val="00026855"/>
    <w:rsid w:val="00026886"/>
    <w:rsid w:val="00026CF4"/>
    <w:rsid w:val="0002785D"/>
    <w:rsid w:val="000329E0"/>
    <w:rsid w:val="00032DB3"/>
    <w:rsid w:val="00034B50"/>
    <w:rsid w:val="000352E9"/>
    <w:rsid w:val="00035494"/>
    <w:rsid w:val="00036125"/>
    <w:rsid w:val="00036A07"/>
    <w:rsid w:val="0003780B"/>
    <w:rsid w:val="00040571"/>
    <w:rsid w:val="00040973"/>
    <w:rsid w:val="0004156E"/>
    <w:rsid w:val="00041713"/>
    <w:rsid w:val="0004440C"/>
    <w:rsid w:val="000454F7"/>
    <w:rsid w:val="00046B5E"/>
    <w:rsid w:val="000470CB"/>
    <w:rsid w:val="000509D9"/>
    <w:rsid w:val="00051ACB"/>
    <w:rsid w:val="000533E7"/>
    <w:rsid w:val="00053E23"/>
    <w:rsid w:val="00055D41"/>
    <w:rsid w:val="00057CD6"/>
    <w:rsid w:val="00060DCE"/>
    <w:rsid w:val="000610E3"/>
    <w:rsid w:val="000614F3"/>
    <w:rsid w:val="000623B4"/>
    <w:rsid w:val="00062405"/>
    <w:rsid w:val="00062437"/>
    <w:rsid w:val="000634A7"/>
    <w:rsid w:val="00063B0B"/>
    <w:rsid w:val="00063F81"/>
    <w:rsid w:val="00064847"/>
    <w:rsid w:val="00065E08"/>
    <w:rsid w:val="000673E2"/>
    <w:rsid w:val="0007063F"/>
    <w:rsid w:val="000707FD"/>
    <w:rsid w:val="00070949"/>
    <w:rsid w:val="000711E4"/>
    <w:rsid w:val="000724D9"/>
    <w:rsid w:val="00072AED"/>
    <w:rsid w:val="00073F47"/>
    <w:rsid w:val="0007492F"/>
    <w:rsid w:val="00074ED8"/>
    <w:rsid w:val="00075B7E"/>
    <w:rsid w:val="00075F83"/>
    <w:rsid w:val="00077ACA"/>
    <w:rsid w:val="00077C70"/>
    <w:rsid w:val="000813B5"/>
    <w:rsid w:val="00081BA3"/>
    <w:rsid w:val="00081D2E"/>
    <w:rsid w:val="00081F89"/>
    <w:rsid w:val="00082619"/>
    <w:rsid w:val="00082D02"/>
    <w:rsid w:val="00082D4B"/>
    <w:rsid w:val="00083871"/>
    <w:rsid w:val="00083B91"/>
    <w:rsid w:val="0008473C"/>
    <w:rsid w:val="0008520B"/>
    <w:rsid w:val="000860BD"/>
    <w:rsid w:val="000871B8"/>
    <w:rsid w:val="00091470"/>
    <w:rsid w:val="000916DA"/>
    <w:rsid w:val="00092442"/>
    <w:rsid w:val="000929EF"/>
    <w:rsid w:val="000933BE"/>
    <w:rsid w:val="00093CD4"/>
    <w:rsid w:val="0009560F"/>
    <w:rsid w:val="0009588E"/>
    <w:rsid w:val="000959EE"/>
    <w:rsid w:val="00097183"/>
    <w:rsid w:val="000972CB"/>
    <w:rsid w:val="00097608"/>
    <w:rsid w:val="000977BD"/>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387"/>
    <w:rsid w:val="000B2585"/>
    <w:rsid w:val="000B2BC6"/>
    <w:rsid w:val="000B2D03"/>
    <w:rsid w:val="000B3815"/>
    <w:rsid w:val="000B3C7B"/>
    <w:rsid w:val="000B4321"/>
    <w:rsid w:val="000B6A6B"/>
    <w:rsid w:val="000B6C95"/>
    <w:rsid w:val="000B79FC"/>
    <w:rsid w:val="000C02B1"/>
    <w:rsid w:val="000C1679"/>
    <w:rsid w:val="000C1EE3"/>
    <w:rsid w:val="000C3AE7"/>
    <w:rsid w:val="000C3CC9"/>
    <w:rsid w:val="000C6DE4"/>
    <w:rsid w:val="000C7202"/>
    <w:rsid w:val="000D0A89"/>
    <w:rsid w:val="000D1181"/>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A1B"/>
    <w:rsid w:val="000F2A95"/>
    <w:rsid w:val="000F3281"/>
    <w:rsid w:val="000F32FD"/>
    <w:rsid w:val="000F3733"/>
    <w:rsid w:val="000F5F8B"/>
    <w:rsid w:val="000F6153"/>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2F16"/>
    <w:rsid w:val="00113678"/>
    <w:rsid w:val="00113C3E"/>
    <w:rsid w:val="00115E11"/>
    <w:rsid w:val="00115EEE"/>
    <w:rsid w:val="00115F56"/>
    <w:rsid w:val="00116CA9"/>
    <w:rsid w:val="00116F38"/>
    <w:rsid w:val="001170A4"/>
    <w:rsid w:val="00117AE7"/>
    <w:rsid w:val="00117CBD"/>
    <w:rsid w:val="0012006A"/>
    <w:rsid w:val="00121979"/>
    <w:rsid w:val="00122064"/>
    <w:rsid w:val="00122C12"/>
    <w:rsid w:val="00123A31"/>
    <w:rsid w:val="00124341"/>
    <w:rsid w:val="00124492"/>
    <w:rsid w:val="00124B12"/>
    <w:rsid w:val="001250A0"/>
    <w:rsid w:val="001263B8"/>
    <w:rsid w:val="0012763E"/>
    <w:rsid w:val="00130217"/>
    <w:rsid w:val="00130783"/>
    <w:rsid w:val="00130A47"/>
    <w:rsid w:val="00130D7C"/>
    <w:rsid w:val="001313DA"/>
    <w:rsid w:val="00131A6A"/>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57C23"/>
    <w:rsid w:val="0016086E"/>
    <w:rsid w:val="00160D0C"/>
    <w:rsid w:val="00161172"/>
    <w:rsid w:val="00161998"/>
    <w:rsid w:val="00161E65"/>
    <w:rsid w:val="00162597"/>
    <w:rsid w:val="001629AF"/>
    <w:rsid w:val="001629FD"/>
    <w:rsid w:val="0016428A"/>
    <w:rsid w:val="001647C9"/>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2862"/>
    <w:rsid w:val="00184F57"/>
    <w:rsid w:val="00185544"/>
    <w:rsid w:val="00185617"/>
    <w:rsid w:val="00186FE1"/>
    <w:rsid w:val="00187A14"/>
    <w:rsid w:val="0019171E"/>
    <w:rsid w:val="00192368"/>
    <w:rsid w:val="001923A0"/>
    <w:rsid w:val="001928B1"/>
    <w:rsid w:val="00193537"/>
    <w:rsid w:val="00193846"/>
    <w:rsid w:val="00195424"/>
    <w:rsid w:val="001955FF"/>
    <w:rsid w:val="001975B5"/>
    <w:rsid w:val="00197EDD"/>
    <w:rsid w:val="001A02B3"/>
    <w:rsid w:val="001A04BB"/>
    <w:rsid w:val="001A08D0"/>
    <w:rsid w:val="001A1B39"/>
    <w:rsid w:val="001A2120"/>
    <w:rsid w:val="001A28C6"/>
    <w:rsid w:val="001A2E69"/>
    <w:rsid w:val="001A3440"/>
    <w:rsid w:val="001A3C34"/>
    <w:rsid w:val="001A3EDE"/>
    <w:rsid w:val="001A4222"/>
    <w:rsid w:val="001A50EA"/>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5E60"/>
    <w:rsid w:val="001B6512"/>
    <w:rsid w:val="001B65D7"/>
    <w:rsid w:val="001B6752"/>
    <w:rsid w:val="001B6768"/>
    <w:rsid w:val="001B6F1F"/>
    <w:rsid w:val="001B7ECC"/>
    <w:rsid w:val="001C025B"/>
    <w:rsid w:val="001C115F"/>
    <w:rsid w:val="001C1EAB"/>
    <w:rsid w:val="001C25A7"/>
    <w:rsid w:val="001C2E56"/>
    <w:rsid w:val="001C318C"/>
    <w:rsid w:val="001C35C4"/>
    <w:rsid w:val="001C35E1"/>
    <w:rsid w:val="001C4287"/>
    <w:rsid w:val="001C433C"/>
    <w:rsid w:val="001C4479"/>
    <w:rsid w:val="001C5190"/>
    <w:rsid w:val="001C6081"/>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9BE"/>
    <w:rsid w:val="001E3B63"/>
    <w:rsid w:val="001E5A94"/>
    <w:rsid w:val="001E5F6F"/>
    <w:rsid w:val="001E68B8"/>
    <w:rsid w:val="001F2001"/>
    <w:rsid w:val="001F2A2E"/>
    <w:rsid w:val="001F3356"/>
    <w:rsid w:val="001F3C63"/>
    <w:rsid w:val="001F4460"/>
    <w:rsid w:val="001F5262"/>
    <w:rsid w:val="001F615F"/>
    <w:rsid w:val="001F711A"/>
    <w:rsid w:val="001F75B0"/>
    <w:rsid w:val="00200CE5"/>
    <w:rsid w:val="00200F7C"/>
    <w:rsid w:val="002014DB"/>
    <w:rsid w:val="0020150B"/>
    <w:rsid w:val="00201E12"/>
    <w:rsid w:val="00202B13"/>
    <w:rsid w:val="002032DA"/>
    <w:rsid w:val="002033B5"/>
    <w:rsid w:val="0020382C"/>
    <w:rsid w:val="0020437A"/>
    <w:rsid w:val="0020454C"/>
    <w:rsid w:val="00204740"/>
    <w:rsid w:val="00205129"/>
    <w:rsid w:val="0020521F"/>
    <w:rsid w:val="0020532C"/>
    <w:rsid w:val="00210225"/>
    <w:rsid w:val="002114C7"/>
    <w:rsid w:val="0021302C"/>
    <w:rsid w:val="00213B1C"/>
    <w:rsid w:val="00214202"/>
    <w:rsid w:val="002148E3"/>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08B8"/>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CF5"/>
    <w:rsid w:val="00251043"/>
    <w:rsid w:val="00251C4A"/>
    <w:rsid w:val="0025271C"/>
    <w:rsid w:val="002529E4"/>
    <w:rsid w:val="002533CD"/>
    <w:rsid w:val="002535EA"/>
    <w:rsid w:val="00253805"/>
    <w:rsid w:val="00254EAB"/>
    <w:rsid w:val="002557AF"/>
    <w:rsid w:val="0025589C"/>
    <w:rsid w:val="00255B62"/>
    <w:rsid w:val="002566B1"/>
    <w:rsid w:val="002575E3"/>
    <w:rsid w:val="00257A74"/>
    <w:rsid w:val="002603C1"/>
    <w:rsid w:val="002609A1"/>
    <w:rsid w:val="002612B1"/>
    <w:rsid w:val="00266165"/>
    <w:rsid w:val="002662FE"/>
    <w:rsid w:val="00266F2C"/>
    <w:rsid w:val="00270D48"/>
    <w:rsid w:val="0027125E"/>
    <w:rsid w:val="00271767"/>
    <w:rsid w:val="00272293"/>
    <w:rsid w:val="002723C8"/>
    <w:rsid w:val="002725C1"/>
    <w:rsid w:val="00273C2A"/>
    <w:rsid w:val="00273CBE"/>
    <w:rsid w:val="002746B1"/>
    <w:rsid w:val="00274BAD"/>
    <w:rsid w:val="00282D56"/>
    <w:rsid w:val="002835B0"/>
    <w:rsid w:val="002836F1"/>
    <w:rsid w:val="00283C74"/>
    <w:rsid w:val="0028407E"/>
    <w:rsid w:val="0028410F"/>
    <w:rsid w:val="00284572"/>
    <w:rsid w:val="00285221"/>
    <w:rsid w:val="00286FB5"/>
    <w:rsid w:val="00287763"/>
    <w:rsid w:val="00290606"/>
    <w:rsid w:val="002909B2"/>
    <w:rsid w:val="00291D6D"/>
    <w:rsid w:val="00291FF1"/>
    <w:rsid w:val="002925C2"/>
    <w:rsid w:val="00292AA2"/>
    <w:rsid w:val="00292BF7"/>
    <w:rsid w:val="00293361"/>
    <w:rsid w:val="00294374"/>
    <w:rsid w:val="002952B1"/>
    <w:rsid w:val="00295D11"/>
    <w:rsid w:val="00296FB6"/>
    <w:rsid w:val="002A0001"/>
    <w:rsid w:val="002A0BD9"/>
    <w:rsid w:val="002A0C3A"/>
    <w:rsid w:val="002A1130"/>
    <w:rsid w:val="002A1880"/>
    <w:rsid w:val="002A23B7"/>
    <w:rsid w:val="002A3A57"/>
    <w:rsid w:val="002A4B4F"/>
    <w:rsid w:val="002A535E"/>
    <w:rsid w:val="002A57A8"/>
    <w:rsid w:val="002A6DEF"/>
    <w:rsid w:val="002A6E42"/>
    <w:rsid w:val="002A770B"/>
    <w:rsid w:val="002B013E"/>
    <w:rsid w:val="002B017B"/>
    <w:rsid w:val="002B058D"/>
    <w:rsid w:val="002B0C16"/>
    <w:rsid w:val="002B2AC5"/>
    <w:rsid w:val="002B3528"/>
    <w:rsid w:val="002B3539"/>
    <w:rsid w:val="002B4532"/>
    <w:rsid w:val="002B5042"/>
    <w:rsid w:val="002B69CC"/>
    <w:rsid w:val="002B6D71"/>
    <w:rsid w:val="002C0C1C"/>
    <w:rsid w:val="002C54C2"/>
    <w:rsid w:val="002C5D34"/>
    <w:rsid w:val="002C60BB"/>
    <w:rsid w:val="002C661A"/>
    <w:rsid w:val="002D0D6F"/>
    <w:rsid w:val="002D25FC"/>
    <w:rsid w:val="002D4AC6"/>
    <w:rsid w:val="002D5BF5"/>
    <w:rsid w:val="002D5E95"/>
    <w:rsid w:val="002D5EE8"/>
    <w:rsid w:val="002D7150"/>
    <w:rsid w:val="002D7360"/>
    <w:rsid w:val="002D7648"/>
    <w:rsid w:val="002E109C"/>
    <w:rsid w:val="002E193E"/>
    <w:rsid w:val="002E1A94"/>
    <w:rsid w:val="002E1D55"/>
    <w:rsid w:val="002E1F3E"/>
    <w:rsid w:val="002E26C4"/>
    <w:rsid w:val="002E30A5"/>
    <w:rsid w:val="002E47E4"/>
    <w:rsid w:val="002E4BF9"/>
    <w:rsid w:val="002E4D61"/>
    <w:rsid w:val="002E5FED"/>
    <w:rsid w:val="002E68A7"/>
    <w:rsid w:val="002E6E6C"/>
    <w:rsid w:val="002F0522"/>
    <w:rsid w:val="002F0B85"/>
    <w:rsid w:val="002F16DD"/>
    <w:rsid w:val="002F199D"/>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1EC6"/>
    <w:rsid w:val="00302EFC"/>
    <w:rsid w:val="00303243"/>
    <w:rsid w:val="00303BCC"/>
    <w:rsid w:val="00303D4A"/>
    <w:rsid w:val="00303F2B"/>
    <w:rsid w:val="00303F8D"/>
    <w:rsid w:val="0030572D"/>
    <w:rsid w:val="0030586A"/>
    <w:rsid w:val="0030622D"/>
    <w:rsid w:val="00306811"/>
    <w:rsid w:val="00306F32"/>
    <w:rsid w:val="003074C5"/>
    <w:rsid w:val="00307A3C"/>
    <w:rsid w:val="00307FA4"/>
    <w:rsid w:val="00310290"/>
    <w:rsid w:val="0031083D"/>
    <w:rsid w:val="00310CC1"/>
    <w:rsid w:val="00312504"/>
    <w:rsid w:val="00313026"/>
    <w:rsid w:val="00313913"/>
    <w:rsid w:val="0031421F"/>
    <w:rsid w:val="00314B31"/>
    <w:rsid w:val="00315A65"/>
    <w:rsid w:val="003165D7"/>
    <w:rsid w:val="00317BA7"/>
    <w:rsid w:val="00320BE2"/>
    <w:rsid w:val="00321886"/>
    <w:rsid w:val="00323694"/>
    <w:rsid w:val="00323BE7"/>
    <w:rsid w:val="00324C3A"/>
    <w:rsid w:val="00324D63"/>
    <w:rsid w:val="00324EC2"/>
    <w:rsid w:val="003255AF"/>
    <w:rsid w:val="003256EB"/>
    <w:rsid w:val="003259DB"/>
    <w:rsid w:val="003314D9"/>
    <w:rsid w:val="00331653"/>
    <w:rsid w:val="0033194F"/>
    <w:rsid w:val="00331A48"/>
    <w:rsid w:val="00331BCC"/>
    <w:rsid w:val="003330C9"/>
    <w:rsid w:val="0033364C"/>
    <w:rsid w:val="00334415"/>
    <w:rsid w:val="00335EA1"/>
    <w:rsid w:val="0033691E"/>
    <w:rsid w:val="00336A6A"/>
    <w:rsid w:val="00336CCB"/>
    <w:rsid w:val="003411D1"/>
    <w:rsid w:val="003416BA"/>
    <w:rsid w:val="00342148"/>
    <w:rsid w:val="00342F99"/>
    <w:rsid w:val="0034575A"/>
    <w:rsid w:val="00345F57"/>
    <w:rsid w:val="00346E7F"/>
    <w:rsid w:val="00350458"/>
    <w:rsid w:val="00350E6C"/>
    <w:rsid w:val="003518A6"/>
    <w:rsid w:val="00351E7F"/>
    <w:rsid w:val="00351FCB"/>
    <w:rsid w:val="003525A7"/>
    <w:rsid w:val="00352953"/>
    <w:rsid w:val="00354062"/>
    <w:rsid w:val="0035459E"/>
    <w:rsid w:val="00354A03"/>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316"/>
    <w:rsid w:val="00370DC7"/>
    <w:rsid w:val="00371CBD"/>
    <w:rsid w:val="00371F20"/>
    <w:rsid w:val="003721E3"/>
    <w:rsid w:val="00372B98"/>
    <w:rsid w:val="003737B7"/>
    <w:rsid w:val="003740CC"/>
    <w:rsid w:val="003745F4"/>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2DA"/>
    <w:rsid w:val="003A5728"/>
    <w:rsid w:val="003A60E7"/>
    <w:rsid w:val="003A7092"/>
    <w:rsid w:val="003A72A1"/>
    <w:rsid w:val="003A7611"/>
    <w:rsid w:val="003A7D1F"/>
    <w:rsid w:val="003B0B6A"/>
    <w:rsid w:val="003B22F7"/>
    <w:rsid w:val="003B29CF"/>
    <w:rsid w:val="003B3A90"/>
    <w:rsid w:val="003B3E4E"/>
    <w:rsid w:val="003B534F"/>
    <w:rsid w:val="003B69C9"/>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382"/>
    <w:rsid w:val="003D48C7"/>
    <w:rsid w:val="003D4C27"/>
    <w:rsid w:val="003D7109"/>
    <w:rsid w:val="003D7CE8"/>
    <w:rsid w:val="003E0514"/>
    <w:rsid w:val="003E1032"/>
    <w:rsid w:val="003E1904"/>
    <w:rsid w:val="003E285E"/>
    <w:rsid w:val="003E2BE6"/>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001"/>
    <w:rsid w:val="0040763D"/>
    <w:rsid w:val="00410D17"/>
    <w:rsid w:val="00413442"/>
    <w:rsid w:val="00413821"/>
    <w:rsid w:val="00413BA5"/>
    <w:rsid w:val="004141A3"/>
    <w:rsid w:val="00414909"/>
    <w:rsid w:val="0041582F"/>
    <w:rsid w:val="00416112"/>
    <w:rsid w:val="00417AE0"/>
    <w:rsid w:val="00417BAA"/>
    <w:rsid w:val="0042042B"/>
    <w:rsid w:val="00420B45"/>
    <w:rsid w:val="00420D7A"/>
    <w:rsid w:val="00421257"/>
    <w:rsid w:val="00422193"/>
    <w:rsid w:val="004223DE"/>
    <w:rsid w:val="00422A10"/>
    <w:rsid w:val="004249C0"/>
    <w:rsid w:val="00424D17"/>
    <w:rsid w:val="00425DFD"/>
    <w:rsid w:val="004263A3"/>
    <w:rsid w:val="00427713"/>
    <w:rsid w:val="00427CCC"/>
    <w:rsid w:val="0043013A"/>
    <w:rsid w:val="00430421"/>
    <w:rsid w:val="0043049B"/>
    <w:rsid w:val="00430A36"/>
    <w:rsid w:val="00430B4F"/>
    <w:rsid w:val="00431084"/>
    <w:rsid w:val="004310D7"/>
    <w:rsid w:val="004313D9"/>
    <w:rsid w:val="004322D6"/>
    <w:rsid w:val="00432589"/>
    <w:rsid w:val="00432A94"/>
    <w:rsid w:val="00432C95"/>
    <w:rsid w:val="00433827"/>
    <w:rsid w:val="00433A40"/>
    <w:rsid w:val="00434B70"/>
    <w:rsid w:val="004360C8"/>
    <w:rsid w:val="00436FA4"/>
    <w:rsid w:val="004371D5"/>
    <w:rsid w:val="0044006B"/>
    <w:rsid w:val="0044033F"/>
    <w:rsid w:val="00440630"/>
    <w:rsid w:val="00441F0F"/>
    <w:rsid w:val="00442965"/>
    <w:rsid w:val="00444157"/>
    <w:rsid w:val="0044417C"/>
    <w:rsid w:val="00444DB3"/>
    <w:rsid w:val="00445617"/>
    <w:rsid w:val="00445A2F"/>
    <w:rsid w:val="0044684E"/>
    <w:rsid w:val="00446F22"/>
    <w:rsid w:val="0045019F"/>
    <w:rsid w:val="004503A4"/>
    <w:rsid w:val="00450555"/>
    <w:rsid w:val="004506FA"/>
    <w:rsid w:val="00450A9F"/>
    <w:rsid w:val="00450DC6"/>
    <w:rsid w:val="004516A5"/>
    <w:rsid w:val="00451E9C"/>
    <w:rsid w:val="0045280F"/>
    <w:rsid w:val="00452C81"/>
    <w:rsid w:val="004535AE"/>
    <w:rsid w:val="0045444D"/>
    <w:rsid w:val="0045463A"/>
    <w:rsid w:val="00454AC9"/>
    <w:rsid w:val="00455050"/>
    <w:rsid w:val="004554A3"/>
    <w:rsid w:val="00455A6E"/>
    <w:rsid w:val="00455EAD"/>
    <w:rsid w:val="004578EB"/>
    <w:rsid w:val="004604D5"/>
    <w:rsid w:val="00460697"/>
    <w:rsid w:val="0046117B"/>
    <w:rsid w:val="00464AB7"/>
    <w:rsid w:val="00465DE5"/>
    <w:rsid w:val="00467EF8"/>
    <w:rsid w:val="00471FC4"/>
    <w:rsid w:val="00472429"/>
    <w:rsid w:val="004725E5"/>
    <w:rsid w:val="00472751"/>
    <w:rsid w:val="00473128"/>
    <w:rsid w:val="00475078"/>
    <w:rsid w:val="00475767"/>
    <w:rsid w:val="004765FB"/>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797C"/>
    <w:rsid w:val="00497B25"/>
    <w:rsid w:val="004A0404"/>
    <w:rsid w:val="004A0943"/>
    <w:rsid w:val="004A1405"/>
    <w:rsid w:val="004A1FC6"/>
    <w:rsid w:val="004A2E5F"/>
    <w:rsid w:val="004A38C2"/>
    <w:rsid w:val="004A3C03"/>
    <w:rsid w:val="004A3DB7"/>
    <w:rsid w:val="004A5088"/>
    <w:rsid w:val="004A5255"/>
    <w:rsid w:val="004A6CB0"/>
    <w:rsid w:val="004A70FF"/>
    <w:rsid w:val="004A76D5"/>
    <w:rsid w:val="004A7EDE"/>
    <w:rsid w:val="004B0D93"/>
    <w:rsid w:val="004B1FA4"/>
    <w:rsid w:val="004B29AC"/>
    <w:rsid w:val="004B35DF"/>
    <w:rsid w:val="004B3627"/>
    <w:rsid w:val="004B4922"/>
    <w:rsid w:val="004B57DF"/>
    <w:rsid w:val="004B5976"/>
    <w:rsid w:val="004B722E"/>
    <w:rsid w:val="004B72E8"/>
    <w:rsid w:val="004C01A5"/>
    <w:rsid w:val="004C0412"/>
    <w:rsid w:val="004C114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EA4"/>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63EF"/>
    <w:rsid w:val="004F7160"/>
    <w:rsid w:val="00500258"/>
    <w:rsid w:val="00500B2D"/>
    <w:rsid w:val="00501A99"/>
    <w:rsid w:val="00503180"/>
    <w:rsid w:val="005038A4"/>
    <w:rsid w:val="00505450"/>
    <w:rsid w:val="005055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171C6"/>
    <w:rsid w:val="00520EF8"/>
    <w:rsid w:val="005210F7"/>
    <w:rsid w:val="00521753"/>
    <w:rsid w:val="0052239D"/>
    <w:rsid w:val="005224EE"/>
    <w:rsid w:val="00522879"/>
    <w:rsid w:val="00523BB1"/>
    <w:rsid w:val="00524839"/>
    <w:rsid w:val="0052570E"/>
    <w:rsid w:val="005260CD"/>
    <w:rsid w:val="00526265"/>
    <w:rsid w:val="0052655D"/>
    <w:rsid w:val="005265E0"/>
    <w:rsid w:val="00526BC3"/>
    <w:rsid w:val="00527079"/>
    <w:rsid w:val="00531761"/>
    <w:rsid w:val="00531820"/>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8D5"/>
    <w:rsid w:val="00567B5D"/>
    <w:rsid w:val="00570757"/>
    <w:rsid w:val="00573733"/>
    <w:rsid w:val="00573D73"/>
    <w:rsid w:val="00573E3F"/>
    <w:rsid w:val="00573F8B"/>
    <w:rsid w:val="00574554"/>
    <w:rsid w:val="00574E06"/>
    <w:rsid w:val="005751BB"/>
    <w:rsid w:val="00576089"/>
    <w:rsid w:val="00576358"/>
    <w:rsid w:val="005764B1"/>
    <w:rsid w:val="00576852"/>
    <w:rsid w:val="00576D06"/>
    <w:rsid w:val="005779E4"/>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52B"/>
    <w:rsid w:val="005A2A8F"/>
    <w:rsid w:val="005A3204"/>
    <w:rsid w:val="005A3341"/>
    <w:rsid w:val="005A3C3D"/>
    <w:rsid w:val="005A46EC"/>
    <w:rsid w:val="005A5EAE"/>
    <w:rsid w:val="005A6407"/>
    <w:rsid w:val="005A726C"/>
    <w:rsid w:val="005B07EC"/>
    <w:rsid w:val="005B2B11"/>
    <w:rsid w:val="005B32A4"/>
    <w:rsid w:val="005B3371"/>
    <w:rsid w:val="005B338D"/>
    <w:rsid w:val="005B36D7"/>
    <w:rsid w:val="005B3BAF"/>
    <w:rsid w:val="005B4DA3"/>
    <w:rsid w:val="005B5BEE"/>
    <w:rsid w:val="005B77D2"/>
    <w:rsid w:val="005C019B"/>
    <w:rsid w:val="005C08D0"/>
    <w:rsid w:val="005C1AED"/>
    <w:rsid w:val="005C203C"/>
    <w:rsid w:val="005C30C7"/>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2442"/>
    <w:rsid w:val="005E3111"/>
    <w:rsid w:val="005E3F85"/>
    <w:rsid w:val="005E4A5F"/>
    <w:rsid w:val="005E57B0"/>
    <w:rsid w:val="005E5B01"/>
    <w:rsid w:val="005E6D3B"/>
    <w:rsid w:val="005F009E"/>
    <w:rsid w:val="005F0DF1"/>
    <w:rsid w:val="005F1516"/>
    <w:rsid w:val="005F229E"/>
    <w:rsid w:val="005F2564"/>
    <w:rsid w:val="005F3822"/>
    <w:rsid w:val="005F4635"/>
    <w:rsid w:val="005F4900"/>
    <w:rsid w:val="005F4E52"/>
    <w:rsid w:val="005F6D58"/>
    <w:rsid w:val="005F7383"/>
    <w:rsid w:val="0060058E"/>
    <w:rsid w:val="00601C8F"/>
    <w:rsid w:val="00601F77"/>
    <w:rsid w:val="00602A3C"/>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561"/>
    <w:rsid w:val="0062169D"/>
    <w:rsid w:val="0062181E"/>
    <w:rsid w:val="0062211B"/>
    <w:rsid w:val="00622BB7"/>
    <w:rsid w:val="00622C1E"/>
    <w:rsid w:val="00623389"/>
    <w:rsid w:val="00623DAA"/>
    <w:rsid w:val="00623FAF"/>
    <w:rsid w:val="00624A8A"/>
    <w:rsid w:val="006265C4"/>
    <w:rsid w:val="0062678A"/>
    <w:rsid w:val="006270AF"/>
    <w:rsid w:val="00627F64"/>
    <w:rsid w:val="00632D04"/>
    <w:rsid w:val="00634367"/>
    <w:rsid w:val="00640082"/>
    <w:rsid w:val="00640291"/>
    <w:rsid w:val="006408B6"/>
    <w:rsid w:val="00640EFE"/>
    <w:rsid w:val="00641D6D"/>
    <w:rsid w:val="00641FAC"/>
    <w:rsid w:val="00643664"/>
    <w:rsid w:val="00643CAA"/>
    <w:rsid w:val="00644F16"/>
    <w:rsid w:val="006455EB"/>
    <w:rsid w:val="006456C2"/>
    <w:rsid w:val="00645A65"/>
    <w:rsid w:val="006477F0"/>
    <w:rsid w:val="006478E4"/>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5EA"/>
    <w:rsid w:val="00673711"/>
    <w:rsid w:val="00673F82"/>
    <w:rsid w:val="00674F74"/>
    <w:rsid w:val="0067508F"/>
    <w:rsid w:val="00677576"/>
    <w:rsid w:val="0068051E"/>
    <w:rsid w:val="00680B9D"/>
    <w:rsid w:val="00681F13"/>
    <w:rsid w:val="0068231C"/>
    <w:rsid w:val="00682344"/>
    <w:rsid w:val="00682B23"/>
    <w:rsid w:val="00682F28"/>
    <w:rsid w:val="00683515"/>
    <w:rsid w:val="006836E9"/>
    <w:rsid w:val="00684842"/>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5AD"/>
    <w:rsid w:val="006A16D5"/>
    <w:rsid w:val="006A1772"/>
    <w:rsid w:val="006A1780"/>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E12"/>
    <w:rsid w:val="006D70CB"/>
    <w:rsid w:val="006D715C"/>
    <w:rsid w:val="006D7363"/>
    <w:rsid w:val="006D774E"/>
    <w:rsid w:val="006E0754"/>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61D8"/>
    <w:rsid w:val="006F62B7"/>
    <w:rsid w:val="006F70BC"/>
    <w:rsid w:val="006F7E7C"/>
    <w:rsid w:val="0070174E"/>
    <w:rsid w:val="007018DB"/>
    <w:rsid w:val="00701DE6"/>
    <w:rsid w:val="00702740"/>
    <w:rsid w:val="0070381B"/>
    <w:rsid w:val="0070796C"/>
    <w:rsid w:val="007109BB"/>
    <w:rsid w:val="00710EBF"/>
    <w:rsid w:val="007110B8"/>
    <w:rsid w:val="0071209F"/>
    <w:rsid w:val="007125A2"/>
    <w:rsid w:val="00712BAE"/>
    <w:rsid w:val="00713DD9"/>
    <w:rsid w:val="00713F79"/>
    <w:rsid w:val="007148A8"/>
    <w:rsid w:val="0071569F"/>
    <w:rsid w:val="00716AC8"/>
    <w:rsid w:val="00716E54"/>
    <w:rsid w:val="00717421"/>
    <w:rsid w:val="0072033C"/>
    <w:rsid w:val="00720B1B"/>
    <w:rsid w:val="00720B9C"/>
    <w:rsid w:val="00721062"/>
    <w:rsid w:val="00721E5D"/>
    <w:rsid w:val="007229D4"/>
    <w:rsid w:val="007230F8"/>
    <w:rsid w:val="007233F4"/>
    <w:rsid w:val="00724044"/>
    <w:rsid w:val="007248D3"/>
    <w:rsid w:val="00724DF8"/>
    <w:rsid w:val="00725137"/>
    <w:rsid w:val="00725378"/>
    <w:rsid w:val="00727A43"/>
    <w:rsid w:val="00727F2A"/>
    <w:rsid w:val="00727FF2"/>
    <w:rsid w:val="00730550"/>
    <w:rsid w:val="00730C2A"/>
    <w:rsid w:val="00731434"/>
    <w:rsid w:val="00731E59"/>
    <w:rsid w:val="007323E0"/>
    <w:rsid w:val="00732911"/>
    <w:rsid w:val="00733721"/>
    <w:rsid w:val="00733DE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3C48"/>
    <w:rsid w:val="00754250"/>
    <w:rsid w:val="00754FE4"/>
    <w:rsid w:val="00755216"/>
    <w:rsid w:val="00756236"/>
    <w:rsid w:val="00756271"/>
    <w:rsid w:val="00756348"/>
    <w:rsid w:val="00756521"/>
    <w:rsid w:val="00756AB7"/>
    <w:rsid w:val="00757E5C"/>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7CC"/>
    <w:rsid w:val="00777B32"/>
    <w:rsid w:val="0078051E"/>
    <w:rsid w:val="00781089"/>
    <w:rsid w:val="007838F3"/>
    <w:rsid w:val="007856FE"/>
    <w:rsid w:val="00785F46"/>
    <w:rsid w:val="007865F4"/>
    <w:rsid w:val="00786D5C"/>
    <w:rsid w:val="00786E96"/>
    <w:rsid w:val="0078798A"/>
    <w:rsid w:val="00787DFF"/>
    <w:rsid w:val="00787F93"/>
    <w:rsid w:val="00791E6D"/>
    <w:rsid w:val="00791EB5"/>
    <w:rsid w:val="00791FF2"/>
    <w:rsid w:val="00793696"/>
    <w:rsid w:val="007955DA"/>
    <w:rsid w:val="00796F65"/>
    <w:rsid w:val="007970C7"/>
    <w:rsid w:val="007A11C2"/>
    <w:rsid w:val="007A18BB"/>
    <w:rsid w:val="007A27DD"/>
    <w:rsid w:val="007A41BF"/>
    <w:rsid w:val="007A490A"/>
    <w:rsid w:val="007A7B95"/>
    <w:rsid w:val="007B0297"/>
    <w:rsid w:val="007B02FA"/>
    <w:rsid w:val="007B0F53"/>
    <w:rsid w:val="007B21AE"/>
    <w:rsid w:val="007B2570"/>
    <w:rsid w:val="007B3113"/>
    <w:rsid w:val="007B3304"/>
    <w:rsid w:val="007B4CD7"/>
    <w:rsid w:val="007B7490"/>
    <w:rsid w:val="007C0525"/>
    <w:rsid w:val="007C13F7"/>
    <w:rsid w:val="007C218D"/>
    <w:rsid w:val="007C2D28"/>
    <w:rsid w:val="007C3E22"/>
    <w:rsid w:val="007C49EE"/>
    <w:rsid w:val="007C5B90"/>
    <w:rsid w:val="007C6218"/>
    <w:rsid w:val="007C6484"/>
    <w:rsid w:val="007C67C6"/>
    <w:rsid w:val="007C78BE"/>
    <w:rsid w:val="007C7E59"/>
    <w:rsid w:val="007D0476"/>
    <w:rsid w:val="007D0B91"/>
    <w:rsid w:val="007D1452"/>
    <w:rsid w:val="007D3DCB"/>
    <w:rsid w:val="007D460C"/>
    <w:rsid w:val="007D4996"/>
    <w:rsid w:val="007D4AD3"/>
    <w:rsid w:val="007D5D19"/>
    <w:rsid w:val="007D5FDC"/>
    <w:rsid w:val="007D6176"/>
    <w:rsid w:val="007D6D68"/>
    <w:rsid w:val="007E32DA"/>
    <w:rsid w:val="007E4998"/>
    <w:rsid w:val="007E4A9C"/>
    <w:rsid w:val="007E6914"/>
    <w:rsid w:val="007E7F78"/>
    <w:rsid w:val="007F0179"/>
    <w:rsid w:val="007F19A7"/>
    <w:rsid w:val="007F2C13"/>
    <w:rsid w:val="007F2CEC"/>
    <w:rsid w:val="007F3435"/>
    <w:rsid w:val="007F55DE"/>
    <w:rsid w:val="007F564B"/>
    <w:rsid w:val="007F762D"/>
    <w:rsid w:val="007F78F0"/>
    <w:rsid w:val="007F78FF"/>
    <w:rsid w:val="008001C5"/>
    <w:rsid w:val="00800F6C"/>
    <w:rsid w:val="00801065"/>
    <w:rsid w:val="00802C0B"/>
    <w:rsid w:val="008051FC"/>
    <w:rsid w:val="008055A9"/>
    <w:rsid w:val="008056C4"/>
    <w:rsid w:val="008057FD"/>
    <w:rsid w:val="00805D8B"/>
    <w:rsid w:val="00806A73"/>
    <w:rsid w:val="0080773A"/>
    <w:rsid w:val="00810BB6"/>
    <w:rsid w:val="00810E8E"/>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C74"/>
    <w:rsid w:val="00825CFA"/>
    <w:rsid w:val="00826AB9"/>
    <w:rsid w:val="00826E0E"/>
    <w:rsid w:val="00827D11"/>
    <w:rsid w:val="00827E0F"/>
    <w:rsid w:val="00827F6E"/>
    <w:rsid w:val="00831758"/>
    <w:rsid w:val="008317D9"/>
    <w:rsid w:val="0083279F"/>
    <w:rsid w:val="008334DB"/>
    <w:rsid w:val="00833A1A"/>
    <w:rsid w:val="00833B7F"/>
    <w:rsid w:val="00833E8E"/>
    <w:rsid w:val="00834906"/>
    <w:rsid w:val="00836075"/>
    <w:rsid w:val="00836417"/>
    <w:rsid w:val="00836A3E"/>
    <w:rsid w:val="00837526"/>
    <w:rsid w:val="00837CE8"/>
    <w:rsid w:val="008407A7"/>
    <w:rsid w:val="00841177"/>
    <w:rsid w:val="0084322B"/>
    <w:rsid w:val="00843F81"/>
    <w:rsid w:val="00844087"/>
    <w:rsid w:val="00844526"/>
    <w:rsid w:val="008448F1"/>
    <w:rsid w:val="0084519E"/>
    <w:rsid w:val="00845CAE"/>
    <w:rsid w:val="00846370"/>
    <w:rsid w:val="008477E7"/>
    <w:rsid w:val="00847C2B"/>
    <w:rsid w:val="00850272"/>
    <w:rsid w:val="008506B9"/>
    <w:rsid w:val="00851822"/>
    <w:rsid w:val="008532BF"/>
    <w:rsid w:val="008539B2"/>
    <w:rsid w:val="00853BF4"/>
    <w:rsid w:val="00854294"/>
    <w:rsid w:val="0085572E"/>
    <w:rsid w:val="00857104"/>
    <w:rsid w:val="0085788B"/>
    <w:rsid w:val="00857A9E"/>
    <w:rsid w:val="00857DE2"/>
    <w:rsid w:val="00863A8E"/>
    <w:rsid w:val="0086407F"/>
    <w:rsid w:val="008645E3"/>
    <w:rsid w:val="00864E79"/>
    <w:rsid w:val="0086661F"/>
    <w:rsid w:val="00866A0D"/>
    <w:rsid w:val="00866DB5"/>
    <w:rsid w:val="0086701D"/>
    <w:rsid w:val="0086702B"/>
    <w:rsid w:val="008672E2"/>
    <w:rsid w:val="0086784E"/>
    <w:rsid w:val="0087121C"/>
    <w:rsid w:val="00871FD2"/>
    <w:rsid w:val="00872084"/>
    <w:rsid w:val="00872827"/>
    <w:rsid w:val="00872A32"/>
    <w:rsid w:val="00874911"/>
    <w:rsid w:val="008749EE"/>
    <w:rsid w:val="008754E4"/>
    <w:rsid w:val="00876EAE"/>
    <w:rsid w:val="00880106"/>
    <w:rsid w:val="00880F95"/>
    <w:rsid w:val="00882B44"/>
    <w:rsid w:val="008838AD"/>
    <w:rsid w:val="008864B3"/>
    <w:rsid w:val="008865E5"/>
    <w:rsid w:val="008871B0"/>
    <w:rsid w:val="00890B57"/>
    <w:rsid w:val="008916BA"/>
    <w:rsid w:val="0089217C"/>
    <w:rsid w:val="00892790"/>
    <w:rsid w:val="008931E3"/>
    <w:rsid w:val="00893671"/>
    <w:rsid w:val="00895838"/>
    <w:rsid w:val="00895A1E"/>
    <w:rsid w:val="00895A72"/>
    <w:rsid w:val="00895CDF"/>
    <w:rsid w:val="00896679"/>
    <w:rsid w:val="00896D8C"/>
    <w:rsid w:val="008A0836"/>
    <w:rsid w:val="008A0FC9"/>
    <w:rsid w:val="008A17D6"/>
    <w:rsid w:val="008A1956"/>
    <w:rsid w:val="008A1A7C"/>
    <w:rsid w:val="008A2CE2"/>
    <w:rsid w:val="008A40D3"/>
    <w:rsid w:val="008A469C"/>
    <w:rsid w:val="008A51D1"/>
    <w:rsid w:val="008A5DCE"/>
    <w:rsid w:val="008A6AB1"/>
    <w:rsid w:val="008A75D3"/>
    <w:rsid w:val="008B05DD"/>
    <w:rsid w:val="008B07B8"/>
    <w:rsid w:val="008B17E8"/>
    <w:rsid w:val="008B2E7C"/>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3B2D"/>
    <w:rsid w:val="008D58D9"/>
    <w:rsid w:val="008D5AD4"/>
    <w:rsid w:val="008D695E"/>
    <w:rsid w:val="008D6DD5"/>
    <w:rsid w:val="008D6E59"/>
    <w:rsid w:val="008D7155"/>
    <w:rsid w:val="008D76E0"/>
    <w:rsid w:val="008D7E30"/>
    <w:rsid w:val="008E0B29"/>
    <w:rsid w:val="008E141A"/>
    <w:rsid w:val="008E1A44"/>
    <w:rsid w:val="008E28E6"/>
    <w:rsid w:val="008E3232"/>
    <w:rsid w:val="008E3674"/>
    <w:rsid w:val="008E3B6C"/>
    <w:rsid w:val="008E3DE7"/>
    <w:rsid w:val="008E562C"/>
    <w:rsid w:val="008E6540"/>
    <w:rsid w:val="008E77D4"/>
    <w:rsid w:val="008E7ADD"/>
    <w:rsid w:val="008F091F"/>
    <w:rsid w:val="008F17B2"/>
    <w:rsid w:val="008F22B3"/>
    <w:rsid w:val="008F357B"/>
    <w:rsid w:val="008F44CA"/>
    <w:rsid w:val="008F49D3"/>
    <w:rsid w:val="008F5DFC"/>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0EC8"/>
    <w:rsid w:val="009321B1"/>
    <w:rsid w:val="009321E9"/>
    <w:rsid w:val="00932ED7"/>
    <w:rsid w:val="0093422D"/>
    <w:rsid w:val="0093483B"/>
    <w:rsid w:val="00934CF9"/>
    <w:rsid w:val="00934DD7"/>
    <w:rsid w:val="00936019"/>
    <w:rsid w:val="009369A9"/>
    <w:rsid w:val="00936CF7"/>
    <w:rsid w:val="00937783"/>
    <w:rsid w:val="00937EAD"/>
    <w:rsid w:val="00937F28"/>
    <w:rsid w:val="00940FE1"/>
    <w:rsid w:val="00942306"/>
    <w:rsid w:val="00942384"/>
    <w:rsid w:val="009424B8"/>
    <w:rsid w:val="009425D2"/>
    <w:rsid w:val="00944668"/>
    <w:rsid w:val="00944DC6"/>
    <w:rsid w:val="009458B0"/>
    <w:rsid w:val="00945B52"/>
    <w:rsid w:val="00945B7A"/>
    <w:rsid w:val="00945F05"/>
    <w:rsid w:val="00946348"/>
    <w:rsid w:val="009463E5"/>
    <w:rsid w:val="00947797"/>
    <w:rsid w:val="009478A2"/>
    <w:rsid w:val="00953808"/>
    <w:rsid w:val="009539A6"/>
    <w:rsid w:val="00954032"/>
    <w:rsid w:val="00954537"/>
    <w:rsid w:val="0095472D"/>
    <w:rsid w:val="00955098"/>
    <w:rsid w:val="00955FBB"/>
    <w:rsid w:val="0095694B"/>
    <w:rsid w:val="00956BD5"/>
    <w:rsid w:val="00956D84"/>
    <w:rsid w:val="009577B5"/>
    <w:rsid w:val="009608E6"/>
    <w:rsid w:val="00960F57"/>
    <w:rsid w:val="00961C90"/>
    <w:rsid w:val="00962AD6"/>
    <w:rsid w:val="00962E03"/>
    <w:rsid w:val="00965443"/>
    <w:rsid w:val="00965954"/>
    <w:rsid w:val="00965A21"/>
    <w:rsid w:val="00965E55"/>
    <w:rsid w:val="0096608E"/>
    <w:rsid w:val="00966522"/>
    <w:rsid w:val="00966C33"/>
    <w:rsid w:val="00970F18"/>
    <w:rsid w:val="00971CF1"/>
    <w:rsid w:val="00971F5D"/>
    <w:rsid w:val="009721E9"/>
    <w:rsid w:val="00973772"/>
    <w:rsid w:val="0097560A"/>
    <w:rsid w:val="00975E1E"/>
    <w:rsid w:val="00975E70"/>
    <w:rsid w:val="009761DE"/>
    <w:rsid w:val="009766FA"/>
    <w:rsid w:val="00976E1C"/>
    <w:rsid w:val="0097789E"/>
    <w:rsid w:val="00977CD6"/>
    <w:rsid w:val="0098048B"/>
    <w:rsid w:val="00980DF9"/>
    <w:rsid w:val="0098243D"/>
    <w:rsid w:val="00982D26"/>
    <w:rsid w:val="00983B6E"/>
    <w:rsid w:val="00983FE5"/>
    <w:rsid w:val="009849E9"/>
    <w:rsid w:val="009859E4"/>
    <w:rsid w:val="00987812"/>
    <w:rsid w:val="00990225"/>
    <w:rsid w:val="00992A13"/>
    <w:rsid w:val="00992B2E"/>
    <w:rsid w:val="00992C78"/>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5EC"/>
    <w:rsid w:val="009D18D4"/>
    <w:rsid w:val="009D2F60"/>
    <w:rsid w:val="009D3A2E"/>
    <w:rsid w:val="009D5ADE"/>
    <w:rsid w:val="009D5BAC"/>
    <w:rsid w:val="009D5C56"/>
    <w:rsid w:val="009D6265"/>
    <w:rsid w:val="009D64BD"/>
    <w:rsid w:val="009D6CB1"/>
    <w:rsid w:val="009E0033"/>
    <w:rsid w:val="009E0286"/>
    <w:rsid w:val="009E153F"/>
    <w:rsid w:val="009E322A"/>
    <w:rsid w:val="009E393E"/>
    <w:rsid w:val="009E444E"/>
    <w:rsid w:val="009E4968"/>
    <w:rsid w:val="009E5B14"/>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9F7CBA"/>
    <w:rsid w:val="00A0010C"/>
    <w:rsid w:val="00A004DF"/>
    <w:rsid w:val="00A00FD5"/>
    <w:rsid w:val="00A012C0"/>
    <w:rsid w:val="00A019A8"/>
    <w:rsid w:val="00A01B03"/>
    <w:rsid w:val="00A01B89"/>
    <w:rsid w:val="00A02C66"/>
    <w:rsid w:val="00A02C84"/>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330"/>
    <w:rsid w:val="00A2244D"/>
    <w:rsid w:val="00A2253D"/>
    <w:rsid w:val="00A2267F"/>
    <w:rsid w:val="00A22CDB"/>
    <w:rsid w:val="00A247B8"/>
    <w:rsid w:val="00A2495A"/>
    <w:rsid w:val="00A24C7A"/>
    <w:rsid w:val="00A24D8F"/>
    <w:rsid w:val="00A25B8B"/>
    <w:rsid w:val="00A25C5D"/>
    <w:rsid w:val="00A2689F"/>
    <w:rsid w:val="00A26C1A"/>
    <w:rsid w:val="00A26ECA"/>
    <w:rsid w:val="00A27461"/>
    <w:rsid w:val="00A27D67"/>
    <w:rsid w:val="00A30ABC"/>
    <w:rsid w:val="00A32415"/>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1C60"/>
    <w:rsid w:val="00A61ECB"/>
    <w:rsid w:val="00A62B3C"/>
    <w:rsid w:val="00A637EC"/>
    <w:rsid w:val="00A6410C"/>
    <w:rsid w:val="00A647B1"/>
    <w:rsid w:val="00A64DEF"/>
    <w:rsid w:val="00A654D2"/>
    <w:rsid w:val="00A665DF"/>
    <w:rsid w:val="00A671E0"/>
    <w:rsid w:val="00A67FCC"/>
    <w:rsid w:val="00A7064F"/>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7A7"/>
    <w:rsid w:val="00A85930"/>
    <w:rsid w:val="00A863F7"/>
    <w:rsid w:val="00A86604"/>
    <w:rsid w:val="00A87519"/>
    <w:rsid w:val="00A92040"/>
    <w:rsid w:val="00A9246D"/>
    <w:rsid w:val="00A92CCA"/>
    <w:rsid w:val="00A93BD0"/>
    <w:rsid w:val="00A93CC2"/>
    <w:rsid w:val="00A974CC"/>
    <w:rsid w:val="00AA2001"/>
    <w:rsid w:val="00AA2B5C"/>
    <w:rsid w:val="00AA32D2"/>
    <w:rsid w:val="00AA4016"/>
    <w:rsid w:val="00AA4C1F"/>
    <w:rsid w:val="00AA5328"/>
    <w:rsid w:val="00AA5393"/>
    <w:rsid w:val="00AA63D4"/>
    <w:rsid w:val="00AA796E"/>
    <w:rsid w:val="00AB03FD"/>
    <w:rsid w:val="00AB2000"/>
    <w:rsid w:val="00AB38CB"/>
    <w:rsid w:val="00AB3BEC"/>
    <w:rsid w:val="00AB44E4"/>
    <w:rsid w:val="00AB4AEB"/>
    <w:rsid w:val="00AB4E5F"/>
    <w:rsid w:val="00AB5352"/>
    <w:rsid w:val="00AB56AE"/>
    <w:rsid w:val="00AB5B8F"/>
    <w:rsid w:val="00AB62D5"/>
    <w:rsid w:val="00AB65B5"/>
    <w:rsid w:val="00AB6DCD"/>
    <w:rsid w:val="00AB6EE0"/>
    <w:rsid w:val="00AB775A"/>
    <w:rsid w:val="00AB7871"/>
    <w:rsid w:val="00AC17A2"/>
    <w:rsid w:val="00AC40B7"/>
    <w:rsid w:val="00AC531F"/>
    <w:rsid w:val="00AC5B36"/>
    <w:rsid w:val="00AC6377"/>
    <w:rsid w:val="00AC66A4"/>
    <w:rsid w:val="00AC6A4E"/>
    <w:rsid w:val="00AC6CB1"/>
    <w:rsid w:val="00AC7D6D"/>
    <w:rsid w:val="00AD0091"/>
    <w:rsid w:val="00AD23EF"/>
    <w:rsid w:val="00AD2662"/>
    <w:rsid w:val="00AD307B"/>
    <w:rsid w:val="00AD4014"/>
    <w:rsid w:val="00AD41B3"/>
    <w:rsid w:val="00AD5721"/>
    <w:rsid w:val="00AD69F0"/>
    <w:rsid w:val="00AD7127"/>
    <w:rsid w:val="00AD730C"/>
    <w:rsid w:val="00AE041E"/>
    <w:rsid w:val="00AE123A"/>
    <w:rsid w:val="00AE1539"/>
    <w:rsid w:val="00AE28A7"/>
    <w:rsid w:val="00AE2A98"/>
    <w:rsid w:val="00AE2CF2"/>
    <w:rsid w:val="00AE3012"/>
    <w:rsid w:val="00AE33A6"/>
    <w:rsid w:val="00AE3729"/>
    <w:rsid w:val="00AE4138"/>
    <w:rsid w:val="00AE4CCE"/>
    <w:rsid w:val="00AE5C6A"/>
    <w:rsid w:val="00AE6317"/>
    <w:rsid w:val="00AE7280"/>
    <w:rsid w:val="00AF033A"/>
    <w:rsid w:val="00AF0696"/>
    <w:rsid w:val="00AF1699"/>
    <w:rsid w:val="00AF1FD3"/>
    <w:rsid w:val="00AF2910"/>
    <w:rsid w:val="00AF34B8"/>
    <w:rsid w:val="00AF3896"/>
    <w:rsid w:val="00AF3FC2"/>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761"/>
    <w:rsid w:val="00B13859"/>
    <w:rsid w:val="00B13EC9"/>
    <w:rsid w:val="00B14319"/>
    <w:rsid w:val="00B14A06"/>
    <w:rsid w:val="00B1581D"/>
    <w:rsid w:val="00B158E1"/>
    <w:rsid w:val="00B16715"/>
    <w:rsid w:val="00B1768E"/>
    <w:rsid w:val="00B17910"/>
    <w:rsid w:val="00B20F18"/>
    <w:rsid w:val="00B21516"/>
    <w:rsid w:val="00B21669"/>
    <w:rsid w:val="00B21A37"/>
    <w:rsid w:val="00B21D23"/>
    <w:rsid w:val="00B21F62"/>
    <w:rsid w:val="00B22CE0"/>
    <w:rsid w:val="00B23738"/>
    <w:rsid w:val="00B23BEF"/>
    <w:rsid w:val="00B247BB"/>
    <w:rsid w:val="00B2504A"/>
    <w:rsid w:val="00B25EE6"/>
    <w:rsid w:val="00B266DF"/>
    <w:rsid w:val="00B3115A"/>
    <w:rsid w:val="00B31825"/>
    <w:rsid w:val="00B31A5C"/>
    <w:rsid w:val="00B33B06"/>
    <w:rsid w:val="00B33C19"/>
    <w:rsid w:val="00B35A15"/>
    <w:rsid w:val="00B35B45"/>
    <w:rsid w:val="00B36A99"/>
    <w:rsid w:val="00B42264"/>
    <w:rsid w:val="00B434B2"/>
    <w:rsid w:val="00B43D45"/>
    <w:rsid w:val="00B45B3F"/>
    <w:rsid w:val="00B468F2"/>
    <w:rsid w:val="00B469DE"/>
    <w:rsid w:val="00B47286"/>
    <w:rsid w:val="00B50234"/>
    <w:rsid w:val="00B5198F"/>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81"/>
    <w:rsid w:val="00B662FF"/>
    <w:rsid w:val="00B66679"/>
    <w:rsid w:val="00B67136"/>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67D"/>
    <w:rsid w:val="00B86C2A"/>
    <w:rsid w:val="00B878BE"/>
    <w:rsid w:val="00B902A5"/>
    <w:rsid w:val="00B90420"/>
    <w:rsid w:val="00B90848"/>
    <w:rsid w:val="00B91146"/>
    <w:rsid w:val="00B913E4"/>
    <w:rsid w:val="00B91DB9"/>
    <w:rsid w:val="00B91FF3"/>
    <w:rsid w:val="00B93B29"/>
    <w:rsid w:val="00B93EFE"/>
    <w:rsid w:val="00B944B9"/>
    <w:rsid w:val="00B94956"/>
    <w:rsid w:val="00B94C7F"/>
    <w:rsid w:val="00B94E93"/>
    <w:rsid w:val="00B956B5"/>
    <w:rsid w:val="00B96DF2"/>
    <w:rsid w:val="00B96E18"/>
    <w:rsid w:val="00B96F5A"/>
    <w:rsid w:val="00BA0B39"/>
    <w:rsid w:val="00BA0CB2"/>
    <w:rsid w:val="00BA0E26"/>
    <w:rsid w:val="00BA138B"/>
    <w:rsid w:val="00BA13F3"/>
    <w:rsid w:val="00BA220B"/>
    <w:rsid w:val="00BA305B"/>
    <w:rsid w:val="00BA31BF"/>
    <w:rsid w:val="00BA3FC7"/>
    <w:rsid w:val="00BA478B"/>
    <w:rsid w:val="00BA5224"/>
    <w:rsid w:val="00BA575E"/>
    <w:rsid w:val="00BA76B7"/>
    <w:rsid w:val="00BA7BAB"/>
    <w:rsid w:val="00BA7E3B"/>
    <w:rsid w:val="00BB078D"/>
    <w:rsid w:val="00BB079C"/>
    <w:rsid w:val="00BB0D7A"/>
    <w:rsid w:val="00BB10E1"/>
    <w:rsid w:val="00BB2471"/>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E73"/>
    <w:rsid w:val="00BC74D3"/>
    <w:rsid w:val="00BC7A0F"/>
    <w:rsid w:val="00BD0014"/>
    <w:rsid w:val="00BD01D8"/>
    <w:rsid w:val="00BD191B"/>
    <w:rsid w:val="00BD255F"/>
    <w:rsid w:val="00BD2895"/>
    <w:rsid w:val="00BD4236"/>
    <w:rsid w:val="00BD483B"/>
    <w:rsid w:val="00BD5CD4"/>
    <w:rsid w:val="00BD65D9"/>
    <w:rsid w:val="00BD6DF3"/>
    <w:rsid w:val="00BD6E09"/>
    <w:rsid w:val="00BD6EF9"/>
    <w:rsid w:val="00BD7616"/>
    <w:rsid w:val="00BE0ACB"/>
    <w:rsid w:val="00BE2260"/>
    <w:rsid w:val="00BE3917"/>
    <w:rsid w:val="00BE50FD"/>
    <w:rsid w:val="00BE51CA"/>
    <w:rsid w:val="00BE537F"/>
    <w:rsid w:val="00BE5D77"/>
    <w:rsid w:val="00BE6D47"/>
    <w:rsid w:val="00BE7032"/>
    <w:rsid w:val="00BE7330"/>
    <w:rsid w:val="00BF01C5"/>
    <w:rsid w:val="00BF061A"/>
    <w:rsid w:val="00BF066A"/>
    <w:rsid w:val="00BF14CC"/>
    <w:rsid w:val="00BF1821"/>
    <w:rsid w:val="00BF245A"/>
    <w:rsid w:val="00BF4342"/>
    <w:rsid w:val="00BF4704"/>
    <w:rsid w:val="00BF4FFC"/>
    <w:rsid w:val="00BF5050"/>
    <w:rsid w:val="00BF50D1"/>
    <w:rsid w:val="00BF5422"/>
    <w:rsid w:val="00BF59B1"/>
    <w:rsid w:val="00BF6A78"/>
    <w:rsid w:val="00BF7695"/>
    <w:rsid w:val="00BF79B4"/>
    <w:rsid w:val="00BF7C61"/>
    <w:rsid w:val="00C01427"/>
    <w:rsid w:val="00C014C7"/>
    <w:rsid w:val="00C047AB"/>
    <w:rsid w:val="00C05534"/>
    <w:rsid w:val="00C058AF"/>
    <w:rsid w:val="00C075B6"/>
    <w:rsid w:val="00C124C1"/>
    <w:rsid w:val="00C128AE"/>
    <w:rsid w:val="00C12BA8"/>
    <w:rsid w:val="00C136D6"/>
    <w:rsid w:val="00C13902"/>
    <w:rsid w:val="00C13D5B"/>
    <w:rsid w:val="00C141D7"/>
    <w:rsid w:val="00C1711B"/>
    <w:rsid w:val="00C17AE2"/>
    <w:rsid w:val="00C17E00"/>
    <w:rsid w:val="00C20140"/>
    <w:rsid w:val="00C20F27"/>
    <w:rsid w:val="00C215CF"/>
    <w:rsid w:val="00C2244B"/>
    <w:rsid w:val="00C22711"/>
    <w:rsid w:val="00C2280A"/>
    <w:rsid w:val="00C22B0D"/>
    <w:rsid w:val="00C22BFF"/>
    <w:rsid w:val="00C23522"/>
    <w:rsid w:val="00C240C1"/>
    <w:rsid w:val="00C2421F"/>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5D01"/>
    <w:rsid w:val="00C360B3"/>
    <w:rsid w:val="00C37027"/>
    <w:rsid w:val="00C37653"/>
    <w:rsid w:val="00C37B19"/>
    <w:rsid w:val="00C413CB"/>
    <w:rsid w:val="00C42752"/>
    <w:rsid w:val="00C42973"/>
    <w:rsid w:val="00C445E8"/>
    <w:rsid w:val="00C44C69"/>
    <w:rsid w:val="00C4712A"/>
    <w:rsid w:val="00C5034F"/>
    <w:rsid w:val="00C503EA"/>
    <w:rsid w:val="00C50830"/>
    <w:rsid w:val="00C52479"/>
    <w:rsid w:val="00C5266E"/>
    <w:rsid w:val="00C52C59"/>
    <w:rsid w:val="00C5349E"/>
    <w:rsid w:val="00C539FF"/>
    <w:rsid w:val="00C544BD"/>
    <w:rsid w:val="00C54D3D"/>
    <w:rsid w:val="00C55A30"/>
    <w:rsid w:val="00C56384"/>
    <w:rsid w:val="00C570FE"/>
    <w:rsid w:val="00C60F8C"/>
    <w:rsid w:val="00C61794"/>
    <w:rsid w:val="00C62A48"/>
    <w:rsid w:val="00C62AC4"/>
    <w:rsid w:val="00C62B59"/>
    <w:rsid w:val="00C62F96"/>
    <w:rsid w:val="00C631E1"/>
    <w:rsid w:val="00C638D8"/>
    <w:rsid w:val="00C63AE7"/>
    <w:rsid w:val="00C63D26"/>
    <w:rsid w:val="00C6540A"/>
    <w:rsid w:val="00C668A1"/>
    <w:rsid w:val="00C66DEC"/>
    <w:rsid w:val="00C67223"/>
    <w:rsid w:val="00C707B8"/>
    <w:rsid w:val="00C712AC"/>
    <w:rsid w:val="00C71C15"/>
    <w:rsid w:val="00C71F3D"/>
    <w:rsid w:val="00C72F53"/>
    <w:rsid w:val="00C7313D"/>
    <w:rsid w:val="00C74035"/>
    <w:rsid w:val="00C748EA"/>
    <w:rsid w:val="00C77818"/>
    <w:rsid w:val="00C8063F"/>
    <w:rsid w:val="00C81282"/>
    <w:rsid w:val="00C827B4"/>
    <w:rsid w:val="00C83058"/>
    <w:rsid w:val="00C83214"/>
    <w:rsid w:val="00C8329F"/>
    <w:rsid w:val="00C84F8A"/>
    <w:rsid w:val="00C85603"/>
    <w:rsid w:val="00C8583F"/>
    <w:rsid w:val="00C85BA4"/>
    <w:rsid w:val="00C8618F"/>
    <w:rsid w:val="00C8625D"/>
    <w:rsid w:val="00C8753A"/>
    <w:rsid w:val="00C90372"/>
    <w:rsid w:val="00C9041F"/>
    <w:rsid w:val="00C9166B"/>
    <w:rsid w:val="00C91A45"/>
    <w:rsid w:val="00C91FB4"/>
    <w:rsid w:val="00C92150"/>
    <w:rsid w:val="00C92328"/>
    <w:rsid w:val="00C92D42"/>
    <w:rsid w:val="00C938C2"/>
    <w:rsid w:val="00C93F8A"/>
    <w:rsid w:val="00C94EA1"/>
    <w:rsid w:val="00C9511B"/>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0901"/>
    <w:rsid w:val="00CB19D7"/>
    <w:rsid w:val="00CB19FE"/>
    <w:rsid w:val="00CB1C3F"/>
    <w:rsid w:val="00CB21F6"/>
    <w:rsid w:val="00CB2364"/>
    <w:rsid w:val="00CB304C"/>
    <w:rsid w:val="00CB3933"/>
    <w:rsid w:val="00CB53E8"/>
    <w:rsid w:val="00CB594A"/>
    <w:rsid w:val="00CB5CB2"/>
    <w:rsid w:val="00CB6979"/>
    <w:rsid w:val="00CB6E7D"/>
    <w:rsid w:val="00CB7DDE"/>
    <w:rsid w:val="00CC0A3D"/>
    <w:rsid w:val="00CC0E22"/>
    <w:rsid w:val="00CC1585"/>
    <w:rsid w:val="00CC3C53"/>
    <w:rsid w:val="00CC3D24"/>
    <w:rsid w:val="00CC3F91"/>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4A0"/>
    <w:rsid w:val="00CD5DAD"/>
    <w:rsid w:val="00CD72C5"/>
    <w:rsid w:val="00CD79A7"/>
    <w:rsid w:val="00CE0789"/>
    <w:rsid w:val="00CE0E8D"/>
    <w:rsid w:val="00CE1A03"/>
    <w:rsid w:val="00CE2346"/>
    <w:rsid w:val="00CE25B2"/>
    <w:rsid w:val="00CE3529"/>
    <w:rsid w:val="00CE35C8"/>
    <w:rsid w:val="00CE3962"/>
    <w:rsid w:val="00CE4D1A"/>
    <w:rsid w:val="00CE4E8A"/>
    <w:rsid w:val="00CE5105"/>
    <w:rsid w:val="00CE56BD"/>
    <w:rsid w:val="00CE5EC0"/>
    <w:rsid w:val="00CE6F9F"/>
    <w:rsid w:val="00CE781A"/>
    <w:rsid w:val="00CE7B08"/>
    <w:rsid w:val="00CE7D52"/>
    <w:rsid w:val="00CF1D74"/>
    <w:rsid w:val="00CF2646"/>
    <w:rsid w:val="00CF2BE2"/>
    <w:rsid w:val="00CF3DEB"/>
    <w:rsid w:val="00CF55F9"/>
    <w:rsid w:val="00CF7074"/>
    <w:rsid w:val="00CF7495"/>
    <w:rsid w:val="00D0033D"/>
    <w:rsid w:val="00D01CF9"/>
    <w:rsid w:val="00D0334D"/>
    <w:rsid w:val="00D0374D"/>
    <w:rsid w:val="00D03A2D"/>
    <w:rsid w:val="00D06D7B"/>
    <w:rsid w:val="00D06DA5"/>
    <w:rsid w:val="00D07191"/>
    <w:rsid w:val="00D07F1D"/>
    <w:rsid w:val="00D10558"/>
    <w:rsid w:val="00D106EB"/>
    <w:rsid w:val="00D114EB"/>
    <w:rsid w:val="00D11D4D"/>
    <w:rsid w:val="00D126DC"/>
    <w:rsid w:val="00D129E1"/>
    <w:rsid w:val="00D12B03"/>
    <w:rsid w:val="00D13CEB"/>
    <w:rsid w:val="00D13E70"/>
    <w:rsid w:val="00D15FCD"/>
    <w:rsid w:val="00D16C58"/>
    <w:rsid w:val="00D17019"/>
    <w:rsid w:val="00D17FC8"/>
    <w:rsid w:val="00D20B44"/>
    <w:rsid w:val="00D21168"/>
    <w:rsid w:val="00D2438C"/>
    <w:rsid w:val="00D2585A"/>
    <w:rsid w:val="00D259B0"/>
    <w:rsid w:val="00D26C3F"/>
    <w:rsid w:val="00D27185"/>
    <w:rsid w:val="00D30EF8"/>
    <w:rsid w:val="00D32518"/>
    <w:rsid w:val="00D33488"/>
    <w:rsid w:val="00D33AB3"/>
    <w:rsid w:val="00D33F24"/>
    <w:rsid w:val="00D34160"/>
    <w:rsid w:val="00D34521"/>
    <w:rsid w:val="00D346B8"/>
    <w:rsid w:val="00D34DCA"/>
    <w:rsid w:val="00D35AC8"/>
    <w:rsid w:val="00D36F87"/>
    <w:rsid w:val="00D37D49"/>
    <w:rsid w:val="00D37E4E"/>
    <w:rsid w:val="00D40DEF"/>
    <w:rsid w:val="00D417D8"/>
    <w:rsid w:val="00D41F78"/>
    <w:rsid w:val="00D42E6C"/>
    <w:rsid w:val="00D4351C"/>
    <w:rsid w:val="00D43B80"/>
    <w:rsid w:val="00D44988"/>
    <w:rsid w:val="00D45B4C"/>
    <w:rsid w:val="00D45BA4"/>
    <w:rsid w:val="00D465D0"/>
    <w:rsid w:val="00D471AF"/>
    <w:rsid w:val="00D4724F"/>
    <w:rsid w:val="00D50519"/>
    <w:rsid w:val="00D51601"/>
    <w:rsid w:val="00D51ECB"/>
    <w:rsid w:val="00D522B9"/>
    <w:rsid w:val="00D5264C"/>
    <w:rsid w:val="00D52BBC"/>
    <w:rsid w:val="00D537FE"/>
    <w:rsid w:val="00D53CC9"/>
    <w:rsid w:val="00D54A6A"/>
    <w:rsid w:val="00D54B8F"/>
    <w:rsid w:val="00D55951"/>
    <w:rsid w:val="00D559F0"/>
    <w:rsid w:val="00D56E0D"/>
    <w:rsid w:val="00D57EB6"/>
    <w:rsid w:val="00D608C0"/>
    <w:rsid w:val="00D60D6D"/>
    <w:rsid w:val="00D6128C"/>
    <w:rsid w:val="00D66CE1"/>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78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4DE"/>
    <w:rsid w:val="00DD7859"/>
    <w:rsid w:val="00DD7B41"/>
    <w:rsid w:val="00DE0784"/>
    <w:rsid w:val="00DE085A"/>
    <w:rsid w:val="00DE0A1D"/>
    <w:rsid w:val="00DE15B2"/>
    <w:rsid w:val="00DE1A9A"/>
    <w:rsid w:val="00DE3D2C"/>
    <w:rsid w:val="00DE5E82"/>
    <w:rsid w:val="00DE5F9B"/>
    <w:rsid w:val="00DE5FA6"/>
    <w:rsid w:val="00DE660A"/>
    <w:rsid w:val="00DE6792"/>
    <w:rsid w:val="00DE6AA1"/>
    <w:rsid w:val="00DE79ED"/>
    <w:rsid w:val="00DE7AAB"/>
    <w:rsid w:val="00DE7EF7"/>
    <w:rsid w:val="00DF015B"/>
    <w:rsid w:val="00DF02EC"/>
    <w:rsid w:val="00DF10FC"/>
    <w:rsid w:val="00DF1185"/>
    <w:rsid w:val="00DF1299"/>
    <w:rsid w:val="00DF1A70"/>
    <w:rsid w:val="00DF1E5F"/>
    <w:rsid w:val="00DF23A8"/>
    <w:rsid w:val="00DF2F27"/>
    <w:rsid w:val="00DF36B6"/>
    <w:rsid w:val="00DF4296"/>
    <w:rsid w:val="00DF53F0"/>
    <w:rsid w:val="00DF5F38"/>
    <w:rsid w:val="00DF637F"/>
    <w:rsid w:val="00DF6608"/>
    <w:rsid w:val="00DF6CCC"/>
    <w:rsid w:val="00DF6D0C"/>
    <w:rsid w:val="00DF6F64"/>
    <w:rsid w:val="00DF721E"/>
    <w:rsid w:val="00DF7B8A"/>
    <w:rsid w:val="00DF7C87"/>
    <w:rsid w:val="00E009B0"/>
    <w:rsid w:val="00E00A12"/>
    <w:rsid w:val="00E00C49"/>
    <w:rsid w:val="00E00E9A"/>
    <w:rsid w:val="00E01C9C"/>
    <w:rsid w:val="00E0219D"/>
    <w:rsid w:val="00E04C0F"/>
    <w:rsid w:val="00E0570B"/>
    <w:rsid w:val="00E10913"/>
    <w:rsid w:val="00E10B87"/>
    <w:rsid w:val="00E121CE"/>
    <w:rsid w:val="00E1478B"/>
    <w:rsid w:val="00E14FAC"/>
    <w:rsid w:val="00E15007"/>
    <w:rsid w:val="00E16277"/>
    <w:rsid w:val="00E16BDE"/>
    <w:rsid w:val="00E16EC7"/>
    <w:rsid w:val="00E219CE"/>
    <w:rsid w:val="00E24071"/>
    <w:rsid w:val="00E24EBC"/>
    <w:rsid w:val="00E2522C"/>
    <w:rsid w:val="00E2552F"/>
    <w:rsid w:val="00E2599B"/>
    <w:rsid w:val="00E2710C"/>
    <w:rsid w:val="00E27428"/>
    <w:rsid w:val="00E305B4"/>
    <w:rsid w:val="00E31AFA"/>
    <w:rsid w:val="00E31CB7"/>
    <w:rsid w:val="00E324EE"/>
    <w:rsid w:val="00E34DB1"/>
    <w:rsid w:val="00E35931"/>
    <w:rsid w:val="00E359FF"/>
    <w:rsid w:val="00E402C5"/>
    <w:rsid w:val="00E402F4"/>
    <w:rsid w:val="00E405F1"/>
    <w:rsid w:val="00E417DB"/>
    <w:rsid w:val="00E43054"/>
    <w:rsid w:val="00E43655"/>
    <w:rsid w:val="00E44440"/>
    <w:rsid w:val="00E46013"/>
    <w:rsid w:val="00E47099"/>
    <w:rsid w:val="00E47284"/>
    <w:rsid w:val="00E4730A"/>
    <w:rsid w:val="00E477C3"/>
    <w:rsid w:val="00E51E16"/>
    <w:rsid w:val="00E530D0"/>
    <w:rsid w:val="00E53730"/>
    <w:rsid w:val="00E5438D"/>
    <w:rsid w:val="00E54511"/>
    <w:rsid w:val="00E54ADC"/>
    <w:rsid w:val="00E54E50"/>
    <w:rsid w:val="00E55288"/>
    <w:rsid w:val="00E55332"/>
    <w:rsid w:val="00E57577"/>
    <w:rsid w:val="00E62043"/>
    <w:rsid w:val="00E626B9"/>
    <w:rsid w:val="00E627C9"/>
    <w:rsid w:val="00E630F3"/>
    <w:rsid w:val="00E6332F"/>
    <w:rsid w:val="00E637C9"/>
    <w:rsid w:val="00E6402D"/>
    <w:rsid w:val="00E658BE"/>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0324"/>
    <w:rsid w:val="00E91044"/>
    <w:rsid w:val="00E910D3"/>
    <w:rsid w:val="00E92154"/>
    <w:rsid w:val="00E923CF"/>
    <w:rsid w:val="00E932FE"/>
    <w:rsid w:val="00E93685"/>
    <w:rsid w:val="00E93B65"/>
    <w:rsid w:val="00E93C8C"/>
    <w:rsid w:val="00E95111"/>
    <w:rsid w:val="00E95A87"/>
    <w:rsid w:val="00E95E1F"/>
    <w:rsid w:val="00E95FDF"/>
    <w:rsid w:val="00EA0344"/>
    <w:rsid w:val="00EA14C8"/>
    <w:rsid w:val="00EA2110"/>
    <w:rsid w:val="00EA283A"/>
    <w:rsid w:val="00EA2C90"/>
    <w:rsid w:val="00EA2E07"/>
    <w:rsid w:val="00EA383B"/>
    <w:rsid w:val="00EA48F3"/>
    <w:rsid w:val="00EA511B"/>
    <w:rsid w:val="00EA60BF"/>
    <w:rsid w:val="00EA6F6A"/>
    <w:rsid w:val="00EA7365"/>
    <w:rsid w:val="00EA763F"/>
    <w:rsid w:val="00EA77E9"/>
    <w:rsid w:val="00EB05D0"/>
    <w:rsid w:val="00EB1151"/>
    <w:rsid w:val="00EB1D49"/>
    <w:rsid w:val="00EB234C"/>
    <w:rsid w:val="00EB23D9"/>
    <w:rsid w:val="00EB39A0"/>
    <w:rsid w:val="00EB4507"/>
    <w:rsid w:val="00EB559F"/>
    <w:rsid w:val="00EB566C"/>
    <w:rsid w:val="00EB5F3D"/>
    <w:rsid w:val="00EB6D01"/>
    <w:rsid w:val="00EC0F4E"/>
    <w:rsid w:val="00EC1CEB"/>
    <w:rsid w:val="00EC1DC0"/>
    <w:rsid w:val="00EC1DC2"/>
    <w:rsid w:val="00EC21EC"/>
    <w:rsid w:val="00EC24B8"/>
    <w:rsid w:val="00EC268C"/>
    <w:rsid w:val="00EC3753"/>
    <w:rsid w:val="00EC4E71"/>
    <w:rsid w:val="00EC5F1C"/>
    <w:rsid w:val="00ED0365"/>
    <w:rsid w:val="00ED0865"/>
    <w:rsid w:val="00ED1C60"/>
    <w:rsid w:val="00ED2084"/>
    <w:rsid w:val="00ED2EB9"/>
    <w:rsid w:val="00ED3722"/>
    <w:rsid w:val="00ED3A31"/>
    <w:rsid w:val="00ED4469"/>
    <w:rsid w:val="00ED5424"/>
    <w:rsid w:val="00ED5F23"/>
    <w:rsid w:val="00ED6DC0"/>
    <w:rsid w:val="00ED7A7A"/>
    <w:rsid w:val="00EE0327"/>
    <w:rsid w:val="00EE038C"/>
    <w:rsid w:val="00EE2243"/>
    <w:rsid w:val="00EE28C5"/>
    <w:rsid w:val="00EE2F09"/>
    <w:rsid w:val="00EE2F13"/>
    <w:rsid w:val="00EE3654"/>
    <w:rsid w:val="00EE46C0"/>
    <w:rsid w:val="00EE47C5"/>
    <w:rsid w:val="00EE490C"/>
    <w:rsid w:val="00EE4E57"/>
    <w:rsid w:val="00EE5738"/>
    <w:rsid w:val="00EE58BD"/>
    <w:rsid w:val="00EE5E59"/>
    <w:rsid w:val="00EE6549"/>
    <w:rsid w:val="00EE73D0"/>
    <w:rsid w:val="00EE7CB0"/>
    <w:rsid w:val="00EF08A8"/>
    <w:rsid w:val="00EF167B"/>
    <w:rsid w:val="00EF41A8"/>
    <w:rsid w:val="00EF44FB"/>
    <w:rsid w:val="00EF4895"/>
    <w:rsid w:val="00EF5122"/>
    <w:rsid w:val="00EF5554"/>
    <w:rsid w:val="00EF5AD8"/>
    <w:rsid w:val="00EF6B90"/>
    <w:rsid w:val="00EF7807"/>
    <w:rsid w:val="00EF79F7"/>
    <w:rsid w:val="00F006C0"/>
    <w:rsid w:val="00F0125F"/>
    <w:rsid w:val="00F019AA"/>
    <w:rsid w:val="00F0267E"/>
    <w:rsid w:val="00F02686"/>
    <w:rsid w:val="00F028B7"/>
    <w:rsid w:val="00F030C0"/>
    <w:rsid w:val="00F03291"/>
    <w:rsid w:val="00F0459B"/>
    <w:rsid w:val="00F04E15"/>
    <w:rsid w:val="00F05DF3"/>
    <w:rsid w:val="00F069EA"/>
    <w:rsid w:val="00F070E5"/>
    <w:rsid w:val="00F07DDE"/>
    <w:rsid w:val="00F11675"/>
    <w:rsid w:val="00F12557"/>
    <w:rsid w:val="00F13599"/>
    <w:rsid w:val="00F13B28"/>
    <w:rsid w:val="00F13DB6"/>
    <w:rsid w:val="00F14E01"/>
    <w:rsid w:val="00F156A0"/>
    <w:rsid w:val="00F15730"/>
    <w:rsid w:val="00F164B0"/>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634"/>
    <w:rsid w:val="00F35D17"/>
    <w:rsid w:val="00F35DA7"/>
    <w:rsid w:val="00F36A6A"/>
    <w:rsid w:val="00F40101"/>
    <w:rsid w:val="00F404F7"/>
    <w:rsid w:val="00F40CCA"/>
    <w:rsid w:val="00F41069"/>
    <w:rsid w:val="00F42D97"/>
    <w:rsid w:val="00F436B2"/>
    <w:rsid w:val="00F43813"/>
    <w:rsid w:val="00F43FEE"/>
    <w:rsid w:val="00F45A72"/>
    <w:rsid w:val="00F46723"/>
    <w:rsid w:val="00F4706D"/>
    <w:rsid w:val="00F476E1"/>
    <w:rsid w:val="00F47D1D"/>
    <w:rsid w:val="00F47F29"/>
    <w:rsid w:val="00F50016"/>
    <w:rsid w:val="00F5118A"/>
    <w:rsid w:val="00F51A21"/>
    <w:rsid w:val="00F52614"/>
    <w:rsid w:val="00F5276E"/>
    <w:rsid w:val="00F52E9F"/>
    <w:rsid w:val="00F53304"/>
    <w:rsid w:val="00F539EA"/>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5B9"/>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158"/>
    <w:rsid w:val="00F81587"/>
    <w:rsid w:val="00F8288F"/>
    <w:rsid w:val="00F84033"/>
    <w:rsid w:val="00F84802"/>
    <w:rsid w:val="00F85B72"/>
    <w:rsid w:val="00F86540"/>
    <w:rsid w:val="00F865CE"/>
    <w:rsid w:val="00F8766F"/>
    <w:rsid w:val="00F90BB3"/>
    <w:rsid w:val="00F91082"/>
    <w:rsid w:val="00F9116D"/>
    <w:rsid w:val="00F91A9A"/>
    <w:rsid w:val="00F91C67"/>
    <w:rsid w:val="00F9203B"/>
    <w:rsid w:val="00F93251"/>
    <w:rsid w:val="00F93ABB"/>
    <w:rsid w:val="00F94D79"/>
    <w:rsid w:val="00F9658C"/>
    <w:rsid w:val="00F97A7F"/>
    <w:rsid w:val="00FA0889"/>
    <w:rsid w:val="00FA16E7"/>
    <w:rsid w:val="00FA31C7"/>
    <w:rsid w:val="00FA472D"/>
    <w:rsid w:val="00FB0CBF"/>
    <w:rsid w:val="00FB18F6"/>
    <w:rsid w:val="00FB23E5"/>
    <w:rsid w:val="00FB2A52"/>
    <w:rsid w:val="00FB3F92"/>
    <w:rsid w:val="00FB52C7"/>
    <w:rsid w:val="00FB57DC"/>
    <w:rsid w:val="00FB6E19"/>
    <w:rsid w:val="00FB71F6"/>
    <w:rsid w:val="00FC0AF8"/>
    <w:rsid w:val="00FC1483"/>
    <w:rsid w:val="00FC1C47"/>
    <w:rsid w:val="00FC3102"/>
    <w:rsid w:val="00FC39ED"/>
    <w:rsid w:val="00FC4419"/>
    <w:rsid w:val="00FC47E2"/>
    <w:rsid w:val="00FC4AA5"/>
    <w:rsid w:val="00FC4B88"/>
    <w:rsid w:val="00FC4BB8"/>
    <w:rsid w:val="00FC5148"/>
    <w:rsid w:val="00FC6524"/>
    <w:rsid w:val="00FC75AC"/>
    <w:rsid w:val="00FD01BF"/>
    <w:rsid w:val="00FD022A"/>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0AE8"/>
    <w:rsid w:val="00FF1C9B"/>
    <w:rsid w:val="00FF1D49"/>
    <w:rsid w:val="00FF203B"/>
    <w:rsid w:val="00FF2562"/>
    <w:rsid w:val="00FF3A41"/>
    <w:rsid w:val="00FF3E5B"/>
    <w:rsid w:val="00FF57E4"/>
    <w:rsid w:val="00FF72B5"/>
    <w:rsid w:val="00FF78E5"/>
    <w:rsid w:val="014F242C"/>
    <w:rsid w:val="01AF3D99"/>
    <w:rsid w:val="01E21A57"/>
    <w:rsid w:val="021F4CD0"/>
    <w:rsid w:val="02511F9D"/>
    <w:rsid w:val="030B0252"/>
    <w:rsid w:val="03A314B8"/>
    <w:rsid w:val="03D82B98"/>
    <w:rsid w:val="03D90444"/>
    <w:rsid w:val="03F83E8B"/>
    <w:rsid w:val="05C56868"/>
    <w:rsid w:val="06837B43"/>
    <w:rsid w:val="073A1E93"/>
    <w:rsid w:val="07B72767"/>
    <w:rsid w:val="08077E72"/>
    <w:rsid w:val="087E2252"/>
    <w:rsid w:val="08882DD0"/>
    <w:rsid w:val="09C9573B"/>
    <w:rsid w:val="09CC2AAC"/>
    <w:rsid w:val="09D26E76"/>
    <w:rsid w:val="0A652D3E"/>
    <w:rsid w:val="0B326F2A"/>
    <w:rsid w:val="0BE300B2"/>
    <w:rsid w:val="0C1E2888"/>
    <w:rsid w:val="0C92213C"/>
    <w:rsid w:val="0D6C40D7"/>
    <w:rsid w:val="0D84032B"/>
    <w:rsid w:val="0DD75F00"/>
    <w:rsid w:val="0DFD81F1"/>
    <w:rsid w:val="0F2A74C4"/>
    <w:rsid w:val="10A27F31"/>
    <w:rsid w:val="11927058"/>
    <w:rsid w:val="132C0B43"/>
    <w:rsid w:val="13AF4F03"/>
    <w:rsid w:val="13CA1B57"/>
    <w:rsid w:val="14736E66"/>
    <w:rsid w:val="147F458F"/>
    <w:rsid w:val="14891A12"/>
    <w:rsid w:val="14D958EC"/>
    <w:rsid w:val="152A6D51"/>
    <w:rsid w:val="1534169A"/>
    <w:rsid w:val="15C03E03"/>
    <w:rsid w:val="162A25EB"/>
    <w:rsid w:val="16FD2A55"/>
    <w:rsid w:val="17067C1A"/>
    <w:rsid w:val="17366761"/>
    <w:rsid w:val="177C01F0"/>
    <w:rsid w:val="17CE6630"/>
    <w:rsid w:val="18100809"/>
    <w:rsid w:val="19B66E06"/>
    <w:rsid w:val="1AFF0AFE"/>
    <w:rsid w:val="1B035D36"/>
    <w:rsid w:val="1B4F19F8"/>
    <w:rsid w:val="1BDB3BA4"/>
    <w:rsid w:val="1C226F03"/>
    <w:rsid w:val="1D9C6312"/>
    <w:rsid w:val="1ECC44FA"/>
    <w:rsid w:val="1F063325"/>
    <w:rsid w:val="1FBC5DF5"/>
    <w:rsid w:val="1FCA53B9"/>
    <w:rsid w:val="1FF90588"/>
    <w:rsid w:val="1FFA180E"/>
    <w:rsid w:val="20C3623F"/>
    <w:rsid w:val="21781212"/>
    <w:rsid w:val="21B83F86"/>
    <w:rsid w:val="221178A8"/>
    <w:rsid w:val="221213CF"/>
    <w:rsid w:val="22327A92"/>
    <w:rsid w:val="231D53A2"/>
    <w:rsid w:val="236D5383"/>
    <w:rsid w:val="23AB0F1B"/>
    <w:rsid w:val="23B7504C"/>
    <w:rsid w:val="23EB3467"/>
    <w:rsid w:val="24571307"/>
    <w:rsid w:val="25110A2A"/>
    <w:rsid w:val="256C0944"/>
    <w:rsid w:val="26446DE3"/>
    <w:rsid w:val="2674607E"/>
    <w:rsid w:val="269669E7"/>
    <w:rsid w:val="26D7699F"/>
    <w:rsid w:val="26FF55CA"/>
    <w:rsid w:val="282B1959"/>
    <w:rsid w:val="283755B5"/>
    <w:rsid w:val="28571F10"/>
    <w:rsid w:val="28EF7C3E"/>
    <w:rsid w:val="28FD1759"/>
    <w:rsid w:val="2AE65071"/>
    <w:rsid w:val="2B774624"/>
    <w:rsid w:val="2C043A01"/>
    <w:rsid w:val="2C1D1F83"/>
    <w:rsid w:val="2C7A72BE"/>
    <w:rsid w:val="2C9A7D75"/>
    <w:rsid w:val="2CC17412"/>
    <w:rsid w:val="2E9976CE"/>
    <w:rsid w:val="2F401D3C"/>
    <w:rsid w:val="2F5B24E1"/>
    <w:rsid w:val="2FA95C88"/>
    <w:rsid w:val="3041370F"/>
    <w:rsid w:val="30913CD1"/>
    <w:rsid w:val="312B50A3"/>
    <w:rsid w:val="32453A27"/>
    <w:rsid w:val="3263064A"/>
    <w:rsid w:val="32A43132"/>
    <w:rsid w:val="32AC0C06"/>
    <w:rsid w:val="33344EF5"/>
    <w:rsid w:val="346D5F55"/>
    <w:rsid w:val="34905729"/>
    <w:rsid w:val="34A44C53"/>
    <w:rsid w:val="3537750C"/>
    <w:rsid w:val="3537798C"/>
    <w:rsid w:val="35C13FC9"/>
    <w:rsid w:val="35DC2F21"/>
    <w:rsid w:val="364257B6"/>
    <w:rsid w:val="36451F73"/>
    <w:rsid w:val="37EA5922"/>
    <w:rsid w:val="38276B93"/>
    <w:rsid w:val="38404012"/>
    <w:rsid w:val="38AC3431"/>
    <w:rsid w:val="392F2E16"/>
    <w:rsid w:val="393C6683"/>
    <w:rsid w:val="39520020"/>
    <w:rsid w:val="39CB4D8C"/>
    <w:rsid w:val="39E00529"/>
    <w:rsid w:val="3A0B64A7"/>
    <w:rsid w:val="3A574DDA"/>
    <w:rsid w:val="3AD3075A"/>
    <w:rsid w:val="3AF74C02"/>
    <w:rsid w:val="3AFC0239"/>
    <w:rsid w:val="3BD11D17"/>
    <w:rsid w:val="3C0059A5"/>
    <w:rsid w:val="3C134E78"/>
    <w:rsid w:val="3DEC7285"/>
    <w:rsid w:val="3DF6345D"/>
    <w:rsid w:val="3E2B5515"/>
    <w:rsid w:val="3E4D4F28"/>
    <w:rsid w:val="3E584271"/>
    <w:rsid w:val="3EE13701"/>
    <w:rsid w:val="3F1A4BB3"/>
    <w:rsid w:val="40192BA6"/>
    <w:rsid w:val="41766EA9"/>
    <w:rsid w:val="419F3CB9"/>
    <w:rsid w:val="42550A18"/>
    <w:rsid w:val="429D496A"/>
    <w:rsid w:val="42F473A1"/>
    <w:rsid w:val="43FF6C9B"/>
    <w:rsid w:val="441E62C0"/>
    <w:rsid w:val="45325D14"/>
    <w:rsid w:val="45811C7C"/>
    <w:rsid w:val="45906116"/>
    <w:rsid w:val="46277145"/>
    <w:rsid w:val="468B3EFB"/>
    <w:rsid w:val="46AD6644"/>
    <w:rsid w:val="470A6193"/>
    <w:rsid w:val="47385210"/>
    <w:rsid w:val="47A361AE"/>
    <w:rsid w:val="47DC4F5C"/>
    <w:rsid w:val="48B40671"/>
    <w:rsid w:val="490968BA"/>
    <w:rsid w:val="499B5738"/>
    <w:rsid w:val="499F244D"/>
    <w:rsid w:val="4A973F3F"/>
    <w:rsid w:val="4AE20F59"/>
    <w:rsid w:val="4AF96BC7"/>
    <w:rsid w:val="4B5A416B"/>
    <w:rsid w:val="4B862A85"/>
    <w:rsid w:val="4CDD40CE"/>
    <w:rsid w:val="4CEF36E2"/>
    <w:rsid w:val="4CEF4DC5"/>
    <w:rsid w:val="4D8C044B"/>
    <w:rsid w:val="4E257655"/>
    <w:rsid w:val="4E8E7871"/>
    <w:rsid w:val="4F372380"/>
    <w:rsid w:val="4F372FFB"/>
    <w:rsid w:val="4FF359B6"/>
    <w:rsid w:val="5025116D"/>
    <w:rsid w:val="507B2BDD"/>
    <w:rsid w:val="50871EF4"/>
    <w:rsid w:val="52395ECD"/>
    <w:rsid w:val="52C10D75"/>
    <w:rsid w:val="52C13B4A"/>
    <w:rsid w:val="53C27FF8"/>
    <w:rsid w:val="54077C82"/>
    <w:rsid w:val="549E1A80"/>
    <w:rsid w:val="54C658F4"/>
    <w:rsid w:val="550C4BD7"/>
    <w:rsid w:val="554C1D56"/>
    <w:rsid w:val="55572986"/>
    <w:rsid w:val="55C062DD"/>
    <w:rsid w:val="55D31987"/>
    <w:rsid w:val="565340FA"/>
    <w:rsid w:val="5723343E"/>
    <w:rsid w:val="573D7EAB"/>
    <w:rsid w:val="57D342A4"/>
    <w:rsid w:val="596A0A97"/>
    <w:rsid w:val="5A2F2CC8"/>
    <w:rsid w:val="5BA26962"/>
    <w:rsid w:val="5BF92E83"/>
    <w:rsid w:val="5C10702D"/>
    <w:rsid w:val="5C152601"/>
    <w:rsid w:val="5C591F03"/>
    <w:rsid w:val="5C8A1B2F"/>
    <w:rsid w:val="5D1256CE"/>
    <w:rsid w:val="5D914004"/>
    <w:rsid w:val="5F561B72"/>
    <w:rsid w:val="606007BB"/>
    <w:rsid w:val="60AC7F66"/>
    <w:rsid w:val="612E7483"/>
    <w:rsid w:val="61BF10D9"/>
    <w:rsid w:val="61DA3D4C"/>
    <w:rsid w:val="62AC22DC"/>
    <w:rsid w:val="637833E8"/>
    <w:rsid w:val="64E45EF7"/>
    <w:rsid w:val="65956DBE"/>
    <w:rsid w:val="65C16ECE"/>
    <w:rsid w:val="663F15CE"/>
    <w:rsid w:val="6691014E"/>
    <w:rsid w:val="66C87CCE"/>
    <w:rsid w:val="673D77EB"/>
    <w:rsid w:val="6741723A"/>
    <w:rsid w:val="677435B2"/>
    <w:rsid w:val="67EF75F1"/>
    <w:rsid w:val="68B406B1"/>
    <w:rsid w:val="69124F16"/>
    <w:rsid w:val="694A5205"/>
    <w:rsid w:val="694B04B6"/>
    <w:rsid w:val="69CD5C14"/>
    <w:rsid w:val="69CF0D33"/>
    <w:rsid w:val="6B9946B3"/>
    <w:rsid w:val="6C2C29A8"/>
    <w:rsid w:val="6C662189"/>
    <w:rsid w:val="6C7007C7"/>
    <w:rsid w:val="6DE76850"/>
    <w:rsid w:val="6FB20BD4"/>
    <w:rsid w:val="6FB650F7"/>
    <w:rsid w:val="6FBA59BE"/>
    <w:rsid w:val="70296B3E"/>
    <w:rsid w:val="70324462"/>
    <w:rsid w:val="70611204"/>
    <w:rsid w:val="707206C1"/>
    <w:rsid w:val="70D874DD"/>
    <w:rsid w:val="73445350"/>
    <w:rsid w:val="737A7876"/>
    <w:rsid w:val="7475172F"/>
    <w:rsid w:val="74FA2C30"/>
    <w:rsid w:val="754D5C4B"/>
    <w:rsid w:val="76C240A7"/>
    <w:rsid w:val="773F59F0"/>
    <w:rsid w:val="775246B7"/>
    <w:rsid w:val="781E69D1"/>
    <w:rsid w:val="79907C4E"/>
    <w:rsid w:val="7A263B6B"/>
    <w:rsid w:val="7A4226B2"/>
    <w:rsid w:val="7AF46346"/>
    <w:rsid w:val="7B0F5EBF"/>
    <w:rsid w:val="7B130FB9"/>
    <w:rsid w:val="7BF64EDE"/>
    <w:rsid w:val="7C400C1E"/>
    <w:rsid w:val="7DD11708"/>
    <w:rsid w:val="7DDD4C9D"/>
    <w:rsid w:val="7DFC519D"/>
    <w:rsid w:val="7E762F0A"/>
    <w:rsid w:val="7EBD579E"/>
    <w:rsid w:val="7EC167BD"/>
    <w:rsid w:val="7EF2130A"/>
    <w:rsid w:val="7F272D9E"/>
    <w:rsid w:val="7FEC2223"/>
    <w:rsid w:val="B99DB997"/>
    <w:rsid w:val="BBF34445"/>
    <w:rsid w:val="DBF2C338"/>
    <w:rsid w:val="FD2DA89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5"/>
    <w:basedOn w:val="1"/>
    <w:next w:val="6"/>
    <w:link w:val="41"/>
    <w:qFormat/>
    <w:uiPriority w:val="0"/>
    <w:pPr>
      <w:keepNext/>
      <w:keepLines/>
      <w:spacing w:before="280" w:after="290" w:line="376" w:lineRule="auto"/>
      <w:outlineLvl w:val="4"/>
    </w:pPr>
    <w:rPr>
      <w:b/>
      <w:bCs/>
      <w:sz w:val="28"/>
      <w:szCs w:val="28"/>
    </w:rPr>
  </w:style>
  <w:style w:type="paragraph" w:styleId="7">
    <w:name w:val="heading 8"/>
    <w:basedOn w:val="1"/>
    <w:next w:val="1"/>
    <w:link w:val="42"/>
    <w:qFormat/>
    <w:uiPriority w:val="0"/>
    <w:pPr>
      <w:keepNext/>
      <w:keepLines/>
      <w:spacing w:before="240" w:after="64" w:line="320" w:lineRule="auto"/>
      <w:outlineLvl w:val="7"/>
    </w:pPr>
    <w:rPr>
      <w:rFonts w:ascii="等线 Light" w:hAnsi="等线 Light" w:eastAsia="等线 Light"/>
      <w:sz w:val="24"/>
    </w:rPr>
  </w:style>
  <w:style w:type="paragraph" w:styleId="8">
    <w:name w:val="heading 9"/>
    <w:basedOn w:val="1"/>
    <w:next w:val="1"/>
    <w:link w:val="43"/>
    <w:qFormat/>
    <w:uiPriority w:val="0"/>
    <w:pPr>
      <w:keepNext/>
      <w:keepLines/>
      <w:spacing w:before="240" w:after="64" w:line="320" w:lineRule="auto"/>
      <w:outlineLvl w:val="8"/>
    </w:pPr>
    <w:rPr>
      <w:rFonts w:ascii="Cambria" w:hAnsi="Cambria"/>
      <w:szCs w:val="21"/>
    </w:rPr>
  </w:style>
  <w:style w:type="character" w:default="1" w:styleId="31">
    <w:name w:val="Default Paragraph Font"/>
    <w:semiHidden/>
    <w:qFormat/>
    <w:uiPriority w:val="0"/>
  </w:style>
  <w:style w:type="table" w:default="1" w:styleId="29">
    <w:name w:val="Normal Table"/>
    <w:semiHidden/>
    <w:qFormat/>
    <w:uiPriority w:val="0"/>
    <w:tblPr>
      <w:tblCellMar>
        <w:top w:w="0" w:type="dxa"/>
        <w:left w:w="108" w:type="dxa"/>
        <w:bottom w:w="0" w:type="dxa"/>
        <w:right w:w="108" w:type="dxa"/>
      </w:tblCellMar>
    </w:tblPr>
  </w:style>
  <w:style w:type="paragraph" w:styleId="6">
    <w:name w:val="Normal Indent"/>
    <w:basedOn w:val="1"/>
    <w:uiPriority w:val="0"/>
    <w:pPr>
      <w:ind w:firstLine="420"/>
    </w:pPr>
    <w:rPr>
      <w:szCs w:val="20"/>
    </w:rPr>
  </w:style>
  <w:style w:type="paragraph" w:styleId="9">
    <w:name w:val="List Number"/>
    <w:basedOn w:val="1"/>
    <w:uiPriority w:val="0"/>
    <w:pPr>
      <w:widowControl/>
      <w:tabs>
        <w:tab w:val="left" w:pos="454"/>
        <w:tab w:val="left" w:pos="720"/>
        <w:tab w:val="left" w:pos="840"/>
      </w:tabs>
      <w:spacing w:after="50" w:afterLines="50"/>
      <w:ind w:left="454" w:hanging="284"/>
      <w:jc w:val="left"/>
    </w:pPr>
    <w:rPr>
      <w:kern w:val="0"/>
      <w:sz w:val="24"/>
      <w:szCs w:val="20"/>
    </w:rPr>
  </w:style>
  <w:style w:type="paragraph" w:styleId="10">
    <w:name w:val="annotation text"/>
    <w:basedOn w:val="1"/>
    <w:link w:val="44"/>
    <w:qFormat/>
    <w:uiPriority w:val="0"/>
    <w:pPr>
      <w:jc w:val="left"/>
    </w:pPr>
  </w:style>
  <w:style w:type="paragraph" w:styleId="11">
    <w:name w:val="Body Text 3"/>
    <w:basedOn w:val="1"/>
    <w:link w:val="45"/>
    <w:uiPriority w:val="0"/>
    <w:pPr>
      <w:spacing w:after="120"/>
    </w:pPr>
    <w:rPr>
      <w:sz w:val="16"/>
      <w:szCs w:val="16"/>
    </w:rPr>
  </w:style>
  <w:style w:type="paragraph" w:styleId="12">
    <w:name w:val="Body Text"/>
    <w:basedOn w:val="1"/>
    <w:next w:val="13"/>
    <w:link w:val="46"/>
    <w:uiPriority w:val="0"/>
    <w:pPr>
      <w:spacing w:after="120"/>
    </w:pPr>
  </w:style>
  <w:style w:type="paragraph" w:styleId="13">
    <w:name w:val="Title"/>
    <w:basedOn w:val="1"/>
    <w:link w:val="47"/>
    <w:qFormat/>
    <w:uiPriority w:val="0"/>
    <w:pPr>
      <w:widowControl/>
      <w:overflowPunct w:val="0"/>
      <w:autoSpaceDE w:val="0"/>
      <w:autoSpaceDN w:val="0"/>
      <w:adjustRightInd w:val="0"/>
      <w:jc w:val="center"/>
      <w:textAlignment w:val="baseline"/>
    </w:pPr>
    <w:rPr>
      <w:rFonts w:ascii="Cambria" w:hAnsi="Cambria"/>
      <w:b/>
      <w:bCs/>
      <w:sz w:val="32"/>
      <w:szCs w:val="32"/>
    </w:rPr>
  </w:style>
  <w:style w:type="paragraph" w:styleId="14">
    <w:name w:val="Body Text Indent"/>
    <w:basedOn w:val="1"/>
    <w:link w:val="48"/>
    <w:uiPriority w:val="0"/>
    <w:pPr>
      <w:ind w:firstLine="830" w:firstLineChars="352"/>
    </w:pPr>
    <w:rPr>
      <w:rFonts w:ascii="仿宋_GB2312" w:eastAsia="仿宋_GB2312"/>
      <w:kern w:val="0"/>
      <w:sz w:val="32"/>
      <w:szCs w:val="20"/>
    </w:rPr>
  </w:style>
  <w:style w:type="paragraph" w:styleId="15">
    <w:name w:val="List 2"/>
    <w:basedOn w:val="1"/>
    <w:uiPriority w:val="0"/>
    <w:pPr>
      <w:ind w:left="100" w:leftChars="200" w:hanging="200" w:hangingChars="200"/>
      <w:contextualSpacing/>
    </w:pPr>
  </w:style>
  <w:style w:type="paragraph" w:styleId="16">
    <w:name w:val="toc 3"/>
    <w:basedOn w:val="1"/>
    <w:next w:val="1"/>
    <w:uiPriority w:val="0"/>
    <w:pPr>
      <w:ind w:left="840" w:leftChars="400"/>
    </w:pPr>
  </w:style>
  <w:style w:type="paragraph" w:styleId="17">
    <w:name w:val="Plain Text"/>
    <w:basedOn w:val="1"/>
    <w:link w:val="49"/>
    <w:uiPriority w:val="0"/>
    <w:rPr>
      <w:rFonts w:ascii="宋体" w:hAnsi="Courier New"/>
      <w:kern w:val="0"/>
      <w:sz w:val="20"/>
      <w:szCs w:val="21"/>
    </w:rPr>
  </w:style>
  <w:style w:type="paragraph" w:styleId="18">
    <w:name w:val="Date"/>
    <w:basedOn w:val="1"/>
    <w:next w:val="1"/>
    <w:link w:val="50"/>
    <w:uiPriority w:val="0"/>
    <w:pPr>
      <w:ind w:left="100" w:leftChars="2500"/>
    </w:pPr>
  </w:style>
  <w:style w:type="paragraph" w:styleId="19">
    <w:name w:val="Balloon Text"/>
    <w:basedOn w:val="1"/>
    <w:link w:val="51"/>
    <w:uiPriority w:val="0"/>
    <w:rPr>
      <w:sz w:val="18"/>
      <w:szCs w:val="18"/>
    </w:rPr>
  </w:style>
  <w:style w:type="paragraph" w:styleId="20">
    <w:name w:val="footer"/>
    <w:basedOn w:val="1"/>
    <w:link w:val="52"/>
    <w:uiPriority w:val="99"/>
    <w:pPr>
      <w:tabs>
        <w:tab w:val="center" w:pos="4153"/>
        <w:tab w:val="right" w:pos="8306"/>
      </w:tabs>
      <w:snapToGrid w:val="0"/>
      <w:jc w:val="left"/>
    </w:pPr>
    <w:rPr>
      <w:kern w:val="0"/>
      <w:sz w:val="18"/>
      <w:szCs w:val="18"/>
    </w:rPr>
  </w:style>
  <w:style w:type="paragraph" w:styleId="21">
    <w:name w:val="header"/>
    <w:basedOn w:val="1"/>
    <w:link w:val="53"/>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uiPriority w:val="0"/>
  </w:style>
  <w:style w:type="paragraph" w:styleId="23">
    <w:name w:val="List"/>
    <w:basedOn w:val="1"/>
    <w:uiPriority w:val="0"/>
    <w:pPr>
      <w:ind w:left="200" w:hanging="200" w:hangingChars="200"/>
      <w:contextualSpacing/>
    </w:pPr>
  </w:style>
  <w:style w:type="paragraph" w:styleId="24">
    <w:name w:val="toc 2"/>
    <w:basedOn w:val="1"/>
    <w:next w:val="1"/>
    <w:uiPriority w:val="0"/>
    <w:pPr>
      <w:tabs>
        <w:tab w:val="right" w:leader="dot" w:pos="8296"/>
      </w:tabs>
      <w:ind w:left="420" w:leftChars="200"/>
    </w:pPr>
  </w:style>
  <w:style w:type="paragraph" w:styleId="25">
    <w:name w:val="Normal (Web)"/>
    <w:basedOn w:val="1"/>
    <w:uiPriority w:val="0"/>
    <w:pPr>
      <w:spacing w:before="0" w:beforeAutospacing="0" w:after="0" w:afterAutospacing="0"/>
      <w:ind w:left="0" w:right="0"/>
      <w:jc w:val="both"/>
    </w:pPr>
    <w:rPr>
      <w:rFonts w:hint="default" w:ascii="Calibri" w:hAnsi="Calibri" w:cs="Calibri"/>
      <w:kern w:val="0"/>
      <w:sz w:val="24"/>
      <w:szCs w:val="24"/>
      <w:lang w:val="en-US" w:eastAsia="zh-CN" w:bidi="ar"/>
    </w:rPr>
  </w:style>
  <w:style w:type="paragraph" w:styleId="26">
    <w:name w:val="annotation subject"/>
    <w:basedOn w:val="10"/>
    <w:next w:val="10"/>
    <w:link w:val="54"/>
    <w:uiPriority w:val="0"/>
    <w:rPr>
      <w:b/>
      <w:bCs/>
    </w:rPr>
  </w:style>
  <w:style w:type="paragraph" w:styleId="27">
    <w:name w:val="Body Text First Indent"/>
    <w:basedOn w:val="12"/>
    <w:next w:val="1"/>
    <w:qFormat/>
    <w:uiPriority w:val="99"/>
    <w:pPr>
      <w:spacing w:after="0"/>
      <w:ind w:left="138" w:firstLine="420" w:firstLineChars="100"/>
    </w:pPr>
    <w:rPr>
      <w:rFonts w:ascii="宋体" w:hAnsi="宋体"/>
      <w:sz w:val="28"/>
    </w:rPr>
  </w:style>
  <w:style w:type="paragraph" w:styleId="28">
    <w:name w:val="Body Text First Indent 2"/>
    <w:basedOn w:val="14"/>
    <w:link w:val="55"/>
    <w:uiPriority w:val="0"/>
    <w:pPr>
      <w:spacing w:after="120"/>
      <w:ind w:left="420" w:leftChars="200" w:firstLine="420" w:firstLineChars="200"/>
    </w:pPr>
    <w:rPr>
      <w:rFonts w:ascii="Times New Roman" w:eastAsia="宋体"/>
      <w:kern w:val="2"/>
      <w:sz w:val="21"/>
      <w:szCs w:val="24"/>
    </w:rPr>
  </w:style>
  <w:style w:type="table" w:styleId="30">
    <w:name w:val="Table Grid"/>
    <w:basedOn w:val="29"/>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2">
    <w:name w:val="endnote reference"/>
    <w:uiPriority w:val="0"/>
    <w:rPr>
      <w:vertAlign w:val="superscript"/>
    </w:rPr>
  </w:style>
  <w:style w:type="character" w:styleId="33">
    <w:name w:val="page number"/>
    <w:uiPriority w:val="0"/>
    <w:rPr>
      <w:rFonts w:ascii="Arial" w:hAnsi="Arial" w:eastAsia="黑体" w:cs="Arial"/>
      <w:snapToGrid w:val="0"/>
      <w:kern w:val="0"/>
      <w:szCs w:val="21"/>
    </w:rPr>
  </w:style>
  <w:style w:type="character" w:styleId="34">
    <w:name w:val="FollowedHyperlink"/>
    <w:uiPriority w:val="0"/>
    <w:rPr>
      <w:color w:val="800080"/>
      <w:u w:val="single"/>
    </w:rPr>
  </w:style>
  <w:style w:type="character" w:styleId="35">
    <w:name w:val="Hyperlink"/>
    <w:uiPriority w:val="0"/>
    <w:rPr>
      <w:color w:val="0000FF"/>
      <w:u w:val="single"/>
    </w:rPr>
  </w:style>
  <w:style w:type="character" w:styleId="36">
    <w:name w:val="annotation reference"/>
    <w:uiPriority w:val="0"/>
    <w:rPr>
      <w:sz w:val="21"/>
      <w:szCs w:val="21"/>
    </w:rPr>
  </w:style>
  <w:style w:type="character" w:customStyle="1" w:styleId="37">
    <w:name w:val="标题 1 Char"/>
    <w:uiPriority w:val="9"/>
    <w:rPr>
      <w:b/>
      <w:bCs/>
      <w:kern w:val="44"/>
      <w:sz w:val="44"/>
      <w:szCs w:val="44"/>
    </w:rPr>
  </w:style>
  <w:style w:type="character" w:customStyle="1" w:styleId="38">
    <w:name w:val="标题 1 字符"/>
    <w:link w:val="2"/>
    <w:uiPriority w:val="9"/>
    <w:rPr>
      <w:b/>
      <w:bCs/>
      <w:kern w:val="44"/>
      <w:sz w:val="44"/>
      <w:szCs w:val="44"/>
    </w:rPr>
  </w:style>
  <w:style w:type="character" w:customStyle="1" w:styleId="39">
    <w:name w:val="标题 2 字符"/>
    <w:link w:val="3"/>
    <w:uiPriority w:val="9"/>
    <w:rPr>
      <w:rFonts w:ascii="Cambria" w:hAnsi="Cambria" w:eastAsia="宋体" w:cs="Times New Roman"/>
      <w:b/>
      <w:bCs/>
      <w:kern w:val="2"/>
      <w:sz w:val="32"/>
      <w:szCs w:val="32"/>
    </w:rPr>
  </w:style>
  <w:style w:type="character" w:customStyle="1" w:styleId="40">
    <w:name w:val="标题 3 字符"/>
    <w:link w:val="4"/>
    <w:uiPriority w:val="9"/>
    <w:rPr>
      <w:b/>
      <w:bCs/>
      <w:kern w:val="2"/>
      <w:sz w:val="32"/>
      <w:szCs w:val="32"/>
    </w:rPr>
  </w:style>
  <w:style w:type="character" w:customStyle="1" w:styleId="41">
    <w:name w:val="标题 5 字符"/>
    <w:link w:val="5"/>
    <w:qFormat/>
    <w:uiPriority w:val="9"/>
    <w:rPr>
      <w:rFonts w:ascii="Times New Roman" w:hAnsi="Times New Roman"/>
      <w:b/>
      <w:bCs/>
      <w:kern w:val="2"/>
      <w:sz w:val="28"/>
      <w:szCs w:val="28"/>
    </w:rPr>
  </w:style>
  <w:style w:type="character" w:customStyle="1" w:styleId="42">
    <w:name w:val="标题 8 字符"/>
    <w:link w:val="7"/>
    <w:uiPriority w:val="9"/>
    <w:rPr>
      <w:rFonts w:ascii="等线 Light" w:hAnsi="等线 Light" w:eastAsia="等线 Light" w:cs="Times New Roman"/>
      <w:kern w:val="2"/>
      <w:sz w:val="24"/>
      <w:szCs w:val="24"/>
    </w:rPr>
  </w:style>
  <w:style w:type="character" w:customStyle="1" w:styleId="43">
    <w:name w:val="标题 9 字符"/>
    <w:link w:val="8"/>
    <w:qFormat/>
    <w:uiPriority w:val="9"/>
    <w:rPr>
      <w:rFonts w:ascii="Cambria" w:hAnsi="Cambria" w:eastAsia="宋体" w:cs="Times New Roman"/>
      <w:kern w:val="2"/>
      <w:sz w:val="21"/>
      <w:szCs w:val="21"/>
    </w:rPr>
  </w:style>
  <w:style w:type="character" w:customStyle="1" w:styleId="44">
    <w:name w:val="批注文字 字符2"/>
    <w:link w:val="10"/>
    <w:uiPriority w:val="99"/>
    <w:rPr>
      <w:rFonts w:ascii="Times New Roman" w:hAnsi="Times New Roman"/>
      <w:kern w:val="2"/>
      <w:sz w:val="21"/>
      <w:szCs w:val="24"/>
    </w:rPr>
  </w:style>
  <w:style w:type="character" w:customStyle="1" w:styleId="45">
    <w:name w:val="正文文本 3 字符"/>
    <w:link w:val="11"/>
    <w:uiPriority w:val="99"/>
    <w:rPr>
      <w:kern w:val="2"/>
      <w:sz w:val="16"/>
      <w:szCs w:val="16"/>
    </w:rPr>
  </w:style>
  <w:style w:type="character" w:customStyle="1" w:styleId="46">
    <w:name w:val="正文文本 字符1"/>
    <w:link w:val="12"/>
    <w:uiPriority w:val="99"/>
    <w:rPr>
      <w:rFonts w:ascii="Times New Roman" w:hAnsi="Times New Roman"/>
      <w:kern w:val="2"/>
      <w:sz w:val="21"/>
      <w:szCs w:val="24"/>
    </w:rPr>
  </w:style>
  <w:style w:type="character" w:customStyle="1" w:styleId="47">
    <w:name w:val="标题 字符"/>
    <w:link w:val="13"/>
    <w:uiPriority w:val="10"/>
    <w:rPr>
      <w:rFonts w:ascii="Cambria" w:hAnsi="Cambria" w:cs="Times New Roman"/>
      <w:b/>
      <w:bCs/>
      <w:kern w:val="2"/>
      <w:sz w:val="32"/>
      <w:szCs w:val="32"/>
    </w:rPr>
  </w:style>
  <w:style w:type="character" w:customStyle="1" w:styleId="48">
    <w:name w:val="正文文本缩进 字符1"/>
    <w:link w:val="14"/>
    <w:uiPriority w:val="99"/>
    <w:rPr>
      <w:rFonts w:ascii="仿宋_GB2312" w:hAnsi="Times New Roman" w:eastAsia="仿宋_GB2312" w:cs="Times New Roman"/>
      <w:sz w:val="32"/>
      <w:szCs w:val="20"/>
    </w:rPr>
  </w:style>
  <w:style w:type="character" w:customStyle="1" w:styleId="49">
    <w:name w:val="纯文本 字符3"/>
    <w:link w:val="17"/>
    <w:qFormat/>
    <w:uiPriority w:val="99"/>
    <w:rPr>
      <w:rFonts w:ascii="宋体" w:hAnsi="Courier New" w:eastAsia="宋体" w:cs="Courier New"/>
      <w:szCs w:val="21"/>
    </w:rPr>
  </w:style>
  <w:style w:type="character" w:customStyle="1" w:styleId="50">
    <w:name w:val="日期 字符"/>
    <w:link w:val="18"/>
    <w:uiPriority w:val="99"/>
    <w:rPr>
      <w:rFonts w:ascii="Times New Roman" w:hAnsi="Times New Roman"/>
      <w:kern w:val="2"/>
      <w:sz w:val="21"/>
      <w:szCs w:val="24"/>
    </w:rPr>
  </w:style>
  <w:style w:type="character" w:customStyle="1" w:styleId="51">
    <w:name w:val="批注框文本 字符"/>
    <w:link w:val="19"/>
    <w:semiHidden/>
    <w:qFormat/>
    <w:uiPriority w:val="99"/>
    <w:rPr>
      <w:kern w:val="2"/>
      <w:sz w:val="18"/>
      <w:szCs w:val="18"/>
    </w:rPr>
  </w:style>
  <w:style w:type="character" w:customStyle="1" w:styleId="52">
    <w:name w:val="页脚 字符"/>
    <w:link w:val="20"/>
    <w:qFormat/>
    <w:uiPriority w:val="99"/>
    <w:rPr>
      <w:sz w:val="18"/>
      <w:szCs w:val="18"/>
    </w:rPr>
  </w:style>
  <w:style w:type="character" w:customStyle="1" w:styleId="53">
    <w:name w:val="页眉 字符"/>
    <w:link w:val="21"/>
    <w:qFormat/>
    <w:uiPriority w:val="99"/>
    <w:rPr>
      <w:sz w:val="18"/>
      <w:szCs w:val="18"/>
    </w:rPr>
  </w:style>
  <w:style w:type="character" w:customStyle="1" w:styleId="54">
    <w:name w:val="批注主题 字符"/>
    <w:link w:val="26"/>
    <w:qFormat/>
    <w:uiPriority w:val="99"/>
    <w:rPr>
      <w:rFonts w:ascii="Times New Roman" w:hAnsi="Times New Roman"/>
      <w:b/>
      <w:bCs/>
      <w:kern w:val="2"/>
      <w:sz w:val="21"/>
      <w:szCs w:val="24"/>
    </w:rPr>
  </w:style>
  <w:style w:type="character" w:customStyle="1" w:styleId="55">
    <w:name w:val="正文首行缩进 2 字符4"/>
    <w:link w:val="28"/>
    <w:qFormat/>
    <w:uiPriority w:val="99"/>
    <w:rPr>
      <w:kern w:val="2"/>
      <w:sz w:val="21"/>
      <w:szCs w:val="24"/>
    </w:rPr>
  </w:style>
  <w:style w:type="character" w:customStyle="1" w:styleId="56">
    <w:name w:val="标题 Char1"/>
    <w:uiPriority w:val="0"/>
    <w:rPr>
      <w:rFonts w:ascii="Calibri" w:hAnsi="Calibri"/>
      <w:b/>
      <w:sz w:val="24"/>
      <w:lang w:val="en-GB"/>
    </w:rPr>
  </w:style>
  <w:style w:type="character" w:customStyle="1" w:styleId="57">
    <w:name w:val="标题 8 Char"/>
    <w:qFormat/>
    <w:uiPriority w:val="0"/>
    <w:rPr>
      <w:rFonts w:ascii="Arial" w:hAnsi="Arial" w:eastAsia="黑体"/>
      <w:kern w:val="2"/>
      <w:sz w:val="24"/>
      <w:szCs w:val="24"/>
    </w:rPr>
  </w:style>
  <w:style w:type="character" w:customStyle="1" w:styleId="58">
    <w:name w:val="正文文本 (26) + 间距 0 pt"/>
    <w:uiPriority w:val="0"/>
    <w:rPr>
      <w:rFonts w:ascii="宋体" w:hAnsi="宋体" w:eastAsia="宋体" w:cs="宋体"/>
      <w:color w:val="000000"/>
      <w:spacing w:val="0"/>
      <w:w w:val="100"/>
      <w:position w:val="0"/>
      <w:sz w:val="22"/>
      <w:szCs w:val="22"/>
      <w:u w:val="none"/>
      <w:lang w:val="zh-CN" w:eastAsia="zh-CN" w:bidi="zh-CN"/>
    </w:rPr>
  </w:style>
  <w:style w:type="character" w:customStyle="1" w:styleId="59">
    <w:name w:val="正文文本 字符"/>
    <w:uiPriority w:val="99"/>
    <w:rPr>
      <w:rFonts w:ascii="Times New Roman" w:hAnsi="Times New Roman"/>
      <w:kern w:val="2"/>
      <w:sz w:val="21"/>
      <w:szCs w:val="24"/>
    </w:rPr>
  </w:style>
  <w:style w:type="character" w:customStyle="1" w:styleId="60">
    <w:name w:val="纯文本 Char"/>
    <w:qFormat/>
    <w:uiPriority w:val="0"/>
    <w:rPr>
      <w:rFonts w:ascii="宋体" w:hAnsi="Courier New" w:eastAsia="宋体" w:cs="Courier New"/>
      <w:szCs w:val="21"/>
    </w:rPr>
  </w:style>
  <w:style w:type="character" w:customStyle="1" w:styleId="61">
    <w:name w:val="正文文本 Char"/>
    <w:uiPriority w:val="0"/>
    <w:rPr>
      <w:rFonts w:ascii="Times New Roman" w:hAnsi="Times New Roman"/>
      <w:kern w:val="2"/>
      <w:sz w:val="21"/>
      <w:szCs w:val="24"/>
    </w:rPr>
  </w:style>
  <w:style w:type="character" w:customStyle="1" w:styleId="62">
    <w:name w:val="批注文字 字符1"/>
    <w:uiPriority w:val="0"/>
    <w:rPr>
      <w:rFonts w:ascii="Times New Roman" w:hAnsi="Times New Roman"/>
      <w:kern w:val="2"/>
      <w:sz w:val="21"/>
      <w:szCs w:val="24"/>
    </w:rPr>
  </w:style>
  <w:style w:type="character" w:customStyle="1" w:styleId="63">
    <w:name w:val="标题 2 Char"/>
    <w:qFormat/>
    <w:uiPriority w:val="9"/>
    <w:rPr>
      <w:rFonts w:ascii="Cambria" w:hAnsi="Cambria" w:eastAsia="宋体" w:cs="Times New Roman"/>
      <w:b/>
      <w:bCs/>
      <w:kern w:val="2"/>
      <w:sz w:val="32"/>
      <w:szCs w:val="32"/>
    </w:rPr>
  </w:style>
  <w:style w:type="character" w:customStyle="1" w:styleId="64">
    <w:name w:val="批注文字 字符"/>
    <w:uiPriority w:val="99"/>
    <w:rPr>
      <w:rFonts w:ascii="Times New Roman" w:hAnsi="Times New Roman"/>
      <w:kern w:val="2"/>
      <w:sz w:val="21"/>
      <w:szCs w:val="24"/>
    </w:rPr>
  </w:style>
  <w:style w:type="character" w:customStyle="1" w:styleId="65">
    <w:name w:val="未处理的提及"/>
    <w:unhideWhenUsed/>
    <w:uiPriority w:val="99"/>
    <w:rPr>
      <w:color w:val="605E5C"/>
      <w:shd w:val="clear" w:color="auto" w:fill="E1DFDD"/>
    </w:rPr>
  </w:style>
  <w:style w:type="character" w:customStyle="1" w:styleId="66">
    <w:name w:val="apple-style-span"/>
    <w:uiPriority w:val="0"/>
  </w:style>
  <w:style w:type="character" w:customStyle="1" w:styleId="67">
    <w:name w:val="纯文本 字符2"/>
    <w:qFormat/>
    <w:uiPriority w:val="0"/>
    <w:rPr>
      <w:rFonts w:ascii="宋体" w:hAnsi="Courier New" w:eastAsia="宋体" w:cs="Courier New"/>
      <w:szCs w:val="21"/>
    </w:rPr>
  </w:style>
  <w:style w:type="character" w:customStyle="1" w:styleId="68">
    <w:name w:val="textcontents"/>
    <w:uiPriority w:val="0"/>
  </w:style>
  <w:style w:type="character" w:customStyle="1" w:styleId="69">
    <w:name w:val="纯文本 字符1"/>
    <w:qFormat/>
    <w:uiPriority w:val="0"/>
    <w:rPr>
      <w:rFonts w:ascii="宋体" w:hAnsi="Courier New"/>
    </w:rPr>
  </w:style>
  <w:style w:type="character" w:customStyle="1" w:styleId="70">
    <w:name w:val="批注文字 Char"/>
    <w:uiPriority w:val="0"/>
    <w:rPr>
      <w:rFonts w:ascii="Times New Roman" w:hAnsi="Times New Roman"/>
      <w:kern w:val="2"/>
      <w:sz w:val="21"/>
      <w:szCs w:val="24"/>
    </w:rPr>
  </w:style>
  <w:style w:type="character" w:customStyle="1" w:styleId="71">
    <w:name w:val="标题 1 字符1"/>
    <w:uiPriority w:val="0"/>
    <w:rPr>
      <w:b/>
      <w:bCs/>
      <w:kern w:val="44"/>
      <w:sz w:val="44"/>
      <w:szCs w:val="44"/>
    </w:rPr>
  </w:style>
  <w:style w:type="character" w:customStyle="1" w:styleId="72">
    <w:name w:val="纯文本 字符"/>
    <w:qFormat/>
    <w:uiPriority w:val="99"/>
    <w:rPr>
      <w:rFonts w:ascii="宋体" w:hAnsi="Courier New" w:eastAsia="宋体" w:cs="Courier New"/>
      <w:szCs w:val="21"/>
    </w:rPr>
  </w:style>
  <w:style w:type="paragraph" w:customStyle="1" w:styleId="73">
    <w:name w:val="Char Char Char Char"/>
    <w:basedOn w:val="1"/>
    <w:uiPriority w:val="99"/>
    <w:pPr>
      <w:widowControl/>
      <w:spacing w:after="160" w:line="240" w:lineRule="exact"/>
      <w:jc w:val="left"/>
    </w:pPr>
  </w:style>
  <w:style w:type="paragraph" w:customStyle="1" w:styleId="74">
    <w:name w:val="默认段落字体 Para Char Char Char Char Char Char Char Char Char1 Char Char Char Char"/>
    <w:basedOn w:val="1"/>
    <w:uiPriority w:val="99"/>
    <w:rPr>
      <w:rFonts w:ascii="Tahoma" w:hAnsi="Tahoma"/>
      <w:sz w:val="24"/>
      <w:szCs w:val="20"/>
    </w:rPr>
  </w:style>
  <w:style w:type="paragraph" w:styleId="75">
    <w:name w:val="List Paragraph"/>
    <w:basedOn w:val="1"/>
    <w:qFormat/>
    <w:uiPriority w:val="34"/>
    <w:pPr>
      <w:ind w:firstLine="420" w:firstLineChars="200"/>
    </w:pPr>
  </w:style>
  <w:style w:type="paragraph" w:customStyle="1" w:styleId="76">
    <w:name w:val="_Style 75"/>
    <w:basedOn w:val="2"/>
    <w:next w:val="1"/>
    <w:qFormat/>
    <w:uiPriority w:val="39"/>
    <w:pPr>
      <w:widowControl/>
      <w:spacing w:before="240" w:after="0" w:line="259" w:lineRule="auto"/>
      <w:jc w:val="left"/>
      <w:outlineLvl w:val="9"/>
    </w:pPr>
    <w:rPr>
      <w:rFonts w:ascii="等线 Light" w:hAnsi="等线 Light" w:eastAsia="等线 Light" w:cs="Times New Roman"/>
      <w:b w:val="0"/>
      <w:bCs w:val="0"/>
      <w:color w:val="2F5496"/>
      <w:kern w:val="0"/>
      <w:sz w:val="32"/>
      <w:szCs w:val="32"/>
      <w:lang w:val="en-US" w:eastAsia="zh-CN"/>
    </w:rPr>
  </w:style>
  <w:style w:type="paragraph" w:customStyle="1" w:styleId="77">
    <w:name w:val="表内文字"/>
    <w:basedOn w:val="1"/>
    <w:uiPriority w:val="99"/>
    <w:pPr>
      <w:snapToGrid w:val="0"/>
      <w:spacing w:before="50" w:after="50"/>
      <w:jc w:val="center"/>
    </w:pPr>
    <w:rPr>
      <w:rFonts w:ascii="仿宋_GB2312" w:hAnsi="宋体" w:eastAsia="仿宋_GB2312"/>
      <w:b/>
      <w:color w:val="000000"/>
      <w:sz w:val="32"/>
      <w:szCs w:val="32"/>
    </w:rPr>
  </w:style>
  <w:style w:type="paragraph" w:customStyle="1" w:styleId="78">
    <w:name w:val="Table Paragraph"/>
    <w:basedOn w:val="1"/>
    <w:qFormat/>
    <w:uiPriority w:val="1"/>
    <w:pPr>
      <w:jc w:val="left"/>
    </w:pPr>
    <w:rPr>
      <w:rFonts w:ascii="Calibri" w:hAnsi="Calibri"/>
      <w:kern w:val="0"/>
      <w:sz w:val="22"/>
      <w:szCs w:val="22"/>
      <w:lang w:eastAsia="en-US"/>
    </w:rPr>
  </w:style>
  <w:style w:type="character" w:customStyle="1" w:styleId="79">
    <w:name w:val="正文文本缩进 字符"/>
    <w:uiPriority w:val="99"/>
    <w:rPr>
      <w:rFonts w:ascii="仿宋_GB2312" w:hAnsi="Times New Roman" w:eastAsia="仿宋_GB2312" w:cs="Times New Roman"/>
      <w:sz w:val="32"/>
      <w:szCs w:val="20"/>
    </w:rPr>
  </w:style>
  <w:style w:type="character" w:customStyle="1" w:styleId="80">
    <w:name w:val="正文2 Char Char"/>
    <w:link w:val="81"/>
    <w:qFormat/>
    <w:uiPriority w:val="0"/>
    <w:rPr>
      <w:sz w:val="24"/>
    </w:rPr>
  </w:style>
  <w:style w:type="paragraph" w:customStyle="1" w:styleId="81">
    <w:name w:val="正文2"/>
    <w:basedOn w:val="1"/>
    <w:link w:val="80"/>
    <w:qFormat/>
    <w:uiPriority w:val="0"/>
    <w:pPr>
      <w:adjustRightInd w:val="0"/>
      <w:spacing w:before="156" w:line="360" w:lineRule="auto"/>
      <w:ind w:firstLine="510" w:firstLineChars="200"/>
    </w:pPr>
    <w:rPr>
      <w:kern w:val="0"/>
      <w:sz w:val="24"/>
      <w:szCs w:val="20"/>
    </w:rPr>
  </w:style>
  <w:style w:type="character" w:customStyle="1" w:styleId="82">
    <w:name w:val="纯文本 Char2"/>
    <w:qFormat/>
    <w:uiPriority w:val="0"/>
    <w:rPr>
      <w:rFonts w:ascii="宋体" w:hAnsi="Courier New" w:cs="Arial"/>
      <w:snapToGrid w:val="0"/>
      <w:szCs w:val="21"/>
    </w:rPr>
  </w:style>
  <w:style w:type="paragraph" w:customStyle="1" w:styleId="83">
    <w:name w:val="表格文字"/>
    <w:basedOn w:val="1"/>
    <w:next w:val="12"/>
    <w:qFormat/>
    <w:uiPriority w:val="99"/>
    <w:pPr>
      <w:adjustRightInd w:val="0"/>
      <w:spacing w:line="420" w:lineRule="atLeast"/>
      <w:jc w:val="left"/>
      <w:textAlignment w:val="baseline"/>
    </w:pPr>
    <w:rPr>
      <w:kern w:val="0"/>
    </w:rPr>
  </w:style>
  <w:style w:type="paragraph" w:customStyle="1" w:styleId="84">
    <w:name w:val="样式5"/>
    <w:basedOn w:val="1"/>
    <w:qFormat/>
    <w:uiPriority w:val="99"/>
    <w:pPr>
      <w:adjustRightInd w:val="0"/>
      <w:spacing w:line="440" w:lineRule="exact"/>
      <w:ind w:left="2" w:firstLine="480" w:firstLineChars="200"/>
    </w:pPr>
    <w:rPr>
      <w:rFonts w:ascii="仿宋_GB2312" w:hAnsi="仿宋" w:eastAsia="仿宋_GB2312"/>
      <w:sz w:val="24"/>
    </w:rPr>
  </w:style>
  <w:style w:type="paragraph" w:customStyle="1" w:styleId="85">
    <w:name w:val="正文缩进1"/>
    <w:basedOn w:val="1"/>
    <w:next w:val="14"/>
    <w:qFormat/>
    <w:uiPriority w:val="99"/>
    <w:pPr>
      <w:autoSpaceDE w:val="0"/>
      <w:autoSpaceDN w:val="0"/>
      <w:adjustRightInd w:val="0"/>
      <w:snapToGrid w:val="0"/>
      <w:spacing w:after="120" w:line="360" w:lineRule="auto"/>
      <w:ind w:left="420" w:leftChars="200" w:firstLine="480" w:firstLineChars="200"/>
    </w:pPr>
    <w:rPr>
      <w:sz w:val="24"/>
      <w:szCs w:val="21"/>
    </w:rPr>
  </w:style>
  <w:style w:type="character" w:customStyle="1" w:styleId="86">
    <w:name w:val="NormalCharacter"/>
    <w:qFormat/>
    <w:uiPriority w:val="0"/>
  </w:style>
  <w:style w:type="character" w:customStyle="1" w:styleId="87">
    <w:name w:val="页眉 Char"/>
    <w:qFormat/>
    <w:uiPriority w:val="99"/>
    <w:rPr>
      <w:lang w:eastAsia="zh-CN"/>
    </w:rPr>
  </w:style>
  <w:style w:type="character" w:customStyle="1" w:styleId="88">
    <w:name w:val="正文首行缩进 2 字符"/>
    <w:uiPriority w:val="99"/>
    <w:rPr>
      <w:rFonts w:ascii="仿宋_GB2312" w:hAnsi="Times New Roman" w:eastAsia="仿宋_GB2312" w:cs="Times New Roman"/>
      <w:kern w:val="2"/>
      <w:sz w:val="21"/>
      <w:szCs w:val="24"/>
    </w:rPr>
  </w:style>
  <w:style w:type="character" w:customStyle="1" w:styleId="89">
    <w:name w:val="纯文本 Char1"/>
    <w:qFormat/>
    <w:uiPriority w:val="0"/>
    <w:rPr>
      <w:rFonts w:ascii="宋体" w:hAnsi="Courier New" w:eastAsia="宋体" w:cs="Times New Roman"/>
      <w:kern w:val="0"/>
      <w:sz w:val="20"/>
      <w:szCs w:val="21"/>
    </w:rPr>
  </w:style>
  <w:style w:type="paragraph" w:customStyle="1" w:styleId="90">
    <w:name w:val="_Style 93"/>
    <w:basedOn w:val="1"/>
    <w:next w:val="75"/>
    <w:qFormat/>
    <w:uiPriority w:val="99"/>
    <w:pPr>
      <w:ind w:firstLine="420" w:firstLineChars="200"/>
    </w:pPr>
  </w:style>
  <w:style w:type="character" w:customStyle="1" w:styleId="91">
    <w:name w:val="标题 2 Char1"/>
    <w:uiPriority w:val="9"/>
    <w:rPr>
      <w:rFonts w:ascii="Cambria" w:hAnsi="Cambria"/>
      <w:b/>
      <w:bCs/>
      <w:kern w:val="2"/>
      <w:sz w:val="32"/>
      <w:szCs w:val="32"/>
    </w:rPr>
  </w:style>
  <w:style w:type="character" w:customStyle="1" w:styleId="92">
    <w:name w:val="标题 3 Char"/>
    <w:uiPriority w:val="9"/>
    <w:rPr>
      <w:b/>
      <w:bCs/>
      <w:kern w:val="2"/>
      <w:sz w:val="32"/>
      <w:szCs w:val="32"/>
    </w:rPr>
  </w:style>
  <w:style w:type="character" w:customStyle="1" w:styleId="93">
    <w:name w:val="标题 5 Char"/>
    <w:uiPriority w:val="9"/>
    <w:rPr>
      <w:b/>
      <w:bCs/>
      <w:kern w:val="2"/>
      <w:sz w:val="28"/>
      <w:szCs w:val="28"/>
    </w:rPr>
  </w:style>
  <w:style w:type="character" w:customStyle="1" w:styleId="94">
    <w:name w:val="标题 8 Char1"/>
    <w:uiPriority w:val="9"/>
    <w:rPr>
      <w:rFonts w:ascii="等线 Light" w:hAnsi="等线 Light" w:eastAsia="等线 Light"/>
      <w:kern w:val="2"/>
      <w:sz w:val="24"/>
      <w:szCs w:val="24"/>
    </w:rPr>
  </w:style>
  <w:style w:type="character" w:customStyle="1" w:styleId="95">
    <w:name w:val="批注文字 Char1"/>
    <w:qFormat/>
    <w:uiPriority w:val="0"/>
    <w:rPr>
      <w:kern w:val="2"/>
      <w:sz w:val="21"/>
      <w:szCs w:val="24"/>
    </w:rPr>
  </w:style>
  <w:style w:type="character" w:customStyle="1" w:styleId="96">
    <w:name w:val="正文文本 3 Char"/>
    <w:uiPriority w:val="99"/>
    <w:rPr>
      <w:kern w:val="2"/>
      <w:sz w:val="16"/>
      <w:szCs w:val="16"/>
    </w:rPr>
  </w:style>
  <w:style w:type="character" w:customStyle="1" w:styleId="97">
    <w:name w:val="正文文本 Char1"/>
    <w:qFormat/>
    <w:uiPriority w:val="0"/>
    <w:rPr>
      <w:kern w:val="2"/>
      <w:sz w:val="21"/>
      <w:szCs w:val="24"/>
    </w:rPr>
  </w:style>
  <w:style w:type="character" w:customStyle="1" w:styleId="98">
    <w:name w:val="正文文本缩进 Char"/>
    <w:uiPriority w:val="0"/>
    <w:rPr>
      <w:rFonts w:ascii="仿宋_GB2312" w:eastAsia="仿宋_GB2312"/>
      <w:sz w:val="32"/>
    </w:rPr>
  </w:style>
  <w:style w:type="character" w:customStyle="1" w:styleId="99">
    <w:name w:val="日期 Char"/>
    <w:uiPriority w:val="99"/>
    <w:rPr>
      <w:kern w:val="2"/>
      <w:sz w:val="21"/>
      <w:szCs w:val="24"/>
    </w:rPr>
  </w:style>
  <w:style w:type="character" w:customStyle="1" w:styleId="100">
    <w:name w:val="页脚 Char"/>
    <w:qFormat/>
    <w:uiPriority w:val="99"/>
    <w:rPr>
      <w:sz w:val="18"/>
      <w:szCs w:val="18"/>
    </w:rPr>
  </w:style>
  <w:style w:type="character" w:customStyle="1" w:styleId="101">
    <w:name w:val="批注主题 Char"/>
    <w:qFormat/>
    <w:uiPriority w:val="99"/>
    <w:rPr>
      <w:b/>
      <w:bCs/>
      <w:kern w:val="2"/>
      <w:sz w:val="21"/>
      <w:szCs w:val="24"/>
    </w:rPr>
  </w:style>
  <w:style w:type="paragraph" w:customStyle="1" w:styleId="102">
    <w:name w:val="_Style 106"/>
    <w:unhideWhenUsed/>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03">
    <w:name w:val="_Style 107"/>
    <w:basedOn w:val="1"/>
    <w:next w:val="1"/>
    <w:unhideWhenUsed/>
    <w:qFormat/>
    <w:uiPriority w:val="99"/>
    <w:pPr>
      <w:tabs>
        <w:tab w:val="right" w:leader="dot" w:pos="8296"/>
      </w:tabs>
      <w:ind w:left="420" w:leftChars="200"/>
    </w:pPr>
  </w:style>
  <w:style w:type="character" w:customStyle="1" w:styleId="104">
    <w:name w:val="正文首行缩进 2 字符1"/>
    <w:semiHidden/>
    <w:qFormat/>
    <w:uiPriority w:val="99"/>
    <w:rPr>
      <w:rFonts w:ascii="仿宋_GB2312" w:hAnsi="Times New Roman" w:eastAsia="仿宋_GB2312" w:cs="Times New Roman"/>
      <w:kern w:val="2"/>
      <w:sz w:val="21"/>
      <w:szCs w:val="24"/>
    </w:rPr>
  </w:style>
  <w:style w:type="character" w:customStyle="1" w:styleId="105">
    <w:name w:val="正文首行缩进 2 字符2"/>
    <w:semiHidden/>
    <w:uiPriority w:val="99"/>
    <w:rPr>
      <w:rFonts w:ascii="仿宋_GB2312" w:hAnsi="Times New Roman" w:eastAsia="仿宋_GB2312" w:cs="Times New Roman"/>
      <w:kern w:val="2"/>
      <w:sz w:val="21"/>
      <w:szCs w:val="24"/>
    </w:rPr>
  </w:style>
  <w:style w:type="paragraph" w:customStyle="1" w:styleId="106">
    <w:name w:val="msonormal"/>
    <w:basedOn w:val="1"/>
    <w:uiPriority w:val="99"/>
    <w:rPr>
      <w:rFonts w:ascii="Calibri" w:hAnsi="Calibri"/>
      <w:kern w:val="0"/>
      <w:sz w:val="24"/>
    </w:rPr>
  </w:style>
  <w:style w:type="character" w:customStyle="1" w:styleId="107">
    <w:name w:val="正文首行缩进 2 字符3"/>
    <w:semiHidden/>
    <w:qFormat/>
    <w:locked/>
    <w:uiPriority w:val="99"/>
    <w:rPr>
      <w:rFonts w:ascii="仿宋_GB2312" w:hAnsi="Times New Roman" w:eastAsia="仿宋_GB2312" w:cs="Times New Roman"/>
      <w:kern w:val="2"/>
      <w:sz w:val="21"/>
      <w:szCs w:val="24"/>
    </w:rPr>
  </w:style>
  <w:style w:type="character" w:customStyle="1" w:styleId="108">
    <w:name w:val="15"/>
    <w:qFormat/>
    <w:uiPriority w:val="0"/>
    <w:rPr>
      <w:rFonts w:hint="default" w:ascii="Times New Roman" w:hAnsi="Times New Roman" w:eastAsia="宋体" w:cs="Times New Roman"/>
      <w:color w:val="0000FF"/>
      <w:u w:val="single"/>
    </w:rPr>
  </w:style>
  <w:style w:type="paragraph" w:customStyle="1" w:styleId="109">
    <w:name w:val="Char Char Char3"/>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110">
    <w:name w:val="首行缩进"/>
    <w:basedOn w:val="1"/>
    <w:qFormat/>
    <w:uiPriority w:val="0"/>
    <w:pPr>
      <w:ind w:firstLine="480" w:firstLineChars="200"/>
    </w:pPr>
  </w:style>
  <w:style w:type="paragraph" w:customStyle="1" w:styleId="111">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121</Pages>
  <Words>20505</Words>
  <Characters>21821</Characters>
  <Lines>643</Lines>
  <Paragraphs>181</Paragraphs>
  <TotalTime>6</TotalTime>
  <ScaleCrop>false</ScaleCrop>
  <LinksUpToDate>false</LinksUpToDate>
  <CharactersWithSpaces>21995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2025-09-30T16:36:00Z</dcterms:created>
  <dc:creator>Wq(o^^o)</dc:creator>
  <cp:lastModifiedBy>陆</cp:lastModifiedBy>
  <cp:lastPrinted>2021-08-25T16:51:00Z</cp:lastPrinted>
  <dcterms:modified xsi:type="dcterms:W3CDTF">2026-05-09T01:39:18Z</dcterms:modified>
  <dc:title>竞争性谈判文件规范</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76AE2C0E8CC4457B90BBA043C76C8930_13</vt:lpwstr>
  </property>
  <property fmtid="{D5CDD505-2E9C-101B-9397-08002B2CF9AE}" pid="4" name="KSOTemplateDocerSaveRecord">
    <vt:lpwstr>eyJoZGlkIjoiMDQxNzI3MmRmZTYzOGU0YjlmMTRiZjUwNzQ3MDgwODMiLCJ1c2VySWQiOiIyNTY3ODQ3NjUifQ==</vt:lpwstr>
  </property>
</Properties>
</file>