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4E236">
      <w:pPr>
        <w:spacing w:before="156" w:beforeLines="50" w:line="360" w:lineRule="auto"/>
        <w:jc w:val="center"/>
        <w:rPr>
          <w:rFonts w:ascii="宋体" w:hAnsi="宋体"/>
          <w:color w:val="auto"/>
          <w:sz w:val="52"/>
          <w:szCs w:val="52"/>
          <w:highlight w:val="none"/>
        </w:rPr>
      </w:pPr>
      <w:bookmarkStart w:id="0" w:name="_13.5投标文件电子版：具体材料见“投标人须知前附表”。"/>
      <w:bookmarkEnd w:id="0"/>
      <w:bookmarkStart w:id="1" w:name="_18"/>
      <w:bookmarkEnd w:id="1"/>
      <w:bookmarkStart w:id="2" w:name="_16.2"/>
      <w:bookmarkEnd w:id="2"/>
      <w:bookmarkStart w:id="3" w:name="_9.2质疑、投诉应当采用书面形式，质疑函、投诉书均应明确阐述招标文件、"/>
      <w:bookmarkEnd w:id="3"/>
      <w:bookmarkStart w:id="4" w:name="_23.开标时间和地点"/>
      <w:bookmarkEnd w:id="4"/>
      <w:bookmarkStart w:id="5" w:name="_40.1"/>
      <w:bookmarkEnd w:id="5"/>
      <w:bookmarkStart w:id="6" w:name="_42"/>
      <w:bookmarkEnd w:id="6"/>
      <w:bookmarkStart w:id="7" w:name="_13.2"/>
      <w:bookmarkEnd w:id="7"/>
      <w:bookmarkStart w:id="8" w:name="_25.3"/>
      <w:bookmarkEnd w:id="8"/>
      <w:bookmarkStart w:id="9" w:name="_8.1"/>
      <w:bookmarkEnd w:id="9"/>
      <w:bookmarkStart w:id="10" w:name="_41"/>
      <w:bookmarkEnd w:id="10"/>
      <w:bookmarkStart w:id="11" w:name="_39.1"/>
      <w:bookmarkEnd w:id="11"/>
      <w:bookmarkStart w:id="12" w:name="_29.2.2（2）"/>
      <w:bookmarkEnd w:id="12"/>
      <w:bookmarkStart w:id="13" w:name="_13.1报价文件:_具体材料见“投标人须知前附表”。"/>
      <w:bookmarkEnd w:id="13"/>
      <w:bookmarkStart w:id="14" w:name="_18.投标保证金"/>
      <w:bookmarkEnd w:id="14"/>
      <w:bookmarkStart w:id="15" w:name="_25.3_投标人有下列情形之一的，资格审查不通过而导致其投标无效："/>
      <w:bookmarkEnd w:id="15"/>
      <w:bookmarkStart w:id="16" w:name="_16.2投标报价具体定义见投标人须知前附表。"/>
      <w:bookmarkEnd w:id="16"/>
      <w:bookmarkStart w:id="17" w:name="_28.3"/>
      <w:bookmarkEnd w:id="17"/>
      <w:bookmarkStart w:id="18" w:name="_17.1投标有效期应按“投标人须知中的前附表”规定的期限。"/>
      <w:bookmarkEnd w:id="18"/>
      <w:bookmarkStart w:id="19" w:name="_13.3"/>
      <w:bookmarkEnd w:id="19"/>
      <w:bookmarkStart w:id="20" w:name="_八、其他事项"/>
      <w:bookmarkEnd w:id="20"/>
      <w:bookmarkStart w:id="21" w:name="_5.投标费用"/>
      <w:bookmarkEnd w:id="21"/>
      <w:bookmarkStart w:id="22" w:name="_23"/>
      <w:bookmarkEnd w:id="22"/>
      <w:bookmarkStart w:id="23" w:name="_9.2"/>
      <w:bookmarkEnd w:id="23"/>
      <w:bookmarkStart w:id="24" w:name="_28.3评标方法。本项目将按须知前附表规定的评标办法进行评标，具体评标"/>
      <w:bookmarkEnd w:id="24"/>
      <w:bookmarkStart w:id="25" w:name="_13.2资格证明文件：具体材料见“投标人须知前附表”。"/>
      <w:bookmarkEnd w:id="25"/>
      <w:bookmarkStart w:id="26" w:name="_5"/>
      <w:bookmarkEnd w:id="26"/>
      <w:bookmarkStart w:id="27" w:name="_21.1"/>
      <w:bookmarkEnd w:id="27"/>
      <w:bookmarkStart w:id="28" w:name="_26.组建评标委员会"/>
      <w:bookmarkEnd w:id="28"/>
      <w:bookmarkStart w:id="29" w:name="_42.代理服务费"/>
      <w:bookmarkEnd w:id="29"/>
      <w:bookmarkStart w:id="30" w:name="_17.1"/>
      <w:bookmarkEnd w:id="30"/>
      <w:bookmarkStart w:id="31" w:name="_13.4技术文件：具体材料见“投标人须知前附表”。"/>
      <w:bookmarkEnd w:id="31"/>
      <w:bookmarkStart w:id="32" w:name="_21.1投标人必须在“投标人须知中的前附表”规定的投标文件接收时间和投"/>
      <w:bookmarkEnd w:id="32"/>
      <w:bookmarkStart w:id="33" w:name="_13.4"/>
      <w:bookmarkEnd w:id="33"/>
      <w:bookmarkStart w:id="34" w:name="_13.3商务文件:_具体材料见“投标人须知前附表”。"/>
      <w:bookmarkEnd w:id="34"/>
      <w:bookmarkStart w:id="35" w:name="_19.2投标文件应按报价文件、资格证明文件、商务文件、技术文件分别编制"/>
      <w:bookmarkEnd w:id="35"/>
      <w:bookmarkStart w:id="36" w:name="_39.1中标人须于签订合同前按本须知前附表规定的金额转账或电汇到指定账"/>
      <w:bookmarkEnd w:id="36"/>
      <w:bookmarkStart w:id="37" w:name="_41.政府采购合同公告"/>
      <w:bookmarkEnd w:id="37"/>
      <w:bookmarkStart w:id="38" w:name="_26"/>
      <w:bookmarkEnd w:id="38"/>
      <w:bookmarkStart w:id="39" w:name="_40.1投标人接到中标通知书后，按须知前附表规定向采购人出示相关资格证"/>
      <w:bookmarkEnd w:id="39"/>
      <w:r>
        <w:rPr>
          <w:rFonts w:hint="eastAsia" w:ascii="宋体" w:hAnsi="宋体"/>
          <w:color w:val="auto"/>
          <w:sz w:val="52"/>
          <w:szCs w:val="52"/>
          <w:highlight w:val="none"/>
        </w:rPr>
        <w:t>南宁市本级政府采购</w:t>
      </w:r>
    </w:p>
    <w:p w14:paraId="414C6EB3">
      <w:pPr>
        <w:spacing w:before="156" w:beforeLines="50" w:line="360" w:lineRule="auto"/>
        <w:jc w:val="center"/>
        <w:rPr>
          <w:rFonts w:ascii="宋体" w:hAnsi="宋体"/>
          <w:color w:val="auto"/>
          <w:sz w:val="52"/>
          <w:szCs w:val="52"/>
          <w:highlight w:val="none"/>
        </w:rPr>
      </w:pPr>
      <w:r>
        <w:rPr>
          <w:rFonts w:hint="eastAsia" w:ascii="宋体" w:hAnsi="宋体"/>
          <w:color w:val="auto"/>
          <w:sz w:val="52"/>
          <w:szCs w:val="52"/>
          <w:highlight w:val="none"/>
        </w:rPr>
        <w:t>竞争性磋商文件（服务类）</w:t>
      </w:r>
    </w:p>
    <w:p w14:paraId="251CA495">
      <w:pPr>
        <w:spacing w:before="156" w:beforeLines="50" w:line="360" w:lineRule="auto"/>
        <w:jc w:val="center"/>
        <w:rPr>
          <w:rFonts w:ascii="宋体" w:hAnsi="宋体"/>
          <w:color w:val="auto"/>
          <w:sz w:val="36"/>
          <w:szCs w:val="36"/>
          <w:highlight w:val="none"/>
        </w:rPr>
      </w:pPr>
    </w:p>
    <w:p w14:paraId="771440FA">
      <w:pPr>
        <w:snapToGrid w:val="0"/>
        <w:spacing w:before="156" w:beforeLines="50" w:line="360" w:lineRule="auto"/>
        <w:jc w:val="center"/>
        <w:rPr>
          <w:rFonts w:ascii="方正小标宋简体" w:hAnsi="方正小标宋简体" w:eastAsia="方正小标宋简体" w:cs="方正小标宋简体"/>
          <w:color w:val="auto"/>
          <w:sz w:val="44"/>
          <w:szCs w:val="44"/>
          <w:highlight w:val="none"/>
        </w:rPr>
      </w:pPr>
      <w:r>
        <w:rPr>
          <w:rFonts w:hint="eastAsia" w:ascii="华文新魏" w:hAnsi="宋体" w:eastAsia="华文新魏"/>
          <w:color w:val="auto"/>
          <w:sz w:val="72"/>
          <w:szCs w:val="72"/>
          <w:highlight w:val="none"/>
        </w:rPr>
        <w:t>竞争性磋商文件</w:t>
      </w:r>
      <w:bookmarkStart w:id="78" w:name="_GoBack"/>
      <w:bookmarkEnd w:id="78"/>
    </w:p>
    <w:p w14:paraId="5F7F7D4D">
      <w:pPr>
        <w:spacing w:before="312" w:beforeLines="100" w:after="156" w:afterLines="50" w:line="360" w:lineRule="auto"/>
        <w:jc w:val="center"/>
        <w:rPr>
          <w:rFonts w:ascii="宋体" w:hAnsi="宋体"/>
          <w:color w:val="auto"/>
          <w:sz w:val="28"/>
          <w:szCs w:val="28"/>
          <w:highlight w:val="none"/>
        </w:rPr>
      </w:pPr>
      <w:r>
        <w:rPr>
          <w:rFonts w:hint="eastAsia" w:ascii="宋体" w:hAnsi="宋体"/>
          <w:color w:val="auto"/>
          <w:sz w:val="28"/>
          <w:szCs w:val="28"/>
          <w:highlight w:val="none"/>
        </w:rPr>
        <w:t>（全流程电子化评标）</w:t>
      </w:r>
    </w:p>
    <w:p w14:paraId="1B3941CF">
      <w:pPr>
        <w:spacing w:line="360" w:lineRule="auto"/>
        <w:ind w:firstLine="1426" w:firstLineChars="444"/>
        <w:rPr>
          <w:rFonts w:ascii="仿宋_GB2312" w:hAnsi="宋体" w:eastAsia="仿宋_GB2312"/>
          <w:b/>
          <w:color w:val="auto"/>
          <w:sz w:val="32"/>
          <w:szCs w:val="32"/>
          <w:highlight w:val="none"/>
        </w:rPr>
      </w:pPr>
    </w:p>
    <w:p w14:paraId="514EC398">
      <w:pPr>
        <w:spacing w:line="360" w:lineRule="auto"/>
        <w:ind w:firstLine="1426" w:firstLineChars="444"/>
        <w:rPr>
          <w:rFonts w:ascii="仿宋_GB2312" w:hAnsi="宋体" w:eastAsia="仿宋_GB2312"/>
          <w:b/>
          <w:color w:val="auto"/>
          <w:sz w:val="32"/>
          <w:szCs w:val="32"/>
          <w:highlight w:val="none"/>
        </w:rPr>
      </w:pPr>
    </w:p>
    <w:p w14:paraId="11C71E21">
      <w:pPr>
        <w:spacing w:line="360" w:lineRule="auto"/>
        <w:ind w:firstLine="1426" w:firstLineChars="444"/>
        <w:rPr>
          <w:rFonts w:ascii="仿宋_GB2312" w:hAnsi="宋体" w:eastAsia="仿宋_GB2312"/>
          <w:b/>
          <w:color w:val="auto"/>
          <w:sz w:val="32"/>
          <w:szCs w:val="32"/>
          <w:highlight w:val="none"/>
        </w:rPr>
      </w:pPr>
    </w:p>
    <w:p w14:paraId="015D9CD5">
      <w:pPr>
        <w:spacing w:line="360" w:lineRule="auto"/>
        <w:ind w:left="3120" w:leftChars="744" w:hanging="1558" w:hangingChars="485"/>
        <w:rPr>
          <w:rFonts w:hint="eastAsia" w:ascii="仿宋_GB2312" w:hAnsi="宋体" w:eastAsia="仿宋_GB2312"/>
          <w:b/>
          <w:color w:val="auto"/>
          <w:sz w:val="32"/>
          <w:szCs w:val="32"/>
          <w:highlight w:val="none"/>
          <w:lang w:eastAsia="zh-CN"/>
        </w:rPr>
      </w:pPr>
      <w:r>
        <w:rPr>
          <w:rFonts w:hint="eastAsia" w:ascii="仿宋_GB2312" w:hAnsi="宋体" w:eastAsia="仿宋_GB2312"/>
          <w:b/>
          <w:color w:val="auto"/>
          <w:sz w:val="32"/>
          <w:szCs w:val="32"/>
          <w:highlight w:val="none"/>
        </w:rPr>
        <w:t>项目名称：</w:t>
      </w:r>
      <w:r>
        <w:rPr>
          <w:rFonts w:hint="eastAsia" w:ascii="仿宋_GB2312" w:hAnsi="宋体" w:eastAsia="仿宋_GB2312"/>
          <w:b/>
          <w:color w:val="auto"/>
          <w:sz w:val="32"/>
          <w:szCs w:val="32"/>
          <w:highlight w:val="none"/>
          <w:lang w:eastAsia="zh-CN"/>
        </w:rPr>
        <w:t>南宁市环境应急、涉重金属环境安全隐患排查整治及地下水环境监测服务项目</w:t>
      </w:r>
    </w:p>
    <w:p w14:paraId="62169660">
      <w:pPr>
        <w:spacing w:line="360" w:lineRule="auto"/>
        <w:ind w:firstLine="1558" w:firstLineChars="485"/>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项目编号：NNZC2026-C3-990224-GXTZ</w:t>
      </w:r>
    </w:p>
    <w:p w14:paraId="7EF0AD2E">
      <w:pPr>
        <w:spacing w:line="360" w:lineRule="auto"/>
        <w:ind w:firstLine="1558" w:firstLineChars="485"/>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所属行政区划：南宁市本级</w:t>
      </w:r>
    </w:p>
    <w:p w14:paraId="6969F3B8">
      <w:pPr>
        <w:spacing w:line="360" w:lineRule="auto"/>
        <w:ind w:firstLine="1558" w:firstLineChars="485"/>
        <w:rPr>
          <w:rFonts w:hint="eastAsia" w:ascii="仿宋_GB2312" w:hAnsi="宋体" w:eastAsia="仿宋_GB2312"/>
          <w:b/>
          <w:color w:val="auto"/>
          <w:sz w:val="32"/>
          <w:szCs w:val="32"/>
          <w:highlight w:val="none"/>
          <w:lang w:eastAsia="zh-CN"/>
        </w:rPr>
      </w:pPr>
      <w:r>
        <w:rPr>
          <w:rFonts w:hint="eastAsia" w:ascii="仿宋_GB2312" w:hAnsi="宋体" w:eastAsia="仿宋_GB2312"/>
          <w:b/>
          <w:color w:val="auto"/>
          <w:sz w:val="32"/>
          <w:szCs w:val="32"/>
          <w:highlight w:val="none"/>
        </w:rPr>
        <w:t>采 购 人：</w:t>
      </w:r>
      <w:r>
        <w:rPr>
          <w:rFonts w:hint="eastAsia" w:ascii="仿宋_GB2312" w:hAnsi="宋体" w:eastAsia="仿宋_GB2312"/>
          <w:b/>
          <w:color w:val="auto"/>
          <w:sz w:val="32"/>
          <w:szCs w:val="32"/>
          <w:highlight w:val="none"/>
          <w:lang w:eastAsia="zh-CN"/>
        </w:rPr>
        <w:t>南宁市生态环境局</w:t>
      </w:r>
    </w:p>
    <w:p w14:paraId="3ED9BE98">
      <w:pPr>
        <w:spacing w:line="360" w:lineRule="auto"/>
        <w:ind w:firstLine="1558" w:firstLineChars="485"/>
        <w:rPr>
          <w:rFonts w:hint="eastAsia" w:ascii="仿宋_GB2312" w:hAnsi="宋体" w:eastAsia="仿宋_GB2312"/>
          <w:b/>
          <w:color w:val="auto"/>
          <w:sz w:val="32"/>
          <w:szCs w:val="32"/>
          <w:highlight w:val="none"/>
          <w:lang w:eastAsia="zh-CN"/>
        </w:rPr>
      </w:pPr>
      <w:r>
        <w:rPr>
          <w:rFonts w:hint="eastAsia" w:ascii="仿宋_GB2312" w:hAnsi="宋体" w:eastAsia="仿宋_GB2312"/>
          <w:b/>
          <w:color w:val="auto"/>
          <w:sz w:val="32"/>
          <w:szCs w:val="32"/>
          <w:highlight w:val="none"/>
        </w:rPr>
        <w:t>采购代理机构：</w:t>
      </w:r>
      <w:r>
        <w:rPr>
          <w:rFonts w:hint="eastAsia" w:ascii="仿宋_GB2312" w:hAnsi="宋体" w:eastAsia="仿宋_GB2312"/>
          <w:b/>
          <w:color w:val="auto"/>
          <w:sz w:val="32"/>
          <w:szCs w:val="32"/>
          <w:highlight w:val="none"/>
          <w:lang w:eastAsia="zh-CN"/>
        </w:rPr>
        <w:t>广西同泽工程项目管理股份有限公司</w:t>
      </w:r>
    </w:p>
    <w:p w14:paraId="45FFAEC9">
      <w:pPr>
        <w:spacing w:line="360" w:lineRule="auto"/>
        <w:ind w:firstLine="1558" w:firstLineChars="485"/>
        <w:rPr>
          <w:rFonts w:ascii="仿宋_GB2312" w:hAnsi="宋体" w:eastAsia="仿宋_GB2312"/>
          <w:b/>
          <w:color w:val="auto"/>
          <w:sz w:val="32"/>
          <w:szCs w:val="32"/>
          <w:highlight w:val="none"/>
        </w:rPr>
      </w:pPr>
    </w:p>
    <w:p w14:paraId="6FA2A03A">
      <w:pPr>
        <w:spacing w:line="360" w:lineRule="auto"/>
        <w:jc w:val="center"/>
        <w:rPr>
          <w:rFonts w:ascii="仿宋_GB2312" w:hAnsi="宋体" w:eastAsia="仿宋_GB2312"/>
          <w:b/>
          <w:color w:val="auto"/>
          <w:sz w:val="32"/>
          <w:szCs w:val="32"/>
          <w:highlight w:val="none"/>
        </w:rPr>
        <w:sectPr>
          <w:headerReference r:id="rId3" w:type="default"/>
          <w:pgSz w:w="11906" w:h="16838"/>
          <w:pgMar w:top="1440" w:right="1440" w:bottom="1440" w:left="1587" w:header="851" w:footer="772" w:gutter="0"/>
          <w:pgNumType w:start="0"/>
          <w:cols w:space="720" w:num="1"/>
          <w:docGrid w:type="lines" w:linePitch="312" w:charSpace="0"/>
        </w:sectPr>
      </w:pPr>
      <w:r>
        <w:rPr>
          <w:rFonts w:hint="eastAsia" w:ascii="仿宋_GB2312" w:hAnsi="宋体" w:eastAsia="仿宋_GB2312"/>
          <w:b/>
          <w:color w:val="auto"/>
          <w:sz w:val="32"/>
          <w:szCs w:val="32"/>
          <w:highlight w:val="none"/>
        </w:rPr>
        <w:t>2026年</w:t>
      </w:r>
      <w:r>
        <w:rPr>
          <w:rFonts w:hint="eastAsia" w:ascii="仿宋_GB2312" w:hAnsi="宋体" w:eastAsia="仿宋_GB2312"/>
          <w:b/>
          <w:color w:val="auto"/>
          <w:sz w:val="32"/>
          <w:szCs w:val="32"/>
          <w:highlight w:val="none"/>
          <w:lang w:val="en-US" w:eastAsia="zh-CN"/>
        </w:rPr>
        <w:t>5</w:t>
      </w:r>
      <w:r>
        <w:rPr>
          <w:rFonts w:hint="eastAsia" w:ascii="仿宋_GB2312" w:hAnsi="宋体" w:eastAsia="仿宋_GB2312"/>
          <w:b/>
          <w:color w:val="auto"/>
          <w:sz w:val="32"/>
          <w:szCs w:val="32"/>
          <w:highlight w:val="none"/>
        </w:rPr>
        <w:t>月</w:t>
      </w:r>
    </w:p>
    <w:p w14:paraId="545C60E8">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14:paraId="0E87D254">
      <w:pPr>
        <w:tabs>
          <w:tab w:val="right" w:leader="dot" w:pos="8869"/>
        </w:tabs>
        <w:rPr>
          <w:rFonts w:ascii="Calibri" w:hAnsi="Calibri"/>
          <w:color w:val="auto"/>
          <w:szCs w:val="22"/>
          <w:highlight w:val="none"/>
        </w:rPr>
      </w:pPr>
      <w:r>
        <w:rPr>
          <w:rFonts w:hint="eastAsia" w:ascii="宋体" w:hAnsi="宋体"/>
          <w:color w:val="auto"/>
          <w:sz w:val="32"/>
          <w:szCs w:val="32"/>
          <w:highlight w:val="none"/>
        </w:rPr>
        <w:fldChar w:fldCharType="begin"/>
      </w:r>
      <w:r>
        <w:rPr>
          <w:rFonts w:hint="eastAsia" w:ascii="宋体" w:hAnsi="宋体"/>
          <w:color w:val="auto"/>
          <w:sz w:val="32"/>
          <w:szCs w:val="32"/>
          <w:highlight w:val="none"/>
        </w:rPr>
        <w:instrText xml:space="preserve">TOC \o "1-3" \h \z \u </w:instrText>
      </w:r>
      <w:r>
        <w:rPr>
          <w:rFonts w:hint="eastAsia" w:ascii="宋体" w:hAnsi="宋体"/>
          <w:color w:val="auto"/>
          <w:sz w:val="32"/>
          <w:szCs w:val="32"/>
          <w:highlight w:val="none"/>
        </w:rPr>
        <w:fldChar w:fldCharType="separate"/>
      </w:r>
      <w:r>
        <w:rPr>
          <w:color w:val="auto"/>
          <w:highlight w:val="none"/>
        </w:rPr>
        <w:fldChar w:fldCharType="begin"/>
      </w:r>
      <w:r>
        <w:rPr>
          <w:color w:val="auto"/>
          <w:highlight w:val="none"/>
        </w:rPr>
        <w:instrText xml:space="preserve"> HYPERLINK \l "_Toc213251773" </w:instrText>
      </w:r>
      <w:r>
        <w:rPr>
          <w:color w:val="auto"/>
          <w:highlight w:val="none"/>
        </w:rPr>
        <w:fldChar w:fldCharType="separate"/>
      </w:r>
      <w:r>
        <w:rPr>
          <w:rFonts w:hint="eastAsia"/>
          <w:color w:val="auto"/>
          <w:highlight w:val="none"/>
        </w:rPr>
        <w:t>第一章竞争性磋</w:t>
      </w:r>
      <w:bookmarkStart w:id="40" w:name="_Hlt216682858"/>
      <w:bookmarkStart w:id="41" w:name="_Hlt216682857"/>
      <w:r>
        <w:rPr>
          <w:rFonts w:hint="eastAsia"/>
          <w:color w:val="auto"/>
          <w:highlight w:val="none"/>
        </w:rPr>
        <w:t>商</w:t>
      </w:r>
      <w:bookmarkEnd w:id="40"/>
      <w:bookmarkEnd w:id="41"/>
      <w:r>
        <w:rPr>
          <w:rFonts w:hint="eastAsia"/>
          <w:color w:val="auto"/>
          <w:highlight w:val="none"/>
        </w:rPr>
        <w:t>公告</w:t>
      </w:r>
      <w:r>
        <w:rPr>
          <w:color w:val="auto"/>
          <w:highlight w:val="none"/>
        </w:rPr>
        <w:tab/>
      </w:r>
      <w:r>
        <w:rPr>
          <w:color w:val="auto"/>
          <w:highlight w:val="none"/>
        </w:rPr>
        <w:fldChar w:fldCharType="begin"/>
      </w:r>
      <w:r>
        <w:rPr>
          <w:color w:val="auto"/>
          <w:highlight w:val="none"/>
        </w:rPr>
        <w:instrText xml:space="preserve"> PAGEREF _Toc213251773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5E517407">
      <w:pPr>
        <w:tabs>
          <w:tab w:val="right" w:leader="dot" w:pos="8869"/>
        </w:tabs>
        <w:rPr>
          <w:rFonts w:ascii="Calibri" w:hAnsi="Calibri"/>
          <w:color w:val="auto"/>
          <w:szCs w:val="22"/>
          <w:highlight w:val="none"/>
        </w:rPr>
      </w:pPr>
      <w:r>
        <w:rPr>
          <w:color w:val="auto"/>
          <w:highlight w:val="none"/>
        </w:rPr>
        <w:fldChar w:fldCharType="begin"/>
      </w:r>
      <w:r>
        <w:rPr>
          <w:color w:val="auto"/>
          <w:highlight w:val="none"/>
        </w:rPr>
        <w:instrText xml:space="preserve"> HYPERLINK \l "_Toc213251774" </w:instrText>
      </w:r>
      <w:r>
        <w:rPr>
          <w:color w:val="auto"/>
          <w:highlight w:val="none"/>
        </w:rPr>
        <w:fldChar w:fldCharType="separate"/>
      </w:r>
      <w:r>
        <w:rPr>
          <w:rFonts w:hint="eastAsia" w:ascii="Cambria" w:hAnsi="Cambria"/>
          <w:color w:val="auto"/>
          <w:highlight w:val="none"/>
        </w:rPr>
        <w:t>第二章采购需</w:t>
      </w:r>
      <w:bookmarkStart w:id="42" w:name="_Hlt221126557"/>
      <w:bookmarkStart w:id="43" w:name="_Hlt221126556"/>
      <w:r>
        <w:rPr>
          <w:rFonts w:hint="eastAsia" w:ascii="Cambria" w:hAnsi="Cambria"/>
          <w:color w:val="auto"/>
          <w:highlight w:val="none"/>
        </w:rPr>
        <w:t>求</w:t>
      </w:r>
      <w:bookmarkEnd w:id="42"/>
      <w:bookmarkEnd w:id="43"/>
      <w:r>
        <w:rPr>
          <w:color w:val="auto"/>
          <w:highlight w:val="none"/>
        </w:rPr>
        <w:tab/>
      </w:r>
      <w:r>
        <w:rPr>
          <w:color w:val="auto"/>
          <w:highlight w:val="none"/>
        </w:rPr>
        <w:fldChar w:fldCharType="begin"/>
      </w:r>
      <w:r>
        <w:rPr>
          <w:color w:val="auto"/>
          <w:highlight w:val="none"/>
        </w:rPr>
        <w:instrText xml:space="preserve"> PAGEREF _Toc213251774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033672D5">
      <w:pPr>
        <w:tabs>
          <w:tab w:val="right" w:leader="dot" w:pos="8869"/>
        </w:tabs>
        <w:rPr>
          <w:rFonts w:ascii="Calibri" w:hAnsi="Calibri"/>
          <w:color w:val="auto"/>
          <w:szCs w:val="22"/>
          <w:highlight w:val="none"/>
        </w:rPr>
      </w:pPr>
      <w:r>
        <w:rPr>
          <w:color w:val="auto"/>
          <w:highlight w:val="none"/>
        </w:rPr>
        <w:fldChar w:fldCharType="begin"/>
      </w:r>
      <w:r>
        <w:rPr>
          <w:color w:val="auto"/>
          <w:highlight w:val="none"/>
        </w:rPr>
        <w:instrText xml:space="preserve"> HYPERLINK \l "_Toc213251775" </w:instrText>
      </w:r>
      <w:r>
        <w:rPr>
          <w:color w:val="auto"/>
          <w:highlight w:val="none"/>
        </w:rPr>
        <w:fldChar w:fldCharType="separate"/>
      </w:r>
      <w:r>
        <w:rPr>
          <w:rFonts w:hint="eastAsia" w:ascii="Cambria" w:hAnsi="Cambria"/>
          <w:color w:val="auto"/>
          <w:highlight w:val="none"/>
        </w:rPr>
        <w:t>第三章供应商须知</w:t>
      </w:r>
      <w:r>
        <w:rPr>
          <w:color w:val="auto"/>
          <w:highlight w:val="none"/>
        </w:rPr>
        <w:tab/>
      </w:r>
      <w:r>
        <w:rPr>
          <w:color w:val="auto"/>
          <w:highlight w:val="none"/>
        </w:rPr>
        <w:fldChar w:fldCharType="begin"/>
      </w:r>
      <w:r>
        <w:rPr>
          <w:color w:val="auto"/>
          <w:highlight w:val="none"/>
        </w:rPr>
        <w:instrText xml:space="preserve"> PAGEREF _Toc213251775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7680BA4F">
      <w:pPr>
        <w:tabs>
          <w:tab w:val="right" w:leader="dot" w:pos="8869"/>
        </w:tabs>
        <w:ind w:left="420" w:leftChars="200"/>
        <w:rPr>
          <w:rFonts w:ascii="Calibri" w:hAnsi="Calibri"/>
          <w:color w:val="auto"/>
          <w:szCs w:val="22"/>
          <w:highlight w:val="none"/>
        </w:rPr>
      </w:pPr>
      <w:r>
        <w:rPr>
          <w:color w:val="auto"/>
          <w:highlight w:val="none"/>
        </w:rPr>
        <w:fldChar w:fldCharType="begin"/>
      </w:r>
      <w:r>
        <w:rPr>
          <w:color w:val="auto"/>
          <w:highlight w:val="none"/>
        </w:rPr>
        <w:instrText xml:space="preserve"> HYPERLINK \l "_Toc213251776" </w:instrText>
      </w:r>
      <w:r>
        <w:rPr>
          <w:color w:val="auto"/>
          <w:highlight w:val="none"/>
        </w:rPr>
        <w:fldChar w:fldCharType="separate"/>
      </w:r>
      <w:r>
        <w:rPr>
          <w:rFonts w:hint="eastAsia" w:ascii="宋体" w:hAnsi="宋体"/>
          <w:color w:val="auto"/>
          <w:highlight w:val="none"/>
        </w:rPr>
        <w:t>第一节供应商须知前附表</w:t>
      </w:r>
      <w:r>
        <w:rPr>
          <w:color w:val="auto"/>
          <w:highlight w:val="none"/>
        </w:rPr>
        <w:tab/>
      </w:r>
      <w:r>
        <w:rPr>
          <w:color w:val="auto"/>
          <w:highlight w:val="none"/>
        </w:rPr>
        <w:fldChar w:fldCharType="begin"/>
      </w:r>
      <w:r>
        <w:rPr>
          <w:color w:val="auto"/>
          <w:highlight w:val="none"/>
        </w:rPr>
        <w:instrText xml:space="preserve"> PAGEREF _Toc213251776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7CA0BF90">
      <w:pPr>
        <w:tabs>
          <w:tab w:val="right" w:leader="dot" w:pos="8869"/>
        </w:tabs>
        <w:ind w:left="420" w:leftChars="200"/>
        <w:rPr>
          <w:rFonts w:ascii="Calibri" w:hAnsi="Calibri"/>
          <w:color w:val="auto"/>
          <w:szCs w:val="22"/>
          <w:highlight w:val="none"/>
        </w:rPr>
      </w:pPr>
      <w:r>
        <w:rPr>
          <w:color w:val="auto"/>
          <w:highlight w:val="none"/>
        </w:rPr>
        <w:fldChar w:fldCharType="begin"/>
      </w:r>
      <w:r>
        <w:rPr>
          <w:color w:val="auto"/>
          <w:highlight w:val="none"/>
        </w:rPr>
        <w:instrText xml:space="preserve"> HYPERLINK \l "_Toc213251777" </w:instrText>
      </w:r>
      <w:r>
        <w:rPr>
          <w:color w:val="auto"/>
          <w:highlight w:val="none"/>
        </w:rPr>
        <w:fldChar w:fldCharType="separate"/>
      </w:r>
      <w:r>
        <w:rPr>
          <w:rFonts w:hint="eastAsia" w:ascii="宋体" w:hAnsi="宋体"/>
          <w:color w:val="auto"/>
          <w:highlight w:val="none"/>
        </w:rPr>
        <w:t>第二节供应商须知正文</w:t>
      </w:r>
      <w:r>
        <w:rPr>
          <w:color w:val="auto"/>
          <w:highlight w:val="none"/>
        </w:rPr>
        <w:tab/>
      </w:r>
      <w:r>
        <w:rPr>
          <w:color w:val="auto"/>
          <w:highlight w:val="none"/>
        </w:rPr>
        <w:fldChar w:fldCharType="begin"/>
      </w:r>
      <w:r>
        <w:rPr>
          <w:color w:val="auto"/>
          <w:highlight w:val="none"/>
        </w:rPr>
        <w:instrText xml:space="preserve"> PAGEREF _Toc213251777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63390C0C">
      <w:pPr>
        <w:tabs>
          <w:tab w:val="right" w:leader="dot" w:pos="8869"/>
        </w:tabs>
        <w:ind w:left="840" w:leftChars="400"/>
        <w:rPr>
          <w:rFonts w:ascii="Calibri" w:hAnsi="Calibri"/>
          <w:color w:val="auto"/>
          <w:szCs w:val="22"/>
          <w:highlight w:val="none"/>
        </w:rPr>
      </w:pPr>
      <w:r>
        <w:rPr>
          <w:color w:val="auto"/>
          <w:highlight w:val="none"/>
        </w:rPr>
        <w:fldChar w:fldCharType="begin"/>
      </w:r>
      <w:r>
        <w:rPr>
          <w:color w:val="auto"/>
          <w:highlight w:val="none"/>
        </w:rPr>
        <w:instrText xml:space="preserve"> HYPERLINK \l "_Toc213251778" </w:instrText>
      </w:r>
      <w:r>
        <w:rPr>
          <w:color w:val="auto"/>
          <w:highlight w:val="none"/>
        </w:rPr>
        <w:fldChar w:fldCharType="separate"/>
      </w:r>
      <w:r>
        <w:rPr>
          <w:rFonts w:hint="eastAsia" w:ascii="宋体" w:hAnsi="宋体"/>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_Toc213251778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1D4E187E">
      <w:pPr>
        <w:tabs>
          <w:tab w:val="right" w:leader="dot" w:pos="8869"/>
        </w:tabs>
        <w:ind w:left="840" w:leftChars="400"/>
        <w:rPr>
          <w:rFonts w:ascii="Calibri" w:hAnsi="Calibri"/>
          <w:color w:val="auto"/>
          <w:szCs w:val="22"/>
          <w:highlight w:val="none"/>
        </w:rPr>
      </w:pPr>
      <w:r>
        <w:rPr>
          <w:color w:val="auto"/>
          <w:highlight w:val="none"/>
        </w:rPr>
        <w:fldChar w:fldCharType="begin"/>
      </w:r>
      <w:r>
        <w:rPr>
          <w:color w:val="auto"/>
          <w:highlight w:val="none"/>
        </w:rPr>
        <w:instrText xml:space="preserve"> HYPERLINK \l "_Toc213251779" </w:instrText>
      </w:r>
      <w:r>
        <w:rPr>
          <w:color w:val="auto"/>
          <w:highlight w:val="none"/>
        </w:rPr>
        <w:fldChar w:fldCharType="separate"/>
      </w:r>
      <w:r>
        <w:rPr>
          <w:rFonts w:hint="eastAsia" w:ascii="宋体" w:hAnsi="宋体"/>
          <w:color w:val="auto"/>
          <w:highlight w:val="none"/>
        </w:rPr>
        <w:t>二、磋商文件</w:t>
      </w:r>
      <w:r>
        <w:rPr>
          <w:color w:val="auto"/>
          <w:highlight w:val="none"/>
        </w:rPr>
        <w:tab/>
      </w:r>
      <w:r>
        <w:rPr>
          <w:color w:val="auto"/>
          <w:highlight w:val="none"/>
        </w:rPr>
        <w:fldChar w:fldCharType="begin"/>
      </w:r>
      <w:r>
        <w:rPr>
          <w:color w:val="auto"/>
          <w:highlight w:val="none"/>
        </w:rPr>
        <w:instrText xml:space="preserve"> PAGEREF _Toc213251779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75BF0AFD">
      <w:pPr>
        <w:tabs>
          <w:tab w:val="right" w:leader="dot" w:pos="8869"/>
        </w:tabs>
        <w:ind w:left="840" w:leftChars="400"/>
        <w:rPr>
          <w:rFonts w:ascii="Calibri" w:hAnsi="Calibri"/>
          <w:color w:val="auto"/>
          <w:szCs w:val="22"/>
          <w:highlight w:val="none"/>
        </w:rPr>
      </w:pPr>
      <w:r>
        <w:rPr>
          <w:color w:val="auto"/>
          <w:highlight w:val="none"/>
        </w:rPr>
        <w:fldChar w:fldCharType="begin"/>
      </w:r>
      <w:r>
        <w:rPr>
          <w:color w:val="auto"/>
          <w:highlight w:val="none"/>
        </w:rPr>
        <w:instrText xml:space="preserve"> HYPERLINK \l "_Toc213251780" </w:instrText>
      </w:r>
      <w:r>
        <w:rPr>
          <w:color w:val="auto"/>
          <w:highlight w:val="none"/>
        </w:rPr>
        <w:fldChar w:fldCharType="separate"/>
      </w:r>
      <w:r>
        <w:rPr>
          <w:rFonts w:hint="eastAsia" w:ascii="宋体" w:hAnsi="宋体"/>
          <w:color w:val="auto"/>
          <w:highlight w:val="none"/>
        </w:rPr>
        <w:t>三、响应文件的编制</w:t>
      </w:r>
      <w:r>
        <w:rPr>
          <w:color w:val="auto"/>
          <w:highlight w:val="none"/>
        </w:rPr>
        <w:tab/>
      </w:r>
      <w:r>
        <w:rPr>
          <w:color w:val="auto"/>
          <w:highlight w:val="none"/>
        </w:rPr>
        <w:fldChar w:fldCharType="begin"/>
      </w:r>
      <w:r>
        <w:rPr>
          <w:color w:val="auto"/>
          <w:highlight w:val="none"/>
        </w:rPr>
        <w:instrText xml:space="preserve"> PAGEREF _Toc213251780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3971C51C">
      <w:pPr>
        <w:tabs>
          <w:tab w:val="right" w:leader="dot" w:pos="8869"/>
        </w:tabs>
        <w:ind w:left="840" w:leftChars="400"/>
        <w:rPr>
          <w:rFonts w:ascii="Calibri" w:hAnsi="Calibri"/>
          <w:color w:val="auto"/>
          <w:szCs w:val="22"/>
          <w:highlight w:val="none"/>
        </w:rPr>
      </w:pPr>
      <w:r>
        <w:rPr>
          <w:color w:val="auto"/>
          <w:highlight w:val="none"/>
        </w:rPr>
        <w:fldChar w:fldCharType="begin"/>
      </w:r>
      <w:r>
        <w:rPr>
          <w:color w:val="auto"/>
          <w:highlight w:val="none"/>
        </w:rPr>
        <w:instrText xml:space="preserve"> HYPERLINK \l "_Toc213251781" </w:instrText>
      </w:r>
      <w:r>
        <w:rPr>
          <w:color w:val="auto"/>
          <w:highlight w:val="none"/>
        </w:rPr>
        <w:fldChar w:fldCharType="separate"/>
      </w:r>
      <w:r>
        <w:rPr>
          <w:rFonts w:hint="eastAsia" w:ascii="宋体" w:hAnsi="宋体"/>
          <w:color w:val="auto"/>
          <w:highlight w:val="none"/>
        </w:rPr>
        <w:t>四、评审及磋商</w:t>
      </w:r>
      <w:r>
        <w:rPr>
          <w:color w:val="auto"/>
          <w:highlight w:val="none"/>
        </w:rPr>
        <w:tab/>
      </w:r>
      <w:r>
        <w:rPr>
          <w:color w:val="auto"/>
          <w:highlight w:val="none"/>
        </w:rPr>
        <w:fldChar w:fldCharType="begin"/>
      </w:r>
      <w:r>
        <w:rPr>
          <w:color w:val="auto"/>
          <w:highlight w:val="none"/>
        </w:rPr>
        <w:instrText xml:space="preserve"> PAGEREF _Toc213251781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1B6DF022">
      <w:pPr>
        <w:tabs>
          <w:tab w:val="right" w:leader="dot" w:pos="8869"/>
        </w:tabs>
        <w:ind w:left="840" w:leftChars="400"/>
        <w:rPr>
          <w:rFonts w:ascii="Calibri" w:hAnsi="Calibri"/>
          <w:color w:val="auto"/>
          <w:szCs w:val="22"/>
          <w:highlight w:val="none"/>
        </w:rPr>
      </w:pPr>
      <w:r>
        <w:rPr>
          <w:color w:val="auto"/>
          <w:highlight w:val="none"/>
        </w:rPr>
        <w:fldChar w:fldCharType="begin"/>
      </w:r>
      <w:r>
        <w:rPr>
          <w:color w:val="auto"/>
          <w:highlight w:val="none"/>
        </w:rPr>
        <w:instrText xml:space="preserve"> HYPERLINK \l "_Toc213251782" </w:instrText>
      </w:r>
      <w:r>
        <w:rPr>
          <w:color w:val="auto"/>
          <w:highlight w:val="none"/>
        </w:rPr>
        <w:fldChar w:fldCharType="separate"/>
      </w:r>
      <w:r>
        <w:rPr>
          <w:rFonts w:hint="eastAsia" w:ascii="宋体" w:hAnsi="宋体"/>
          <w:color w:val="auto"/>
          <w:highlight w:val="none"/>
        </w:rPr>
        <w:t>五、成交及合同</w:t>
      </w:r>
      <w:r>
        <w:rPr>
          <w:color w:val="auto"/>
          <w:highlight w:val="none"/>
        </w:rPr>
        <w:tab/>
      </w:r>
      <w:r>
        <w:rPr>
          <w:color w:val="auto"/>
          <w:highlight w:val="none"/>
        </w:rPr>
        <w:fldChar w:fldCharType="begin"/>
      </w:r>
      <w:r>
        <w:rPr>
          <w:color w:val="auto"/>
          <w:highlight w:val="none"/>
        </w:rPr>
        <w:instrText xml:space="preserve"> PAGEREF _Toc213251782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265335C5">
      <w:pPr>
        <w:tabs>
          <w:tab w:val="right" w:leader="dot" w:pos="8869"/>
        </w:tabs>
        <w:ind w:left="840" w:leftChars="400"/>
        <w:rPr>
          <w:rFonts w:ascii="Calibri" w:hAnsi="Calibri"/>
          <w:color w:val="auto"/>
          <w:szCs w:val="22"/>
          <w:highlight w:val="none"/>
        </w:rPr>
      </w:pPr>
      <w:r>
        <w:rPr>
          <w:color w:val="auto"/>
          <w:highlight w:val="none"/>
        </w:rPr>
        <w:fldChar w:fldCharType="begin"/>
      </w:r>
      <w:r>
        <w:rPr>
          <w:color w:val="auto"/>
          <w:highlight w:val="none"/>
        </w:rPr>
        <w:instrText xml:space="preserve"> HYPERLINK \l "_Toc213251783" </w:instrText>
      </w:r>
      <w:r>
        <w:rPr>
          <w:color w:val="auto"/>
          <w:highlight w:val="none"/>
        </w:rPr>
        <w:fldChar w:fldCharType="separate"/>
      </w:r>
      <w:r>
        <w:rPr>
          <w:rFonts w:hint="eastAsia" w:ascii="宋体" w:hAnsi="宋体"/>
          <w:color w:val="auto"/>
          <w:highlight w:val="none"/>
        </w:rPr>
        <w:t>六、验收</w:t>
      </w:r>
      <w:r>
        <w:rPr>
          <w:color w:val="auto"/>
          <w:highlight w:val="none"/>
        </w:rPr>
        <w:tab/>
      </w:r>
      <w:r>
        <w:rPr>
          <w:color w:val="auto"/>
          <w:highlight w:val="none"/>
        </w:rPr>
        <w:fldChar w:fldCharType="begin"/>
      </w:r>
      <w:r>
        <w:rPr>
          <w:color w:val="auto"/>
          <w:highlight w:val="none"/>
        </w:rPr>
        <w:instrText xml:space="preserve"> PAGEREF _Toc213251783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7721007B">
      <w:pPr>
        <w:tabs>
          <w:tab w:val="right" w:leader="dot" w:pos="8869"/>
        </w:tabs>
        <w:ind w:left="840" w:leftChars="400"/>
        <w:rPr>
          <w:rFonts w:ascii="Calibri" w:hAnsi="Calibri"/>
          <w:color w:val="auto"/>
          <w:szCs w:val="22"/>
          <w:highlight w:val="none"/>
        </w:rPr>
      </w:pPr>
      <w:r>
        <w:rPr>
          <w:color w:val="auto"/>
          <w:highlight w:val="none"/>
        </w:rPr>
        <w:fldChar w:fldCharType="begin"/>
      </w:r>
      <w:r>
        <w:rPr>
          <w:color w:val="auto"/>
          <w:highlight w:val="none"/>
        </w:rPr>
        <w:instrText xml:space="preserve"> HYPERLINK \l "_Toc213251784" </w:instrText>
      </w:r>
      <w:r>
        <w:rPr>
          <w:color w:val="auto"/>
          <w:highlight w:val="none"/>
        </w:rPr>
        <w:fldChar w:fldCharType="separate"/>
      </w:r>
      <w:r>
        <w:rPr>
          <w:rFonts w:hint="eastAsia" w:ascii="宋体" w:hAnsi="宋体"/>
          <w:color w:val="auto"/>
          <w:highlight w:val="none"/>
        </w:rPr>
        <w:t>七、其他事项</w:t>
      </w:r>
      <w:r>
        <w:rPr>
          <w:color w:val="auto"/>
          <w:highlight w:val="none"/>
        </w:rPr>
        <w:tab/>
      </w:r>
      <w:r>
        <w:rPr>
          <w:color w:val="auto"/>
          <w:highlight w:val="none"/>
        </w:rPr>
        <w:fldChar w:fldCharType="begin"/>
      </w:r>
      <w:r>
        <w:rPr>
          <w:color w:val="auto"/>
          <w:highlight w:val="none"/>
        </w:rPr>
        <w:instrText xml:space="preserve"> PAGEREF _Toc213251784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472A2242">
      <w:pPr>
        <w:tabs>
          <w:tab w:val="right" w:leader="dot" w:pos="8869"/>
        </w:tabs>
        <w:rPr>
          <w:rFonts w:ascii="Calibri" w:hAnsi="Calibri"/>
          <w:color w:val="auto"/>
          <w:szCs w:val="22"/>
          <w:highlight w:val="none"/>
        </w:rPr>
      </w:pPr>
      <w:r>
        <w:rPr>
          <w:color w:val="auto"/>
          <w:highlight w:val="none"/>
        </w:rPr>
        <w:fldChar w:fldCharType="begin"/>
      </w:r>
      <w:r>
        <w:rPr>
          <w:color w:val="auto"/>
          <w:highlight w:val="none"/>
        </w:rPr>
        <w:instrText xml:space="preserve"> HYPERLINK \l "_Toc213251785" </w:instrText>
      </w:r>
      <w:r>
        <w:rPr>
          <w:color w:val="auto"/>
          <w:highlight w:val="none"/>
        </w:rPr>
        <w:fldChar w:fldCharType="separate"/>
      </w:r>
      <w:r>
        <w:rPr>
          <w:rFonts w:hint="eastAsia"/>
          <w:color w:val="auto"/>
          <w:highlight w:val="none"/>
        </w:rPr>
        <w:t>第四章评审程序、评审方法和评审标准</w:t>
      </w:r>
      <w:r>
        <w:rPr>
          <w:color w:val="auto"/>
          <w:highlight w:val="none"/>
        </w:rPr>
        <w:tab/>
      </w:r>
      <w:r>
        <w:rPr>
          <w:color w:val="auto"/>
          <w:highlight w:val="none"/>
        </w:rPr>
        <w:fldChar w:fldCharType="begin"/>
      </w:r>
      <w:r>
        <w:rPr>
          <w:color w:val="auto"/>
          <w:highlight w:val="none"/>
        </w:rPr>
        <w:instrText xml:space="preserve"> PAGEREF _Toc213251785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5FE85D0F">
      <w:pPr>
        <w:tabs>
          <w:tab w:val="right" w:leader="dot" w:pos="8869"/>
        </w:tabs>
        <w:ind w:left="420" w:leftChars="200"/>
        <w:rPr>
          <w:rFonts w:ascii="Calibri" w:hAnsi="Calibri"/>
          <w:color w:val="auto"/>
          <w:szCs w:val="22"/>
          <w:highlight w:val="none"/>
        </w:rPr>
      </w:pPr>
      <w:r>
        <w:rPr>
          <w:color w:val="auto"/>
          <w:highlight w:val="none"/>
        </w:rPr>
        <w:fldChar w:fldCharType="begin"/>
      </w:r>
      <w:r>
        <w:rPr>
          <w:color w:val="auto"/>
          <w:highlight w:val="none"/>
        </w:rPr>
        <w:instrText xml:space="preserve"> HYPERLINK \l "_Toc213251786" </w:instrText>
      </w:r>
      <w:r>
        <w:rPr>
          <w:color w:val="auto"/>
          <w:highlight w:val="none"/>
        </w:rPr>
        <w:fldChar w:fldCharType="separate"/>
      </w:r>
      <w:r>
        <w:rPr>
          <w:rFonts w:hint="eastAsia" w:ascii="宋体" w:hAnsi="宋体"/>
          <w:color w:val="auto"/>
          <w:highlight w:val="none"/>
        </w:rPr>
        <w:t>第一节评审程序和评审方法</w:t>
      </w:r>
      <w:r>
        <w:rPr>
          <w:color w:val="auto"/>
          <w:highlight w:val="none"/>
        </w:rPr>
        <w:tab/>
      </w:r>
      <w:r>
        <w:rPr>
          <w:color w:val="auto"/>
          <w:highlight w:val="none"/>
        </w:rPr>
        <w:fldChar w:fldCharType="begin"/>
      </w:r>
      <w:r>
        <w:rPr>
          <w:color w:val="auto"/>
          <w:highlight w:val="none"/>
        </w:rPr>
        <w:instrText xml:space="preserve"> PAGEREF _Toc213251786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7171FDC9">
      <w:pPr>
        <w:tabs>
          <w:tab w:val="right" w:leader="dot" w:pos="8869"/>
        </w:tabs>
        <w:ind w:left="420" w:leftChars="200"/>
        <w:rPr>
          <w:rFonts w:ascii="Calibri" w:hAnsi="Calibri"/>
          <w:color w:val="auto"/>
          <w:szCs w:val="22"/>
          <w:highlight w:val="none"/>
        </w:rPr>
      </w:pPr>
      <w:r>
        <w:rPr>
          <w:color w:val="auto"/>
          <w:highlight w:val="none"/>
        </w:rPr>
        <w:fldChar w:fldCharType="begin"/>
      </w:r>
      <w:r>
        <w:rPr>
          <w:color w:val="auto"/>
          <w:highlight w:val="none"/>
        </w:rPr>
        <w:instrText xml:space="preserve"> HYPERLINK \l "_Toc213251787" </w:instrText>
      </w:r>
      <w:r>
        <w:rPr>
          <w:color w:val="auto"/>
          <w:highlight w:val="none"/>
        </w:rPr>
        <w:fldChar w:fldCharType="separate"/>
      </w:r>
      <w:r>
        <w:rPr>
          <w:rFonts w:hint="eastAsia" w:ascii="宋体" w:hAnsi="宋体"/>
          <w:color w:val="auto"/>
          <w:highlight w:val="none"/>
        </w:rPr>
        <w:t>第二节评标报告</w:t>
      </w:r>
      <w:r>
        <w:rPr>
          <w:color w:val="auto"/>
          <w:highlight w:val="none"/>
        </w:rPr>
        <w:tab/>
      </w:r>
      <w:r>
        <w:rPr>
          <w:color w:val="auto"/>
          <w:highlight w:val="none"/>
        </w:rPr>
        <w:fldChar w:fldCharType="begin"/>
      </w:r>
      <w:r>
        <w:rPr>
          <w:color w:val="auto"/>
          <w:highlight w:val="none"/>
        </w:rPr>
        <w:instrText xml:space="preserve"> PAGEREF _Toc213251787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2DFEA62C">
      <w:pPr>
        <w:tabs>
          <w:tab w:val="right" w:leader="dot" w:pos="8869"/>
        </w:tabs>
        <w:ind w:left="420" w:leftChars="200"/>
        <w:rPr>
          <w:rFonts w:ascii="Calibri" w:hAnsi="Calibri"/>
          <w:color w:val="auto"/>
          <w:szCs w:val="22"/>
          <w:highlight w:val="none"/>
        </w:rPr>
      </w:pPr>
      <w:r>
        <w:rPr>
          <w:color w:val="auto"/>
          <w:highlight w:val="none"/>
        </w:rPr>
        <w:fldChar w:fldCharType="begin"/>
      </w:r>
      <w:r>
        <w:rPr>
          <w:color w:val="auto"/>
          <w:highlight w:val="none"/>
        </w:rPr>
        <w:instrText xml:space="preserve"> HYPERLINK \l "_Toc213251788" </w:instrText>
      </w:r>
      <w:r>
        <w:rPr>
          <w:color w:val="auto"/>
          <w:highlight w:val="none"/>
        </w:rPr>
        <w:fldChar w:fldCharType="separate"/>
      </w:r>
      <w:r>
        <w:rPr>
          <w:rFonts w:hint="eastAsia" w:ascii="宋体" w:hAnsi="宋体"/>
          <w:color w:val="auto"/>
          <w:highlight w:val="none"/>
        </w:rPr>
        <w:t>第三节评审过程的保密与录像</w:t>
      </w:r>
      <w:r>
        <w:rPr>
          <w:color w:val="auto"/>
          <w:highlight w:val="none"/>
        </w:rPr>
        <w:tab/>
      </w:r>
      <w:r>
        <w:rPr>
          <w:color w:val="auto"/>
          <w:highlight w:val="none"/>
        </w:rPr>
        <w:fldChar w:fldCharType="begin"/>
      </w:r>
      <w:r>
        <w:rPr>
          <w:color w:val="auto"/>
          <w:highlight w:val="none"/>
        </w:rPr>
        <w:instrText xml:space="preserve"> PAGEREF _Toc213251788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4E6D786D">
      <w:pPr>
        <w:tabs>
          <w:tab w:val="right" w:leader="dot" w:pos="8869"/>
        </w:tabs>
        <w:rPr>
          <w:rFonts w:ascii="Calibri" w:hAnsi="Calibri"/>
          <w:color w:val="auto"/>
          <w:szCs w:val="22"/>
          <w:highlight w:val="none"/>
        </w:rPr>
      </w:pPr>
      <w:r>
        <w:rPr>
          <w:color w:val="auto"/>
          <w:highlight w:val="none"/>
        </w:rPr>
        <w:fldChar w:fldCharType="begin"/>
      </w:r>
      <w:r>
        <w:rPr>
          <w:color w:val="auto"/>
          <w:highlight w:val="none"/>
        </w:rPr>
        <w:instrText xml:space="preserve"> HYPERLINK \l "_Toc213251789" </w:instrText>
      </w:r>
      <w:r>
        <w:rPr>
          <w:color w:val="auto"/>
          <w:highlight w:val="none"/>
        </w:rPr>
        <w:fldChar w:fldCharType="separate"/>
      </w:r>
      <w:r>
        <w:rPr>
          <w:rFonts w:hint="eastAsia"/>
          <w:color w:val="auto"/>
          <w:highlight w:val="none"/>
        </w:rPr>
        <w:t>第五章响应文件格式</w:t>
      </w:r>
      <w:r>
        <w:rPr>
          <w:color w:val="auto"/>
          <w:highlight w:val="none"/>
        </w:rPr>
        <w:tab/>
      </w:r>
      <w:r>
        <w:rPr>
          <w:color w:val="auto"/>
          <w:highlight w:val="none"/>
        </w:rPr>
        <w:fldChar w:fldCharType="begin"/>
      </w:r>
      <w:r>
        <w:rPr>
          <w:color w:val="auto"/>
          <w:highlight w:val="none"/>
        </w:rPr>
        <w:instrText xml:space="preserve"> PAGEREF _Toc213251789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3435043B">
      <w:pPr>
        <w:tabs>
          <w:tab w:val="right" w:leader="dot" w:pos="8869"/>
        </w:tabs>
        <w:ind w:left="420" w:leftChars="200"/>
        <w:rPr>
          <w:rFonts w:ascii="Calibri" w:hAnsi="Calibri"/>
          <w:color w:val="auto"/>
          <w:szCs w:val="22"/>
          <w:highlight w:val="none"/>
        </w:rPr>
      </w:pPr>
      <w:r>
        <w:rPr>
          <w:color w:val="auto"/>
          <w:highlight w:val="none"/>
        </w:rPr>
        <w:fldChar w:fldCharType="begin"/>
      </w:r>
      <w:r>
        <w:rPr>
          <w:color w:val="auto"/>
          <w:highlight w:val="none"/>
        </w:rPr>
        <w:instrText xml:space="preserve"> HYPERLINK \l "_Toc213251790" </w:instrText>
      </w:r>
      <w:r>
        <w:rPr>
          <w:color w:val="auto"/>
          <w:highlight w:val="none"/>
        </w:rPr>
        <w:fldChar w:fldCharType="separate"/>
      </w:r>
      <w:r>
        <w:rPr>
          <w:rFonts w:hint="eastAsia" w:ascii="宋体" w:hAnsi="宋体"/>
          <w:color w:val="auto"/>
          <w:highlight w:val="none"/>
        </w:rPr>
        <w:t>第一节封面格式</w:t>
      </w:r>
      <w:r>
        <w:rPr>
          <w:color w:val="auto"/>
          <w:highlight w:val="none"/>
        </w:rPr>
        <w:tab/>
      </w:r>
      <w:r>
        <w:rPr>
          <w:color w:val="auto"/>
          <w:highlight w:val="none"/>
        </w:rPr>
        <w:fldChar w:fldCharType="begin"/>
      </w:r>
      <w:r>
        <w:rPr>
          <w:color w:val="auto"/>
          <w:highlight w:val="none"/>
        </w:rPr>
        <w:instrText xml:space="preserve"> PAGEREF _Toc213251790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1BC795A8">
      <w:pPr>
        <w:tabs>
          <w:tab w:val="right" w:leader="dot" w:pos="8869"/>
        </w:tabs>
        <w:ind w:left="420" w:leftChars="200"/>
        <w:rPr>
          <w:rFonts w:ascii="Calibri" w:hAnsi="Calibri"/>
          <w:color w:val="auto"/>
          <w:szCs w:val="22"/>
          <w:highlight w:val="none"/>
        </w:rPr>
      </w:pPr>
      <w:r>
        <w:rPr>
          <w:color w:val="auto"/>
          <w:highlight w:val="none"/>
        </w:rPr>
        <w:fldChar w:fldCharType="begin"/>
      </w:r>
      <w:r>
        <w:rPr>
          <w:color w:val="auto"/>
          <w:highlight w:val="none"/>
        </w:rPr>
        <w:instrText xml:space="preserve"> HYPERLINK \l "_Toc213251791" </w:instrText>
      </w:r>
      <w:r>
        <w:rPr>
          <w:color w:val="auto"/>
          <w:highlight w:val="none"/>
        </w:rPr>
        <w:fldChar w:fldCharType="separate"/>
      </w:r>
      <w:r>
        <w:rPr>
          <w:rFonts w:hint="eastAsia" w:ascii="宋体" w:hAnsi="宋体"/>
          <w:color w:val="auto"/>
          <w:highlight w:val="none"/>
        </w:rPr>
        <w:t>第二节资格证明文件格式</w:t>
      </w:r>
      <w:r>
        <w:rPr>
          <w:color w:val="auto"/>
          <w:highlight w:val="none"/>
        </w:rPr>
        <w:tab/>
      </w:r>
      <w:r>
        <w:rPr>
          <w:color w:val="auto"/>
          <w:highlight w:val="none"/>
        </w:rPr>
        <w:fldChar w:fldCharType="begin"/>
      </w:r>
      <w:r>
        <w:rPr>
          <w:color w:val="auto"/>
          <w:highlight w:val="none"/>
        </w:rPr>
        <w:instrText xml:space="preserve"> PAGEREF _Toc213251791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4AFA1CA8">
      <w:pPr>
        <w:tabs>
          <w:tab w:val="right" w:leader="dot" w:pos="8869"/>
        </w:tabs>
        <w:ind w:left="420" w:leftChars="200"/>
        <w:rPr>
          <w:rFonts w:ascii="Calibri" w:hAnsi="Calibri"/>
          <w:color w:val="auto"/>
          <w:szCs w:val="22"/>
          <w:highlight w:val="none"/>
        </w:rPr>
      </w:pPr>
      <w:r>
        <w:rPr>
          <w:color w:val="auto"/>
          <w:highlight w:val="none"/>
        </w:rPr>
        <w:fldChar w:fldCharType="begin"/>
      </w:r>
      <w:r>
        <w:rPr>
          <w:color w:val="auto"/>
          <w:highlight w:val="none"/>
        </w:rPr>
        <w:instrText xml:space="preserve"> HYPERLINK \l "_Toc213251792" </w:instrText>
      </w:r>
      <w:r>
        <w:rPr>
          <w:color w:val="auto"/>
          <w:highlight w:val="none"/>
        </w:rPr>
        <w:fldChar w:fldCharType="separate"/>
      </w:r>
      <w:r>
        <w:rPr>
          <w:rFonts w:hint="eastAsia" w:ascii="宋体" w:hAnsi="宋体"/>
          <w:color w:val="auto"/>
          <w:highlight w:val="none"/>
        </w:rPr>
        <w:t>第三节商务技术文件格式</w:t>
      </w:r>
      <w:r>
        <w:rPr>
          <w:color w:val="auto"/>
          <w:highlight w:val="none"/>
        </w:rPr>
        <w:tab/>
      </w:r>
      <w:r>
        <w:rPr>
          <w:color w:val="auto"/>
          <w:highlight w:val="none"/>
        </w:rPr>
        <w:fldChar w:fldCharType="begin"/>
      </w:r>
      <w:r>
        <w:rPr>
          <w:color w:val="auto"/>
          <w:highlight w:val="none"/>
        </w:rPr>
        <w:instrText xml:space="preserve"> PAGEREF _Toc213251792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64A7F6EC">
      <w:pPr>
        <w:tabs>
          <w:tab w:val="right" w:leader="dot" w:pos="8869"/>
        </w:tabs>
        <w:ind w:left="420" w:leftChars="200"/>
        <w:rPr>
          <w:rFonts w:ascii="Calibri" w:hAnsi="Calibri"/>
          <w:color w:val="auto"/>
          <w:szCs w:val="22"/>
          <w:highlight w:val="none"/>
        </w:rPr>
      </w:pPr>
      <w:r>
        <w:rPr>
          <w:color w:val="auto"/>
          <w:highlight w:val="none"/>
        </w:rPr>
        <w:fldChar w:fldCharType="begin"/>
      </w:r>
      <w:r>
        <w:rPr>
          <w:color w:val="auto"/>
          <w:highlight w:val="none"/>
        </w:rPr>
        <w:instrText xml:space="preserve"> HYPERLINK \l "_Toc213251793" </w:instrText>
      </w:r>
      <w:r>
        <w:rPr>
          <w:color w:val="auto"/>
          <w:highlight w:val="none"/>
        </w:rPr>
        <w:fldChar w:fldCharType="separate"/>
      </w:r>
      <w:r>
        <w:rPr>
          <w:rFonts w:hint="eastAsia" w:ascii="宋体" w:hAnsi="宋体"/>
          <w:color w:val="auto"/>
          <w:highlight w:val="none"/>
        </w:rPr>
        <w:t>第四节报价文件格式</w:t>
      </w:r>
      <w:r>
        <w:rPr>
          <w:color w:val="auto"/>
          <w:highlight w:val="none"/>
        </w:rPr>
        <w:tab/>
      </w:r>
      <w:r>
        <w:rPr>
          <w:color w:val="auto"/>
          <w:highlight w:val="none"/>
        </w:rPr>
        <w:fldChar w:fldCharType="begin"/>
      </w:r>
      <w:r>
        <w:rPr>
          <w:color w:val="auto"/>
          <w:highlight w:val="none"/>
        </w:rPr>
        <w:instrText xml:space="preserve"> PAGEREF _Toc213251793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2E3EF7E8">
      <w:pPr>
        <w:tabs>
          <w:tab w:val="right" w:leader="dot" w:pos="8869"/>
        </w:tabs>
        <w:ind w:left="420" w:leftChars="200"/>
        <w:rPr>
          <w:rFonts w:ascii="Calibri" w:hAnsi="Calibri"/>
          <w:color w:val="auto"/>
          <w:szCs w:val="22"/>
          <w:highlight w:val="none"/>
        </w:rPr>
      </w:pPr>
      <w:r>
        <w:rPr>
          <w:color w:val="auto"/>
          <w:highlight w:val="none"/>
        </w:rPr>
        <w:fldChar w:fldCharType="begin"/>
      </w:r>
      <w:r>
        <w:rPr>
          <w:color w:val="auto"/>
          <w:highlight w:val="none"/>
        </w:rPr>
        <w:instrText xml:space="preserve"> HYPERLINK \l "_Toc213251794" </w:instrText>
      </w:r>
      <w:r>
        <w:rPr>
          <w:color w:val="auto"/>
          <w:highlight w:val="none"/>
        </w:rPr>
        <w:fldChar w:fldCharType="separate"/>
      </w:r>
      <w:r>
        <w:rPr>
          <w:rFonts w:hint="eastAsia" w:ascii="宋体" w:hAnsi="宋体"/>
          <w:color w:val="auto"/>
          <w:highlight w:val="none"/>
        </w:rPr>
        <w:t>第五节其他文书、文件格式</w:t>
      </w:r>
      <w:r>
        <w:rPr>
          <w:color w:val="auto"/>
          <w:highlight w:val="none"/>
        </w:rPr>
        <w:tab/>
      </w:r>
      <w:r>
        <w:rPr>
          <w:color w:val="auto"/>
          <w:highlight w:val="none"/>
        </w:rPr>
        <w:fldChar w:fldCharType="begin"/>
      </w:r>
      <w:r>
        <w:rPr>
          <w:color w:val="auto"/>
          <w:highlight w:val="none"/>
        </w:rPr>
        <w:instrText xml:space="preserve"> PAGEREF _Toc213251794 \h </w:instrText>
      </w:r>
      <w:r>
        <w:rPr>
          <w:color w:val="auto"/>
          <w:highlight w:val="none"/>
        </w:rPr>
        <w:fldChar w:fldCharType="separate"/>
      </w:r>
      <w:r>
        <w:rPr>
          <w:color w:val="auto"/>
          <w:highlight w:val="none"/>
        </w:rPr>
        <w:t>62</w:t>
      </w:r>
      <w:r>
        <w:rPr>
          <w:color w:val="auto"/>
          <w:highlight w:val="none"/>
        </w:rPr>
        <w:fldChar w:fldCharType="end"/>
      </w:r>
      <w:r>
        <w:rPr>
          <w:color w:val="auto"/>
          <w:highlight w:val="none"/>
        </w:rPr>
        <w:fldChar w:fldCharType="end"/>
      </w:r>
    </w:p>
    <w:p w14:paraId="454AE4C4">
      <w:pPr>
        <w:tabs>
          <w:tab w:val="right" w:leader="dot" w:pos="8869"/>
        </w:tabs>
        <w:rPr>
          <w:rFonts w:ascii="Calibri" w:hAnsi="Calibri"/>
          <w:color w:val="auto"/>
          <w:szCs w:val="22"/>
          <w:highlight w:val="none"/>
        </w:rPr>
      </w:pPr>
      <w:r>
        <w:rPr>
          <w:color w:val="auto"/>
          <w:highlight w:val="none"/>
        </w:rPr>
        <w:fldChar w:fldCharType="begin"/>
      </w:r>
      <w:r>
        <w:rPr>
          <w:color w:val="auto"/>
          <w:highlight w:val="none"/>
        </w:rPr>
        <w:instrText xml:space="preserve"> HYPERLINK \l "_Toc213251795" </w:instrText>
      </w:r>
      <w:r>
        <w:rPr>
          <w:color w:val="auto"/>
          <w:highlight w:val="none"/>
        </w:rPr>
        <w:fldChar w:fldCharType="separate"/>
      </w:r>
      <w:r>
        <w:rPr>
          <w:rFonts w:hint="eastAsia" w:ascii="宋体" w:hAnsi="宋体"/>
          <w:color w:val="auto"/>
          <w:highlight w:val="none"/>
        </w:rPr>
        <w:t>第六章合同文本</w:t>
      </w:r>
      <w:r>
        <w:rPr>
          <w:color w:val="auto"/>
          <w:highlight w:val="none"/>
        </w:rPr>
        <w:tab/>
      </w:r>
      <w:r>
        <w:rPr>
          <w:color w:val="auto"/>
          <w:highlight w:val="none"/>
        </w:rPr>
        <w:fldChar w:fldCharType="begin"/>
      </w:r>
      <w:r>
        <w:rPr>
          <w:color w:val="auto"/>
          <w:highlight w:val="none"/>
        </w:rPr>
        <w:instrText xml:space="preserve"> PAGEREF _Toc213251795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14:paraId="43120D38">
      <w:pPr>
        <w:tabs>
          <w:tab w:val="right" w:leader="dot" w:pos="8869"/>
        </w:tabs>
        <w:ind w:left="420" w:leftChars="200"/>
        <w:rPr>
          <w:rFonts w:ascii="Calibri" w:hAnsi="Calibri"/>
          <w:color w:val="auto"/>
          <w:szCs w:val="22"/>
          <w:highlight w:val="none"/>
        </w:rPr>
      </w:pPr>
      <w:r>
        <w:rPr>
          <w:color w:val="auto"/>
          <w:highlight w:val="none"/>
        </w:rPr>
        <w:fldChar w:fldCharType="begin"/>
      </w:r>
      <w:r>
        <w:rPr>
          <w:color w:val="auto"/>
          <w:highlight w:val="none"/>
        </w:rPr>
        <w:instrText xml:space="preserve"> HYPERLINK \l "_Toc213251796" </w:instrText>
      </w:r>
      <w:r>
        <w:rPr>
          <w:color w:val="auto"/>
          <w:highlight w:val="none"/>
        </w:rPr>
        <w:fldChar w:fldCharType="separate"/>
      </w:r>
      <w:r>
        <w:rPr>
          <w:rFonts w:hint="eastAsia" w:ascii="仿宋_GB2312" w:hAnsi="楷体" w:eastAsia="仿宋_GB2312"/>
          <w:b/>
          <w:color w:val="auto"/>
          <w:highlight w:val="none"/>
        </w:rPr>
        <w:t>第一部分合同书</w:t>
      </w:r>
      <w:r>
        <w:rPr>
          <w:color w:val="auto"/>
          <w:highlight w:val="none"/>
        </w:rPr>
        <w:tab/>
      </w:r>
      <w:r>
        <w:rPr>
          <w:color w:val="auto"/>
          <w:highlight w:val="none"/>
        </w:rPr>
        <w:fldChar w:fldCharType="begin"/>
      </w:r>
      <w:r>
        <w:rPr>
          <w:color w:val="auto"/>
          <w:highlight w:val="none"/>
        </w:rPr>
        <w:instrText xml:space="preserve"> PAGEREF _Toc213251796 \h </w:instrText>
      </w:r>
      <w:r>
        <w:rPr>
          <w:color w:val="auto"/>
          <w:highlight w:val="none"/>
        </w:rPr>
        <w:fldChar w:fldCharType="separate"/>
      </w:r>
      <w:r>
        <w:rPr>
          <w:color w:val="auto"/>
          <w:highlight w:val="none"/>
        </w:rPr>
        <w:t>67</w:t>
      </w:r>
      <w:r>
        <w:rPr>
          <w:color w:val="auto"/>
          <w:highlight w:val="none"/>
        </w:rPr>
        <w:fldChar w:fldCharType="end"/>
      </w:r>
      <w:r>
        <w:rPr>
          <w:color w:val="auto"/>
          <w:highlight w:val="none"/>
        </w:rPr>
        <w:fldChar w:fldCharType="end"/>
      </w:r>
    </w:p>
    <w:p w14:paraId="421E2F37">
      <w:pPr>
        <w:tabs>
          <w:tab w:val="right" w:leader="dot" w:pos="8869"/>
        </w:tabs>
        <w:ind w:left="420" w:leftChars="200"/>
        <w:rPr>
          <w:rFonts w:ascii="Calibri" w:hAnsi="Calibri"/>
          <w:color w:val="auto"/>
          <w:szCs w:val="22"/>
          <w:highlight w:val="none"/>
        </w:rPr>
      </w:pPr>
      <w:r>
        <w:rPr>
          <w:color w:val="auto"/>
          <w:highlight w:val="none"/>
        </w:rPr>
        <w:fldChar w:fldCharType="begin"/>
      </w:r>
      <w:r>
        <w:rPr>
          <w:color w:val="auto"/>
          <w:highlight w:val="none"/>
        </w:rPr>
        <w:instrText xml:space="preserve"> HYPERLINK \l "_Toc213251797" </w:instrText>
      </w:r>
      <w:r>
        <w:rPr>
          <w:color w:val="auto"/>
          <w:highlight w:val="none"/>
        </w:rPr>
        <w:fldChar w:fldCharType="separate"/>
      </w:r>
      <w:r>
        <w:rPr>
          <w:rFonts w:hint="eastAsia" w:ascii="仿宋_GB2312" w:hAnsi="楷体" w:eastAsia="仿宋_GB2312"/>
          <w:b/>
          <w:color w:val="auto"/>
          <w:highlight w:val="none"/>
        </w:rPr>
        <w:t>第三部分合同专用条款</w:t>
      </w:r>
      <w:r>
        <w:rPr>
          <w:color w:val="auto"/>
          <w:highlight w:val="none"/>
        </w:rPr>
        <w:tab/>
      </w:r>
      <w:r>
        <w:rPr>
          <w:color w:val="auto"/>
          <w:highlight w:val="none"/>
        </w:rPr>
        <w:fldChar w:fldCharType="begin"/>
      </w:r>
      <w:r>
        <w:rPr>
          <w:color w:val="auto"/>
          <w:highlight w:val="none"/>
        </w:rPr>
        <w:instrText xml:space="preserve"> PAGEREF _Toc213251797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14:paraId="476ED507">
      <w:pPr>
        <w:tabs>
          <w:tab w:val="right" w:leader="dot" w:pos="8869"/>
        </w:tabs>
        <w:rPr>
          <w:rFonts w:ascii="Calibri" w:hAnsi="Calibri"/>
          <w:color w:val="auto"/>
          <w:szCs w:val="22"/>
          <w:highlight w:val="none"/>
        </w:rPr>
      </w:pPr>
      <w:r>
        <w:rPr>
          <w:color w:val="auto"/>
          <w:highlight w:val="none"/>
        </w:rPr>
        <w:fldChar w:fldCharType="begin"/>
      </w:r>
      <w:r>
        <w:rPr>
          <w:color w:val="auto"/>
          <w:highlight w:val="none"/>
        </w:rPr>
        <w:instrText xml:space="preserve"> HYPERLINK \l "_Toc213251798" </w:instrText>
      </w:r>
      <w:r>
        <w:rPr>
          <w:color w:val="auto"/>
          <w:highlight w:val="none"/>
        </w:rPr>
        <w:fldChar w:fldCharType="separate"/>
      </w:r>
      <w:r>
        <w:rPr>
          <w:rFonts w:hint="eastAsia" w:ascii="宋体" w:hAnsi="宋体" w:cs="仿宋_GB2312"/>
          <w:color w:val="auto"/>
          <w:highlight w:val="none"/>
        </w:rPr>
        <w:t>第七章质疑、投诉材料格式</w:t>
      </w:r>
      <w:r>
        <w:rPr>
          <w:color w:val="auto"/>
          <w:highlight w:val="none"/>
        </w:rPr>
        <w:tab/>
      </w:r>
      <w:r>
        <w:rPr>
          <w:color w:val="auto"/>
          <w:highlight w:val="none"/>
        </w:rPr>
        <w:fldChar w:fldCharType="begin"/>
      </w:r>
      <w:r>
        <w:rPr>
          <w:color w:val="auto"/>
          <w:highlight w:val="none"/>
        </w:rPr>
        <w:instrText xml:space="preserve"> PAGEREF _Toc213251798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14:paraId="78D39875">
      <w:pPr>
        <w:tabs>
          <w:tab w:val="right" w:leader="dot" w:pos="8296"/>
        </w:tabs>
        <w:spacing w:line="360" w:lineRule="auto"/>
        <w:ind w:left="420" w:leftChars="200"/>
        <w:rPr>
          <w:rFonts w:ascii="宋体" w:hAnsi="宋体"/>
          <w:b/>
          <w:color w:val="auto"/>
          <w:sz w:val="32"/>
          <w:szCs w:val="32"/>
          <w:highlight w:val="none"/>
        </w:rPr>
      </w:pPr>
      <w:r>
        <w:rPr>
          <w:rFonts w:hint="eastAsia" w:ascii="宋体" w:hAnsi="宋体"/>
          <w:color w:val="auto"/>
          <w:sz w:val="32"/>
          <w:szCs w:val="32"/>
          <w:highlight w:val="none"/>
        </w:rPr>
        <w:fldChar w:fldCharType="end"/>
      </w:r>
    </w:p>
    <w:p w14:paraId="3DB9964F">
      <w:pPr>
        <w:spacing w:line="400" w:lineRule="exact"/>
        <w:rPr>
          <w:rFonts w:ascii="宋体" w:hAnsi="宋体"/>
          <w:b/>
          <w:color w:val="auto"/>
          <w:sz w:val="32"/>
          <w:szCs w:val="32"/>
          <w:highlight w:val="none"/>
        </w:rPr>
        <w:sectPr>
          <w:headerReference r:id="rId4" w:type="default"/>
          <w:footerReference r:id="rId5" w:type="default"/>
          <w:pgSz w:w="11906" w:h="16838"/>
          <w:pgMar w:top="1440" w:right="1440" w:bottom="1440" w:left="1587" w:header="851" w:footer="992" w:gutter="0"/>
          <w:pgNumType w:start="0"/>
          <w:cols w:space="720" w:num="1"/>
          <w:docGrid w:type="lines" w:linePitch="312" w:charSpace="0"/>
        </w:sectPr>
      </w:pPr>
    </w:p>
    <w:p w14:paraId="4149ABDA">
      <w:pPr>
        <w:keepNext/>
        <w:keepLines/>
        <w:spacing w:before="340" w:after="330" w:line="400" w:lineRule="exact"/>
        <w:jc w:val="center"/>
        <w:outlineLvl w:val="0"/>
        <w:rPr>
          <w:b/>
          <w:bCs/>
          <w:color w:val="auto"/>
          <w:kern w:val="44"/>
          <w:sz w:val="44"/>
          <w:szCs w:val="44"/>
          <w:highlight w:val="none"/>
        </w:rPr>
      </w:pPr>
      <w:bookmarkStart w:id="44" w:name="_Toc213251773"/>
      <w:r>
        <w:rPr>
          <w:rFonts w:hint="eastAsia"/>
          <w:b/>
          <w:bCs/>
          <w:color w:val="auto"/>
          <w:kern w:val="44"/>
          <w:sz w:val="44"/>
          <w:szCs w:val="44"/>
          <w:highlight w:val="none"/>
        </w:rPr>
        <w:t>第一章竞争性磋商公告</w:t>
      </w:r>
      <w:bookmarkEnd w:id="44"/>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1F82C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shd w:val="clear" w:color="auto" w:fill="auto"/>
            <w:noWrap w:val="0"/>
            <w:vAlign w:val="top"/>
          </w:tcPr>
          <w:p w14:paraId="5D2ECF7B">
            <w:pPr>
              <w:spacing w:line="400" w:lineRule="exact"/>
              <w:ind w:firstLine="420" w:firstLineChars="200"/>
              <w:rPr>
                <w:rFonts w:ascii="宋体" w:hAnsi="宋体" w:cs="Arial"/>
                <w:color w:val="auto"/>
                <w:highlight w:val="none"/>
              </w:rPr>
            </w:pPr>
            <w:r>
              <w:rPr>
                <w:rFonts w:hint="eastAsia" w:ascii="宋体" w:hAnsi="宋体" w:cs="Arial"/>
                <w:color w:val="auto"/>
                <w:highlight w:val="none"/>
              </w:rPr>
              <w:t>项目概况</w:t>
            </w:r>
          </w:p>
          <w:p w14:paraId="6056E4AD">
            <w:pPr>
              <w:spacing w:line="400" w:lineRule="exact"/>
              <w:ind w:firstLine="420" w:firstLineChars="200"/>
              <w:rPr>
                <w:rFonts w:ascii="宋体" w:hAnsi="宋体" w:cs="Arial"/>
                <w:color w:val="auto"/>
                <w:highlight w:val="none"/>
              </w:rPr>
            </w:pPr>
            <w:r>
              <w:rPr>
                <w:rFonts w:hint="eastAsia" w:ascii="宋体" w:hAnsi="宋体" w:cs="Arial"/>
                <w:color w:val="auto"/>
                <w:highlight w:val="none"/>
                <w:lang w:eastAsia="zh-CN"/>
              </w:rPr>
              <w:t>南宁市环境应急、涉重金属环境安全隐患排查整治及地下水环境监测服务项目</w:t>
            </w:r>
            <w:r>
              <w:rPr>
                <w:rFonts w:hint="eastAsia" w:ascii="宋体" w:hAnsi="宋体" w:cs="Arial"/>
                <w:color w:val="auto"/>
                <w:highlight w:val="none"/>
              </w:rPr>
              <w:t>的潜在供应商应在广西政府采购云平台（https://www.gcy.zfcg.gxzf.gov.cn/）获取（下载）获取竞争性磋商文件，并于2026年</w:t>
            </w:r>
            <w:r>
              <w:rPr>
                <w:rFonts w:hint="eastAsia" w:ascii="宋体" w:hAnsi="宋体" w:cs="Arial"/>
                <w:color w:val="auto"/>
                <w:highlight w:val="none"/>
                <w:lang w:val="en-US" w:eastAsia="zh-CN"/>
              </w:rPr>
              <w:t>5</w:t>
            </w:r>
            <w:r>
              <w:rPr>
                <w:rFonts w:hint="eastAsia" w:ascii="宋体" w:hAnsi="宋体" w:cs="Arial"/>
                <w:color w:val="auto"/>
                <w:highlight w:val="none"/>
              </w:rPr>
              <w:t>月</w:t>
            </w:r>
            <w:r>
              <w:rPr>
                <w:rFonts w:hint="eastAsia" w:ascii="宋体" w:hAnsi="宋体" w:cs="Arial"/>
                <w:color w:val="auto"/>
                <w:highlight w:val="none"/>
                <w:lang w:val="en-US" w:eastAsia="zh-CN"/>
              </w:rPr>
              <w:t>18</w:t>
            </w:r>
            <w:r>
              <w:rPr>
                <w:rFonts w:hint="eastAsia" w:ascii="宋体" w:hAnsi="宋体" w:cs="Arial"/>
                <w:color w:val="auto"/>
                <w:highlight w:val="none"/>
              </w:rPr>
              <w:t>日</w:t>
            </w:r>
            <w:r>
              <w:rPr>
                <w:rFonts w:hint="eastAsia" w:ascii="宋体" w:hAnsi="宋体" w:cs="Arial"/>
                <w:color w:val="auto"/>
                <w:highlight w:val="none"/>
                <w:lang w:val="en-US" w:eastAsia="zh-CN"/>
              </w:rPr>
              <w:t>09</w:t>
            </w:r>
            <w:r>
              <w:rPr>
                <w:rFonts w:hint="eastAsia" w:ascii="宋体" w:hAnsi="宋体" w:cs="Arial"/>
                <w:color w:val="auto"/>
                <w:highlight w:val="none"/>
              </w:rPr>
              <w:t>点</w:t>
            </w:r>
            <w:r>
              <w:rPr>
                <w:rFonts w:hint="eastAsia" w:ascii="宋体" w:hAnsi="宋体" w:cs="Arial"/>
                <w:color w:val="auto"/>
                <w:highlight w:val="none"/>
                <w:lang w:val="en-US" w:eastAsia="zh-CN"/>
              </w:rPr>
              <w:t>30</w:t>
            </w:r>
            <w:r>
              <w:rPr>
                <w:rFonts w:hint="eastAsia" w:ascii="宋体" w:hAnsi="宋体" w:cs="Arial"/>
                <w:color w:val="auto"/>
                <w:highlight w:val="none"/>
              </w:rPr>
              <w:t>分（北京时间）前提交响应文件。</w:t>
            </w:r>
          </w:p>
        </w:tc>
      </w:tr>
    </w:tbl>
    <w:p w14:paraId="7924E686">
      <w:pPr>
        <w:spacing w:line="400" w:lineRule="exact"/>
        <w:ind w:firstLine="480" w:firstLineChars="200"/>
        <w:rPr>
          <w:rFonts w:ascii="黑体" w:hAnsi="黑体" w:eastAsia="黑体" w:cs="宋体"/>
          <w:bCs/>
          <w:color w:val="auto"/>
          <w:sz w:val="24"/>
          <w:highlight w:val="none"/>
        </w:rPr>
      </w:pPr>
    </w:p>
    <w:p w14:paraId="09E44110">
      <w:pPr>
        <w:spacing w:line="400" w:lineRule="exact"/>
        <w:ind w:firstLine="480" w:firstLineChars="200"/>
        <w:rPr>
          <w:color w:val="auto"/>
          <w:highlight w:val="none"/>
        </w:rPr>
      </w:pPr>
      <w:r>
        <w:rPr>
          <w:rFonts w:hint="eastAsia" w:ascii="黑体" w:hAnsi="黑体" w:eastAsia="黑体" w:cs="宋体"/>
          <w:bCs/>
          <w:color w:val="auto"/>
          <w:sz w:val="24"/>
          <w:highlight w:val="none"/>
        </w:rPr>
        <w:t>一、项目基本情况</w:t>
      </w:r>
    </w:p>
    <w:p w14:paraId="3009772A">
      <w:pPr>
        <w:spacing w:line="400" w:lineRule="exact"/>
        <w:ind w:firstLine="420" w:firstLineChars="200"/>
        <w:rPr>
          <w:rFonts w:ascii="宋体" w:hAnsi="宋体"/>
          <w:color w:val="auto"/>
          <w:szCs w:val="21"/>
          <w:highlight w:val="none"/>
        </w:rPr>
      </w:pPr>
      <w:r>
        <w:rPr>
          <w:rFonts w:hint="eastAsia" w:ascii="宋体" w:hAnsi="宋体"/>
          <w:color w:val="auto"/>
          <w:highlight w:val="none"/>
        </w:rPr>
        <w:t>1.项目编号：NNZC2026-C3-990224-GXTZ（采购计划编号：NNZC[2026]1491号-001</w:t>
      </w:r>
      <w:r>
        <w:rPr>
          <w:rFonts w:hint="eastAsia" w:ascii="宋体" w:hAnsi="宋体"/>
          <w:color w:val="auto"/>
          <w:highlight w:val="none"/>
          <w:lang w:val="en-US" w:eastAsia="zh-CN"/>
        </w:rPr>
        <w:t>、NNZC[2026]1491号-002</w:t>
      </w:r>
      <w:r>
        <w:rPr>
          <w:rFonts w:hint="eastAsia" w:ascii="宋体" w:hAnsi="宋体"/>
          <w:color w:val="auto"/>
          <w:highlight w:val="none"/>
        </w:rPr>
        <w:t>）</w:t>
      </w:r>
    </w:p>
    <w:p w14:paraId="1E55D585">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2.项目名称：</w:t>
      </w:r>
      <w:r>
        <w:rPr>
          <w:rFonts w:hint="eastAsia" w:ascii="宋体" w:hAnsi="宋体"/>
          <w:color w:val="auto"/>
          <w:szCs w:val="21"/>
          <w:highlight w:val="none"/>
          <w:lang w:eastAsia="zh-CN"/>
        </w:rPr>
        <w:t>南宁市环境应急、涉重金属环境安全隐患排查整治及地下水环境监测服务项目</w:t>
      </w:r>
    </w:p>
    <w:p w14:paraId="4C4BC93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3.采购方式：竞争性磋商</w:t>
      </w:r>
    </w:p>
    <w:p w14:paraId="42A85C8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4.预算金额：51</w:t>
      </w:r>
      <w:r>
        <w:rPr>
          <w:rFonts w:hint="eastAsia" w:ascii="宋体" w:hAnsi="宋体"/>
          <w:color w:val="auto"/>
          <w:szCs w:val="21"/>
          <w:highlight w:val="none"/>
          <w:lang w:val="en-US" w:eastAsia="zh-CN"/>
        </w:rPr>
        <w:t>.00</w:t>
      </w:r>
      <w:r>
        <w:rPr>
          <w:rFonts w:hint="eastAsia" w:ascii="宋体" w:hAnsi="宋体"/>
          <w:color w:val="auto"/>
          <w:szCs w:val="21"/>
          <w:highlight w:val="none"/>
        </w:rPr>
        <w:t>万元</w:t>
      </w:r>
    </w:p>
    <w:p w14:paraId="63D848A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5.最高限价：51</w:t>
      </w:r>
      <w:r>
        <w:rPr>
          <w:rFonts w:hint="eastAsia" w:ascii="宋体" w:hAnsi="宋体"/>
          <w:color w:val="auto"/>
          <w:szCs w:val="21"/>
          <w:highlight w:val="none"/>
          <w:lang w:val="en-US" w:eastAsia="zh-CN"/>
        </w:rPr>
        <w:t>.00</w:t>
      </w:r>
      <w:r>
        <w:rPr>
          <w:rFonts w:hint="eastAsia" w:ascii="宋体" w:hAnsi="宋体"/>
          <w:color w:val="auto"/>
          <w:szCs w:val="21"/>
          <w:highlight w:val="none"/>
        </w:rPr>
        <w:t>万元</w:t>
      </w:r>
    </w:p>
    <w:p w14:paraId="6414124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6.采购需求：</w:t>
      </w:r>
    </w:p>
    <w:tbl>
      <w:tblPr>
        <w:tblStyle w:val="10"/>
        <w:tblW w:w="5000" w:type="pct"/>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13"/>
        <w:gridCol w:w="1051"/>
        <w:gridCol w:w="6407"/>
      </w:tblGrid>
      <w:tr w14:paraId="53C5A4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50" w:type="dxa"/>
            <w:tcBorders>
              <w:top w:val="single" w:color="auto" w:sz="4" w:space="0"/>
              <w:left w:val="single" w:color="auto" w:sz="4" w:space="0"/>
              <w:bottom w:val="single" w:color="auto" w:sz="4" w:space="0"/>
              <w:right w:val="single" w:color="auto" w:sz="4" w:space="0"/>
            </w:tcBorders>
            <w:noWrap w:val="0"/>
            <w:vAlign w:val="center"/>
          </w:tcPr>
          <w:p w14:paraId="0E1DF09E">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标的的名称</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38F0A64">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数量</w:t>
            </w:r>
          </w:p>
          <w:p w14:paraId="09B3063F">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及单位</w:t>
            </w:r>
          </w:p>
        </w:tc>
        <w:tc>
          <w:tcPr>
            <w:tcW w:w="6216" w:type="dxa"/>
            <w:tcBorders>
              <w:top w:val="single" w:color="auto" w:sz="4" w:space="0"/>
              <w:left w:val="single" w:color="auto" w:sz="4" w:space="0"/>
              <w:bottom w:val="single" w:color="auto" w:sz="4" w:space="0"/>
              <w:right w:val="single" w:color="auto" w:sz="4" w:space="0"/>
            </w:tcBorders>
            <w:noWrap w:val="0"/>
            <w:vAlign w:val="center"/>
          </w:tcPr>
          <w:p w14:paraId="4065008F">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简要技术需求或者服务要求</w:t>
            </w:r>
          </w:p>
        </w:tc>
      </w:tr>
      <w:tr w14:paraId="575A1E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50" w:type="dxa"/>
            <w:tcBorders>
              <w:top w:val="single" w:color="auto" w:sz="4" w:space="0"/>
              <w:left w:val="single" w:color="auto" w:sz="4" w:space="0"/>
              <w:bottom w:val="single" w:color="auto" w:sz="4" w:space="0"/>
              <w:right w:val="single" w:color="auto" w:sz="4" w:space="0"/>
            </w:tcBorders>
            <w:noWrap w:val="0"/>
            <w:vAlign w:val="center"/>
          </w:tcPr>
          <w:p w14:paraId="25E759E0">
            <w:pPr>
              <w:snapToGrid w:val="0"/>
              <w:spacing w:line="400" w:lineRule="exact"/>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南宁市环境应急、涉重金属环境安全隐患排查整治及地下水环境监测服务项目</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583C9EFE">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1项</w:t>
            </w:r>
          </w:p>
        </w:tc>
        <w:tc>
          <w:tcPr>
            <w:tcW w:w="6216" w:type="dxa"/>
            <w:tcBorders>
              <w:top w:val="single" w:color="auto" w:sz="4" w:space="0"/>
              <w:left w:val="single" w:color="auto" w:sz="4" w:space="0"/>
              <w:bottom w:val="single" w:color="auto" w:sz="4" w:space="0"/>
              <w:right w:val="single" w:color="auto" w:sz="4" w:space="0"/>
            </w:tcBorders>
            <w:noWrap w:val="0"/>
            <w:vAlign w:val="center"/>
          </w:tcPr>
          <w:p w14:paraId="4E72309D">
            <w:pPr>
              <w:adjustRightInd w:val="0"/>
              <w:spacing w:line="360" w:lineRule="auto"/>
              <w:rPr>
                <w:rFonts w:hint="default" w:ascii="Times New Roman" w:hAnsi="Times New Roman" w:cs="Times New Roman"/>
                <w:b/>
                <w:bCs/>
                <w:color w:val="auto"/>
                <w:szCs w:val="21"/>
                <w:highlight w:val="none"/>
              </w:rPr>
            </w:pPr>
            <w:r>
              <w:rPr>
                <w:rFonts w:hint="default" w:ascii="Times New Roman" w:hAnsi="Times New Roman" w:cs="Times New Roman"/>
                <w:b/>
                <w:color w:val="auto"/>
                <w:szCs w:val="21"/>
                <w:highlight w:val="none"/>
              </w:rPr>
              <w:t>一、服务内容及要求</w:t>
            </w:r>
          </w:p>
          <w:p w14:paraId="361E91F5">
            <w:pPr>
              <w:adjustRightInd w:val="0"/>
              <w:spacing w:line="360" w:lineRule="auto"/>
              <w:ind w:firstLine="422" w:firstLineChars="200"/>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（一）监测</w:t>
            </w:r>
            <w:r>
              <w:rPr>
                <w:rFonts w:hint="default" w:ascii="Times New Roman" w:hAnsi="Times New Roman" w:cs="Times New Roman"/>
                <w:b/>
                <w:bCs/>
                <w:color w:val="auto"/>
                <w:szCs w:val="21"/>
                <w:highlight w:val="none"/>
                <w:lang w:val="en-US" w:eastAsia="zh-CN"/>
              </w:rPr>
              <w:t>范围、</w:t>
            </w:r>
            <w:r>
              <w:rPr>
                <w:rFonts w:hint="default" w:ascii="Times New Roman" w:hAnsi="Times New Roman" w:cs="Times New Roman"/>
                <w:b/>
                <w:bCs/>
                <w:color w:val="auto"/>
                <w:szCs w:val="21"/>
                <w:highlight w:val="none"/>
              </w:rPr>
              <w:t>内容：</w:t>
            </w:r>
          </w:p>
          <w:p w14:paraId="35A7A94F">
            <w:pPr>
              <w:snapToGrid w:val="0"/>
              <w:spacing w:line="40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1.突发环境事件应急监测</w:t>
            </w:r>
            <w:r>
              <w:rPr>
                <w:rFonts w:hint="eastAsia" w:ascii="宋体" w:hAnsi="宋体"/>
                <w:color w:val="auto"/>
                <w:szCs w:val="21"/>
                <w:highlight w:val="none"/>
                <w:lang w:eastAsia="zh-CN"/>
              </w:rPr>
              <w:t>。</w:t>
            </w:r>
          </w:p>
          <w:p w14:paraId="3B73D665">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南宁市本级范围突发环境事件应急监测（含应急监测、专项工作、自送样品分析）。</w:t>
            </w:r>
          </w:p>
          <w:p w14:paraId="63A73882">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2.涉重金属环境安全隐患排查整治专项监测服务。</w:t>
            </w:r>
          </w:p>
          <w:p w14:paraId="7CBDD507">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根据南宁市生态环境保护管理需求，开展全</w:t>
            </w:r>
            <w:r>
              <w:rPr>
                <w:rFonts w:hint="eastAsia" w:ascii="宋体" w:hAnsi="宋体"/>
                <w:color w:val="auto"/>
                <w:szCs w:val="21"/>
                <w:highlight w:val="none"/>
              </w:rPr>
              <w:t>市范围内</w:t>
            </w:r>
            <w:r>
              <w:rPr>
                <w:rFonts w:hint="eastAsia" w:ascii="宋体" w:hAnsi="宋体"/>
                <w:color w:val="auto"/>
                <w:szCs w:val="21"/>
                <w:highlight w:val="none"/>
                <w:lang w:eastAsia="zh-CN"/>
              </w:rPr>
              <w:t>涉重金属等</w:t>
            </w:r>
            <w:r>
              <w:rPr>
                <w:rFonts w:hint="eastAsia" w:ascii="宋体" w:hAnsi="宋体"/>
                <w:color w:val="auto"/>
                <w:szCs w:val="21"/>
                <w:highlight w:val="none"/>
              </w:rPr>
              <w:t>各类环境安全隐患排查整治监测。</w:t>
            </w:r>
          </w:p>
          <w:p w14:paraId="3C0051C9">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eastAsia="zh-CN"/>
              </w:rPr>
              <w:t>南宁市双源范围内周边21口地下水监测井维护及监督性监测。</w:t>
            </w:r>
          </w:p>
          <w:p w14:paraId="419A8C87">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根据南宁市生态环境保护管理需求，开展全</w:t>
            </w:r>
            <w:r>
              <w:rPr>
                <w:rFonts w:hint="eastAsia" w:ascii="宋体" w:hAnsi="宋体"/>
                <w:color w:val="auto"/>
                <w:szCs w:val="21"/>
                <w:highlight w:val="none"/>
              </w:rPr>
              <w:t>市</w:t>
            </w:r>
            <w:r>
              <w:rPr>
                <w:rFonts w:hint="eastAsia" w:ascii="宋体" w:hAnsi="宋体"/>
                <w:color w:val="auto"/>
                <w:szCs w:val="21"/>
                <w:highlight w:val="none"/>
                <w:lang w:eastAsia="zh-CN"/>
              </w:rPr>
              <w:t>双源</w:t>
            </w:r>
            <w:r>
              <w:rPr>
                <w:rFonts w:hint="eastAsia" w:ascii="宋体" w:hAnsi="宋体"/>
                <w:color w:val="auto"/>
                <w:szCs w:val="21"/>
                <w:highlight w:val="none"/>
              </w:rPr>
              <w:t>范围内</w:t>
            </w:r>
            <w:r>
              <w:rPr>
                <w:rFonts w:hint="eastAsia" w:ascii="宋体" w:hAnsi="宋体"/>
                <w:color w:val="auto"/>
                <w:szCs w:val="21"/>
                <w:highlight w:val="none"/>
                <w:lang w:val="en-US" w:eastAsia="zh-CN"/>
              </w:rPr>
              <w:t>周边21口</w:t>
            </w:r>
            <w:r>
              <w:rPr>
                <w:rFonts w:hint="eastAsia" w:ascii="宋体" w:hAnsi="宋体"/>
                <w:color w:val="auto"/>
                <w:szCs w:val="21"/>
                <w:highlight w:val="none"/>
                <w:lang w:eastAsia="zh-CN"/>
              </w:rPr>
              <w:t>地下水井</w:t>
            </w:r>
            <w:r>
              <w:rPr>
                <w:rFonts w:hint="eastAsia" w:ascii="宋体" w:hAnsi="宋体"/>
                <w:color w:val="auto"/>
                <w:szCs w:val="21"/>
                <w:highlight w:val="none"/>
              </w:rPr>
              <w:t>维护及水质监督性</w:t>
            </w:r>
            <w:r>
              <w:rPr>
                <w:rFonts w:hint="eastAsia" w:ascii="宋体" w:hAnsi="宋体"/>
                <w:color w:val="auto"/>
                <w:szCs w:val="21"/>
                <w:highlight w:val="none"/>
                <w:lang w:eastAsia="zh-CN"/>
              </w:rPr>
              <w:t>监测</w:t>
            </w:r>
            <w:r>
              <w:rPr>
                <w:rFonts w:hint="eastAsia" w:ascii="宋体" w:hAnsi="宋体"/>
                <w:color w:val="auto"/>
                <w:szCs w:val="21"/>
                <w:highlight w:val="none"/>
              </w:rPr>
              <w:t>。</w:t>
            </w:r>
          </w:p>
          <w:p w14:paraId="555A1535">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……具体详见第二章采购需求。</w:t>
            </w:r>
          </w:p>
        </w:tc>
      </w:tr>
      <w:tr w14:paraId="218CB8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86" w:type="dxa"/>
            <w:gridSpan w:val="3"/>
            <w:tcBorders>
              <w:top w:val="single" w:color="auto" w:sz="4" w:space="0"/>
              <w:left w:val="single" w:color="auto" w:sz="4" w:space="0"/>
              <w:bottom w:val="single" w:color="auto" w:sz="4" w:space="0"/>
              <w:right w:val="single" w:color="auto" w:sz="4" w:space="0"/>
            </w:tcBorders>
            <w:noWrap w:val="0"/>
            <w:vAlign w:val="center"/>
          </w:tcPr>
          <w:p w14:paraId="130950FC">
            <w:pPr>
              <w:spacing w:line="400" w:lineRule="exact"/>
              <w:rPr>
                <w:rFonts w:ascii="宋体" w:hAnsi="宋体"/>
                <w:color w:val="auto"/>
                <w:szCs w:val="21"/>
                <w:highlight w:val="none"/>
              </w:rPr>
            </w:pPr>
            <w:r>
              <w:rPr>
                <w:rFonts w:hint="eastAsia" w:ascii="宋体" w:hAnsi="宋体"/>
                <w:color w:val="auto"/>
                <w:szCs w:val="21"/>
                <w:highlight w:val="none"/>
              </w:rPr>
              <w:t>合同履行期限：详见竞争性磋商文件。</w:t>
            </w:r>
          </w:p>
        </w:tc>
      </w:tr>
    </w:tbl>
    <w:p w14:paraId="0607F657">
      <w:pPr>
        <w:spacing w:line="400" w:lineRule="exact"/>
        <w:ind w:firstLine="420" w:firstLineChars="200"/>
        <w:rPr>
          <w:rFonts w:ascii="宋体" w:hAnsi="宋体"/>
          <w:color w:val="auto"/>
          <w:szCs w:val="21"/>
          <w:highlight w:val="none"/>
        </w:rPr>
      </w:pPr>
    </w:p>
    <w:p w14:paraId="76CC637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7.本项目是否接受联合体：</w:t>
      </w:r>
      <w:r>
        <w:rPr>
          <w:rFonts w:hint="eastAsia" w:ascii="宋体" w:hAnsi="宋体"/>
          <w:color w:val="auto"/>
          <w:szCs w:val="21"/>
          <w:highlight w:val="none"/>
          <w:lang w:eastAsia="zh-CN"/>
        </w:rPr>
        <w:t>☑</w:t>
      </w:r>
      <w:r>
        <w:rPr>
          <w:rFonts w:hint="eastAsia" w:ascii="宋体" w:hAnsi="宋体"/>
          <w:color w:val="auto"/>
          <w:szCs w:val="21"/>
          <w:highlight w:val="none"/>
        </w:rPr>
        <w:t>是，</w:t>
      </w:r>
      <w:r>
        <w:rPr>
          <w:rFonts w:hint="eastAsia" w:ascii="Segoe UI Emoji" w:hAnsi="Segoe UI Emoji" w:cs="Segoe UI Emoji"/>
          <w:color w:val="auto"/>
          <w:sz w:val="22"/>
          <w:szCs w:val="22"/>
          <w:highlight w:val="none"/>
          <w:lang w:eastAsia="zh-CN"/>
        </w:rPr>
        <w:t>□</w:t>
      </w:r>
      <w:r>
        <w:rPr>
          <w:rFonts w:hint="eastAsia" w:ascii="宋体" w:hAnsi="宋体"/>
          <w:color w:val="auto"/>
          <w:szCs w:val="21"/>
          <w:highlight w:val="none"/>
        </w:rPr>
        <w:t>否。</w:t>
      </w:r>
    </w:p>
    <w:p w14:paraId="3ABED93E">
      <w:pPr>
        <w:spacing w:line="400" w:lineRule="exact"/>
        <w:ind w:firstLine="482" w:firstLineChars="200"/>
        <w:rPr>
          <w:rFonts w:ascii="黑体" w:hAnsi="黑体" w:eastAsia="黑体" w:cs="宋体"/>
          <w:bCs/>
          <w:color w:val="auto"/>
          <w:sz w:val="24"/>
          <w:highlight w:val="none"/>
        </w:rPr>
      </w:pPr>
      <w:r>
        <w:rPr>
          <w:rFonts w:hint="eastAsia" w:ascii="黑体" w:hAnsi="黑体" w:eastAsia="黑体" w:cs="宋体"/>
          <w:b/>
          <w:color w:val="auto"/>
          <w:kern w:val="44"/>
          <w:sz w:val="24"/>
          <w:highlight w:val="none"/>
        </w:rPr>
        <w:t>二、供应商的资格条件</w:t>
      </w:r>
    </w:p>
    <w:p w14:paraId="35CFBE5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1EC4B62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2.落实政府采购政策需满足的资格要求：</w:t>
      </w:r>
    </w:p>
    <w:p w14:paraId="60E0797B">
      <w:pPr>
        <w:spacing w:line="400" w:lineRule="exact"/>
        <w:ind w:firstLine="420" w:firstLineChars="200"/>
        <w:rPr>
          <w:rFonts w:ascii="宋体" w:hAnsi="宋体"/>
          <w:color w:val="auto"/>
          <w:szCs w:val="21"/>
          <w:highlight w:val="none"/>
        </w:rPr>
      </w:pPr>
      <w:r>
        <w:rPr>
          <w:rFonts w:hint="eastAsia" w:ascii="Segoe UI Symbol" w:hAnsi="Segoe UI Symbol" w:cs="Segoe UI Symbol"/>
          <w:color w:val="auto"/>
          <w:szCs w:val="21"/>
          <w:highlight w:val="none"/>
          <w:lang w:eastAsia="zh-CN"/>
        </w:rPr>
        <w:t>☑</w:t>
      </w:r>
      <w:r>
        <w:rPr>
          <w:rFonts w:hint="eastAsia" w:ascii="宋体" w:hAnsi="宋体"/>
          <w:color w:val="auto"/>
          <w:szCs w:val="21"/>
          <w:highlight w:val="none"/>
        </w:rPr>
        <w:t>专门面向中小微企业采购的项目（供应商应为中型或小型或微型企业、监狱企业、残疾人福利性单位）</w:t>
      </w:r>
    </w:p>
    <w:p w14:paraId="3C0B6744">
      <w:pPr>
        <w:spacing w:line="400" w:lineRule="exact"/>
        <w:ind w:firstLine="440" w:firstLineChars="200"/>
        <w:rPr>
          <w:rFonts w:ascii="宋体" w:hAnsi="宋体"/>
          <w:color w:val="auto"/>
          <w:szCs w:val="21"/>
          <w:highlight w:val="none"/>
        </w:rPr>
      </w:pPr>
      <w:r>
        <w:rPr>
          <w:rFonts w:hint="eastAsia" w:ascii="Segoe UI Symbol" w:hAnsi="Segoe UI Symbol" w:cs="Segoe UI Symbol"/>
          <w:color w:val="auto"/>
          <w:sz w:val="22"/>
          <w:szCs w:val="22"/>
          <w:highlight w:val="none"/>
          <w:lang w:eastAsia="zh-CN"/>
        </w:rPr>
        <w:t>□</w:t>
      </w:r>
      <w:r>
        <w:rPr>
          <w:rFonts w:hint="eastAsia" w:ascii="宋体" w:hAnsi="宋体"/>
          <w:color w:val="auto"/>
          <w:szCs w:val="21"/>
          <w:highlight w:val="none"/>
        </w:rPr>
        <w:t>非专门面向中小企业采购的项目</w:t>
      </w:r>
    </w:p>
    <w:p w14:paraId="67B0993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3.本项目的特定资格要求：</w:t>
      </w:r>
      <w:r>
        <w:rPr>
          <w:rFonts w:hint="default" w:ascii="Times New Roman" w:hAnsi="Times New Roman" w:eastAsia="宋体" w:cs="Times New Roman"/>
          <w:color w:val="auto"/>
          <w:szCs w:val="21"/>
          <w:highlight w:val="none"/>
        </w:rPr>
        <w:t>供应商取得检验检测机构资质认定证书（CMA），具备拟竞标所有项目的检测方法的资质</w:t>
      </w:r>
      <w:r>
        <w:rPr>
          <w:rFonts w:hint="default" w:ascii="Times New Roman" w:hAnsi="Times New Roman" w:eastAsia="宋体" w:cs="Times New Roman"/>
          <w:color w:val="auto"/>
          <w:szCs w:val="21"/>
          <w:highlight w:val="none"/>
          <w:lang w:eastAsia="zh-CN"/>
        </w:rPr>
        <w:t>和能力</w:t>
      </w:r>
      <w:r>
        <w:rPr>
          <w:rFonts w:hint="default" w:ascii="Times New Roman" w:hAnsi="Times New Roman" w:eastAsia="宋体" w:cs="Times New Roman"/>
          <w:color w:val="auto"/>
          <w:szCs w:val="21"/>
          <w:highlight w:val="none"/>
        </w:rPr>
        <w:t>，并在有效期范围内。（竞标时须提供资质证书及能力附表复印件，原件备查。）</w:t>
      </w:r>
    </w:p>
    <w:p w14:paraId="193549C9">
      <w:pPr>
        <w:widowControl/>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4.本项目的特定条件：</w:t>
      </w:r>
      <w:r>
        <w:rPr>
          <w:rFonts w:hint="eastAsia" w:ascii="宋体" w:hAnsi="宋体"/>
          <w:color w:val="auto"/>
          <w:szCs w:val="21"/>
          <w:highlight w:val="none"/>
          <w:lang w:val="en-US" w:eastAsia="zh-CN"/>
        </w:rPr>
        <w:t>无。</w:t>
      </w:r>
    </w:p>
    <w:p w14:paraId="0AF2B48B">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18977D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6.对在“信用中国”网站（www.creditchina.gov.cn） 、中国政府采购网（www.ccgp.gov.cn）</w:t>
      </w:r>
      <w:r>
        <w:rPr>
          <w:rFonts w:hint="eastAsia" w:ascii="宋体" w:hAnsi="宋体"/>
          <w:color w:val="auto"/>
          <w:szCs w:val="21"/>
          <w:highlight w:val="none"/>
          <w:lang w:eastAsia="zh-CN"/>
        </w:rPr>
        <w:t>、中国执行信息公开网（https://zxgk.court.gov.cn/）</w:t>
      </w:r>
      <w:r>
        <w:rPr>
          <w:rFonts w:hint="eastAsia" w:ascii="宋体" w:hAnsi="宋体"/>
          <w:color w:val="auto"/>
          <w:szCs w:val="21"/>
          <w:highlight w:val="none"/>
        </w:rPr>
        <w:t>被列入失信被执行人</w:t>
      </w:r>
      <w:r>
        <w:rPr>
          <w:rFonts w:hint="eastAsia" w:ascii="宋体" w:hAnsi="宋体"/>
          <w:color w:val="auto"/>
          <w:szCs w:val="21"/>
          <w:highlight w:val="none"/>
          <w:lang w:eastAsia="zh-CN"/>
        </w:rPr>
        <w:t>、</w:t>
      </w:r>
      <w:r>
        <w:rPr>
          <w:rFonts w:hint="eastAsia" w:ascii="宋体" w:hAnsi="宋体"/>
          <w:color w:val="auto"/>
          <w:szCs w:val="21"/>
          <w:highlight w:val="none"/>
        </w:rPr>
        <w:t>重大税收违法失信主体、政府采购严重违法失信行为记录名单及其他不符合《中华人民共和国政府采购法》第二十二条规定条件的供应商，不得参与政府采购活动。</w:t>
      </w:r>
    </w:p>
    <w:p w14:paraId="5100FB1E">
      <w:pPr>
        <w:spacing w:line="400" w:lineRule="exact"/>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三、获取竞争性磋商文件</w:t>
      </w:r>
    </w:p>
    <w:p w14:paraId="48FFAA6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时间：自公告发布之日。</w:t>
      </w:r>
    </w:p>
    <w:p w14:paraId="6A0427D6">
      <w:pPr>
        <w:spacing w:line="400" w:lineRule="exact"/>
        <w:ind w:firstLine="420" w:firstLineChars="200"/>
        <w:rPr>
          <w:rFonts w:ascii="宋体" w:hAnsi="宋体"/>
          <w:b/>
          <w:bCs/>
          <w:color w:val="auto"/>
          <w:sz w:val="24"/>
          <w:highlight w:val="none"/>
        </w:rPr>
      </w:pPr>
      <w:r>
        <w:rPr>
          <w:rFonts w:hint="eastAsia" w:ascii="宋体" w:hAnsi="宋体"/>
          <w:color w:val="auto"/>
          <w:szCs w:val="21"/>
          <w:highlight w:val="none"/>
        </w:rPr>
        <w:t>获取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75B452F2">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售价：0元。</w:t>
      </w:r>
    </w:p>
    <w:p w14:paraId="68A5A8E4">
      <w:pPr>
        <w:spacing w:line="400" w:lineRule="exact"/>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四、响应文件提交</w:t>
      </w:r>
    </w:p>
    <w:p w14:paraId="46DD165D">
      <w:pPr>
        <w:spacing w:line="400" w:lineRule="exact"/>
        <w:ind w:firstLine="420" w:firstLineChars="200"/>
        <w:rPr>
          <w:rFonts w:ascii="宋体" w:hAnsi="宋体"/>
          <w:color w:val="auto"/>
          <w:szCs w:val="21"/>
          <w:highlight w:val="none"/>
        </w:rPr>
      </w:pPr>
      <w:r>
        <w:rPr>
          <w:rFonts w:hint="eastAsia"/>
          <w:color w:val="auto"/>
          <w:highlight w:val="none"/>
        </w:rPr>
        <w:t>1.首次</w:t>
      </w:r>
      <w:r>
        <w:rPr>
          <w:rFonts w:hint="eastAsia" w:ascii="宋体" w:hAnsi="宋体"/>
          <w:color w:val="auto"/>
          <w:szCs w:val="21"/>
          <w:highlight w:val="none"/>
        </w:rPr>
        <w:t>响应</w:t>
      </w:r>
      <w:r>
        <w:rPr>
          <w:rFonts w:hint="eastAsia"/>
          <w:color w:val="auto"/>
          <w:highlight w:val="none"/>
        </w:rPr>
        <w:t>文件提交截止时间（北京时间）：</w:t>
      </w:r>
      <w:r>
        <w:rPr>
          <w:rFonts w:hint="eastAsia" w:ascii="宋体" w:hAnsi="宋体" w:cs="Arial"/>
          <w:color w:val="auto"/>
          <w:highlight w:val="none"/>
        </w:rPr>
        <w:t>2026年</w:t>
      </w:r>
      <w:r>
        <w:rPr>
          <w:rFonts w:hint="eastAsia" w:ascii="宋体" w:hAnsi="宋体" w:cs="Arial"/>
          <w:color w:val="auto"/>
          <w:highlight w:val="none"/>
          <w:lang w:val="en-US" w:eastAsia="zh-CN"/>
        </w:rPr>
        <w:t>5</w:t>
      </w:r>
      <w:r>
        <w:rPr>
          <w:rFonts w:hint="eastAsia" w:ascii="宋体" w:hAnsi="宋体" w:cs="Arial"/>
          <w:color w:val="auto"/>
          <w:highlight w:val="none"/>
        </w:rPr>
        <w:t>月</w:t>
      </w:r>
      <w:r>
        <w:rPr>
          <w:rFonts w:hint="eastAsia" w:ascii="宋体" w:hAnsi="宋体" w:cs="Arial"/>
          <w:color w:val="auto"/>
          <w:highlight w:val="none"/>
          <w:lang w:val="en-US" w:eastAsia="zh-CN"/>
        </w:rPr>
        <w:t>18</w:t>
      </w:r>
      <w:r>
        <w:rPr>
          <w:rFonts w:hint="eastAsia" w:ascii="宋体" w:hAnsi="宋体" w:cs="Arial"/>
          <w:color w:val="auto"/>
          <w:highlight w:val="none"/>
        </w:rPr>
        <w:t>日</w:t>
      </w:r>
      <w:r>
        <w:rPr>
          <w:rFonts w:hint="eastAsia" w:ascii="宋体" w:hAnsi="宋体" w:cs="Arial"/>
          <w:color w:val="auto"/>
          <w:highlight w:val="none"/>
          <w:lang w:val="en-US" w:eastAsia="zh-CN"/>
        </w:rPr>
        <w:t>09</w:t>
      </w:r>
      <w:r>
        <w:rPr>
          <w:rFonts w:hint="eastAsia" w:ascii="宋体" w:hAnsi="宋体" w:cs="Arial"/>
          <w:color w:val="auto"/>
          <w:highlight w:val="none"/>
        </w:rPr>
        <w:t>点</w:t>
      </w:r>
      <w:r>
        <w:rPr>
          <w:rFonts w:hint="eastAsia" w:ascii="宋体" w:hAnsi="宋体" w:cs="Arial"/>
          <w:color w:val="auto"/>
          <w:highlight w:val="none"/>
          <w:lang w:val="en-US" w:eastAsia="zh-CN"/>
        </w:rPr>
        <w:t>30</w:t>
      </w:r>
      <w:r>
        <w:rPr>
          <w:rFonts w:hint="eastAsia" w:ascii="宋体" w:hAnsi="宋体" w:cs="Arial"/>
          <w:color w:val="auto"/>
          <w:highlight w:val="none"/>
        </w:rPr>
        <w:t>分</w:t>
      </w:r>
      <w:r>
        <w:rPr>
          <w:rFonts w:hint="eastAsia" w:ascii="宋体" w:hAnsi="宋体"/>
          <w:color w:val="auto"/>
          <w:szCs w:val="21"/>
          <w:highlight w:val="none"/>
        </w:rPr>
        <w:t>（北京时间）</w:t>
      </w:r>
    </w:p>
    <w:p w14:paraId="49C5FBF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2.首次响应文件提交地点：</w:t>
      </w:r>
    </w:p>
    <w:p w14:paraId="3E6F5F97">
      <w:pPr>
        <w:widowControl/>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响应文件提交方式：本项目为南宁市全流程电子化项目，通过广西政府采购云平台（https://www.gcy.zfcg.gxzf.gov.cn/）实行在线电子响应，供应商应先安装“广西政府采购云平台电子交易客户端”（请自行前往广西政府采购云平台进行下载），并按照本项目采购文件和广西政府采购云平台的要求编制、加密后在竞标截止时间前通过网络上传至南宁市本级广西政府采购云平台，</w:t>
      </w:r>
      <w:r>
        <w:rPr>
          <w:rFonts w:hint="eastAsia" w:ascii="宋体" w:hAnsi="宋体"/>
          <w:b/>
          <w:color w:val="auto"/>
          <w:szCs w:val="21"/>
          <w:highlight w:val="none"/>
        </w:rPr>
        <w:t>供应商在广西政府采购云平台提交电子版响应文件时，请填写参加远程采购活动经办人联系方式，</w:t>
      </w:r>
      <w:r>
        <w:rPr>
          <w:rFonts w:hint="eastAsia" w:ascii="宋体" w:hAnsi="宋体"/>
          <w:color w:val="auto"/>
          <w:szCs w:val="21"/>
          <w:highlight w:val="none"/>
        </w:rPr>
        <w:t>电子响应文件具体操作流程详见本公告附件2。</w:t>
      </w:r>
    </w:p>
    <w:p w14:paraId="700B16F7">
      <w:pPr>
        <w:widowControl/>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潜在供应商应当在竞标截止时间前，完成电子交易平台上的CA数字证书办理（申领流程见本公告附件1）及响应文件的提交。完成CA数字证书办理预计7日左右，</w:t>
      </w:r>
      <w:r>
        <w:rPr>
          <w:rFonts w:hint="eastAsia" w:ascii="宋体" w:hAnsi="宋体" w:cs="宋体"/>
          <w:color w:val="auto"/>
          <w:szCs w:val="21"/>
          <w:highlight w:val="none"/>
        </w:rPr>
        <w:t>供应商只需办理其中一家CA数字证书及签章</w:t>
      </w:r>
      <w:r>
        <w:rPr>
          <w:rFonts w:hint="eastAsia" w:ascii="宋体" w:hAnsi="宋体"/>
          <w:color w:val="auto"/>
          <w:szCs w:val="21"/>
          <w:highlight w:val="none"/>
        </w:rPr>
        <w:t>。</w:t>
      </w:r>
    </w:p>
    <w:p w14:paraId="15383148">
      <w:pPr>
        <w:widowControl/>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2FB04AFF">
      <w:pPr>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13218889">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3.CA证书在线解密：首次响应文件开启时，须供应商携带制作响应文件时用来加密的有效数字证书（CA认证）登录广西政府采购云平台电子开标大厅现场按规定时间对加密的响应文件进行解密</w:t>
      </w:r>
      <w:r>
        <w:rPr>
          <w:rFonts w:hint="eastAsia" w:ascii="宋体" w:hAnsi="宋体" w:cs="宋体"/>
          <w:color w:val="auto"/>
          <w:szCs w:val="21"/>
          <w:highlight w:val="none"/>
        </w:rPr>
        <w:t>，未能按要求进行解密的，由此产生的后果由供应商自行承担。</w:t>
      </w:r>
    </w:p>
    <w:p w14:paraId="0B01E06E">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4.供应商需要在具备摄像头及语音功能且互联网网络状况良好的电脑登录广西政府采购云平台远程开标大厅参与本次磋商，否则后果自负。</w:t>
      </w:r>
    </w:p>
    <w:p w14:paraId="7F731AB0">
      <w:pPr>
        <w:spacing w:line="400" w:lineRule="exact"/>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五、开启（首次响应文件开启时间）</w:t>
      </w:r>
    </w:p>
    <w:p w14:paraId="33AB3D99">
      <w:pPr>
        <w:spacing w:line="400" w:lineRule="exact"/>
        <w:ind w:firstLine="420" w:firstLineChars="200"/>
        <w:rPr>
          <w:rFonts w:ascii="宋体" w:hAnsi="宋体"/>
          <w:bCs/>
          <w:color w:val="auto"/>
          <w:szCs w:val="21"/>
          <w:highlight w:val="none"/>
        </w:rPr>
      </w:pPr>
      <w:r>
        <w:rPr>
          <w:rFonts w:hint="eastAsia" w:ascii="宋体" w:hAnsi="宋体"/>
          <w:color w:val="auto"/>
          <w:szCs w:val="21"/>
          <w:highlight w:val="none"/>
        </w:rPr>
        <w:t>1.时间：</w:t>
      </w:r>
      <w:r>
        <w:rPr>
          <w:rFonts w:hint="eastAsia" w:ascii="宋体" w:hAnsi="宋体" w:cs="Arial"/>
          <w:color w:val="auto"/>
          <w:highlight w:val="none"/>
        </w:rPr>
        <w:t>2026年</w:t>
      </w:r>
      <w:r>
        <w:rPr>
          <w:rFonts w:hint="eastAsia" w:ascii="宋体" w:hAnsi="宋体" w:cs="Arial"/>
          <w:color w:val="auto"/>
          <w:highlight w:val="none"/>
          <w:lang w:val="en-US" w:eastAsia="zh-CN"/>
        </w:rPr>
        <w:t>5</w:t>
      </w:r>
      <w:r>
        <w:rPr>
          <w:rFonts w:hint="eastAsia" w:ascii="宋体" w:hAnsi="宋体" w:cs="Arial"/>
          <w:color w:val="auto"/>
          <w:highlight w:val="none"/>
        </w:rPr>
        <w:t>月</w:t>
      </w:r>
      <w:r>
        <w:rPr>
          <w:rFonts w:hint="eastAsia" w:ascii="宋体" w:hAnsi="宋体" w:cs="Arial"/>
          <w:color w:val="auto"/>
          <w:highlight w:val="none"/>
          <w:lang w:val="en-US" w:eastAsia="zh-CN"/>
        </w:rPr>
        <w:t>18</w:t>
      </w:r>
      <w:r>
        <w:rPr>
          <w:rFonts w:hint="eastAsia" w:ascii="宋体" w:hAnsi="宋体" w:cs="Arial"/>
          <w:color w:val="auto"/>
          <w:highlight w:val="none"/>
        </w:rPr>
        <w:t>日</w:t>
      </w:r>
      <w:r>
        <w:rPr>
          <w:rFonts w:hint="eastAsia" w:ascii="宋体" w:hAnsi="宋体" w:cs="Arial"/>
          <w:color w:val="auto"/>
          <w:highlight w:val="none"/>
          <w:lang w:val="en-US" w:eastAsia="zh-CN"/>
        </w:rPr>
        <w:t>09</w:t>
      </w:r>
      <w:r>
        <w:rPr>
          <w:rFonts w:hint="eastAsia" w:ascii="宋体" w:hAnsi="宋体" w:cs="Arial"/>
          <w:color w:val="auto"/>
          <w:highlight w:val="none"/>
        </w:rPr>
        <w:t>点</w:t>
      </w:r>
      <w:r>
        <w:rPr>
          <w:rFonts w:hint="eastAsia" w:ascii="宋体" w:hAnsi="宋体" w:cs="Arial"/>
          <w:color w:val="auto"/>
          <w:highlight w:val="none"/>
          <w:lang w:val="en-US" w:eastAsia="zh-CN"/>
        </w:rPr>
        <w:t>30</w:t>
      </w:r>
      <w:r>
        <w:rPr>
          <w:rFonts w:hint="eastAsia" w:ascii="宋体" w:hAnsi="宋体" w:cs="Arial"/>
          <w:color w:val="auto"/>
          <w:highlight w:val="none"/>
        </w:rPr>
        <w:t>分</w:t>
      </w:r>
      <w:r>
        <w:rPr>
          <w:rFonts w:hint="eastAsia" w:ascii="宋体" w:hAnsi="宋体"/>
          <w:color w:val="auto"/>
          <w:szCs w:val="21"/>
          <w:highlight w:val="none"/>
        </w:rPr>
        <w:t>（北京时间）后</w:t>
      </w:r>
    </w:p>
    <w:p w14:paraId="45655CF3">
      <w:pPr>
        <w:spacing w:line="400" w:lineRule="exact"/>
        <w:ind w:firstLine="420" w:firstLineChars="200"/>
        <w:rPr>
          <w:rFonts w:ascii="宋体" w:hAnsi="宋体"/>
          <w:bCs/>
          <w:color w:val="auto"/>
          <w:szCs w:val="21"/>
          <w:highlight w:val="none"/>
        </w:rPr>
      </w:pPr>
      <w:r>
        <w:rPr>
          <w:rFonts w:hint="eastAsia" w:ascii="宋体" w:hAnsi="宋体"/>
          <w:color w:val="auto"/>
          <w:szCs w:val="21"/>
          <w:highlight w:val="none"/>
        </w:rPr>
        <w:t>2.地点：广西政府采购云平台（https://www.gcy.zfcg.gxzf.gov.cn/）</w:t>
      </w:r>
    </w:p>
    <w:p w14:paraId="46805540">
      <w:pPr>
        <w:spacing w:line="400" w:lineRule="exact"/>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六、公告期限</w:t>
      </w:r>
    </w:p>
    <w:p w14:paraId="3A79D64C">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06FC883C">
      <w:pPr>
        <w:spacing w:line="400" w:lineRule="exact"/>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七、其他补充事宜</w:t>
      </w:r>
    </w:p>
    <w:p w14:paraId="68EB5F3B">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1.磋商保证金：本项目不收取磋商保证金</w:t>
      </w:r>
    </w:p>
    <w:p w14:paraId="3DF42363">
      <w:pPr>
        <w:wordWrap w:val="0"/>
        <w:spacing w:line="400" w:lineRule="exact"/>
        <w:ind w:firstLine="420" w:firstLineChars="200"/>
        <w:rPr>
          <w:rFonts w:ascii="宋体" w:hAnsi="宋体" w:cs="宋体"/>
          <w:b/>
          <w:bCs/>
          <w:color w:val="auto"/>
          <w:kern w:val="0"/>
          <w:szCs w:val="21"/>
          <w:highlight w:val="none"/>
        </w:rPr>
      </w:pPr>
      <w:r>
        <w:rPr>
          <w:rFonts w:hint="eastAsia" w:ascii="宋体" w:hAnsi="宋体" w:cs="宋体"/>
          <w:color w:val="auto"/>
          <w:kern w:val="0"/>
          <w:szCs w:val="21"/>
          <w:highlight w:val="none"/>
        </w:rPr>
        <w:t>2.采购意向公开链接：http://www.ccgp-guangxi.gov.cn/site/detail?categoryCode=ZcyAnnouncement&amp;parentId=66485&amp;articleId=+DqHE7jZCn+b6YoEpMt7vg==</w:t>
      </w:r>
    </w:p>
    <w:p w14:paraId="69E8953D">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3.网上查询地址</w:t>
      </w:r>
    </w:p>
    <w:p w14:paraId="3BA96173">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中国政府采购网（http://www.ccgp.gov.cn）、广西壮族自治区政府采购网（http://zfcg.gxzf.gov.cn）、全国公共资源交易平台（广西.南宁）（http://ggzy.jgswj.gxzf.gov.cn/nnggzy/）</w:t>
      </w:r>
    </w:p>
    <w:p w14:paraId="1C8E78D6">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olor w:val="auto"/>
          <w:szCs w:val="21"/>
          <w:highlight w:val="none"/>
        </w:rPr>
        <w:t>.</w:t>
      </w:r>
      <w:r>
        <w:rPr>
          <w:rFonts w:hint="eastAsia" w:ascii="宋体" w:hAnsi="宋体" w:cs="宋体"/>
          <w:color w:val="auto"/>
          <w:kern w:val="0"/>
          <w:szCs w:val="21"/>
          <w:highlight w:val="none"/>
        </w:rPr>
        <w:t>本项目需要落实的政府采购政策</w:t>
      </w:r>
    </w:p>
    <w:p w14:paraId="2345B4C8">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70E7525D">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6D15C7A8">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47D7A3AA">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6DC549D4">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3588D0A7">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供应商认为采购文件使自己的权益受到损害的，可以自获取采购文件之日或者采购文件公告期限届满之日（公告期限届满后获取采购文件的，以公告期限届满之日为准）起7个工作日内且应当在采购响应截止时间之前，以书面形式一次性向采购人和采购代理机构提出同一环节的质疑。否则，逾期的质疑采购人及采购代理机构可不予接受。质疑供应商对采购人、采购代理机构的答复不满意或者采购人、采购代理机构未在规定的时间内作出答复的，可以在答复期满后十五个工作日内向同级政府采购监督管理部门投诉。</w:t>
      </w:r>
    </w:p>
    <w:p w14:paraId="04047305">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6.若对项目采购电子交易系统操作有疑问，可登录广西政府采购云平台（</w:t>
      </w:r>
      <w:r>
        <w:rPr>
          <w:rFonts w:hint="eastAsia" w:ascii="宋体" w:hAnsi="宋体"/>
          <w:color w:val="auto"/>
          <w:szCs w:val="21"/>
          <w:highlight w:val="none"/>
        </w:rPr>
        <w:t>https://www.gcy.zfcg.gxzf.gov.cn</w:t>
      </w:r>
      <w:r>
        <w:rPr>
          <w:rFonts w:hint="eastAsia" w:ascii="宋体" w:hAnsi="宋体" w:cs="宋体"/>
          <w:color w:val="auto"/>
          <w:kern w:val="0"/>
          <w:szCs w:val="21"/>
          <w:highlight w:val="none"/>
        </w:rPr>
        <w:t>/），或拨打</w:t>
      </w:r>
      <w:r>
        <w:rPr>
          <w:rFonts w:hint="eastAsia" w:ascii="宋体" w:hAnsi="宋体"/>
          <w:color w:val="auto"/>
          <w:szCs w:val="21"/>
          <w:highlight w:val="none"/>
        </w:rPr>
        <w:t>广西政府采购云平台</w:t>
      </w:r>
      <w:r>
        <w:rPr>
          <w:rFonts w:hint="eastAsia" w:ascii="宋体" w:hAnsi="宋体" w:cs="宋体"/>
          <w:color w:val="auto"/>
          <w:kern w:val="0"/>
          <w:szCs w:val="21"/>
          <w:highlight w:val="none"/>
        </w:rPr>
        <w:t xml:space="preserve">服务热线95763或0771-3381253获取热线服务帮助。 </w:t>
      </w:r>
    </w:p>
    <w:p w14:paraId="1EDE5318">
      <w:pPr>
        <w:spacing w:line="400" w:lineRule="exact"/>
        <w:ind w:firstLine="482" w:firstLineChars="200"/>
        <w:rPr>
          <w:rFonts w:ascii="黑体" w:hAnsi="黑体" w:eastAsia="黑体" w:cs="宋体"/>
          <w:bCs/>
          <w:color w:val="auto"/>
          <w:sz w:val="24"/>
          <w:highlight w:val="none"/>
        </w:rPr>
      </w:pPr>
      <w:r>
        <w:rPr>
          <w:rFonts w:hint="eastAsia" w:ascii="黑体" w:hAnsi="黑体" w:eastAsia="黑体" w:cs="宋体"/>
          <w:b/>
          <w:color w:val="auto"/>
          <w:kern w:val="44"/>
          <w:sz w:val="24"/>
          <w:highlight w:val="none"/>
        </w:rPr>
        <w:t>八、凡对本次采购提出询问，请按以下方式联系</w:t>
      </w:r>
    </w:p>
    <w:p w14:paraId="673EA67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1.采购人信息</w:t>
      </w:r>
    </w:p>
    <w:p w14:paraId="510034FC">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南宁市生态环境局</w:t>
      </w:r>
    </w:p>
    <w:p w14:paraId="78BE697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地址：南宁市竹溪大道33号</w:t>
      </w:r>
    </w:p>
    <w:p w14:paraId="714EA0AA">
      <w:pPr>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val="en-US" w:eastAsia="zh-CN"/>
        </w:rPr>
        <w:t>李铁林</w:t>
      </w:r>
    </w:p>
    <w:p w14:paraId="3BBF2D04">
      <w:pPr>
        <w:spacing w:line="40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lang w:val="en-US" w:eastAsia="zh-CN"/>
        </w:rPr>
        <w:t>0771-</w:t>
      </w:r>
      <w:r>
        <w:rPr>
          <w:rFonts w:hint="eastAsia" w:ascii="宋体" w:hAnsi="宋体" w:cs="宋体"/>
          <w:color w:val="auto"/>
          <w:szCs w:val="21"/>
          <w:highlight w:val="none"/>
        </w:rPr>
        <w:t>5510553</w:t>
      </w:r>
    </w:p>
    <w:p w14:paraId="569ECB9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2.采购代理机构信息</w:t>
      </w:r>
    </w:p>
    <w:p w14:paraId="39483021">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广西同泽工程项目管理股份有限公司</w:t>
      </w:r>
    </w:p>
    <w:p w14:paraId="7D2C1B02">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lang w:eastAsia="zh-CN"/>
        </w:rPr>
        <w:t>南宁市良庆区凯旋路16号裕达国际中心广东大厦18层</w:t>
      </w:r>
    </w:p>
    <w:p w14:paraId="363EFD76">
      <w:pPr>
        <w:spacing w:line="400" w:lineRule="exact"/>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0771-5590176</w:t>
      </w:r>
    </w:p>
    <w:p w14:paraId="50F62FC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3.项目联系方式</w:t>
      </w:r>
    </w:p>
    <w:p w14:paraId="63A55C8E">
      <w:pPr>
        <w:spacing w:line="400" w:lineRule="exact"/>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陆珍花、奉云、农英民</w:t>
      </w:r>
    </w:p>
    <w:p w14:paraId="025D9A67">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s="宋体"/>
          <w:color w:val="auto"/>
          <w:szCs w:val="21"/>
          <w:highlight w:val="none"/>
        </w:rPr>
        <w:t>电话：</w:t>
      </w:r>
      <w:r>
        <w:rPr>
          <w:rFonts w:hint="eastAsia" w:ascii="宋体" w:hAnsi="宋体" w:cs="宋体"/>
          <w:color w:val="auto"/>
          <w:szCs w:val="21"/>
          <w:highlight w:val="none"/>
          <w:lang w:eastAsia="zh-CN"/>
        </w:rPr>
        <w:t>0771-5590176</w:t>
      </w:r>
    </w:p>
    <w:p w14:paraId="09395C74">
      <w:pPr>
        <w:widowControl/>
        <w:spacing w:line="400" w:lineRule="exact"/>
        <w:ind w:firstLine="420" w:firstLineChars="200"/>
        <w:jc w:val="left"/>
        <w:rPr>
          <w:color w:val="auto"/>
          <w:highlight w:val="none"/>
        </w:rPr>
      </w:pPr>
      <w:bookmarkStart w:id="45" w:name="OLE_LINK3"/>
      <w:r>
        <w:rPr>
          <w:rFonts w:hint="eastAsia" w:ascii="宋体" w:hAnsi="宋体" w:cs="宋体"/>
          <w:color w:val="auto"/>
          <w:szCs w:val="21"/>
          <w:highlight w:val="none"/>
        </w:rPr>
        <w:t>附件：1.CA证书申请方式及操作指南下载地址（登陆</w:t>
      </w:r>
      <w:bookmarkStart w:id="46" w:name="OLE_LINK4"/>
      <w:r>
        <w:rPr>
          <w:color w:val="auto"/>
          <w:highlight w:val="none"/>
        </w:rPr>
        <w:t>http://nncz.nanning.gov.cn/</w:t>
      </w:r>
      <w:bookmarkEnd w:id="46"/>
      <w:r>
        <w:rPr>
          <w:rFonts w:hint="eastAsia" w:cs="宋体"/>
          <w:color w:val="auto"/>
          <w:highlight w:val="none"/>
        </w:rPr>
        <w:t>（南宁市财政局官网）</w:t>
      </w:r>
      <w:r>
        <w:rPr>
          <w:color w:val="auto"/>
          <w:highlight w:val="none"/>
        </w:rPr>
        <w:t>-</w:t>
      </w:r>
      <w:r>
        <w:rPr>
          <w:rFonts w:hint="eastAsia" w:cs="宋体"/>
          <w:color w:val="auto"/>
          <w:highlight w:val="none"/>
        </w:rPr>
        <w:t>业务专题</w:t>
      </w:r>
      <w:r>
        <w:rPr>
          <w:color w:val="auto"/>
          <w:highlight w:val="none"/>
        </w:rPr>
        <w:t>-</w:t>
      </w:r>
      <w:r>
        <w:rPr>
          <w:rFonts w:hint="eastAsia" w:cs="宋体"/>
          <w:color w:val="auto"/>
          <w:highlight w:val="none"/>
        </w:rPr>
        <w:t>政府采购监督管理</w:t>
      </w:r>
      <w:r>
        <w:rPr>
          <w:color w:val="auto"/>
          <w:highlight w:val="none"/>
        </w:rPr>
        <w:t>-</w:t>
      </w:r>
      <w:r>
        <w:rPr>
          <w:rFonts w:hint="eastAsia" w:cs="宋体"/>
          <w:color w:val="auto"/>
          <w:highlight w:val="none"/>
        </w:rPr>
        <w:t>资料下载</w:t>
      </w:r>
      <w:r>
        <w:rPr>
          <w:color w:val="auto"/>
          <w:highlight w:val="none"/>
        </w:rPr>
        <w:t>-</w:t>
      </w:r>
      <w:r>
        <w:rPr>
          <w:rFonts w:hint="eastAsia" w:cs="宋体"/>
          <w:color w:val="auto"/>
          <w:highlight w:val="none"/>
        </w:rPr>
        <w:t>“广西政采云西部</w:t>
      </w:r>
      <w:r>
        <w:rPr>
          <w:color w:val="auto"/>
          <w:highlight w:val="none"/>
        </w:rPr>
        <w:t>CA</w:t>
      </w:r>
      <w:r>
        <w:rPr>
          <w:rFonts w:hint="eastAsia" w:cs="宋体"/>
          <w:color w:val="auto"/>
          <w:highlight w:val="none"/>
        </w:rPr>
        <w:t>办理方式”或“南宁市政采云</w:t>
      </w:r>
      <w:r>
        <w:rPr>
          <w:color w:val="auto"/>
          <w:highlight w:val="none"/>
        </w:rPr>
        <w:t>CA</w:t>
      </w:r>
      <w:r>
        <w:rPr>
          <w:rFonts w:hint="eastAsia" w:cs="宋体"/>
          <w:color w:val="auto"/>
          <w:highlight w:val="none"/>
        </w:rPr>
        <w:t>证书办理操作指南”</w:t>
      </w:r>
      <w:r>
        <w:rPr>
          <w:rFonts w:hint="eastAsia" w:ascii="宋体" w:hAnsi="宋体" w:cs="宋体"/>
          <w:color w:val="auto"/>
          <w:szCs w:val="21"/>
          <w:highlight w:val="none"/>
        </w:rPr>
        <w:t>）</w:t>
      </w:r>
    </w:p>
    <w:p w14:paraId="307DBBC3">
      <w:pPr>
        <w:widowControl/>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2.电子投标文件制作与投送教程（在此网址下载：</w:t>
      </w:r>
      <w:r>
        <w:rPr>
          <w:color w:val="auto"/>
          <w:highlight w:val="none"/>
        </w:rPr>
        <w:t>http://nncz.nanning.gov.cn/</w:t>
      </w:r>
      <w:r>
        <w:rPr>
          <w:rFonts w:hint="eastAsia"/>
          <w:color w:val="auto"/>
          <w:highlight w:val="none"/>
        </w:rPr>
        <w:t>（南宁市财政局官网）</w:t>
      </w:r>
      <w:r>
        <w:rPr>
          <w:color w:val="auto"/>
          <w:highlight w:val="none"/>
        </w:rPr>
        <w:t>-</w:t>
      </w:r>
      <w:r>
        <w:rPr>
          <w:rFonts w:hint="eastAsia"/>
          <w:color w:val="auto"/>
          <w:highlight w:val="none"/>
        </w:rPr>
        <w:t>业务专题</w:t>
      </w:r>
      <w:r>
        <w:rPr>
          <w:color w:val="auto"/>
          <w:highlight w:val="none"/>
        </w:rPr>
        <w:t>-</w:t>
      </w:r>
      <w:r>
        <w:rPr>
          <w:rFonts w:hint="eastAsia"/>
          <w:color w:val="auto"/>
          <w:highlight w:val="none"/>
        </w:rPr>
        <w:t>政府采购监督管理</w:t>
      </w:r>
      <w:r>
        <w:rPr>
          <w:color w:val="auto"/>
          <w:highlight w:val="none"/>
        </w:rPr>
        <w:t>-</w:t>
      </w:r>
      <w:r>
        <w:rPr>
          <w:rFonts w:hint="eastAsia"/>
          <w:color w:val="auto"/>
          <w:highlight w:val="none"/>
        </w:rPr>
        <w:t>资料下载</w:t>
      </w:r>
      <w:r>
        <w:rPr>
          <w:color w:val="auto"/>
          <w:highlight w:val="none"/>
        </w:rPr>
        <w:t>-</w:t>
      </w:r>
      <w:r>
        <w:rPr>
          <w:rFonts w:hint="eastAsia"/>
          <w:color w:val="auto"/>
          <w:highlight w:val="none"/>
        </w:rPr>
        <w:t>南宁市政府采购项目全流程电子化交易操作指南</w:t>
      </w:r>
      <w:r>
        <w:rPr>
          <w:rFonts w:hint="eastAsia" w:ascii="宋体" w:hAnsi="宋体"/>
          <w:color w:val="auto"/>
          <w:szCs w:val="21"/>
          <w:highlight w:val="none"/>
        </w:rPr>
        <w:t>）</w:t>
      </w:r>
      <w:bookmarkEnd w:id="45"/>
    </w:p>
    <w:p w14:paraId="31FEC289">
      <w:pPr>
        <w:widowControl/>
        <w:spacing w:line="400" w:lineRule="exact"/>
        <w:ind w:firstLine="420" w:firstLineChars="200"/>
        <w:jc w:val="left"/>
        <w:rPr>
          <w:rFonts w:ascii="宋体" w:hAnsi="宋体"/>
          <w:color w:val="auto"/>
          <w:szCs w:val="21"/>
          <w:highlight w:val="none"/>
        </w:rPr>
      </w:pPr>
    </w:p>
    <w:p w14:paraId="7BF8ACF5">
      <w:pPr>
        <w:widowControl/>
        <w:spacing w:line="400" w:lineRule="exact"/>
        <w:ind w:firstLine="420" w:firstLineChars="200"/>
        <w:jc w:val="left"/>
        <w:rPr>
          <w:color w:val="auto"/>
          <w:highlight w:val="none"/>
        </w:rPr>
      </w:pPr>
    </w:p>
    <w:p w14:paraId="106FD838">
      <w:pPr>
        <w:spacing w:line="340" w:lineRule="exact"/>
        <w:ind w:firstLine="0" w:firstLineChars="0"/>
        <w:jc w:val="right"/>
        <w:rPr>
          <w:rFonts w:hint="eastAsia" w:ascii="宋体" w:hAnsi="宋体"/>
          <w:color w:val="auto"/>
          <w:szCs w:val="21"/>
          <w:highlight w:val="none"/>
          <w:lang w:eastAsia="zh-CN"/>
        </w:rPr>
      </w:pPr>
      <w:r>
        <w:rPr>
          <w:rFonts w:hint="eastAsia" w:ascii="宋体" w:hAnsi="宋体"/>
          <w:color w:val="auto"/>
          <w:szCs w:val="21"/>
          <w:highlight w:val="none"/>
          <w:lang w:eastAsia="zh-CN"/>
        </w:rPr>
        <w:t>广西同泽工程项目管理股份有限公司</w:t>
      </w:r>
    </w:p>
    <w:p w14:paraId="356F144F">
      <w:pPr>
        <w:spacing w:line="340" w:lineRule="exact"/>
        <w:ind w:firstLine="0" w:firstLineChars="0"/>
        <w:jc w:val="right"/>
        <w:rPr>
          <w:rFonts w:hint="eastAsia" w:ascii="宋体" w:hAnsi="宋体"/>
          <w:color w:val="auto"/>
          <w:szCs w:val="21"/>
          <w:highlight w:val="none"/>
          <w:lang w:eastAsia="zh-CN"/>
        </w:rPr>
      </w:pPr>
    </w:p>
    <w:p w14:paraId="73AB35E7">
      <w:pPr>
        <w:spacing w:line="340" w:lineRule="exact"/>
        <w:ind w:firstLine="6518" w:firstLineChars="3104"/>
        <w:jc w:val="right"/>
        <w:rPr>
          <w:rFonts w:ascii="宋体" w:hAnsi="宋体"/>
          <w:color w:val="auto"/>
          <w:szCs w:val="21"/>
          <w:highlight w:val="none"/>
        </w:rPr>
      </w:pPr>
      <w:r>
        <w:rPr>
          <w:rFonts w:hint="eastAsia" w:ascii="宋体" w:hAnsi="宋体"/>
          <w:color w:val="auto"/>
          <w:szCs w:val="21"/>
          <w:highlight w:val="none"/>
        </w:rPr>
        <w:t>2026年</w:t>
      </w:r>
      <w:r>
        <w:rPr>
          <w:rFonts w:hint="eastAsia" w:ascii="宋体" w:hAnsi="宋体"/>
          <w:color w:val="auto"/>
          <w:szCs w:val="21"/>
          <w:highlight w:val="none"/>
          <w:lang w:val="en-US" w:eastAsia="zh-CN"/>
        </w:rPr>
        <w:t>5</w:t>
      </w:r>
      <w:r>
        <w:rPr>
          <w:rFonts w:hint="eastAsia" w:ascii="宋体" w:hAnsi="宋体"/>
          <w:color w:val="auto"/>
          <w:szCs w:val="21"/>
          <w:highlight w:val="none"/>
        </w:rPr>
        <w:t>月</w:t>
      </w:r>
      <w:r>
        <w:rPr>
          <w:rFonts w:hint="eastAsia" w:ascii="宋体" w:hAnsi="宋体"/>
          <w:color w:val="auto"/>
          <w:szCs w:val="21"/>
          <w:highlight w:val="none"/>
          <w:lang w:val="en-US" w:eastAsia="zh-CN"/>
        </w:rPr>
        <w:t>6</w:t>
      </w:r>
      <w:r>
        <w:rPr>
          <w:rFonts w:hint="eastAsia" w:ascii="宋体" w:hAnsi="宋体"/>
          <w:color w:val="auto"/>
          <w:szCs w:val="21"/>
          <w:highlight w:val="none"/>
        </w:rPr>
        <w:t>日</w:t>
      </w:r>
    </w:p>
    <w:p w14:paraId="30A1D57B">
      <w:pPr>
        <w:keepNext/>
        <w:keepLines/>
        <w:spacing w:before="340" w:after="330" w:line="578" w:lineRule="auto"/>
        <w:jc w:val="center"/>
        <w:outlineLvl w:val="0"/>
        <w:rPr>
          <w:b/>
          <w:bCs/>
          <w:color w:val="auto"/>
          <w:kern w:val="44"/>
          <w:sz w:val="44"/>
          <w:szCs w:val="44"/>
          <w:highlight w:val="none"/>
        </w:rPr>
      </w:pPr>
      <w:bookmarkStart w:id="47" w:name="_Toc213251774"/>
      <w:r>
        <w:rPr>
          <w:rFonts w:ascii="Cambria" w:hAnsi="Cambria"/>
          <w:b/>
          <w:color w:val="auto"/>
          <w:kern w:val="44"/>
          <w:sz w:val="32"/>
          <w:szCs w:val="32"/>
          <w:highlight w:val="none"/>
        </w:rPr>
        <w:br w:type="page"/>
      </w:r>
      <w:r>
        <w:rPr>
          <w:rFonts w:hint="eastAsia" w:ascii="Cambria" w:hAnsi="Cambria"/>
          <w:b/>
          <w:color w:val="auto"/>
          <w:kern w:val="44"/>
          <w:sz w:val="32"/>
          <w:szCs w:val="32"/>
          <w:highlight w:val="none"/>
        </w:rPr>
        <w:t>第二章采购需求</w:t>
      </w:r>
      <w:bookmarkEnd w:id="47"/>
    </w:p>
    <w:p w14:paraId="544D919C">
      <w:pPr>
        <w:wordWrap w:val="0"/>
        <w:spacing w:line="520" w:lineRule="exact"/>
        <w:jc w:val="left"/>
        <w:rPr>
          <w:rFonts w:ascii="宋体" w:hAnsi="宋体" w:cs="宋体"/>
          <w:color w:val="auto"/>
          <w:szCs w:val="21"/>
          <w:highlight w:val="none"/>
        </w:rPr>
      </w:pPr>
      <w:r>
        <w:rPr>
          <w:rFonts w:hint="eastAsia" w:ascii="宋体" w:hAnsi="宋体" w:cs="宋体"/>
          <w:color w:val="auto"/>
          <w:szCs w:val="21"/>
          <w:highlight w:val="none"/>
        </w:rPr>
        <w:t>说明：</w:t>
      </w:r>
    </w:p>
    <w:p w14:paraId="19124969">
      <w:pPr>
        <w:wordWrap w:val="0"/>
        <w:spacing w:line="520" w:lineRule="exact"/>
        <w:ind w:firstLine="420" w:firstLineChars="200"/>
        <w:jc w:val="left"/>
        <w:rPr>
          <w:rFonts w:ascii="宋体" w:hAnsi="宋体" w:cs="宋体"/>
          <w:color w:val="auto"/>
          <w:szCs w:val="21"/>
          <w:highlight w:val="none"/>
        </w:rPr>
      </w:pPr>
      <w:r>
        <w:rPr>
          <w:rFonts w:hint="eastAsia" w:ascii="宋体" w:hAnsi="宋体"/>
          <w:color w:val="auto"/>
          <w:highlight w:val="none"/>
        </w:rPr>
        <w:t>1</w:t>
      </w:r>
      <w:r>
        <w:rPr>
          <w:rFonts w:hint="eastAsia"/>
          <w:color w:val="auto"/>
          <w:highlight w:val="none"/>
        </w:rPr>
        <w:t>.为落实政府采购政策需满足的要求</w:t>
      </w:r>
    </w:p>
    <w:p w14:paraId="4802C76D">
      <w:pPr>
        <w:wordWrap w:val="0"/>
        <w:spacing w:line="5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48886581">
      <w:pPr>
        <w:tabs>
          <w:tab w:val="left" w:pos="180"/>
          <w:tab w:val="left" w:pos="1620"/>
        </w:tabs>
        <w:wordWrap w:val="0"/>
        <w:spacing w:line="520" w:lineRule="exact"/>
        <w:ind w:firstLine="420" w:firstLineChars="200"/>
        <w:rPr>
          <w:rFonts w:ascii="宋体" w:hAnsi="宋体" w:cs="宋体"/>
          <w:b/>
          <w:bCs/>
          <w:color w:val="auto"/>
          <w:szCs w:val="21"/>
          <w:highlight w:val="none"/>
        </w:rPr>
      </w:pPr>
      <w:r>
        <w:rPr>
          <w:rFonts w:hint="eastAsia" w:ascii="宋体" w:hAnsi="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w:t>
      </w:r>
      <w:r>
        <w:rPr>
          <w:rFonts w:hint="eastAsia" w:ascii="宋体" w:hAnsi="宋体" w:cs="宋体"/>
          <w:b/>
          <w:bCs/>
          <w:color w:val="auto"/>
          <w:szCs w:val="21"/>
          <w:highlight w:val="none"/>
        </w:rPr>
        <w:t>否则响应文件作无效处理</w:t>
      </w:r>
      <w:r>
        <w:rPr>
          <w:rFonts w:hint="eastAsia" w:ascii="宋体" w:hAnsi="宋体" w:cs="宋体"/>
          <w:color w:val="auto"/>
          <w:szCs w:val="21"/>
          <w:highlight w:val="none"/>
        </w:rPr>
        <w:t>。如本项目包含的配套货物属于品目清单内非标注“★”的产品时，应优先采购，具体详见“第四章 评审程序和评定成交的标准”。</w:t>
      </w:r>
    </w:p>
    <w:p w14:paraId="584C06D1">
      <w:pPr>
        <w:wordWrap w:val="0"/>
        <w:spacing w:line="5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服务项目中包含货物的，根据《关于调整网络安全专用产品安全管理有关事项的公告》（2023年1号）规定，本项目采购需求中的产品如果包括《网络关键设备和网络安全专用产品目录》的网络安全专用产品，供应商在响应文件中应主动列明供货范围中属于网络安全专用产品的竞标产品，并在响应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响应无效。如属于《网络关键设备和网络安全专用产品目录》中“二、网络安全专用产品”内“产品类别”中的所描述的产品，但不属于所列“产品描述”情形的，应提供相应的说明及证明材料。</w:t>
      </w:r>
    </w:p>
    <w:p w14:paraId="6958F8FA">
      <w:pPr>
        <w:wordWrap w:val="0"/>
        <w:spacing w:line="52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2.“实质性要求”是指采购需求中带“▲”的条款或者不能负偏离的条款或者已经指明不满足按响应文件作无效处理的条款。</w:t>
      </w:r>
    </w:p>
    <w:p w14:paraId="75BC286E">
      <w:pPr>
        <w:wordWrap w:val="0"/>
        <w:spacing w:line="520" w:lineRule="exact"/>
        <w:ind w:firstLine="420" w:firstLineChars="200"/>
        <w:jc w:val="left"/>
        <w:rPr>
          <w:color w:val="auto"/>
          <w:highlight w:val="none"/>
        </w:rPr>
      </w:pPr>
      <w:r>
        <w:rPr>
          <w:rFonts w:hint="eastAsia" w:ascii="宋体" w:hAnsi="宋体" w:cs="宋体"/>
          <w:color w:val="auto"/>
          <w:szCs w:val="21"/>
          <w:highlight w:val="none"/>
        </w:rPr>
        <w:t>3.</w:t>
      </w:r>
      <w:r>
        <w:rPr>
          <w:rFonts w:hint="eastAsia"/>
          <w:color w:val="auto"/>
          <w:highlight w:val="none"/>
        </w:rPr>
        <w:t>如供应商竞标</w:t>
      </w:r>
      <w:r>
        <w:rPr>
          <w:color w:val="auto"/>
          <w:highlight w:val="none"/>
        </w:rPr>
        <w:t>产品</w:t>
      </w:r>
      <w:r>
        <w:rPr>
          <w:rFonts w:hint="eastAsia"/>
          <w:color w:val="auto"/>
          <w:highlight w:val="none"/>
        </w:rPr>
        <w:t>存在</w:t>
      </w:r>
      <w:r>
        <w:rPr>
          <w:color w:val="auto"/>
          <w:highlight w:val="none"/>
        </w:rPr>
        <w:t>侵犯</w:t>
      </w:r>
      <w:r>
        <w:rPr>
          <w:rFonts w:hint="eastAsia"/>
          <w:color w:val="auto"/>
          <w:highlight w:val="none"/>
        </w:rPr>
        <w:t>他人的知识产权或者专利成果行为的，应</w:t>
      </w:r>
      <w:r>
        <w:rPr>
          <w:color w:val="auto"/>
          <w:highlight w:val="none"/>
        </w:rPr>
        <w:t>承担相应法律责任</w:t>
      </w:r>
      <w:r>
        <w:rPr>
          <w:rFonts w:hint="eastAsia"/>
          <w:color w:val="auto"/>
          <w:highlight w:val="none"/>
        </w:rPr>
        <w:t>。</w:t>
      </w:r>
    </w:p>
    <w:p w14:paraId="7420CD87">
      <w:pPr>
        <w:wordWrap w:val="0"/>
        <w:spacing w:line="520" w:lineRule="exact"/>
        <w:ind w:firstLine="420" w:firstLineChars="200"/>
        <w:jc w:val="left"/>
        <w:rPr>
          <w:color w:val="auto"/>
          <w:highlight w:val="none"/>
        </w:rPr>
      </w:pPr>
      <w:r>
        <w:rPr>
          <w:rFonts w:hint="eastAsia"/>
          <w:color w:val="auto"/>
          <w:highlight w:val="none"/>
        </w:rPr>
        <w:t>4.不需要供应商对采购需求响应为具体数值的，此采购需求的数值后将以◆号标注。</w:t>
      </w:r>
    </w:p>
    <w:p w14:paraId="11879D80">
      <w:pPr>
        <w:wordWrap w:val="0"/>
        <w:spacing w:line="520" w:lineRule="exact"/>
        <w:ind w:firstLine="420" w:firstLineChars="200"/>
        <w:jc w:val="left"/>
        <w:rPr>
          <w:rFonts w:ascii="宋体" w:hAnsi="宋体"/>
          <w:color w:val="auto"/>
          <w:szCs w:val="21"/>
          <w:highlight w:val="none"/>
        </w:rPr>
      </w:pPr>
      <w:r>
        <w:rPr>
          <w:rFonts w:hint="eastAsia"/>
          <w:color w:val="auto"/>
          <w:highlight w:val="none"/>
        </w:rPr>
        <w:t>5.本项目所属</w:t>
      </w:r>
      <w:r>
        <w:rPr>
          <w:rFonts w:hint="eastAsia"/>
          <w:color w:val="auto"/>
          <w:highlight w:val="none"/>
        </w:rPr>
        <w:t>行业为：</w:t>
      </w:r>
      <w:r>
        <w:rPr>
          <w:rFonts w:hint="eastAsia"/>
          <w:color w:val="auto"/>
          <w:highlight w:val="none"/>
          <w:lang w:val="en-US" w:eastAsia="zh-CN"/>
        </w:rPr>
        <w:t>其他未列明行业</w:t>
      </w:r>
      <w:r>
        <w:rPr>
          <w:rFonts w:hint="eastAsia" w:ascii="宋体" w:hAnsi="宋体"/>
          <w:color w:val="auto"/>
          <w:szCs w:val="21"/>
          <w:highlight w:val="none"/>
        </w:rPr>
        <w:t>。</w:t>
      </w:r>
    </w:p>
    <w:p w14:paraId="648DFA7E">
      <w:pPr>
        <w:wordWrap w:val="0"/>
        <w:spacing w:line="520" w:lineRule="exact"/>
        <w:ind w:firstLine="420"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color w:val="auto"/>
          <w:highlight w:val="none"/>
        </w:rPr>
        <w:t xml:space="preserve"> </w:t>
      </w:r>
      <w:r>
        <w:rPr>
          <w:rFonts w:hint="eastAsia" w:ascii="宋体" w:hAnsi="宋体"/>
          <w:color w:val="auto"/>
          <w:szCs w:val="21"/>
          <w:highlight w:val="none"/>
        </w:rPr>
        <w:t>本项目采购的为</w:t>
      </w:r>
      <w:r>
        <w:rPr>
          <w:rFonts w:hint="eastAsia" w:ascii="宋体" w:hAnsi="宋体"/>
          <w:color w:val="auto"/>
          <w:szCs w:val="21"/>
          <w:highlight w:val="none"/>
          <w:lang w:val="en-US" w:eastAsia="zh-CN"/>
        </w:rPr>
        <w:t>服务类</w:t>
      </w:r>
      <w:r>
        <w:rPr>
          <w:rFonts w:hint="eastAsia" w:ascii="宋体" w:hAnsi="宋体"/>
          <w:color w:val="auto"/>
          <w:szCs w:val="21"/>
          <w:highlight w:val="none"/>
        </w:rPr>
        <w:t>，故不在《国务院办公厅关于在政府采购中实施本国产品标准及相关政策的通知》的适用范围。</w:t>
      </w:r>
    </w:p>
    <w:tbl>
      <w:tblPr>
        <w:tblStyle w:val="10"/>
        <w:tblW w:w="919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
        <w:gridCol w:w="992"/>
        <w:gridCol w:w="709"/>
        <w:gridCol w:w="7064"/>
      </w:tblGrid>
      <w:tr w14:paraId="460CB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tcBorders>
              <w:top w:val="single" w:color="000000" w:sz="4" w:space="0"/>
              <w:left w:val="single" w:color="000000" w:sz="4" w:space="0"/>
              <w:bottom w:val="single" w:color="000000" w:sz="4" w:space="0"/>
              <w:right w:val="single" w:color="000000" w:sz="4" w:space="0"/>
            </w:tcBorders>
            <w:vAlign w:val="center"/>
          </w:tcPr>
          <w:p w14:paraId="1A00D744">
            <w:pPr>
              <w:spacing w:line="28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项号</w:t>
            </w:r>
          </w:p>
        </w:tc>
        <w:tc>
          <w:tcPr>
            <w:tcW w:w="992" w:type="dxa"/>
            <w:tcBorders>
              <w:top w:val="single" w:color="000000" w:sz="4" w:space="0"/>
              <w:left w:val="single" w:color="000000" w:sz="4" w:space="0"/>
              <w:bottom w:val="single" w:color="000000" w:sz="4" w:space="0"/>
              <w:right w:val="single" w:color="000000" w:sz="4" w:space="0"/>
            </w:tcBorders>
            <w:vAlign w:val="center"/>
          </w:tcPr>
          <w:p w14:paraId="7E34F0B0">
            <w:pPr>
              <w:spacing w:line="28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服务名称</w:t>
            </w:r>
          </w:p>
        </w:tc>
        <w:tc>
          <w:tcPr>
            <w:tcW w:w="709" w:type="dxa"/>
            <w:tcBorders>
              <w:top w:val="single" w:color="000000" w:sz="4" w:space="0"/>
              <w:left w:val="single" w:color="000000" w:sz="4" w:space="0"/>
              <w:bottom w:val="single" w:color="000000" w:sz="4" w:space="0"/>
              <w:right w:val="single" w:color="000000" w:sz="4" w:space="0"/>
            </w:tcBorders>
            <w:vAlign w:val="center"/>
          </w:tcPr>
          <w:p w14:paraId="374E646C">
            <w:pPr>
              <w:spacing w:line="28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数量</w:t>
            </w:r>
          </w:p>
        </w:tc>
        <w:tc>
          <w:tcPr>
            <w:tcW w:w="7064" w:type="dxa"/>
            <w:tcBorders>
              <w:top w:val="single" w:color="000000" w:sz="4" w:space="0"/>
              <w:left w:val="single" w:color="000000" w:sz="4" w:space="0"/>
              <w:bottom w:val="single" w:color="000000" w:sz="4" w:space="0"/>
              <w:right w:val="single" w:color="000000" w:sz="4" w:space="0"/>
            </w:tcBorders>
            <w:vAlign w:val="center"/>
          </w:tcPr>
          <w:p w14:paraId="73BCAB7E">
            <w:pPr>
              <w:spacing w:line="280" w:lineRule="exact"/>
              <w:jc w:val="center"/>
              <w:rPr>
                <w:rFonts w:hint="default" w:ascii="Times New Roman" w:hAnsi="Times New Roman" w:cs="Times New Roman"/>
                <w:bCs/>
                <w:color w:val="auto"/>
                <w:szCs w:val="21"/>
                <w:highlight w:val="none"/>
              </w:rPr>
            </w:pPr>
            <w:r>
              <w:rPr>
                <w:rFonts w:hint="default" w:ascii="Times New Roman" w:hAnsi="Times New Roman" w:cs="Times New Roman"/>
                <w:color w:val="auto"/>
                <w:szCs w:val="21"/>
                <w:highlight w:val="none"/>
              </w:rPr>
              <w:t>项目需求及服务要求</w:t>
            </w:r>
          </w:p>
        </w:tc>
      </w:tr>
      <w:tr w14:paraId="0B9FD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tcBorders>
              <w:top w:val="single" w:color="000000" w:sz="4" w:space="0"/>
              <w:left w:val="single" w:color="000000" w:sz="4" w:space="0"/>
              <w:bottom w:val="single" w:color="000000" w:sz="4" w:space="0"/>
              <w:right w:val="single" w:color="000000" w:sz="4" w:space="0"/>
            </w:tcBorders>
            <w:vAlign w:val="center"/>
          </w:tcPr>
          <w:p w14:paraId="22A3C9A2">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992" w:type="dxa"/>
            <w:tcBorders>
              <w:top w:val="single" w:color="000000" w:sz="4" w:space="0"/>
              <w:left w:val="single" w:color="000000" w:sz="4" w:space="0"/>
              <w:bottom w:val="single" w:color="000000" w:sz="4" w:space="0"/>
              <w:right w:val="single" w:color="000000" w:sz="4" w:space="0"/>
            </w:tcBorders>
            <w:vAlign w:val="center"/>
          </w:tcPr>
          <w:p w14:paraId="4B31C3DB">
            <w:pPr>
              <w:jc w:val="center"/>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南宁市环境应急、涉重金属环境安全隐患排查整治及地下水环境监测服务项目</w:t>
            </w:r>
          </w:p>
        </w:tc>
        <w:tc>
          <w:tcPr>
            <w:tcW w:w="709" w:type="dxa"/>
            <w:tcBorders>
              <w:top w:val="single" w:color="000000" w:sz="4" w:space="0"/>
              <w:left w:val="single" w:color="000000" w:sz="4" w:space="0"/>
              <w:bottom w:val="single" w:color="000000" w:sz="4" w:space="0"/>
              <w:right w:val="single" w:color="000000" w:sz="4" w:space="0"/>
            </w:tcBorders>
            <w:vAlign w:val="center"/>
          </w:tcPr>
          <w:p w14:paraId="3652782E">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1项</w:t>
            </w:r>
          </w:p>
        </w:tc>
        <w:tc>
          <w:tcPr>
            <w:tcW w:w="7064" w:type="dxa"/>
            <w:tcBorders>
              <w:top w:val="single" w:color="000000" w:sz="4" w:space="0"/>
              <w:left w:val="single" w:color="000000" w:sz="4" w:space="0"/>
              <w:bottom w:val="single" w:color="000000" w:sz="4" w:space="0"/>
              <w:right w:val="single" w:color="000000" w:sz="4" w:space="0"/>
            </w:tcBorders>
            <w:vAlign w:val="center"/>
          </w:tcPr>
          <w:p w14:paraId="60F15D6D">
            <w:pPr>
              <w:adjustRightInd w:val="0"/>
              <w:spacing w:line="360" w:lineRule="auto"/>
              <w:rPr>
                <w:rFonts w:hint="default" w:ascii="Times New Roman" w:hAnsi="Times New Roman" w:cs="Times New Roman"/>
                <w:b/>
                <w:bCs/>
                <w:color w:val="auto"/>
                <w:szCs w:val="21"/>
                <w:highlight w:val="none"/>
              </w:rPr>
            </w:pPr>
            <w:r>
              <w:rPr>
                <w:rFonts w:hint="default" w:ascii="Times New Roman" w:hAnsi="Times New Roman" w:cs="Times New Roman"/>
                <w:b/>
                <w:color w:val="auto"/>
                <w:szCs w:val="21"/>
                <w:highlight w:val="none"/>
              </w:rPr>
              <w:t>一、服务内容及要求</w:t>
            </w:r>
          </w:p>
          <w:p w14:paraId="463937B1">
            <w:pPr>
              <w:adjustRightInd w:val="0"/>
              <w:spacing w:line="360" w:lineRule="auto"/>
              <w:ind w:firstLine="422" w:firstLineChars="200"/>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（一）监测</w:t>
            </w:r>
            <w:r>
              <w:rPr>
                <w:rFonts w:hint="default" w:ascii="Times New Roman" w:hAnsi="Times New Roman" w:cs="Times New Roman"/>
                <w:b/>
                <w:bCs/>
                <w:color w:val="auto"/>
                <w:szCs w:val="21"/>
                <w:highlight w:val="none"/>
                <w:lang w:val="en-US" w:eastAsia="zh-CN"/>
              </w:rPr>
              <w:t>范围、</w:t>
            </w:r>
            <w:r>
              <w:rPr>
                <w:rFonts w:hint="default" w:ascii="Times New Roman" w:hAnsi="Times New Roman" w:cs="Times New Roman"/>
                <w:b/>
                <w:bCs/>
                <w:color w:val="auto"/>
                <w:szCs w:val="21"/>
                <w:highlight w:val="none"/>
              </w:rPr>
              <w:t>内容：</w:t>
            </w:r>
          </w:p>
          <w:p w14:paraId="0776B1B4">
            <w:pPr>
              <w:adjustRightInd w:val="0"/>
              <w:spacing w:line="360" w:lineRule="auto"/>
              <w:ind w:firstLine="420" w:firstLineChars="200"/>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rPr>
              <w:t>1.突发环境事件应急监测</w:t>
            </w:r>
            <w:r>
              <w:rPr>
                <w:rFonts w:hint="default" w:ascii="Times New Roman" w:hAnsi="Times New Roman" w:cs="Times New Roman"/>
                <w:color w:val="auto"/>
                <w:szCs w:val="21"/>
                <w:highlight w:val="none"/>
                <w:lang w:eastAsia="zh-CN"/>
              </w:rPr>
              <w:t>。</w:t>
            </w:r>
          </w:p>
          <w:p w14:paraId="3122D16E">
            <w:pPr>
              <w:adjustRightIn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南宁市本级范围突发环境事件应急监测（含应急监测、专项工作、自送样品分析）。</w:t>
            </w:r>
          </w:p>
          <w:p w14:paraId="0FD4891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2.涉重金属环境安全隐患排查整治专项监测服务。</w:t>
            </w:r>
          </w:p>
          <w:p w14:paraId="57AA3A3A">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eastAsia="宋体" w:cs="Times New Roman"/>
                <w:color w:val="auto"/>
                <w:szCs w:val="21"/>
                <w:highlight w:val="none"/>
                <w:lang w:eastAsia="zh-CN"/>
              </w:rPr>
              <w:t>根据南宁市生态环境保护管理需求，开展全</w:t>
            </w:r>
            <w:r>
              <w:rPr>
                <w:rFonts w:hint="default" w:ascii="Times New Roman" w:hAnsi="Times New Roman" w:eastAsia="宋体" w:cs="Times New Roman"/>
                <w:color w:val="auto"/>
                <w:szCs w:val="21"/>
                <w:highlight w:val="none"/>
              </w:rPr>
              <w:t>市范围内</w:t>
            </w:r>
            <w:r>
              <w:rPr>
                <w:rFonts w:hint="default" w:ascii="Times New Roman" w:hAnsi="Times New Roman" w:eastAsia="宋体" w:cs="Times New Roman"/>
                <w:color w:val="auto"/>
                <w:szCs w:val="21"/>
                <w:highlight w:val="none"/>
                <w:lang w:eastAsia="zh-CN"/>
              </w:rPr>
              <w:t>涉重金属等</w:t>
            </w:r>
            <w:r>
              <w:rPr>
                <w:rFonts w:hint="default" w:ascii="Times New Roman" w:hAnsi="Times New Roman" w:eastAsia="宋体" w:cs="Times New Roman"/>
                <w:color w:val="auto"/>
                <w:szCs w:val="21"/>
                <w:highlight w:val="none"/>
              </w:rPr>
              <w:t>各类环境安全隐患排查整治监测。</w:t>
            </w:r>
          </w:p>
          <w:p w14:paraId="6CBEDEFB">
            <w:pPr>
              <w:pStyle w:val="18"/>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r>
              <w:rPr>
                <w:rFonts w:hint="default" w:ascii="Times New Roman" w:hAnsi="Times New Roman" w:cs="Times New Roman"/>
                <w:color w:val="auto"/>
                <w:szCs w:val="21"/>
                <w:highlight w:val="none"/>
                <w:lang w:eastAsia="zh-CN"/>
              </w:rPr>
              <w:t>南宁市双源范围内周边21口地下水监测井维护及监督性监测</w:t>
            </w:r>
            <w:r>
              <w:rPr>
                <w:rFonts w:hint="eastAsia" w:cs="Times New Roman"/>
                <w:color w:val="auto"/>
                <w:szCs w:val="21"/>
                <w:highlight w:val="none"/>
                <w:lang w:eastAsia="zh-CN"/>
              </w:rPr>
              <w:t>。</w:t>
            </w:r>
          </w:p>
          <w:p w14:paraId="37F52C66">
            <w:pPr>
              <w:pStyle w:val="18"/>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根据南宁市生态环境保护管理需求，开展全</w:t>
            </w:r>
            <w:r>
              <w:rPr>
                <w:rFonts w:hint="default" w:ascii="Times New Roman" w:hAnsi="Times New Roman" w:eastAsia="宋体" w:cs="Times New Roman"/>
                <w:color w:val="auto"/>
                <w:szCs w:val="21"/>
                <w:highlight w:val="none"/>
              </w:rPr>
              <w:t>市</w:t>
            </w:r>
            <w:r>
              <w:rPr>
                <w:rFonts w:hint="default" w:ascii="Times New Roman" w:hAnsi="Times New Roman" w:eastAsia="宋体" w:cs="Times New Roman"/>
                <w:color w:val="auto"/>
                <w:szCs w:val="21"/>
                <w:highlight w:val="none"/>
                <w:lang w:eastAsia="zh-CN"/>
              </w:rPr>
              <w:t>双源</w:t>
            </w:r>
            <w:r>
              <w:rPr>
                <w:rFonts w:hint="default" w:ascii="Times New Roman" w:hAnsi="Times New Roman" w:eastAsia="宋体" w:cs="Times New Roman"/>
                <w:color w:val="auto"/>
                <w:szCs w:val="21"/>
                <w:highlight w:val="none"/>
              </w:rPr>
              <w:t>范围内</w:t>
            </w:r>
            <w:r>
              <w:rPr>
                <w:rFonts w:hint="eastAsia" w:cs="Times New Roman"/>
                <w:color w:val="auto"/>
                <w:szCs w:val="21"/>
                <w:highlight w:val="none"/>
                <w:lang w:val="en-US" w:eastAsia="zh-CN"/>
              </w:rPr>
              <w:t>周边21口</w:t>
            </w:r>
            <w:r>
              <w:rPr>
                <w:rFonts w:hint="default" w:ascii="Times New Roman" w:hAnsi="Times New Roman" w:eastAsia="宋体" w:cs="Times New Roman"/>
                <w:color w:val="auto"/>
                <w:szCs w:val="21"/>
                <w:highlight w:val="none"/>
                <w:lang w:eastAsia="zh-CN"/>
              </w:rPr>
              <w:t>地下水井</w:t>
            </w:r>
            <w:r>
              <w:rPr>
                <w:rFonts w:hint="default" w:ascii="Times New Roman" w:hAnsi="Times New Roman" w:eastAsia="宋体" w:cs="Times New Roman"/>
                <w:color w:val="auto"/>
                <w:szCs w:val="21"/>
                <w:highlight w:val="none"/>
              </w:rPr>
              <w:t>维护及水质监督性</w:t>
            </w:r>
            <w:r>
              <w:rPr>
                <w:rFonts w:hint="default" w:ascii="Times New Roman" w:hAnsi="Times New Roman" w:eastAsia="宋体" w:cs="Times New Roman"/>
                <w:color w:val="auto"/>
                <w:szCs w:val="21"/>
                <w:highlight w:val="none"/>
                <w:lang w:eastAsia="zh-CN"/>
              </w:rPr>
              <w:t>监测</w:t>
            </w:r>
            <w:r>
              <w:rPr>
                <w:rFonts w:hint="default" w:ascii="Times New Roman" w:hAnsi="Times New Roman" w:eastAsia="宋体" w:cs="Times New Roman"/>
                <w:color w:val="auto"/>
                <w:szCs w:val="21"/>
                <w:highlight w:val="none"/>
              </w:rPr>
              <w:t>。</w:t>
            </w:r>
          </w:p>
          <w:p w14:paraId="5C27997E">
            <w:pPr>
              <w:pStyle w:val="18"/>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监测项目按《地下水质量标准》（GB/T14848-2017），总共39项，分别为：色度、嗅和味、浑浊度、肉眼可见物、pH、总硬度、溶解性总固体、硫酸盐、氯化物、铁、锰、铜、锌、铝、挥发性酚类、阴离子表面活性剂、耗氧量、氨氮、硫化物、钠、总大肠杆菌、菌落总数、亚硝酸盐、硝酸盐、氰化物、氟化物、碘化物、汞、砷、硒、镉、铬（六价）、铅、三氯甲烷、四氯化碳、苯、甲苯、总α放射性、总β放射性。</w:t>
            </w:r>
          </w:p>
          <w:p w14:paraId="47B8DA31">
            <w:pPr>
              <w:pStyle w:val="18"/>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rPr>
              <w:t>监测频次</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1年/次。</w:t>
            </w:r>
          </w:p>
          <w:p w14:paraId="14B16C96">
            <w:pPr>
              <w:adjustRightInd w:val="0"/>
              <w:snapToGrid w:val="0"/>
              <w:spacing w:line="360" w:lineRule="auto"/>
              <w:ind w:firstLine="420" w:firstLineChars="200"/>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rPr>
              <w:t>若监测过程出现异常，供应商应按照国家有关标准和技术规范采取措施，并将相关情况及时告知采购人，由此产生的相应监测数据，采购人有权仅作为对点位出现异常的原因进行分析使用，供应商有义务向采购人无偿提供异常点位加密监测的服务</w:t>
            </w:r>
            <w:r>
              <w:rPr>
                <w:rFonts w:hint="default" w:ascii="Times New Roman" w:hAnsi="Times New Roman" w:eastAsia="宋体" w:cs="Times New Roman"/>
                <w:color w:val="auto"/>
                <w:szCs w:val="21"/>
                <w:highlight w:val="none"/>
                <w:lang w:eastAsia="zh-CN"/>
              </w:rPr>
              <w:t>。</w:t>
            </w:r>
          </w:p>
          <w:p w14:paraId="718FADD3">
            <w:pPr>
              <w:adjustRightInd w:val="0"/>
              <w:snapToGrid w:val="0"/>
              <w:spacing w:line="360" w:lineRule="auto"/>
              <w:ind w:firstLine="422" w:firstLineChars="200"/>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（二）质量技术及服务要求</w:t>
            </w:r>
          </w:p>
          <w:p w14:paraId="222526D7">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1.</w:t>
            </w:r>
            <w:r>
              <w:rPr>
                <w:rFonts w:hint="default" w:ascii="Times New Roman" w:hAnsi="Times New Roman" w:cs="Times New Roman"/>
                <w:color w:val="auto"/>
                <w:szCs w:val="21"/>
                <w:highlight w:val="none"/>
              </w:rPr>
              <w:t>成交供应商应当按照国家现行有效的相关技术规范或标准实施样品的采集、传送、制备、贮存、处置以及样品分析和数据处理等检测活动，保证检测数据和信息的代表性、准确性、精密性、可比性和完整性。</w:t>
            </w:r>
          </w:p>
          <w:p w14:paraId="332A410E">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▲2.</w:t>
            </w:r>
            <w:r>
              <w:rPr>
                <w:rFonts w:hint="default" w:ascii="Times New Roman" w:hAnsi="Times New Roman" w:cs="Times New Roman"/>
                <w:color w:val="auto"/>
                <w:szCs w:val="21"/>
                <w:highlight w:val="none"/>
              </w:rPr>
              <w:t>成交供应商应当独立承担工作，不得分包、转包监测业务。如遇特殊情况，须经采购人同意后，方可分包。</w:t>
            </w:r>
          </w:p>
          <w:p w14:paraId="2D04F183">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▲3.</w:t>
            </w:r>
            <w:r>
              <w:rPr>
                <w:rFonts w:hint="default" w:ascii="Times New Roman" w:hAnsi="Times New Roman" w:cs="Times New Roman"/>
                <w:color w:val="auto"/>
                <w:szCs w:val="21"/>
                <w:highlight w:val="none"/>
              </w:rPr>
              <w:t>成交供应商接到采购人监测通知后应在采购人规定的时间内到达目的地。</w:t>
            </w:r>
          </w:p>
          <w:p w14:paraId="5BBB745A">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4.</w:t>
            </w:r>
            <w:r>
              <w:rPr>
                <w:rFonts w:hint="default" w:ascii="Times New Roman" w:hAnsi="Times New Roman" w:cs="Times New Roman"/>
                <w:color w:val="auto"/>
                <w:szCs w:val="21"/>
                <w:highlight w:val="none"/>
              </w:rPr>
              <w:t>成交供应商监测过程应按环境监测质量控制相关要求实施质控措施，确保监测质量。</w:t>
            </w:r>
          </w:p>
          <w:p w14:paraId="2189ADD7">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5.</w:t>
            </w:r>
            <w:r>
              <w:rPr>
                <w:rFonts w:hint="default" w:ascii="Times New Roman" w:hAnsi="Times New Roman" w:cs="Times New Roman"/>
                <w:color w:val="auto"/>
                <w:szCs w:val="21"/>
                <w:highlight w:val="none"/>
              </w:rPr>
              <w:t>成交供应商</w:t>
            </w:r>
            <w:r>
              <w:rPr>
                <w:rFonts w:hint="default" w:ascii="Times New Roman" w:hAnsi="Times New Roman" w:cs="Times New Roman"/>
                <w:color w:val="auto"/>
                <w:szCs w:val="21"/>
                <w:highlight w:val="none"/>
                <w:lang w:eastAsia="zh-CN"/>
              </w:rPr>
              <w:t>在监测</w:t>
            </w:r>
            <w:r>
              <w:rPr>
                <w:rFonts w:hint="default" w:ascii="Times New Roman" w:hAnsi="Times New Roman" w:cs="Times New Roman"/>
                <w:color w:val="auto"/>
                <w:szCs w:val="21"/>
                <w:highlight w:val="none"/>
              </w:rPr>
              <w:t>过程</w:t>
            </w:r>
            <w:r>
              <w:rPr>
                <w:rFonts w:hint="default" w:ascii="Times New Roman" w:hAnsi="Times New Roman" w:cs="Times New Roman"/>
                <w:color w:val="auto"/>
                <w:szCs w:val="21"/>
                <w:highlight w:val="none"/>
                <w:lang w:eastAsia="zh-CN"/>
              </w:rPr>
              <w:t>中不得</w:t>
            </w:r>
            <w:r>
              <w:rPr>
                <w:rFonts w:hint="default" w:ascii="Times New Roman" w:hAnsi="Times New Roman" w:cs="Times New Roman"/>
                <w:color w:val="auto"/>
                <w:szCs w:val="21"/>
                <w:highlight w:val="none"/>
              </w:rPr>
              <w:t>故意影响监测结果的客观性</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不得编造数据，或者有其他弄虚作假行为，</w:t>
            </w:r>
            <w:r>
              <w:rPr>
                <w:rFonts w:hint="default" w:ascii="Times New Roman" w:hAnsi="Times New Roman" w:cs="Times New Roman"/>
                <w:color w:val="auto"/>
                <w:szCs w:val="21"/>
                <w:highlight w:val="none"/>
                <w:lang w:eastAsia="zh-CN"/>
              </w:rPr>
              <w:t>应对</w:t>
            </w:r>
            <w:r>
              <w:rPr>
                <w:rFonts w:hint="default" w:ascii="Times New Roman" w:hAnsi="Times New Roman" w:cs="Times New Roman"/>
                <w:color w:val="auto"/>
                <w:szCs w:val="21"/>
                <w:highlight w:val="none"/>
              </w:rPr>
              <w:t>监测结果的真实性负法律责任。</w:t>
            </w:r>
          </w:p>
          <w:p w14:paraId="6E97B7D3">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▲6.</w:t>
            </w:r>
            <w:r>
              <w:rPr>
                <w:rFonts w:hint="default" w:ascii="Times New Roman" w:hAnsi="Times New Roman" w:cs="Times New Roman"/>
                <w:color w:val="auto"/>
                <w:szCs w:val="21"/>
                <w:highlight w:val="none"/>
              </w:rPr>
              <w:t>成交供应商应当严格遵守法律法规，按照合同要求开展监测活动</w:t>
            </w:r>
            <w:r>
              <w:rPr>
                <w:rFonts w:hint="default" w:ascii="Times New Roman" w:hAnsi="Times New Roman" w:cs="Times New Roman"/>
                <w:color w:val="auto"/>
                <w:szCs w:val="21"/>
                <w:highlight w:val="none"/>
                <w:lang w:eastAsia="zh-CN"/>
              </w:rPr>
              <w:t>，并</w:t>
            </w:r>
            <w:r>
              <w:rPr>
                <w:rFonts w:hint="default" w:ascii="Times New Roman" w:hAnsi="Times New Roman" w:cs="Times New Roman"/>
                <w:color w:val="auto"/>
                <w:szCs w:val="21"/>
                <w:highlight w:val="none"/>
              </w:rPr>
              <w:t>在采样完成</w:t>
            </w:r>
            <w:r>
              <w:rPr>
                <w:rFonts w:hint="default" w:ascii="Times New Roman" w:hAnsi="Times New Roman" w:cs="Times New Roman"/>
                <w:color w:val="auto"/>
                <w:szCs w:val="21"/>
                <w:highlight w:val="none"/>
                <w:lang w:eastAsia="zh-CN"/>
              </w:rPr>
              <w:t>之日起</w:t>
            </w:r>
            <w:r>
              <w:rPr>
                <w:rFonts w:hint="default" w:ascii="Times New Roman" w:hAnsi="Times New Roman" w:cs="Times New Roman"/>
                <w:color w:val="auto"/>
                <w:szCs w:val="21"/>
                <w:highlight w:val="none"/>
              </w:rPr>
              <w:t>按规定时间提交监测报告，保证监测结果的时效性。</w:t>
            </w:r>
          </w:p>
          <w:p w14:paraId="6B6CF44A">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（1）水质监测报告：5个自然日（如有BOD</w:t>
            </w:r>
            <w:r>
              <w:rPr>
                <w:rFonts w:hint="default" w:ascii="Times New Roman" w:hAnsi="Times New Roman" w:cs="Times New Roman"/>
                <w:color w:val="auto"/>
                <w:szCs w:val="21"/>
                <w:highlight w:val="none"/>
                <w:vertAlign w:val="subscript"/>
              </w:rPr>
              <w:t>5</w:t>
            </w:r>
            <w:r>
              <w:rPr>
                <w:rFonts w:hint="default" w:ascii="Times New Roman" w:hAnsi="Times New Roman" w:cs="Times New Roman"/>
                <w:color w:val="auto"/>
                <w:szCs w:val="21"/>
                <w:highlight w:val="none"/>
              </w:rPr>
              <w:t>、微生物等指标的7个自然日）内提交。</w:t>
            </w:r>
          </w:p>
          <w:p w14:paraId="7CD8F1D6">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（2）环境空气和废气监测报告：5个自然日内提交。</w:t>
            </w:r>
          </w:p>
          <w:p w14:paraId="37070292">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（3）固体废物浸出毒性监测报告：7个自然日内提交。</w:t>
            </w:r>
          </w:p>
          <w:p w14:paraId="063F93F0">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（4）土壤、沉积物及固体废物全量分析监测报告：15个自然日内提交。</w:t>
            </w:r>
          </w:p>
          <w:p w14:paraId="0E6C5FD2">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（5）振动和噪声监测报告：3个自然日内提交。</w:t>
            </w:r>
          </w:p>
          <w:p w14:paraId="79446635">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7.</w:t>
            </w:r>
            <w:r>
              <w:rPr>
                <w:rFonts w:hint="default" w:ascii="Times New Roman" w:hAnsi="Times New Roman" w:cs="Times New Roman"/>
                <w:color w:val="auto"/>
                <w:szCs w:val="21"/>
                <w:highlight w:val="none"/>
              </w:rPr>
              <w:t>所有环境监测数据、资料、成果，成交供应商应当按照国家有关保密的规定进行管理，未经采购人许可不得擅自对外发布检测数据。</w:t>
            </w:r>
          </w:p>
          <w:p w14:paraId="28B01A9F">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（三）监测收费包括：完成标的的所有费用，采购人不再承担任何其他费用。</w:t>
            </w:r>
          </w:p>
          <w:p w14:paraId="5C59FCFE">
            <w:pPr>
              <w:adjustRightInd w:val="0"/>
              <w:spacing w:line="360" w:lineRule="auto"/>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二、实验室及人员要求</w:t>
            </w:r>
          </w:p>
          <w:p w14:paraId="270F489F">
            <w:pPr>
              <w:adjustRightInd w:val="0"/>
              <w:spacing w:line="360" w:lineRule="auto"/>
              <w:ind w:firstLine="422" w:firstLineChars="200"/>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（一）实验室要求</w:t>
            </w:r>
          </w:p>
          <w:p w14:paraId="092229AA">
            <w:pPr>
              <w:pageBreakBefore w:val="0"/>
              <w:kinsoku/>
              <w:wordWrap/>
              <w:overflowPunct/>
              <w:topLinePunct w:val="0"/>
              <w:bidi w:val="0"/>
              <w:spacing w:line="360" w:lineRule="auto"/>
              <w:ind w:left="0" w:right="0"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highlight w:val="none"/>
                <w:lang w:eastAsia="zh-CN"/>
              </w:rPr>
              <w:t>▲1.</w:t>
            </w:r>
            <w:r>
              <w:rPr>
                <w:rFonts w:hint="default" w:ascii="Times New Roman" w:hAnsi="Times New Roman" w:eastAsia="宋体" w:cs="Times New Roman"/>
                <w:color w:val="auto"/>
                <w:szCs w:val="21"/>
                <w:highlight w:val="none"/>
              </w:rPr>
              <w:t>实验场所、设备、人员等需满足《检验检测机构资质认定管理办法》（国家质量监督检验检疫总局令第163号修正版）、《检验检测机构资质认定生态环境监测机构评审补充要求（2025年）》等</w:t>
            </w:r>
            <w:r>
              <w:rPr>
                <w:rFonts w:hint="eastAsia" w:cs="Times New Roman"/>
                <w:color w:val="auto"/>
                <w:szCs w:val="21"/>
                <w:highlight w:val="none"/>
                <w:lang w:eastAsia="zh-CN"/>
              </w:rPr>
              <w:t>现行有效的法律法规</w:t>
            </w:r>
            <w:r>
              <w:rPr>
                <w:rFonts w:hint="default" w:ascii="Times New Roman" w:hAnsi="Times New Roman" w:eastAsia="宋体" w:cs="Times New Roman"/>
                <w:color w:val="auto"/>
                <w:szCs w:val="21"/>
                <w:highlight w:val="none"/>
                <w:lang w:eastAsia="zh-CN"/>
              </w:rPr>
              <w:t>要求。</w:t>
            </w:r>
            <w:r>
              <w:rPr>
                <w:rFonts w:hint="default" w:ascii="Times New Roman" w:hAnsi="Times New Roman" w:eastAsia="宋体" w:cs="Times New Roman"/>
                <w:color w:val="auto"/>
                <w:szCs w:val="21"/>
                <w:highlight w:val="none"/>
              </w:rPr>
              <w:t>（竞标时须提供相关证明材料，否则响应无效。）</w:t>
            </w:r>
          </w:p>
          <w:p w14:paraId="3641DD78">
            <w:pPr>
              <w:pageBreakBefore w:val="0"/>
              <w:kinsoku/>
              <w:wordWrap/>
              <w:overflowPunct/>
              <w:topLinePunct w:val="0"/>
              <w:bidi w:val="0"/>
              <w:spacing w:line="360" w:lineRule="auto"/>
              <w:ind w:left="0" w:right="0"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供应商取得检验检测机构资质认定证书（CMA），具备拟竞标所有项目的检测方法的资质</w:t>
            </w:r>
            <w:r>
              <w:rPr>
                <w:rFonts w:hint="default" w:ascii="Times New Roman" w:hAnsi="Times New Roman" w:eastAsia="宋体" w:cs="Times New Roman"/>
                <w:color w:val="auto"/>
                <w:szCs w:val="21"/>
                <w:highlight w:val="none"/>
                <w:lang w:eastAsia="zh-CN"/>
              </w:rPr>
              <w:t>和能力</w:t>
            </w:r>
            <w:r>
              <w:rPr>
                <w:rFonts w:hint="default" w:ascii="Times New Roman" w:hAnsi="Times New Roman" w:eastAsia="宋体" w:cs="Times New Roman"/>
                <w:color w:val="auto"/>
                <w:szCs w:val="21"/>
                <w:highlight w:val="none"/>
              </w:rPr>
              <w:t>，并在有效期范围内。（竞标时须提供资质证书及能力附表复印件，原件备查。）</w:t>
            </w:r>
          </w:p>
          <w:p w14:paraId="096134D2">
            <w:pPr>
              <w:pStyle w:val="18"/>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eastAsia="zh-CN"/>
              </w:rPr>
              <w:t xml:space="preserve">. </w:t>
            </w:r>
            <w:r>
              <w:rPr>
                <w:rFonts w:hint="default" w:ascii="Times New Roman" w:hAnsi="Times New Roman" w:eastAsia="宋体" w:cs="Times New Roman"/>
                <w:color w:val="auto"/>
                <w:szCs w:val="21"/>
                <w:highlight w:val="none"/>
              </w:rPr>
              <w:t>供应商</w:t>
            </w:r>
            <w:r>
              <w:rPr>
                <w:rFonts w:hint="default" w:ascii="Times New Roman" w:hAnsi="Times New Roman" w:eastAsia="宋体" w:cs="Times New Roman"/>
                <w:color w:val="auto"/>
                <w:szCs w:val="21"/>
                <w:highlight w:val="none"/>
                <w:lang w:eastAsia="zh-CN"/>
              </w:rPr>
              <w:t>应具备</w:t>
            </w:r>
            <w:r>
              <w:rPr>
                <w:rFonts w:hint="default" w:ascii="Times New Roman" w:hAnsi="Times New Roman" w:eastAsia="宋体" w:cs="Times New Roman"/>
                <w:color w:val="auto"/>
                <w:szCs w:val="21"/>
                <w:highlight w:val="none"/>
              </w:rPr>
              <w:t>在完成现场采样后六小时内（如有细菌类项目）将样品运输至检验检测场所进行检测的能力。（竞标时须提供相关证明材料，否则响应无效。）</w:t>
            </w:r>
          </w:p>
          <w:p w14:paraId="6E9C6C9B">
            <w:pPr>
              <w:pageBreakBefore w:val="0"/>
              <w:kinsoku/>
              <w:wordWrap/>
              <w:overflowPunct/>
              <w:topLinePunct w:val="0"/>
              <w:bidi w:val="0"/>
              <w:spacing w:line="360" w:lineRule="auto"/>
              <w:ind w:left="0" w:right="0"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3.</w:t>
            </w:r>
            <w:r>
              <w:rPr>
                <w:rFonts w:hint="default" w:ascii="Times New Roman" w:hAnsi="Times New Roman" w:eastAsia="宋体" w:cs="Times New Roman"/>
                <w:color w:val="auto"/>
                <w:szCs w:val="21"/>
                <w:highlight w:val="none"/>
              </w:rPr>
              <w:t>仪器设备要求</w:t>
            </w:r>
          </w:p>
          <w:p w14:paraId="3B577BD8">
            <w:pPr>
              <w:pageBreakBefore w:val="0"/>
              <w:kinsoku/>
              <w:wordWrap/>
              <w:overflowPunct/>
              <w:topLinePunct w:val="0"/>
              <w:bidi w:val="0"/>
              <w:spacing w:line="360" w:lineRule="auto"/>
              <w:ind w:left="0" w:right="0" w:firstLine="420" w:firstLineChars="200"/>
              <w:jc w:val="left"/>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color w:val="auto"/>
                <w:szCs w:val="21"/>
                <w:highlight w:val="none"/>
              </w:rPr>
              <w:t>配备数量充足、技术指标符合相关检测方法要求</w:t>
            </w:r>
            <w:r>
              <w:rPr>
                <w:rFonts w:hint="default" w:ascii="Times New Roman" w:hAnsi="Times New Roman" w:eastAsia="宋体" w:cs="Times New Roman"/>
                <w:color w:val="auto"/>
                <w:szCs w:val="21"/>
                <w:highlight w:val="none"/>
                <w:lang w:eastAsia="zh-CN"/>
              </w:rPr>
              <w:t>且处于</w:t>
            </w:r>
            <w:r>
              <w:rPr>
                <w:rFonts w:hint="default" w:ascii="Times New Roman" w:hAnsi="Times New Roman" w:eastAsia="宋体" w:cs="Times New Roman"/>
                <w:color w:val="auto"/>
                <w:szCs w:val="21"/>
                <w:highlight w:val="none"/>
              </w:rPr>
              <w:t>有资质</w:t>
            </w:r>
            <w:r>
              <w:rPr>
                <w:rFonts w:hint="default" w:ascii="Times New Roman" w:hAnsi="Times New Roman" w:eastAsia="宋体" w:cs="Times New Roman"/>
                <w:color w:val="auto"/>
                <w:szCs w:val="21"/>
                <w:highlight w:val="none"/>
                <w:lang w:eastAsia="zh-CN"/>
              </w:rPr>
              <w:t>单位</w:t>
            </w:r>
            <w:r>
              <w:rPr>
                <w:rFonts w:hint="default" w:ascii="Times New Roman" w:hAnsi="Times New Roman" w:eastAsia="宋体" w:cs="Times New Roman"/>
                <w:color w:val="auto"/>
                <w:szCs w:val="21"/>
                <w:highlight w:val="none"/>
              </w:rPr>
              <w:t>检定或校准有效期内的各类仪器设备。</w:t>
            </w:r>
          </w:p>
          <w:p w14:paraId="7EBDA439">
            <w:pPr>
              <w:adjustRightInd w:val="0"/>
              <w:snapToGrid w:val="0"/>
              <w:spacing w:line="360" w:lineRule="auto"/>
              <w:ind w:firstLine="422" w:firstLineChars="200"/>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（二）人员要求（响应文件中提供项目实施人员一览表）</w:t>
            </w:r>
          </w:p>
          <w:p w14:paraId="7349BFF0">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成交供应商应具有与其承担本项目检测任务相关的技术人员和管理人员，人员均需</w:t>
            </w:r>
            <w:r>
              <w:rPr>
                <w:rFonts w:hint="default" w:ascii="Times New Roman" w:hAnsi="Times New Roman" w:eastAsia="宋体" w:cs="Times New Roman"/>
                <w:color w:val="auto"/>
                <w:szCs w:val="21"/>
                <w:highlight w:val="none"/>
                <w:lang w:eastAsia="zh-CN"/>
              </w:rPr>
              <w:t>持有</w:t>
            </w:r>
            <w:r>
              <w:rPr>
                <w:rFonts w:hint="default" w:ascii="Times New Roman" w:hAnsi="Times New Roman" w:eastAsia="宋体" w:cs="Times New Roman"/>
                <w:color w:val="auto"/>
                <w:szCs w:val="21"/>
                <w:highlight w:val="none"/>
              </w:rPr>
              <w:t>环境类上岗证，数量和能力应满足本项目检测任务的需要。</w:t>
            </w:r>
          </w:p>
          <w:p w14:paraId="17B7BD0B">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1.</w:t>
            </w:r>
            <w:r>
              <w:rPr>
                <w:rFonts w:hint="default" w:ascii="Times New Roman" w:hAnsi="Times New Roman" w:eastAsia="宋体" w:cs="Times New Roman"/>
                <w:color w:val="auto"/>
                <w:szCs w:val="21"/>
                <w:highlight w:val="none"/>
              </w:rPr>
              <w:t>技术人员比例：参与本项目的技术人员中至少</w:t>
            </w:r>
            <w:r>
              <w:rPr>
                <w:rFonts w:hint="default" w:ascii="Times New Roman" w:hAnsi="Times New Roman" w:eastAsia="宋体" w:cs="Times New Roman"/>
                <w:color w:val="auto"/>
                <w:szCs w:val="21"/>
                <w:highlight w:val="none"/>
                <w:lang w:eastAsia="zh-CN"/>
              </w:rPr>
              <w:t>有</w:t>
            </w:r>
            <w:r>
              <w:rPr>
                <w:rFonts w:hint="default" w:ascii="Times New Roman" w:hAnsi="Times New Roman" w:eastAsia="宋体" w:cs="Times New Roman"/>
                <w:color w:val="auto"/>
                <w:szCs w:val="21"/>
                <w:highlight w:val="none"/>
              </w:rPr>
              <w:t>20</w:t>
            </w:r>
            <w:r>
              <w:rPr>
                <w:rFonts w:hint="default" w:ascii="Times New Roman" w:hAnsi="Times New Roman" w:eastAsia="宋体" w:cs="Times New Roman"/>
                <w:bCs/>
                <w:color w:val="auto"/>
                <w:szCs w:val="21"/>
                <w:highlight w:val="none"/>
              </w:rPr>
              <w:t>%</w:t>
            </w:r>
            <w:r>
              <w:rPr>
                <w:rFonts w:hint="default" w:ascii="Times New Roman" w:hAnsi="Times New Roman" w:eastAsia="宋体" w:cs="Times New Roman"/>
                <w:bCs/>
                <w:color w:val="auto"/>
                <w:szCs w:val="21"/>
                <w:highlight w:val="none"/>
                <w:lang w:eastAsia="zh-CN"/>
              </w:rPr>
              <w:t>具备中级职称</w:t>
            </w:r>
            <w:r>
              <w:rPr>
                <w:rFonts w:hint="default" w:ascii="Times New Roman" w:hAnsi="Times New Roman" w:eastAsia="宋体" w:cs="Times New Roman"/>
                <w:color w:val="auto"/>
                <w:szCs w:val="21"/>
                <w:highlight w:val="none"/>
              </w:rPr>
              <w:t>或同等</w:t>
            </w:r>
            <w:r>
              <w:rPr>
                <w:rFonts w:hint="default" w:ascii="Times New Roman" w:hAnsi="Times New Roman" w:eastAsia="宋体" w:cs="Times New Roman"/>
                <w:color w:val="auto"/>
                <w:szCs w:val="21"/>
                <w:highlight w:val="none"/>
                <w:lang w:eastAsia="zh-CN"/>
              </w:rPr>
              <w:t>能力</w:t>
            </w:r>
            <w:r>
              <w:rPr>
                <w:rFonts w:hint="default" w:ascii="Times New Roman" w:hAnsi="Times New Roman" w:eastAsia="宋体" w:cs="Times New Roman"/>
                <w:color w:val="auto"/>
                <w:szCs w:val="21"/>
                <w:highlight w:val="none"/>
              </w:rPr>
              <w:t>。</w:t>
            </w:r>
          </w:p>
          <w:p w14:paraId="25E92185">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2.</w:t>
            </w:r>
            <w:r>
              <w:rPr>
                <w:rFonts w:hint="default" w:ascii="Times New Roman" w:hAnsi="Times New Roman" w:eastAsia="宋体" w:cs="Times New Roman"/>
                <w:color w:val="auto"/>
                <w:szCs w:val="21"/>
                <w:highlight w:val="none"/>
              </w:rPr>
              <w:t>项目负责人：负责项目组织实施、沟通协调，具有大专及以上学历，中级及以上职称或同等能力，具有环境质量监测工作经验，能有效推进项目整体工作，保证服务质量和时效性。</w:t>
            </w:r>
          </w:p>
          <w:p w14:paraId="21D3201C">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3.</w:t>
            </w:r>
            <w:r>
              <w:rPr>
                <w:rFonts w:hint="default" w:ascii="Times New Roman" w:hAnsi="Times New Roman" w:eastAsia="宋体" w:cs="Times New Roman"/>
                <w:color w:val="auto"/>
                <w:szCs w:val="21"/>
                <w:highlight w:val="none"/>
              </w:rPr>
              <w:t>采样人员：熟悉监测点位布设、样品采集、样品保存方式和有效时间、样品运输等的相关技术规范和要求，具备环境类现场监测项目的资质和能力。</w:t>
            </w:r>
          </w:p>
          <w:p w14:paraId="0FF75EEB">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4.</w:t>
            </w:r>
            <w:r>
              <w:rPr>
                <w:rFonts w:hint="default" w:ascii="Times New Roman" w:hAnsi="Times New Roman" w:eastAsia="宋体" w:cs="Times New Roman"/>
                <w:color w:val="auto"/>
                <w:szCs w:val="21"/>
                <w:highlight w:val="none"/>
              </w:rPr>
              <w:t>检测人员：具有大专及以上学历，应熟悉分析方法和实验操作，熟悉分析过程中的质控手段。</w:t>
            </w:r>
          </w:p>
          <w:p w14:paraId="4C7F680E">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5.</w:t>
            </w:r>
            <w:r>
              <w:rPr>
                <w:rFonts w:hint="default" w:ascii="Times New Roman" w:hAnsi="Times New Roman" w:eastAsia="宋体" w:cs="Times New Roman"/>
                <w:color w:val="auto"/>
                <w:szCs w:val="21"/>
                <w:highlight w:val="none"/>
              </w:rPr>
              <w:t>质量管理人员：</w:t>
            </w:r>
            <w:r>
              <w:rPr>
                <w:rFonts w:hint="default" w:ascii="Times New Roman" w:hAnsi="Times New Roman" w:eastAsia="宋体" w:cs="Times New Roman"/>
                <w:color w:val="auto"/>
                <w:szCs w:val="21"/>
                <w:highlight w:val="none"/>
                <w:lang w:eastAsia="zh-CN"/>
              </w:rPr>
              <w:t>须具备</w:t>
            </w:r>
            <w:r>
              <w:rPr>
                <w:rFonts w:hint="default" w:ascii="Times New Roman" w:hAnsi="Times New Roman" w:eastAsia="宋体" w:cs="Times New Roman"/>
                <w:color w:val="auto"/>
                <w:szCs w:val="21"/>
                <w:highlight w:val="none"/>
              </w:rPr>
              <w:t>专职质量管理人员，具有两年及以上的环境监测工作经历。应熟悉样品采集、保存、分析等环节，及时督促并采取适当的纠正和预防措施。</w:t>
            </w:r>
          </w:p>
          <w:p w14:paraId="7306DD51">
            <w:pPr>
              <w:pStyle w:val="18"/>
              <w:pageBreakBefore w:val="0"/>
              <w:kinsoku/>
              <w:wordWrap/>
              <w:overflowPunct/>
              <w:topLinePunct w:val="0"/>
              <w:bidi w:val="0"/>
              <w:spacing w:line="360" w:lineRule="auto"/>
              <w:ind w:left="0" w:right="0" w:firstLine="420" w:firstLineChars="200"/>
              <w:rPr>
                <w:rFonts w:hint="default" w:ascii="Times New Roman" w:hAnsi="Times New Roman" w:cs="Times New Roman"/>
                <w:color w:val="auto"/>
                <w:szCs w:val="21"/>
                <w:highlight w:val="none"/>
              </w:rPr>
            </w:pP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szCs w:val="21"/>
                <w:highlight w:val="none"/>
              </w:rPr>
              <w:t>6</w:t>
            </w:r>
            <w:r>
              <w:rPr>
                <w:rFonts w:hint="default" w:ascii="Times New Roman" w:hAnsi="Times New Roman" w:eastAsia="宋体" w:cs="Times New Roman"/>
                <w:color w:val="auto"/>
                <w:szCs w:val="21"/>
                <w:highlight w:val="none"/>
                <w:lang w:eastAsia="zh-CN"/>
              </w:rPr>
              <w:t xml:space="preserve">. </w:t>
            </w:r>
            <w:r>
              <w:rPr>
                <w:rFonts w:hint="default" w:ascii="Times New Roman" w:hAnsi="Times New Roman" w:eastAsia="宋体" w:cs="Times New Roman"/>
                <w:color w:val="auto"/>
                <w:szCs w:val="21"/>
                <w:highlight w:val="none"/>
              </w:rPr>
              <w:t>现场采样及分析人员必须持环境类上岗证。持环境类上岗证人员数量要求：现场监测人员不少于10人，实验室分析人员不少于12人，专职质量管理人员不少于1人。现场监测人员、实验室分析人员及质量管理人员均不能重复。</w:t>
            </w:r>
          </w:p>
          <w:p w14:paraId="1949EFD8">
            <w:pPr>
              <w:adjustRightInd w:val="0"/>
              <w:spacing w:line="360" w:lineRule="auto"/>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三、质量控制措施</w:t>
            </w:r>
          </w:p>
          <w:p w14:paraId="573304CD">
            <w:pPr>
              <w:pageBreakBefore w:val="0"/>
              <w:kinsoku/>
              <w:wordWrap/>
              <w:overflowPunct/>
              <w:topLinePunct w:val="0"/>
              <w:bidi w:val="0"/>
              <w:spacing w:line="360" w:lineRule="auto"/>
              <w:ind w:left="0" w:right="0" w:firstLine="422" w:firstLineChars="200"/>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（一）总体要求</w:t>
            </w:r>
          </w:p>
          <w:p w14:paraId="630B3006">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kern w:val="0"/>
                <w:szCs w:val="21"/>
                <w:highlight w:val="none"/>
              </w:rPr>
              <w:t>1</w:t>
            </w:r>
            <w:r>
              <w:rPr>
                <w:rFonts w:hint="default" w:ascii="Times New Roman" w:hAnsi="Times New Roman" w:eastAsia="宋体" w:cs="Times New Roman"/>
                <w:color w:val="auto"/>
                <w:kern w:val="0"/>
                <w:szCs w:val="21"/>
                <w:highlight w:val="none"/>
                <w:lang w:eastAsia="zh-CN"/>
              </w:rPr>
              <w:t xml:space="preserve">. </w:t>
            </w:r>
            <w:r>
              <w:rPr>
                <w:rFonts w:hint="default" w:ascii="Times New Roman" w:hAnsi="Times New Roman" w:eastAsia="宋体" w:cs="Times New Roman"/>
                <w:color w:val="auto"/>
                <w:kern w:val="0"/>
                <w:szCs w:val="21"/>
                <w:highlight w:val="none"/>
              </w:rPr>
              <w:t>本项目所涉及的所有现场及实验室分析项目必须严格按照现行有效的标准方法执行。</w:t>
            </w:r>
          </w:p>
          <w:p w14:paraId="267EB06C">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eastAsia="zh-CN"/>
              </w:rPr>
              <w:t>2.</w:t>
            </w:r>
            <w:r>
              <w:rPr>
                <w:rFonts w:hint="default" w:ascii="Times New Roman" w:hAnsi="Times New Roman" w:eastAsia="宋体" w:cs="Times New Roman"/>
                <w:color w:val="auto"/>
                <w:kern w:val="0"/>
                <w:szCs w:val="21"/>
                <w:highlight w:val="none"/>
              </w:rPr>
              <w:t>成交供应商的各种监测活动应满足《环境监测质量管理技术导则》（HJ 630-2011）的质量管理要求。</w:t>
            </w:r>
          </w:p>
          <w:p w14:paraId="2980DE0B">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eastAsia="zh-CN"/>
              </w:rPr>
              <w:t>3.</w:t>
            </w:r>
            <w:r>
              <w:rPr>
                <w:rFonts w:hint="default" w:ascii="Times New Roman" w:hAnsi="Times New Roman" w:eastAsia="宋体" w:cs="Times New Roman"/>
                <w:color w:val="auto"/>
                <w:kern w:val="0"/>
                <w:szCs w:val="21"/>
                <w:highlight w:val="none"/>
              </w:rPr>
              <w:t>成交供应商的各个监测项目必须满足所依据的标准方法中规定的所有质控要求。</w:t>
            </w:r>
          </w:p>
          <w:p w14:paraId="59C9120B">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eastAsia="zh-CN"/>
              </w:rPr>
              <w:t>4.</w:t>
            </w:r>
            <w:r>
              <w:rPr>
                <w:rFonts w:hint="default" w:ascii="Times New Roman" w:hAnsi="Times New Roman" w:eastAsia="宋体" w:cs="Times New Roman"/>
                <w:color w:val="auto"/>
                <w:kern w:val="0"/>
                <w:szCs w:val="21"/>
                <w:highlight w:val="none"/>
              </w:rPr>
              <w:t>监测数据的处理必须满足《数据的统计处理和解释正态样本离群值的判断和处理》（GB/T 4883-2008）和《数值修约规则与极限数值的表示和判定》（GB/T 8170-2008）的要求。</w:t>
            </w:r>
          </w:p>
          <w:p w14:paraId="161017C3">
            <w:pPr>
              <w:pStyle w:val="18"/>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5.</w:t>
            </w:r>
            <w:r>
              <w:rPr>
                <w:rFonts w:hint="default" w:ascii="Times New Roman" w:hAnsi="Times New Roman" w:eastAsia="宋体" w:cs="Times New Roman"/>
                <w:color w:val="auto"/>
                <w:szCs w:val="21"/>
                <w:highlight w:val="none"/>
              </w:rPr>
              <w:t>成交供应商应对受委托的每个监测任务</w:t>
            </w:r>
            <w:r>
              <w:rPr>
                <w:rFonts w:hint="default" w:ascii="Times New Roman" w:hAnsi="Times New Roman" w:eastAsia="宋体" w:cs="Times New Roman"/>
                <w:color w:val="auto"/>
                <w:szCs w:val="21"/>
                <w:highlight w:val="none"/>
                <w:lang w:eastAsia="zh-CN"/>
              </w:rPr>
              <w:t>制定</w:t>
            </w:r>
            <w:r>
              <w:rPr>
                <w:rFonts w:hint="default" w:ascii="Times New Roman" w:hAnsi="Times New Roman" w:eastAsia="宋体" w:cs="Times New Roman"/>
                <w:color w:val="auto"/>
                <w:szCs w:val="21"/>
                <w:highlight w:val="none"/>
              </w:rPr>
              <w:t>质控计划，包括现场采样、现场监测、实验室分析、检测报告等过程的质量保证措施和质量控制指标</w:t>
            </w:r>
            <w:r>
              <w:rPr>
                <w:rFonts w:hint="default" w:ascii="Times New Roman" w:hAnsi="Times New Roman" w:eastAsia="宋体" w:cs="Times New Roman"/>
                <w:color w:val="auto"/>
                <w:szCs w:val="21"/>
                <w:highlight w:val="none"/>
                <w:lang w:eastAsia="zh-CN"/>
              </w:rPr>
              <w:t>，并</w:t>
            </w:r>
            <w:r>
              <w:rPr>
                <w:rFonts w:hint="default" w:ascii="Times New Roman" w:hAnsi="Times New Roman" w:eastAsia="宋体" w:cs="Times New Roman"/>
                <w:color w:val="auto"/>
                <w:szCs w:val="21"/>
                <w:highlight w:val="none"/>
              </w:rPr>
              <w:t>接受采购人的质控抽查考核。</w:t>
            </w:r>
          </w:p>
          <w:p w14:paraId="310B19FB">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eastAsia="zh-CN"/>
              </w:rPr>
              <w:t>6.</w:t>
            </w:r>
            <w:r>
              <w:rPr>
                <w:rFonts w:hint="default" w:ascii="Times New Roman" w:hAnsi="Times New Roman" w:eastAsia="宋体" w:cs="Times New Roman"/>
                <w:color w:val="auto"/>
                <w:kern w:val="0"/>
                <w:szCs w:val="21"/>
                <w:highlight w:val="none"/>
              </w:rPr>
              <w:t>固定污染源废水、废气污染物排放的环境监测，固定污染源废水排放、废气排放手工监测和比对监测过程中采样及测定必须满足《固定污染源监测质量保证与质量控制技术规范</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试行</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》（HJ/T 373-2007）的质控要求。</w:t>
            </w:r>
          </w:p>
          <w:p w14:paraId="6913294B">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kern w:val="0"/>
                <w:szCs w:val="21"/>
                <w:highlight w:val="none"/>
              </w:rPr>
              <w:t>7</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检测全过程（包括但不限于点位勘察、采样、运输、保存、分析）的安全责任（人员、环境、交通）由成交供应商自行负责。</w:t>
            </w:r>
          </w:p>
          <w:p w14:paraId="5357CE9A">
            <w:pPr>
              <w:pageBreakBefore w:val="0"/>
              <w:kinsoku/>
              <w:wordWrap/>
              <w:overflowPunct/>
              <w:topLinePunct w:val="0"/>
              <w:bidi w:val="0"/>
              <w:spacing w:line="360" w:lineRule="auto"/>
              <w:ind w:left="0" w:right="0" w:firstLine="422" w:firstLineChars="200"/>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（二）重点要求</w:t>
            </w:r>
          </w:p>
          <w:p w14:paraId="5824A7B0">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eastAsia="zh-CN"/>
              </w:rPr>
              <w:t>1.</w:t>
            </w:r>
            <w:r>
              <w:rPr>
                <w:rFonts w:hint="default" w:ascii="Times New Roman" w:hAnsi="Times New Roman" w:eastAsia="宋体" w:cs="Times New Roman"/>
                <w:color w:val="auto"/>
                <w:kern w:val="0"/>
                <w:szCs w:val="21"/>
                <w:highlight w:val="none"/>
              </w:rPr>
              <w:t>水和废水</w:t>
            </w:r>
            <w:r>
              <w:rPr>
                <w:rFonts w:hint="eastAsia" w:ascii="Times New Roman" w:hAnsi="Times New Roman" w:eastAsia="宋体" w:cs="Times New Roman"/>
                <w:color w:val="auto"/>
                <w:kern w:val="0"/>
                <w:szCs w:val="21"/>
                <w:highlight w:val="none"/>
                <w:lang w:eastAsia="zh-CN"/>
              </w:rPr>
              <w:t>、</w:t>
            </w:r>
            <w:r>
              <w:rPr>
                <w:rFonts w:hint="eastAsia" w:ascii="Times New Roman" w:hAnsi="Times New Roman" w:eastAsia="宋体" w:cs="Times New Roman"/>
                <w:color w:val="auto"/>
                <w:kern w:val="0"/>
                <w:szCs w:val="21"/>
                <w:highlight w:val="none"/>
                <w:lang w:val="en-US" w:eastAsia="zh-CN"/>
              </w:rPr>
              <w:t>地下水</w:t>
            </w:r>
            <w:r>
              <w:rPr>
                <w:rFonts w:hint="default" w:ascii="Times New Roman" w:hAnsi="Times New Roman" w:eastAsia="宋体" w:cs="Times New Roman"/>
                <w:color w:val="auto"/>
                <w:kern w:val="0"/>
                <w:szCs w:val="21"/>
                <w:highlight w:val="none"/>
              </w:rPr>
              <w:t>现场采样质量控制</w:t>
            </w:r>
          </w:p>
          <w:p w14:paraId="254606AD">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（1）应按相应的规范要求采集、保存、运输样品，并对采样准备工作和采样过程实行必要的质量监督。应使用定位仪及照相机等辅助设备证实采样点位置。</w:t>
            </w:r>
          </w:p>
          <w:p w14:paraId="3D4D5096">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（2）每个项目必须严格按照标准要求选择对应的采样容器。</w:t>
            </w:r>
          </w:p>
          <w:p w14:paraId="4D09B64F">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（3）采样点位的设置与频次须根据委托方要求进行，采样记录要描述详细准确，采样全过程重要节点</w:t>
            </w:r>
            <w:r>
              <w:rPr>
                <w:rFonts w:hint="default" w:ascii="Times New Roman" w:hAnsi="Times New Roman" w:eastAsia="宋体" w:cs="Times New Roman"/>
                <w:color w:val="auto"/>
                <w:kern w:val="0"/>
                <w:szCs w:val="21"/>
                <w:highlight w:val="none"/>
                <w:lang w:eastAsia="zh-CN"/>
              </w:rPr>
              <w:t>应依靠</w:t>
            </w:r>
            <w:r>
              <w:rPr>
                <w:rFonts w:hint="default" w:ascii="Times New Roman" w:hAnsi="Times New Roman" w:eastAsia="宋体" w:cs="Times New Roman"/>
                <w:color w:val="auto"/>
                <w:kern w:val="0"/>
                <w:szCs w:val="21"/>
                <w:highlight w:val="none"/>
              </w:rPr>
              <w:t>电子</w:t>
            </w:r>
            <w:r>
              <w:rPr>
                <w:rFonts w:hint="default" w:ascii="Times New Roman" w:hAnsi="Times New Roman" w:eastAsia="宋体" w:cs="Times New Roman"/>
                <w:color w:val="auto"/>
                <w:kern w:val="0"/>
                <w:szCs w:val="21"/>
                <w:highlight w:val="none"/>
                <w:lang w:eastAsia="zh-CN"/>
              </w:rPr>
              <w:t>技术</w:t>
            </w:r>
            <w:r>
              <w:rPr>
                <w:rFonts w:hint="default" w:ascii="Times New Roman" w:hAnsi="Times New Roman" w:eastAsia="宋体" w:cs="Times New Roman"/>
                <w:color w:val="auto"/>
                <w:kern w:val="0"/>
                <w:szCs w:val="21"/>
                <w:highlight w:val="none"/>
              </w:rPr>
              <w:t>进行拍照或录像留存，</w:t>
            </w:r>
            <w:r>
              <w:rPr>
                <w:rFonts w:hint="default" w:ascii="Times New Roman" w:hAnsi="Times New Roman" w:eastAsia="宋体" w:cs="Times New Roman"/>
                <w:color w:val="auto"/>
                <w:kern w:val="0"/>
                <w:szCs w:val="21"/>
                <w:highlight w:val="none"/>
                <w:lang w:eastAsia="zh-CN"/>
              </w:rPr>
              <w:t>以备</w:t>
            </w:r>
            <w:r>
              <w:rPr>
                <w:rFonts w:hint="default" w:ascii="Times New Roman" w:hAnsi="Times New Roman" w:eastAsia="宋体" w:cs="Times New Roman"/>
                <w:color w:val="auto"/>
                <w:kern w:val="0"/>
                <w:szCs w:val="21"/>
                <w:highlight w:val="none"/>
              </w:rPr>
              <w:t>委托方检查。采样过</w:t>
            </w:r>
            <w:r>
              <w:rPr>
                <w:rFonts w:hint="default" w:ascii="Times New Roman" w:hAnsi="Times New Roman" w:eastAsia="宋体" w:cs="Times New Roman"/>
                <w:color w:val="auto"/>
                <w:kern w:val="0"/>
                <w:szCs w:val="21"/>
                <w:highlight w:val="none"/>
                <w:lang w:eastAsia="zh-CN"/>
              </w:rPr>
              <w:t>程中</w:t>
            </w:r>
            <w:r>
              <w:rPr>
                <w:rFonts w:hint="default" w:ascii="Times New Roman" w:hAnsi="Times New Roman" w:eastAsia="宋体" w:cs="Times New Roman"/>
                <w:color w:val="auto"/>
                <w:kern w:val="0"/>
                <w:szCs w:val="21"/>
                <w:highlight w:val="none"/>
              </w:rPr>
              <w:t>出现突发状况无法在规定的点位采样或是频次有变，</w:t>
            </w:r>
            <w:r>
              <w:rPr>
                <w:rFonts w:hint="default" w:ascii="Times New Roman" w:hAnsi="Times New Roman" w:eastAsia="宋体" w:cs="Times New Roman"/>
                <w:color w:val="auto"/>
                <w:kern w:val="0"/>
                <w:szCs w:val="21"/>
                <w:highlight w:val="none"/>
                <w:lang w:eastAsia="zh-CN"/>
              </w:rPr>
              <w:t>或者</w:t>
            </w:r>
            <w:r>
              <w:rPr>
                <w:rFonts w:hint="default" w:ascii="Times New Roman" w:hAnsi="Times New Roman" w:eastAsia="宋体" w:cs="Times New Roman"/>
                <w:color w:val="auto"/>
                <w:kern w:val="0"/>
                <w:szCs w:val="21"/>
                <w:highlight w:val="none"/>
              </w:rPr>
              <w:t>其他特殊情况，应及时与委托方沟通，不能擅自改变及自行处理。</w:t>
            </w:r>
          </w:p>
          <w:p w14:paraId="03E7F119">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（4）各分析项目严格按照监测技术规范及分析方法中的质控要求执行，并做好留样、存样。</w:t>
            </w:r>
          </w:p>
          <w:p w14:paraId="54253169">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eastAsia="zh-CN"/>
              </w:rPr>
              <w:t>2.</w:t>
            </w:r>
            <w:r>
              <w:rPr>
                <w:rFonts w:hint="default" w:ascii="Times New Roman" w:hAnsi="Times New Roman" w:eastAsia="宋体" w:cs="Times New Roman"/>
                <w:color w:val="auto"/>
                <w:kern w:val="0"/>
                <w:szCs w:val="21"/>
                <w:highlight w:val="none"/>
              </w:rPr>
              <w:t>实验室分析质量控制</w:t>
            </w:r>
          </w:p>
          <w:p w14:paraId="7C68321B">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实验室分析的质控措施应包括实验室空白、平行、加标回收、有证标准样品、留样、实验室间（内）比对实验、能力验证、比对（人员、方法、仪器）、结果的相关性等质控手段</w:t>
            </w:r>
            <w:r>
              <w:rPr>
                <w:rFonts w:hint="default" w:ascii="Times New Roman" w:hAnsi="Times New Roman" w:eastAsia="宋体" w:cs="Times New Roman"/>
                <w:color w:val="auto"/>
                <w:kern w:val="0"/>
                <w:szCs w:val="21"/>
                <w:highlight w:val="none"/>
                <w:lang w:eastAsia="zh-CN"/>
              </w:rPr>
              <w:t>，以进行</w:t>
            </w:r>
            <w:r>
              <w:rPr>
                <w:rFonts w:hint="default" w:ascii="Times New Roman" w:hAnsi="Times New Roman" w:eastAsia="宋体" w:cs="Times New Roman"/>
                <w:color w:val="auto"/>
                <w:kern w:val="0"/>
                <w:szCs w:val="21"/>
                <w:highlight w:val="none"/>
              </w:rPr>
              <w:t>有效技术核查。</w:t>
            </w:r>
          </w:p>
          <w:p w14:paraId="30AFD9E5">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eastAsia="zh-CN"/>
              </w:rPr>
              <w:t>3.</w:t>
            </w:r>
            <w:r>
              <w:rPr>
                <w:rFonts w:hint="default" w:ascii="Times New Roman" w:hAnsi="Times New Roman" w:eastAsia="宋体" w:cs="Times New Roman"/>
                <w:color w:val="auto"/>
                <w:kern w:val="0"/>
                <w:szCs w:val="21"/>
                <w:highlight w:val="none"/>
              </w:rPr>
              <w:t>环境空气和废气监测质量控制</w:t>
            </w:r>
          </w:p>
          <w:p w14:paraId="2E0E6B70">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（1）环境空气监测</w:t>
            </w:r>
          </w:p>
          <w:p w14:paraId="0FB1FF77">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应按照监测技术规范要求检查采样系统，采样前应进行流量校准、气密性检查及气象参数标定，气象参数的测量及读取、样品的保存与运输要符合规范要求，每个监测任务至少做2个现场空白，采集不少于10%的平行样品。颗粒物采样后称量的同时应称量“标准滤膜”。</w:t>
            </w:r>
          </w:p>
          <w:p w14:paraId="17A792C5">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（2）废气监测</w:t>
            </w:r>
          </w:p>
          <w:p w14:paraId="630E8A4D">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①烟气分析仪应在测试前后按监测因子分别用与实测浓度相近的标准气体和流量计对其进行校核（标定）。</w:t>
            </w:r>
          </w:p>
          <w:p w14:paraId="62B4F70E">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②对气体状态参数测量装置至少半年自行校正一次。校正方法</w:t>
            </w:r>
            <w:r>
              <w:rPr>
                <w:rFonts w:hint="default" w:ascii="Times New Roman" w:hAnsi="Times New Roman" w:eastAsia="宋体" w:cs="Times New Roman"/>
                <w:color w:val="auto"/>
                <w:kern w:val="0"/>
                <w:szCs w:val="21"/>
                <w:highlight w:val="none"/>
                <w:lang w:eastAsia="zh-CN"/>
              </w:rPr>
              <w:t>应按照</w:t>
            </w:r>
            <w:r>
              <w:rPr>
                <w:rFonts w:hint="default" w:ascii="Times New Roman" w:hAnsi="Times New Roman" w:eastAsia="宋体" w:cs="Times New Roman"/>
                <w:color w:val="auto"/>
                <w:kern w:val="0"/>
                <w:szCs w:val="21"/>
                <w:highlight w:val="none"/>
              </w:rPr>
              <w:t>GB/</w:t>
            </w:r>
            <w:r>
              <w:rPr>
                <w:rFonts w:hint="default" w:ascii="Times New Roman" w:hAnsi="Times New Roman" w:eastAsia="宋体" w:cs="Times New Roman"/>
                <w:color w:val="auto"/>
                <w:kern w:val="0"/>
                <w:szCs w:val="21"/>
                <w:highlight w:val="none"/>
                <w:lang w:eastAsia="zh-CN"/>
              </w:rPr>
              <w:t>T 16157</w:t>
            </w:r>
            <w:r>
              <w:rPr>
                <w:rFonts w:hint="default" w:ascii="Times New Roman" w:hAnsi="Times New Roman" w:eastAsia="宋体" w:cs="Times New Roman"/>
                <w:color w:val="auto"/>
                <w:kern w:val="0"/>
                <w:szCs w:val="21"/>
                <w:highlight w:val="none"/>
              </w:rPr>
              <w:t>-1996中相关要求执行。</w:t>
            </w:r>
          </w:p>
          <w:p w14:paraId="1BF11D85">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xml:space="preserve">③烟气测定仪，应用仪器量程中值附近浓度的标准气校准，根据仪器使用频率，每3个月至半年校准一次，使用频率较高的情况下，应增加校准次数。 </w:t>
            </w:r>
          </w:p>
          <w:p w14:paraId="53C7ED38">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④测氧仪至少每季度检查校验一次，使用高纯氮检查零点</w:t>
            </w:r>
            <w:r>
              <w:rPr>
                <w:rFonts w:hint="default" w:ascii="Times New Roman" w:hAnsi="Times New Roman" w:eastAsia="宋体" w:cs="Times New Roman"/>
                <w:color w:val="auto"/>
                <w:kern w:val="0"/>
                <w:szCs w:val="21"/>
                <w:highlight w:val="none"/>
                <w:lang w:eastAsia="zh-CN"/>
              </w:rPr>
              <w:t>，应用</w:t>
            </w:r>
            <w:r>
              <w:rPr>
                <w:rFonts w:hint="default" w:ascii="Times New Roman" w:hAnsi="Times New Roman" w:eastAsia="宋体" w:cs="Times New Roman"/>
                <w:color w:val="auto"/>
                <w:kern w:val="0"/>
                <w:szCs w:val="21"/>
                <w:highlight w:val="none"/>
              </w:rPr>
              <w:t>干净的</w:t>
            </w:r>
            <w:r>
              <w:rPr>
                <w:rFonts w:hint="default" w:ascii="Times New Roman" w:hAnsi="Times New Roman" w:eastAsia="宋体" w:cs="Times New Roman"/>
                <w:color w:val="auto"/>
                <w:kern w:val="0"/>
                <w:szCs w:val="21"/>
                <w:highlight w:val="none"/>
                <w:lang w:eastAsia="zh-CN"/>
              </w:rPr>
              <w:t>环境空气</w:t>
            </w:r>
            <w:r>
              <w:rPr>
                <w:rFonts w:hint="default" w:ascii="Times New Roman" w:hAnsi="Times New Roman" w:eastAsia="宋体" w:cs="Times New Roman"/>
                <w:color w:val="auto"/>
                <w:kern w:val="0"/>
                <w:szCs w:val="21"/>
                <w:highlight w:val="none"/>
              </w:rPr>
              <w:t xml:space="preserve">调整其示值为20.9%。 </w:t>
            </w:r>
          </w:p>
          <w:p w14:paraId="0CCE7022">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⑤自动等速采样仪和含湿量测定装置的温度计、电子压差计、流量计应定期进行校准。</w:t>
            </w:r>
          </w:p>
          <w:p w14:paraId="32767FBC">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⑥采样的工况、监测点位、采样量等应符合监测规范要求。</w:t>
            </w:r>
          </w:p>
          <w:p w14:paraId="2F045420">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eastAsia="zh-CN"/>
              </w:rPr>
              <w:t>4.</w:t>
            </w:r>
            <w:r>
              <w:rPr>
                <w:rFonts w:hint="default" w:ascii="Times New Roman" w:hAnsi="Times New Roman" w:eastAsia="宋体" w:cs="Times New Roman"/>
                <w:color w:val="auto"/>
                <w:kern w:val="0"/>
                <w:szCs w:val="21"/>
                <w:highlight w:val="none"/>
              </w:rPr>
              <w:t>土壤监测质量控制</w:t>
            </w:r>
          </w:p>
          <w:p w14:paraId="59C3D1E4">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（1）土壤监测点位布设方法和布设数量应根据其目的和要求，并结合现场勘查结果确定该区域内土壤监测点位</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土壤样品</w:t>
            </w:r>
            <w:r>
              <w:rPr>
                <w:rFonts w:hint="default" w:ascii="Times New Roman" w:hAnsi="Times New Roman" w:eastAsia="宋体" w:cs="Times New Roman"/>
                <w:color w:val="auto"/>
                <w:kern w:val="0"/>
                <w:szCs w:val="21"/>
                <w:highlight w:val="none"/>
                <w:lang w:eastAsia="zh-CN"/>
              </w:rPr>
              <w:t>的采集、运输和</w:t>
            </w:r>
            <w:r>
              <w:rPr>
                <w:rFonts w:hint="default" w:ascii="Times New Roman" w:hAnsi="Times New Roman" w:eastAsia="宋体" w:cs="Times New Roman"/>
                <w:color w:val="auto"/>
                <w:kern w:val="0"/>
                <w:szCs w:val="21"/>
                <w:highlight w:val="none"/>
              </w:rPr>
              <w:t>保存</w:t>
            </w:r>
            <w:r>
              <w:rPr>
                <w:rFonts w:hint="default" w:ascii="Times New Roman" w:hAnsi="Times New Roman" w:eastAsia="宋体" w:cs="Times New Roman"/>
                <w:color w:val="auto"/>
                <w:kern w:val="0"/>
                <w:szCs w:val="21"/>
                <w:highlight w:val="none"/>
                <w:lang w:eastAsia="zh-CN"/>
              </w:rPr>
              <w:t>应符合</w:t>
            </w:r>
            <w:r>
              <w:rPr>
                <w:rFonts w:hint="default" w:ascii="Times New Roman" w:hAnsi="Times New Roman" w:eastAsia="宋体" w:cs="Times New Roman"/>
                <w:color w:val="auto"/>
                <w:kern w:val="0"/>
                <w:szCs w:val="21"/>
                <w:highlight w:val="none"/>
              </w:rPr>
              <w:t>标准规范要求。</w:t>
            </w:r>
          </w:p>
          <w:p w14:paraId="3921C136">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（2）实验室分析应采用实验室空白、平行、加标回收、有证标准样品、留样等质控手段。</w:t>
            </w:r>
          </w:p>
          <w:p w14:paraId="4871F814">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eastAsia="zh-CN"/>
              </w:rPr>
              <w:t>5.</w:t>
            </w:r>
            <w:r>
              <w:rPr>
                <w:rFonts w:hint="default" w:ascii="Times New Roman" w:hAnsi="Times New Roman" w:eastAsia="宋体" w:cs="Times New Roman"/>
                <w:color w:val="auto"/>
                <w:kern w:val="0"/>
                <w:szCs w:val="21"/>
                <w:highlight w:val="none"/>
              </w:rPr>
              <w:t>固体废物监测质量控制</w:t>
            </w:r>
          </w:p>
          <w:p w14:paraId="652C8835">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（1）固体废物危险特性鉴别检测项目的确定应以工艺分析为主要手段，综合原辅材料特性、生产工艺、固体废物产生工艺等信息，确定可能具有的危险特性及相应检测项目。</w:t>
            </w:r>
          </w:p>
          <w:p w14:paraId="4CD0BF68">
            <w:pPr>
              <w:pStyle w:val="18"/>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（2）样品采集应记录必要的信息，包括但不限于：样品编号、采样时间、采样地点、企业生产工况。样品的采集、包装、运输和保存应符合相应检测项目的有关要求。</w:t>
            </w:r>
          </w:p>
          <w:p w14:paraId="6E05CF06">
            <w:pPr>
              <w:pStyle w:val="18"/>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（3）固体废物危险特性鉴别的检测应符合相应检测方法的质量保证与质量控制要求。</w:t>
            </w:r>
          </w:p>
          <w:p w14:paraId="770A008A">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eastAsia="zh-CN"/>
              </w:rPr>
              <w:t>6.</w:t>
            </w:r>
            <w:r>
              <w:rPr>
                <w:rFonts w:hint="default" w:ascii="Times New Roman" w:hAnsi="Times New Roman" w:eastAsia="宋体" w:cs="Times New Roman"/>
                <w:color w:val="auto"/>
                <w:kern w:val="0"/>
                <w:szCs w:val="21"/>
                <w:highlight w:val="none"/>
              </w:rPr>
              <w:t>噪声和振动监测质量控制</w:t>
            </w:r>
          </w:p>
          <w:p w14:paraId="6F0FD250">
            <w:pPr>
              <w:pStyle w:val="18"/>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（1）用于测量噪声的仪器和校准仪器应定期检定合格，并在有效使用期内使用；每次测量前、后必须在测量现场进行声学校准。</w:t>
            </w:r>
          </w:p>
          <w:p w14:paraId="79D56A28">
            <w:pPr>
              <w:pStyle w:val="18"/>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（2）用于测量环境振动的仪器，其性能必须符合ISO/DP8041-1984有关条款的规定。测量系统每年至少送计量部门校准一次。</w:t>
            </w:r>
          </w:p>
          <w:p w14:paraId="09461B04">
            <w:pPr>
              <w:pStyle w:val="18"/>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（3）测量条件、测量点位、测量时段及测量记录须符合相应标准规范要求。</w:t>
            </w:r>
          </w:p>
          <w:p w14:paraId="193E0FA6">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eastAsia="zh-CN"/>
              </w:rPr>
              <w:t>7.</w:t>
            </w:r>
            <w:r>
              <w:rPr>
                <w:rFonts w:hint="default" w:ascii="Times New Roman" w:hAnsi="Times New Roman" w:eastAsia="宋体" w:cs="Times New Roman"/>
                <w:color w:val="auto"/>
                <w:kern w:val="0"/>
                <w:szCs w:val="21"/>
                <w:highlight w:val="none"/>
              </w:rPr>
              <w:t>数据处理和报告抽查质量控制</w:t>
            </w:r>
          </w:p>
          <w:p w14:paraId="10D45201">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监测结果应采用法定计量单位；平行样的测定结果在允许偏差范围内时，用其平均值报告测定结果；监测结果低于方法检出限时，用“ND”表示，并注明“ND”表示未检出，同时给出方法检出限值；采购人需要时，应给出监测结果的不确定度范围。</w:t>
            </w:r>
          </w:p>
          <w:p w14:paraId="42A95010">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2）严格按要求做好三级审核工作。对数据的计算、有效位数、数据的合理性进行审查，确保数据真实、可靠、有效。加强数据敏感性，若出现超标情况，及时上报采购人，并分析超标原因，如需复测，须经得采购人同意。</w:t>
            </w:r>
          </w:p>
          <w:p w14:paraId="5F2B7DFE">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（3）监测报告应按时提交到采购人。</w:t>
            </w:r>
          </w:p>
          <w:p w14:paraId="65CF11AC">
            <w:pPr>
              <w:pStyle w:val="18"/>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（4）委托检测项目的监测数据和结果的一次交验合格率≥99%；监测报告交付及时率要达到100%。</w:t>
            </w:r>
          </w:p>
          <w:p w14:paraId="203705DE">
            <w:pPr>
              <w:pageBreakBefore w:val="0"/>
              <w:kinsoku/>
              <w:wordWrap/>
              <w:overflowPunct/>
              <w:topLinePunct w:val="0"/>
              <w:bidi w:val="0"/>
              <w:spacing w:line="360" w:lineRule="auto"/>
              <w:ind w:left="0" w:right="0" w:firstLine="422" w:firstLineChars="200"/>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（三）质量控制考核办法</w:t>
            </w:r>
          </w:p>
          <w:p w14:paraId="37718C8F">
            <w:pPr>
              <w:pStyle w:val="18"/>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1.</w:t>
            </w:r>
            <w:r>
              <w:rPr>
                <w:rFonts w:hint="default" w:ascii="Times New Roman" w:hAnsi="Times New Roman" w:eastAsia="宋体" w:cs="Times New Roman"/>
                <w:color w:val="auto"/>
                <w:szCs w:val="21"/>
                <w:highlight w:val="none"/>
              </w:rPr>
              <w:t>采购人对成交供应商的质量控制情况进行不定期考核（至少两次），考核结果作为服务款项支付依据。</w:t>
            </w:r>
          </w:p>
          <w:p w14:paraId="50F01486">
            <w:pPr>
              <w:pStyle w:val="18"/>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2.</w:t>
            </w:r>
            <w:r>
              <w:rPr>
                <w:rFonts w:hint="default" w:ascii="Times New Roman" w:hAnsi="Times New Roman" w:eastAsia="宋体" w:cs="Times New Roman"/>
                <w:color w:val="auto"/>
                <w:szCs w:val="21"/>
                <w:highlight w:val="none"/>
              </w:rPr>
              <w:t>考核内容</w:t>
            </w:r>
          </w:p>
          <w:p w14:paraId="74D1187B">
            <w:pPr>
              <w:pStyle w:val="18"/>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考核包括但不限于以下内容：</w:t>
            </w:r>
          </w:p>
          <w:p w14:paraId="1FE522F2">
            <w:pPr>
              <w:pStyle w:val="18"/>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（1）采样规范性考核，包括现场采样核查、调取图片、视频核查等方式对现场采样、样品保存及样品运输过程进行考核。</w:t>
            </w:r>
          </w:p>
          <w:p w14:paraId="0684BBA2">
            <w:pPr>
              <w:pStyle w:val="18"/>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（2）外部质量控制考核，使用有证标准样品作为外部质控样品密码监控样</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也可在样品中加入一定量的有证标准样品制成加标密码监控样，对实验室分析进行</w:t>
            </w:r>
            <w:r>
              <w:rPr>
                <w:rFonts w:hint="default" w:ascii="Times New Roman" w:hAnsi="Times New Roman" w:eastAsia="宋体" w:cs="Times New Roman"/>
                <w:color w:val="auto"/>
                <w:szCs w:val="21"/>
                <w:highlight w:val="none"/>
                <w:lang w:eastAsia="zh-CN"/>
              </w:rPr>
              <w:t>监控</w:t>
            </w:r>
            <w:r>
              <w:rPr>
                <w:rFonts w:hint="default" w:ascii="Times New Roman" w:hAnsi="Times New Roman" w:eastAsia="宋体" w:cs="Times New Roman"/>
                <w:color w:val="auto"/>
                <w:szCs w:val="21"/>
                <w:highlight w:val="none"/>
              </w:rPr>
              <w:t>考核</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也可通过实验室间比对和留样复测等方式进行实际样品考核。</w:t>
            </w:r>
          </w:p>
          <w:p w14:paraId="656C155F">
            <w:pPr>
              <w:pStyle w:val="18"/>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（3）监测报告及分析原始资料记录考核</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通过抽查现场采样、样品交接记录、实验室分析记录、质控记录及监测报告等方式进行考核。</w:t>
            </w:r>
          </w:p>
          <w:p w14:paraId="19230918">
            <w:pPr>
              <w:pageBreakBefore w:val="0"/>
              <w:widowControl/>
              <w:kinsoku/>
              <w:wordWrap/>
              <w:overflowPunct/>
              <w:topLinePunct w:val="0"/>
              <w:bidi w:val="0"/>
              <w:spacing w:line="360" w:lineRule="auto"/>
              <w:ind w:left="0" w:right="0"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3.</w:t>
            </w:r>
            <w:r>
              <w:rPr>
                <w:rFonts w:hint="default" w:ascii="Times New Roman" w:hAnsi="Times New Roman" w:eastAsia="宋体" w:cs="Times New Roman"/>
                <w:color w:val="auto"/>
                <w:szCs w:val="21"/>
                <w:highlight w:val="none"/>
              </w:rPr>
              <w:t>违反质量控制措施的情况</w:t>
            </w:r>
          </w:p>
          <w:p w14:paraId="34D6B482">
            <w:pPr>
              <w:pStyle w:val="18"/>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（1）采购人随时对成交供应商</w:t>
            </w:r>
            <w:r>
              <w:rPr>
                <w:rFonts w:hint="default" w:ascii="Times New Roman" w:hAnsi="Times New Roman" w:eastAsia="宋体" w:cs="Times New Roman"/>
                <w:color w:val="auto"/>
                <w:szCs w:val="21"/>
                <w:highlight w:val="none"/>
                <w:lang w:eastAsia="zh-CN"/>
              </w:rPr>
              <w:t>受托</w:t>
            </w:r>
            <w:r>
              <w:rPr>
                <w:rFonts w:hint="default" w:ascii="Times New Roman" w:hAnsi="Times New Roman" w:eastAsia="宋体" w:cs="Times New Roman"/>
                <w:color w:val="auto"/>
                <w:szCs w:val="21"/>
                <w:highlight w:val="none"/>
              </w:rPr>
              <w:t>的检测工作进行质量监督，确保成交供应商能按时按质</w:t>
            </w:r>
            <w:r>
              <w:rPr>
                <w:rFonts w:hint="default" w:ascii="Times New Roman" w:hAnsi="Times New Roman" w:eastAsia="宋体" w:cs="Times New Roman"/>
                <w:color w:val="auto"/>
                <w:szCs w:val="21"/>
                <w:highlight w:val="none"/>
                <w:lang w:eastAsia="zh-CN"/>
              </w:rPr>
              <w:t>落实</w:t>
            </w:r>
            <w:r>
              <w:rPr>
                <w:rFonts w:hint="default" w:ascii="Times New Roman" w:hAnsi="Times New Roman" w:eastAsia="宋体" w:cs="Times New Roman"/>
                <w:color w:val="auto"/>
                <w:szCs w:val="21"/>
                <w:highlight w:val="none"/>
              </w:rPr>
              <w:t>相关的质量控制措施</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如出现不可预测的情况，视情况的轻重程度进行处理。</w:t>
            </w:r>
          </w:p>
          <w:p w14:paraId="0F485F2C">
            <w:pPr>
              <w:pStyle w:val="18"/>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szCs w:val="21"/>
                <w:highlight w:val="none"/>
              </w:rPr>
              <w:t>（2）检查过程中如发现有数据造假情况（判定方法按照《环境监测数据弄虚作假处理办法》及实施细则</w:t>
            </w:r>
            <w:r>
              <w:rPr>
                <w:rFonts w:hint="eastAsia" w:cs="Times New Roman"/>
                <w:color w:val="auto"/>
                <w:szCs w:val="21"/>
                <w:highlight w:val="none"/>
                <w:lang w:eastAsia="zh-CN"/>
              </w:rPr>
              <w:t>或者其他现行有效法律法规</w:t>
            </w:r>
            <w:r>
              <w:rPr>
                <w:rFonts w:hint="default" w:ascii="Times New Roman" w:hAnsi="Times New Roman" w:eastAsia="宋体" w:cs="Times New Roman"/>
                <w:color w:val="auto"/>
                <w:szCs w:val="21"/>
                <w:highlight w:val="none"/>
              </w:rPr>
              <w:t>）即终止合同，退赔全部服务费用。</w:t>
            </w:r>
          </w:p>
          <w:p w14:paraId="5D22DBCE">
            <w:pPr>
              <w:pStyle w:val="18"/>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（3）年度内对采购项目质控措施整改后仍不满足要求</w:t>
            </w:r>
            <w:r>
              <w:rPr>
                <w:rFonts w:hint="default" w:ascii="Times New Roman" w:hAnsi="Times New Roman" w:eastAsia="宋体" w:cs="Times New Roman"/>
                <w:color w:val="auto"/>
                <w:szCs w:val="21"/>
                <w:highlight w:val="none"/>
                <w:lang w:eastAsia="zh-CN"/>
              </w:rPr>
              <w:t>达</w:t>
            </w:r>
            <w:r>
              <w:rPr>
                <w:rFonts w:hint="default" w:ascii="Times New Roman" w:hAnsi="Times New Roman" w:eastAsia="宋体" w:cs="Times New Roman"/>
                <w:color w:val="auto"/>
                <w:szCs w:val="21"/>
                <w:highlight w:val="none"/>
              </w:rPr>
              <w:t>三次的</w:t>
            </w:r>
            <w:r>
              <w:rPr>
                <w:rFonts w:hint="default" w:ascii="Times New Roman" w:hAnsi="Times New Roman" w:eastAsia="宋体" w:cs="Times New Roman"/>
                <w:color w:val="auto"/>
                <w:szCs w:val="21"/>
                <w:highlight w:val="none"/>
                <w:lang w:eastAsia="zh-CN"/>
              </w:rPr>
              <w:t>，即</w:t>
            </w:r>
            <w:r>
              <w:rPr>
                <w:rFonts w:hint="default" w:ascii="Times New Roman" w:hAnsi="Times New Roman" w:eastAsia="宋体" w:cs="Times New Roman"/>
                <w:color w:val="auto"/>
                <w:szCs w:val="21"/>
                <w:highlight w:val="none"/>
              </w:rPr>
              <w:t>终止合同，退赔全部服务费用。</w:t>
            </w:r>
          </w:p>
          <w:p w14:paraId="73B1ABBF">
            <w:pPr>
              <w:pStyle w:val="18"/>
              <w:pageBreakBefore w:val="0"/>
              <w:kinsoku/>
              <w:wordWrap/>
              <w:overflowPunct/>
              <w:topLinePunct w:val="0"/>
              <w:bidi w:val="0"/>
              <w:spacing w:line="360" w:lineRule="auto"/>
              <w:ind w:left="0" w:right="0" w:firstLine="420" w:firstLineChars="200"/>
              <w:rPr>
                <w:rFonts w:hint="default" w:ascii="Times New Roman" w:hAnsi="Times New Roman" w:cs="Times New Roman"/>
                <w:color w:val="auto"/>
                <w:szCs w:val="21"/>
                <w:highlight w:val="none"/>
              </w:rPr>
            </w:pPr>
            <w:r>
              <w:rPr>
                <w:rFonts w:hint="default" w:ascii="Times New Roman" w:hAnsi="Times New Roman" w:eastAsia="宋体" w:cs="Times New Roman"/>
                <w:color w:val="auto"/>
                <w:szCs w:val="21"/>
                <w:highlight w:val="none"/>
              </w:rPr>
              <w:t>（4）考核得分低于70分，采购人有权终止合同。</w:t>
            </w:r>
          </w:p>
        </w:tc>
      </w:tr>
      <w:tr w14:paraId="670CF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trPr>
        <w:tc>
          <w:tcPr>
            <w:tcW w:w="9191" w:type="dxa"/>
            <w:gridSpan w:val="4"/>
            <w:tcBorders>
              <w:top w:val="single" w:color="000000" w:sz="4" w:space="0"/>
              <w:left w:val="single" w:color="000000" w:sz="4" w:space="0"/>
              <w:bottom w:val="single" w:color="000000" w:sz="4" w:space="0"/>
              <w:right w:val="single" w:color="000000" w:sz="4" w:space="0"/>
            </w:tcBorders>
            <w:vAlign w:val="top"/>
          </w:tcPr>
          <w:p w14:paraId="489C8D70">
            <w:pPr>
              <w:widowControl/>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▲商务要求 </w:t>
            </w:r>
          </w:p>
        </w:tc>
      </w:tr>
      <w:tr w14:paraId="62EAF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91" w:type="dxa"/>
            <w:gridSpan w:val="4"/>
            <w:tcBorders>
              <w:top w:val="single" w:color="000000" w:sz="4" w:space="0"/>
              <w:left w:val="single" w:color="000000" w:sz="4" w:space="0"/>
              <w:bottom w:val="single" w:color="000000" w:sz="4" w:space="0"/>
              <w:right w:val="single" w:color="000000" w:sz="4" w:space="0"/>
            </w:tcBorders>
            <w:vAlign w:val="top"/>
          </w:tcPr>
          <w:p w14:paraId="0C8C4A0C">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eastAsia="zh-CN"/>
              </w:rPr>
              <w:t>（一）</w:t>
            </w:r>
            <w:r>
              <w:rPr>
                <w:rFonts w:hint="default" w:ascii="Times New Roman" w:hAnsi="Times New Roman" w:eastAsia="宋体" w:cs="Times New Roman"/>
                <w:color w:val="auto"/>
                <w:kern w:val="0"/>
                <w:szCs w:val="21"/>
                <w:highlight w:val="none"/>
              </w:rPr>
              <w:t>报价要求</w:t>
            </w:r>
            <w:r>
              <w:rPr>
                <w:rFonts w:hint="default" w:ascii="Times New Roman" w:hAnsi="Times New Roman" w:eastAsia="宋体" w:cs="Times New Roman"/>
                <w:color w:val="auto"/>
                <w:kern w:val="0"/>
                <w:szCs w:val="21"/>
                <w:highlight w:val="none"/>
              </w:rPr>
              <w:tab/>
            </w:r>
          </w:p>
          <w:p w14:paraId="367DBF60">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▲本次报价为下浮系数，有效报价范围为0%≤下浮系数≤100%，下浮系数不在有效范围的竞标报价无效。只要填报确定的监测报告与监测数据表价格下浮系数，报价应被视为已经包含</w:t>
            </w:r>
            <w:r>
              <w:rPr>
                <w:rFonts w:hint="default" w:ascii="Times New Roman" w:hAnsi="Times New Roman" w:eastAsia="宋体" w:cs="Times New Roman"/>
                <w:color w:val="auto"/>
                <w:kern w:val="0"/>
                <w:szCs w:val="21"/>
                <w:highlight w:val="none"/>
                <w:lang w:eastAsia="zh-CN"/>
              </w:rPr>
              <w:t>了</w:t>
            </w:r>
            <w:r>
              <w:rPr>
                <w:rFonts w:hint="default" w:ascii="Times New Roman" w:hAnsi="Times New Roman" w:eastAsia="宋体" w:cs="Times New Roman"/>
                <w:color w:val="auto"/>
                <w:kern w:val="0"/>
                <w:szCs w:val="21"/>
                <w:highlight w:val="none"/>
              </w:rPr>
              <w:t>本项目</w:t>
            </w:r>
            <w:r>
              <w:rPr>
                <w:rFonts w:hint="default" w:ascii="Times New Roman" w:hAnsi="Times New Roman" w:eastAsia="宋体" w:cs="Times New Roman"/>
                <w:color w:val="auto"/>
                <w:kern w:val="0"/>
                <w:szCs w:val="21"/>
                <w:highlight w:val="none"/>
                <w:lang w:eastAsia="zh-CN"/>
              </w:rPr>
              <w:t>各项</w:t>
            </w:r>
            <w:r>
              <w:rPr>
                <w:rFonts w:hint="default" w:ascii="Times New Roman" w:hAnsi="Times New Roman" w:eastAsia="宋体" w:cs="Times New Roman"/>
                <w:color w:val="auto"/>
                <w:kern w:val="0"/>
                <w:szCs w:val="21"/>
                <w:highlight w:val="none"/>
              </w:rPr>
              <w:t>服务及相关</w:t>
            </w:r>
            <w:r>
              <w:rPr>
                <w:rFonts w:hint="default" w:ascii="Times New Roman" w:hAnsi="Times New Roman" w:eastAsia="宋体" w:cs="Times New Roman"/>
                <w:color w:val="auto"/>
                <w:kern w:val="0"/>
                <w:szCs w:val="21"/>
                <w:highlight w:val="none"/>
                <w:lang w:eastAsia="zh-CN"/>
              </w:rPr>
              <w:t>服务</w:t>
            </w:r>
            <w:r>
              <w:rPr>
                <w:rFonts w:hint="default" w:ascii="Times New Roman" w:hAnsi="Times New Roman" w:eastAsia="宋体" w:cs="Times New Roman"/>
                <w:color w:val="auto"/>
                <w:kern w:val="0"/>
                <w:szCs w:val="21"/>
                <w:highlight w:val="none"/>
              </w:rPr>
              <w:t>的费用和所需缴纳的</w:t>
            </w:r>
            <w:r>
              <w:rPr>
                <w:rFonts w:hint="default" w:ascii="Times New Roman" w:hAnsi="Times New Roman" w:eastAsia="宋体" w:cs="Times New Roman"/>
                <w:color w:val="auto"/>
                <w:kern w:val="0"/>
                <w:szCs w:val="21"/>
                <w:highlight w:val="none"/>
                <w:lang w:eastAsia="zh-CN"/>
              </w:rPr>
              <w:t>所有</w:t>
            </w:r>
            <w:r>
              <w:rPr>
                <w:rFonts w:hint="default" w:ascii="Times New Roman" w:hAnsi="Times New Roman" w:eastAsia="宋体" w:cs="Times New Roman"/>
                <w:color w:val="auto"/>
                <w:kern w:val="0"/>
                <w:szCs w:val="21"/>
                <w:highlight w:val="none"/>
              </w:rPr>
              <w:t>税、费。包括以下内容：</w:t>
            </w:r>
          </w:p>
          <w:p w14:paraId="4743803E">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（1）服务的价格；</w:t>
            </w:r>
          </w:p>
          <w:p w14:paraId="1F66DAA8">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（2）必要的保险费用和各项税金；</w:t>
            </w:r>
          </w:p>
          <w:p w14:paraId="6253D95B">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3）竞标报价为完成本次招标项目的全费用价格，其组成包括但不限于人员工资、劳动保险、办公、交通、专家咨询/评审、资料印刷、附加培训、税金及其他所有可能发生的一切费用。供应商为履行本合同而发生的所有费用均应包含在合同价款中，采购人不再另行支付</w:t>
            </w:r>
            <w:r>
              <w:rPr>
                <w:rFonts w:hint="default" w:ascii="Times New Roman" w:hAnsi="Times New Roman" w:eastAsia="宋体" w:cs="Times New Roman"/>
                <w:color w:val="auto"/>
                <w:kern w:val="0"/>
                <w:szCs w:val="21"/>
                <w:highlight w:val="none"/>
                <w:lang w:eastAsia="zh-CN"/>
              </w:rPr>
              <w:t>其他</w:t>
            </w:r>
            <w:r>
              <w:rPr>
                <w:rFonts w:hint="default" w:ascii="Times New Roman" w:hAnsi="Times New Roman" w:eastAsia="宋体" w:cs="Times New Roman"/>
                <w:color w:val="auto"/>
                <w:kern w:val="0"/>
                <w:szCs w:val="21"/>
                <w:highlight w:val="none"/>
              </w:rPr>
              <w:t>任何费用。</w:t>
            </w:r>
          </w:p>
          <w:p w14:paraId="624F6B6D">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eastAsia="zh-CN"/>
              </w:rPr>
              <w:t>（二）</w:t>
            </w:r>
            <w:r>
              <w:rPr>
                <w:rFonts w:hint="default" w:ascii="Times New Roman" w:hAnsi="Times New Roman" w:eastAsia="宋体" w:cs="Times New Roman"/>
                <w:color w:val="auto"/>
                <w:kern w:val="0"/>
                <w:szCs w:val="21"/>
                <w:highlight w:val="none"/>
              </w:rPr>
              <w:t>合同签订日期</w:t>
            </w:r>
          </w:p>
          <w:p w14:paraId="3D90B4DB">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成交通知书发出后25日内。</w:t>
            </w:r>
          </w:p>
          <w:p w14:paraId="7F05B4E4">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eastAsia="zh-CN"/>
              </w:rPr>
              <w:t>（三）</w:t>
            </w:r>
            <w:r>
              <w:rPr>
                <w:rFonts w:hint="default" w:ascii="Times New Roman" w:hAnsi="Times New Roman" w:eastAsia="宋体" w:cs="Times New Roman"/>
                <w:color w:val="auto"/>
                <w:kern w:val="0"/>
                <w:szCs w:val="21"/>
                <w:highlight w:val="none"/>
              </w:rPr>
              <w:t>服务的时间或服务期限</w:t>
            </w:r>
            <w:r>
              <w:rPr>
                <w:rFonts w:hint="default" w:ascii="Times New Roman" w:hAnsi="Times New Roman" w:eastAsia="宋体" w:cs="Times New Roman"/>
                <w:color w:val="auto"/>
                <w:kern w:val="0"/>
                <w:szCs w:val="21"/>
                <w:highlight w:val="none"/>
              </w:rPr>
              <w:tab/>
            </w:r>
          </w:p>
          <w:p w14:paraId="73747BED">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w:t>
            </w:r>
            <w:r>
              <w:rPr>
                <w:rFonts w:hint="eastAsia" w:ascii="Times New Roman" w:hAnsi="Times New Roman" w:eastAsia="宋体" w:cs="Times New Roman"/>
                <w:color w:val="auto"/>
                <w:kern w:val="0"/>
                <w:szCs w:val="21"/>
                <w:highlight w:val="none"/>
                <w:lang w:eastAsia="zh-CN"/>
              </w:rPr>
              <w:t>自合同签订之日起一年。如</w:t>
            </w:r>
            <w:r>
              <w:rPr>
                <w:rFonts w:hint="default" w:ascii="Times New Roman" w:hAnsi="Times New Roman" w:eastAsia="宋体" w:cs="Times New Roman"/>
                <w:color w:val="auto"/>
                <w:kern w:val="0"/>
                <w:szCs w:val="21"/>
                <w:highlight w:val="none"/>
              </w:rPr>
              <w:t>以现行《广西壮族自治区环境监测收费标准》</w:t>
            </w:r>
            <w:r>
              <w:rPr>
                <w:rFonts w:hint="default" w:ascii="Times New Roman" w:hAnsi="Times New Roman" w:eastAsia="宋体" w:cs="Times New Roman"/>
                <w:color w:val="auto"/>
                <w:kern w:val="0"/>
                <w:szCs w:val="21"/>
                <w:highlight w:val="none"/>
                <w:lang w:eastAsia="zh-CN"/>
              </w:rPr>
              <w:t>作为</w:t>
            </w:r>
            <w:r>
              <w:rPr>
                <w:rFonts w:hint="default" w:ascii="Times New Roman" w:hAnsi="Times New Roman" w:eastAsia="宋体" w:cs="Times New Roman"/>
                <w:color w:val="auto"/>
                <w:kern w:val="0"/>
                <w:szCs w:val="21"/>
                <w:highlight w:val="none"/>
              </w:rPr>
              <w:t>监测任务金额计算基础</w:t>
            </w:r>
            <w:r>
              <w:rPr>
                <w:rFonts w:hint="eastAsia"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项目结算总款达到</w:t>
            </w:r>
            <w:r>
              <w:rPr>
                <w:rFonts w:hint="default" w:ascii="Times New Roman" w:hAnsi="Times New Roman" w:eastAsia="宋体" w:cs="Times New Roman"/>
                <w:color w:val="auto"/>
                <w:kern w:val="0"/>
                <w:szCs w:val="21"/>
                <w:highlight w:val="none"/>
                <w:lang w:val="en-US" w:eastAsia="zh-CN"/>
              </w:rPr>
              <w:t>51万</w:t>
            </w:r>
            <w:r>
              <w:rPr>
                <w:rFonts w:hint="default" w:ascii="Times New Roman" w:hAnsi="Times New Roman" w:eastAsia="宋体" w:cs="Times New Roman"/>
                <w:color w:val="auto"/>
                <w:kern w:val="0"/>
                <w:szCs w:val="21"/>
                <w:highlight w:val="none"/>
              </w:rPr>
              <w:t>元，合同自动终止。</w:t>
            </w:r>
          </w:p>
          <w:p w14:paraId="361C3072">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eastAsia="zh-CN"/>
              </w:rPr>
              <w:t>（四）</w:t>
            </w:r>
            <w:r>
              <w:rPr>
                <w:rFonts w:hint="default" w:ascii="Times New Roman" w:hAnsi="Times New Roman" w:eastAsia="宋体" w:cs="Times New Roman"/>
                <w:color w:val="auto"/>
                <w:kern w:val="0"/>
                <w:szCs w:val="21"/>
                <w:highlight w:val="none"/>
              </w:rPr>
              <w:t>服务地点或交付地点</w:t>
            </w:r>
            <w:r>
              <w:rPr>
                <w:rFonts w:hint="default" w:ascii="Times New Roman" w:hAnsi="Times New Roman" w:eastAsia="宋体" w:cs="Times New Roman"/>
                <w:color w:val="auto"/>
                <w:kern w:val="0"/>
                <w:szCs w:val="21"/>
                <w:highlight w:val="none"/>
              </w:rPr>
              <w:tab/>
            </w:r>
          </w:p>
          <w:p w14:paraId="5D6C8301">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▲广西区内采购人指定地点</w:t>
            </w:r>
            <w:r>
              <w:rPr>
                <w:rFonts w:hint="default" w:ascii="Times New Roman" w:hAnsi="Times New Roman" w:eastAsia="宋体" w:cs="Times New Roman"/>
                <w:color w:val="auto"/>
                <w:kern w:val="0"/>
                <w:szCs w:val="21"/>
                <w:highlight w:val="none"/>
                <w:lang w:eastAsia="zh-CN"/>
              </w:rPr>
              <w:t>；</w:t>
            </w:r>
          </w:p>
          <w:p w14:paraId="2DAB0989">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eastAsia="zh-CN"/>
              </w:rPr>
              <w:t>（五）</w:t>
            </w:r>
            <w:r>
              <w:rPr>
                <w:rFonts w:hint="default" w:ascii="Times New Roman" w:hAnsi="Times New Roman" w:eastAsia="宋体" w:cs="Times New Roman"/>
                <w:color w:val="auto"/>
                <w:kern w:val="0"/>
                <w:szCs w:val="21"/>
                <w:highlight w:val="none"/>
              </w:rPr>
              <w:t>提交服务成果时间</w:t>
            </w:r>
          </w:p>
          <w:p w14:paraId="1DF38129">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各监测任务分别出具监测报告或监测数据表，合同到期后提交总成果报告至采购方指定部门。</w:t>
            </w:r>
          </w:p>
          <w:p w14:paraId="0EFE5FCB">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eastAsia="zh-CN"/>
              </w:rPr>
              <w:t>（六）</w:t>
            </w:r>
            <w:r>
              <w:rPr>
                <w:rFonts w:hint="default" w:ascii="Times New Roman" w:hAnsi="Times New Roman" w:eastAsia="宋体" w:cs="Times New Roman"/>
                <w:color w:val="auto"/>
                <w:kern w:val="0"/>
                <w:szCs w:val="21"/>
                <w:highlight w:val="none"/>
              </w:rPr>
              <w:t>验收方式</w:t>
            </w:r>
          </w:p>
          <w:p w14:paraId="5D7F28B9">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w:t>
            </w:r>
            <w:r>
              <w:rPr>
                <w:rFonts w:hint="default" w:ascii="Times New Roman" w:hAnsi="Times New Roman" w:eastAsia="宋体" w:cs="Times New Roman"/>
                <w:color w:val="auto"/>
                <w:kern w:val="0"/>
                <w:szCs w:val="21"/>
                <w:highlight w:val="none"/>
                <w:lang w:val="en-US" w:eastAsia="zh-CN"/>
              </w:rPr>
              <w:t>.</w:t>
            </w:r>
            <w:r>
              <w:rPr>
                <w:rFonts w:hint="default" w:ascii="Times New Roman" w:hAnsi="Times New Roman" w:eastAsia="宋体" w:cs="Times New Roman"/>
                <w:color w:val="auto"/>
                <w:kern w:val="0"/>
                <w:szCs w:val="21"/>
                <w:highlight w:val="none"/>
              </w:rPr>
              <w:t>检查服务范围</w:t>
            </w:r>
          </w:p>
          <w:p w14:paraId="27502004">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交付服务：服务交付</w:t>
            </w:r>
            <w:r>
              <w:rPr>
                <w:rFonts w:hint="default" w:ascii="Times New Roman" w:hAnsi="Times New Roman" w:eastAsia="宋体" w:cs="Times New Roman"/>
                <w:color w:val="auto"/>
                <w:kern w:val="0"/>
                <w:szCs w:val="21"/>
                <w:highlight w:val="none"/>
                <w:lang w:eastAsia="zh-CN"/>
              </w:rPr>
              <w:t>时</w:t>
            </w:r>
            <w:r>
              <w:rPr>
                <w:rFonts w:hint="default" w:ascii="Times New Roman" w:hAnsi="Times New Roman" w:eastAsia="宋体" w:cs="Times New Roman"/>
                <w:color w:val="auto"/>
                <w:kern w:val="0"/>
                <w:szCs w:val="21"/>
                <w:highlight w:val="none"/>
              </w:rPr>
              <w:t>，成交供应商应在采购人单位人员在场</w:t>
            </w:r>
            <w:r>
              <w:rPr>
                <w:rFonts w:hint="default" w:ascii="Times New Roman" w:hAnsi="Times New Roman" w:eastAsia="宋体" w:cs="Times New Roman"/>
                <w:color w:val="auto"/>
                <w:kern w:val="0"/>
                <w:szCs w:val="21"/>
                <w:highlight w:val="none"/>
                <w:lang w:eastAsia="zh-CN"/>
              </w:rPr>
              <w:t>的情况</w:t>
            </w:r>
            <w:r>
              <w:rPr>
                <w:rFonts w:hint="default" w:ascii="Times New Roman" w:hAnsi="Times New Roman" w:eastAsia="宋体" w:cs="Times New Roman"/>
                <w:color w:val="auto"/>
                <w:kern w:val="0"/>
                <w:szCs w:val="21"/>
                <w:highlight w:val="none"/>
              </w:rPr>
              <w:t>下当面交付，双方签字确认。成交供应商应保证交付服务到达采购人所在地完好无损，如有缺漏、损坏或其他不满足要求的缺陷，由成交供应商负责修正、调换、补齐或赔偿。</w:t>
            </w:r>
          </w:p>
          <w:p w14:paraId="7E5305F0">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其他服务内容：根据</w:t>
            </w:r>
            <w:r>
              <w:rPr>
                <w:rFonts w:hint="default" w:ascii="Times New Roman" w:hAnsi="Times New Roman" w:eastAsia="宋体" w:cs="Times New Roman"/>
                <w:color w:val="auto"/>
                <w:kern w:val="0"/>
                <w:szCs w:val="21"/>
                <w:highlight w:val="none"/>
                <w:lang w:eastAsia="zh-CN"/>
              </w:rPr>
              <w:t>招投标</w:t>
            </w:r>
            <w:r>
              <w:rPr>
                <w:rFonts w:hint="default" w:ascii="Times New Roman" w:hAnsi="Times New Roman" w:eastAsia="宋体" w:cs="Times New Roman"/>
                <w:color w:val="auto"/>
                <w:kern w:val="0"/>
                <w:szCs w:val="21"/>
                <w:highlight w:val="none"/>
              </w:rPr>
              <w:t>文件检查服务内容是否满足要求。</w:t>
            </w:r>
          </w:p>
          <w:p w14:paraId="50A1B259">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2</w:t>
            </w:r>
            <w:r>
              <w:rPr>
                <w:rFonts w:hint="default" w:ascii="Times New Roman" w:hAnsi="Times New Roman" w:eastAsia="宋体" w:cs="Times New Roman"/>
                <w:color w:val="auto"/>
                <w:kern w:val="0"/>
                <w:szCs w:val="21"/>
                <w:highlight w:val="none"/>
                <w:lang w:val="en-US" w:eastAsia="zh-CN"/>
              </w:rPr>
              <w:t>.</w:t>
            </w:r>
            <w:r>
              <w:rPr>
                <w:rFonts w:hint="default" w:ascii="Times New Roman" w:hAnsi="Times New Roman" w:eastAsia="宋体" w:cs="Times New Roman"/>
                <w:color w:val="auto"/>
                <w:kern w:val="0"/>
                <w:szCs w:val="21"/>
                <w:highlight w:val="none"/>
              </w:rPr>
              <w:t>在规定时间内完成服务成果验收，并经采购人确认。服务符合要求，才</w:t>
            </w:r>
            <w:r>
              <w:rPr>
                <w:rFonts w:hint="default" w:ascii="Times New Roman" w:hAnsi="Times New Roman" w:eastAsia="宋体" w:cs="Times New Roman"/>
                <w:color w:val="auto"/>
                <w:kern w:val="0"/>
                <w:szCs w:val="21"/>
                <w:highlight w:val="none"/>
                <w:lang w:eastAsia="zh-CN"/>
              </w:rPr>
              <w:t>进行</w:t>
            </w:r>
            <w:r>
              <w:rPr>
                <w:rFonts w:hint="default" w:ascii="Times New Roman" w:hAnsi="Times New Roman" w:eastAsia="宋体" w:cs="Times New Roman"/>
                <w:color w:val="auto"/>
                <w:kern w:val="0"/>
                <w:szCs w:val="21"/>
                <w:highlight w:val="none"/>
              </w:rPr>
              <w:t>最终验收。</w:t>
            </w:r>
          </w:p>
          <w:p w14:paraId="69B560CD">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3</w:t>
            </w:r>
            <w:r>
              <w:rPr>
                <w:rFonts w:hint="default" w:ascii="Times New Roman" w:hAnsi="Times New Roman" w:eastAsia="宋体" w:cs="Times New Roman"/>
                <w:color w:val="auto"/>
                <w:kern w:val="0"/>
                <w:szCs w:val="21"/>
                <w:highlight w:val="none"/>
                <w:lang w:val="en-US" w:eastAsia="zh-CN"/>
              </w:rPr>
              <w:t>.</w:t>
            </w:r>
            <w:r>
              <w:rPr>
                <w:rFonts w:hint="default" w:ascii="Times New Roman" w:hAnsi="Times New Roman" w:eastAsia="宋体" w:cs="Times New Roman"/>
                <w:color w:val="auto"/>
                <w:kern w:val="0"/>
                <w:szCs w:val="21"/>
                <w:highlight w:val="none"/>
              </w:rPr>
              <w:t>成交供应商提供的服务未达到</w:t>
            </w:r>
            <w:r>
              <w:rPr>
                <w:rFonts w:hint="default" w:ascii="Times New Roman" w:hAnsi="Times New Roman" w:eastAsia="宋体" w:cs="Times New Roman"/>
                <w:color w:val="auto"/>
                <w:kern w:val="0"/>
                <w:szCs w:val="21"/>
                <w:highlight w:val="none"/>
                <w:lang w:eastAsia="zh-CN"/>
              </w:rPr>
              <w:t>招投标</w:t>
            </w:r>
            <w:r>
              <w:rPr>
                <w:rFonts w:hint="default" w:ascii="Times New Roman" w:hAnsi="Times New Roman" w:eastAsia="宋体" w:cs="Times New Roman"/>
                <w:color w:val="auto"/>
                <w:kern w:val="0"/>
                <w:szCs w:val="21"/>
                <w:highlight w:val="none"/>
              </w:rPr>
              <w:t>文件规定要求，且对采购人造成损失的，由成交供应商承担一切责任，并赔偿所造成的损失。</w:t>
            </w:r>
          </w:p>
          <w:p w14:paraId="27ADBA8D">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eastAsia="zh-CN"/>
              </w:rPr>
              <w:t>（七）</w:t>
            </w:r>
            <w:r>
              <w:rPr>
                <w:rFonts w:hint="default" w:ascii="Times New Roman" w:hAnsi="Times New Roman" w:eastAsia="宋体" w:cs="Times New Roman"/>
                <w:color w:val="auto"/>
                <w:kern w:val="0"/>
                <w:szCs w:val="21"/>
                <w:highlight w:val="none"/>
              </w:rPr>
              <w:t>合同履行</w:t>
            </w:r>
            <w:r>
              <w:rPr>
                <w:rFonts w:hint="default" w:ascii="Times New Roman" w:hAnsi="Times New Roman" w:eastAsia="宋体" w:cs="Times New Roman"/>
                <w:color w:val="auto"/>
                <w:kern w:val="0"/>
                <w:szCs w:val="21"/>
                <w:highlight w:val="none"/>
              </w:rPr>
              <w:tab/>
            </w:r>
          </w:p>
          <w:p w14:paraId="3D688461">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▲成交供应商在响应文件中必须就合同履行要求作出承诺</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如不接受，视为竞标文件无效。</w:t>
            </w:r>
          </w:p>
          <w:p w14:paraId="61D65920">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eastAsia="zh-CN"/>
              </w:rPr>
              <w:t>（八）</w:t>
            </w:r>
            <w:r>
              <w:rPr>
                <w:rFonts w:hint="default" w:ascii="Times New Roman" w:hAnsi="Times New Roman" w:eastAsia="宋体" w:cs="Times New Roman"/>
                <w:color w:val="auto"/>
                <w:kern w:val="0"/>
                <w:szCs w:val="21"/>
                <w:highlight w:val="none"/>
              </w:rPr>
              <w:t>知识产权</w:t>
            </w:r>
            <w:r>
              <w:rPr>
                <w:rFonts w:hint="default" w:ascii="Times New Roman" w:hAnsi="Times New Roman" w:eastAsia="宋体" w:cs="Times New Roman"/>
                <w:color w:val="auto"/>
                <w:kern w:val="0"/>
                <w:szCs w:val="21"/>
                <w:highlight w:val="none"/>
              </w:rPr>
              <w:tab/>
            </w:r>
          </w:p>
          <w:p w14:paraId="38B8BBB4">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val="en-US" w:eastAsia="zh-CN"/>
              </w:rPr>
              <w:t>1.</w:t>
            </w:r>
            <w:r>
              <w:rPr>
                <w:rFonts w:hint="default" w:ascii="Times New Roman" w:hAnsi="Times New Roman" w:eastAsia="宋体" w:cs="Times New Roman"/>
                <w:color w:val="auto"/>
                <w:kern w:val="0"/>
                <w:szCs w:val="21"/>
                <w:highlight w:val="none"/>
              </w:rPr>
              <w:t>本项目不接受存在知识产权纠纷或存在潜在知识产权纠纷的技术方案。</w:t>
            </w:r>
          </w:p>
          <w:p w14:paraId="4E91FF8E">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lang w:val="en-US" w:eastAsia="zh-CN"/>
              </w:rPr>
              <w:t>2.</w:t>
            </w:r>
            <w:r>
              <w:rPr>
                <w:rFonts w:hint="default" w:ascii="Times New Roman" w:hAnsi="Times New Roman" w:eastAsia="宋体" w:cs="Times New Roman"/>
                <w:color w:val="auto"/>
                <w:kern w:val="0"/>
                <w:szCs w:val="21"/>
                <w:highlight w:val="none"/>
                <w:lang w:eastAsia="zh-CN"/>
              </w:rPr>
              <w:t>供应商应保证提供服务过程中不会侵犯任何第三方的知识产权及其他权利。如发生侵权，相应的法律责任（包括但不限于赔偿责任等）均由供应商承担；因此造成采购方损失的，供应商负责全额赔偿。</w:t>
            </w:r>
          </w:p>
          <w:p w14:paraId="0D3DA4D8">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lang w:val="en-US" w:eastAsia="zh-CN"/>
              </w:rPr>
              <w:t>九</w:t>
            </w:r>
            <w:r>
              <w:rPr>
                <w:rFonts w:hint="default" w:ascii="Times New Roman" w:hAnsi="Times New Roman" w:eastAsia="宋体" w:cs="Times New Roman"/>
                <w:color w:val="auto"/>
                <w:kern w:val="0"/>
                <w:szCs w:val="21"/>
                <w:highlight w:val="none"/>
                <w:lang w:eastAsia="zh-CN"/>
              </w:rPr>
              <w:t>）付款方式及条件</w:t>
            </w:r>
          </w:p>
          <w:p w14:paraId="0687AE06">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lang w:eastAsia="zh-CN"/>
              </w:rPr>
              <w:t>1</w:t>
            </w:r>
            <w:r>
              <w:rPr>
                <w:rFonts w:hint="default" w:ascii="Times New Roman" w:hAnsi="Times New Roman" w:eastAsia="宋体" w:cs="Times New Roman"/>
                <w:color w:val="auto"/>
                <w:kern w:val="0"/>
                <w:szCs w:val="21"/>
                <w:highlight w:val="none"/>
                <w:lang w:val="en-US" w:eastAsia="zh-CN"/>
              </w:rPr>
              <w:t>.</w:t>
            </w:r>
            <w:r>
              <w:rPr>
                <w:rFonts w:hint="default" w:ascii="Times New Roman" w:hAnsi="Times New Roman" w:eastAsia="宋体" w:cs="Times New Roman"/>
                <w:color w:val="auto"/>
                <w:kern w:val="0"/>
                <w:szCs w:val="21"/>
                <w:highlight w:val="none"/>
                <w:lang w:eastAsia="zh-CN"/>
              </w:rPr>
              <w:t>付款方式</w:t>
            </w:r>
          </w:p>
          <w:p w14:paraId="460F50A6">
            <w:pPr>
              <w:pageBreakBefore w:val="0"/>
              <w:kinsoku/>
              <w:wordWrap/>
              <w:overflowPunct/>
              <w:topLinePunct w:val="0"/>
              <w:bidi w:val="0"/>
              <w:spacing w:line="360" w:lineRule="auto"/>
              <w:ind w:left="0" w:right="0"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合同签订后10个工作日内，预付22万元。</w:t>
            </w:r>
          </w:p>
          <w:p w14:paraId="71C5E451">
            <w:pPr>
              <w:pageBreakBefore w:val="0"/>
              <w:kinsoku/>
              <w:wordWrap/>
              <w:overflowPunct/>
              <w:topLinePunct w:val="0"/>
              <w:bidi w:val="0"/>
              <w:spacing w:line="360" w:lineRule="auto"/>
              <w:ind w:left="0" w:right="0"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项目完成后，成交供应商向采购人提交正式检测报告，且项目通过采购人考核验收后，按照不定期考核的结果</w:t>
            </w:r>
            <w:r>
              <w:rPr>
                <w:rFonts w:hint="eastAsia" w:cs="Times New Roman"/>
                <w:color w:val="auto"/>
                <w:szCs w:val="21"/>
                <w:highlight w:val="none"/>
                <w:lang w:eastAsia="zh-CN"/>
              </w:rPr>
              <w:t>（</w:t>
            </w:r>
            <w:r>
              <w:rPr>
                <w:rFonts w:hint="default" w:ascii="Times New Roman" w:hAnsi="Times New Roman" w:cs="Times New Roman"/>
                <w:color w:val="auto"/>
                <w:szCs w:val="21"/>
                <w:highlight w:val="none"/>
              </w:rPr>
              <w:t>最低分</w:t>
            </w:r>
            <w:r>
              <w:rPr>
                <w:rFonts w:hint="eastAsia" w:cs="Times New Roman"/>
                <w:color w:val="auto"/>
                <w:szCs w:val="21"/>
                <w:highlight w:val="none"/>
                <w:lang w:eastAsia="zh-CN"/>
              </w:rPr>
              <w:t>）</w:t>
            </w:r>
            <w:r>
              <w:rPr>
                <w:rFonts w:hint="default" w:ascii="Times New Roman" w:hAnsi="Times New Roman" w:cs="Times New Roman"/>
                <w:color w:val="auto"/>
                <w:szCs w:val="21"/>
                <w:highlight w:val="none"/>
              </w:rPr>
              <w:t>支付剩余监测任务款项，考核结果为90分及以上，支付应付金额的100%，考核结果为80-89分，支付应付金额的80%，考核结果为70-79分，支付应付金额的60%，考核结果&lt;70分，不予支付资金。每次付款前，成交人需提供该支付金额的合法发票、请款函和项目进度报告。考核评分办法详见附表1:考核评分细则。</w:t>
            </w:r>
          </w:p>
        </w:tc>
      </w:tr>
      <w:tr w14:paraId="2387E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91" w:type="dxa"/>
            <w:gridSpan w:val="4"/>
            <w:tcBorders>
              <w:top w:val="single" w:color="000000" w:sz="4" w:space="0"/>
              <w:left w:val="single" w:color="000000" w:sz="4" w:space="0"/>
              <w:bottom w:val="single" w:color="000000" w:sz="4" w:space="0"/>
              <w:right w:val="single" w:color="000000" w:sz="4" w:space="0"/>
            </w:tcBorders>
            <w:vAlign w:val="center"/>
          </w:tcPr>
          <w:p w14:paraId="07244E45">
            <w:pPr>
              <w:spacing w:line="324"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采购人对项目的其他要求和说明</w:t>
            </w:r>
          </w:p>
          <w:p w14:paraId="5ABD4612">
            <w:pPr>
              <w:pageBreakBefore w:val="0"/>
              <w:numPr>
                <w:ilvl w:val="0"/>
                <w:numId w:val="1"/>
              </w:numPr>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供应商须在响应文件中提供详细的服务技术方案，一旦成交</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须严格按照要求及承诺提供服务。服务技术方案包含但不限于以下内容：</w:t>
            </w:r>
          </w:p>
          <w:p w14:paraId="7157F21D">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1.服务实施计划方案。</w:t>
            </w:r>
          </w:p>
          <w:p w14:paraId="30F99A42">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（1）提出针对本项目特点和实际情况的项目执行方案；</w:t>
            </w:r>
          </w:p>
          <w:p w14:paraId="3704931F">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（2）列明承诺参与本项目的主要专业人员情况。</w:t>
            </w:r>
          </w:p>
          <w:p w14:paraId="204B6E3D">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2.服务质量保证措施。</w:t>
            </w:r>
          </w:p>
          <w:p w14:paraId="6FDA04EF">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3.服务进度保证措施。</w:t>
            </w:r>
          </w:p>
          <w:p w14:paraId="723CADE8">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4.投入项目实施人员配置方案、设备配置方案。</w:t>
            </w:r>
          </w:p>
          <w:p w14:paraId="624738C9">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eastAsia="zh-CN"/>
              </w:rPr>
              <w:t>（二）</w:t>
            </w:r>
            <w:r>
              <w:rPr>
                <w:rFonts w:hint="default" w:ascii="Times New Roman" w:hAnsi="Times New Roman" w:eastAsia="宋体" w:cs="Times New Roman"/>
                <w:color w:val="auto"/>
                <w:kern w:val="0"/>
                <w:szCs w:val="21"/>
                <w:highlight w:val="none"/>
              </w:rPr>
              <w:t>响应时请提供服务质量承诺书。</w:t>
            </w:r>
          </w:p>
          <w:p w14:paraId="03C122AA">
            <w:pPr>
              <w:pageBreakBefore w:val="0"/>
              <w:kinsoku/>
              <w:wordWrap/>
              <w:overflowPunct/>
              <w:topLinePunct w:val="0"/>
              <w:bidi w:val="0"/>
              <w:spacing w:line="360" w:lineRule="auto"/>
              <w:ind w:left="0" w:right="0"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eastAsia="zh-CN"/>
              </w:rPr>
              <w:t>（三）</w:t>
            </w:r>
            <w:r>
              <w:rPr>
                <w:rFonts w:hint="default" w:ascii="Times New Roman" w:hAnsi="Times New Roman" w:eastAsia="宋体" w:cs="Times New Roman"/>
                <w:color w:val="auto"/>
                <w:kern w:val="0"/>
                <w:szCs w:val="21"/>
                <w:highlight w:val="none"/>
              </w:rPr>
              <w:t>本项目采购标的需执行的国家相关标准、行业标准、地方标准或其他强制性标准、规范等要求：按照项目任务开展所</w:t>
            </w:r>
            <w:r>
              <w:rPr>
                <w:rFonts w:hint="default" w:ascii="Times New Roman" w:hAnsi="Times New Roman" w:eastAsia="宋体" w:cs="Times New Roman"/>
                <w:color w:val="auto"/>
                <w:kern w:val="0"/>
                <w:szCs w:val="21"/>
                <w:highlight w:val="none"/>
                <w:lang w:eastAsia="zh-CN"/>
              </w:rPr>
              <w:t>涉及的现行有效</w:t>
            </w:r>
            <w:r>
              <w:rPr>
                <w:rFonts w:hint="default" w:ascii="Times New Roman" w:hAnsi="Times New Roman" w:eastAsia="宋体" w:cs="Times New Roman"/>
                <w:color w:val="auto"/>
                <w:kern w:val="0"/>
                <w:szCs w:val="21"/>
                <w:highlight w:val="none"/>
              </w:rPr>
              <w:t>相关监测技术</w:t>
            </w:r>
            <w:r>
              <w:rPr>
                <w:rFonts w:hint="default" w:ascii="Times New Roman" w:hAnsi="Times New Roman" w:eastAsia="宋体" w:cs="Times New Roman"/>
                <w:color w:val="auto"/>
                <w:kern w:val="0"/>
                <w:szCs w:val="21"/>
                <w:highlight w:val="none"/>
                <w:lang w:eastAsia="zh-CN"/>
              </w:rPr>
              <w:t>规范</w:t>
            </w:r>
            <w:r>
              <w:rPr>
                <w:rFonts w:hint="default" w:ascii="Times New Roman" w:hAnsi="Times New Roman" w:eastAsia="宋体" w:cs="Times New Roman"/>
                <w:color w:val="auto"/>
                <w:kern w:val="0"/>
                <w:szCs w:val="21"/>
                <w:highlight w:val="none"/>
              </w:rPr>
              <w:t>执行。</w:t>
            </w:r>
          </w:p>
          <w:p w14:paraId="362CF754">
            <w:pPr>
              <w:pStyle w:val="18"/>
              <w:pageBreakBefore w:val="0"/>
              <w:kinsoku/>
              <w:wordWrap/>
              <w:overflowPunct/>
              <w:topLinePunct w:val="0"/>
              <w:bidi w:val="0"/>
              <w:adjustRightInd w:val="0"/>
              <w:snapToGrid w:val="0"/>
              <w:spacing w:line="360" w:lineRule="auto"/>
              <w:ind w:left="0" w:right="0"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（列明相应的标准和规范名称及文号或编号，若无则写“无”）</w:t>
            </w:r>
          </w:p>
          <w:p w14:paraId="38411D57">
            <w:pPr>
              <w:pStyle w:val="7"/>
              <w:rPr>
                <w:rFonts w:hint="default" w:ascii="Times New Roman" w:hAnsi="Times New Roman" w:cs="Times New Roman"/>
                <w:color w:val="auto"/>
                <w:highlight w:val="none"/>
              </w:rPr>
            </w:pPr>
          </w:p>
        </w:tc>
      </w:tr>
    </w:tbl>
    <w:p w14:paraId="7D1AE1BC">
      <w:pPr>
        <w:rPr>
          <w:rFonts w:hint="default" w:ascii="Times New Roman" w:hAnsi="Times New Roman" w:cs="Times New Roman"/>
          <w:color w:val="auto"/>
          <w:highlight w:val="none"/>
        </w:rPr>
      </w:pPr>
    </w:p>
    <w:p w14:paraId="14B388BF">
      <w:pPr>
        <w:pStyle w:val="5"/>
        <w:ind w:firstLine="1126"/>
        <w:rPr>
          <w:rFonts w:hint="default" w:ascii="Times New Roman" w:hAnsi="Times New Roman" w:cs="Times New Roman"/>
          <w:color w:val="auto"/>
          <w:highlight w:val="none"/>
        </w:rPr>
        <w:sectPr>
          <w:headerReference r:id="rId7" w:type="first"/>
          <w:footerReference r:id="rId9" w:type="first"/>
          <w:headerReference r:id="rId6" w:type="default"/>
          <w:footerReference r:id="rId8" w:type="default"/>
          <w:pgSz w:w="11906" w:h="16838"/>
          <w:pgMar w:top="993" w:right="1133" w:bottom="1246" w:left="1418" w:header="851" w:footer="992" w:gutter="0"/>
          <w:cols w:space="720" w:num="1"/>
          <w:titlePg/>
          <w:docGrid w:linePitch="312" w:charSpace="0"/>
        </w:sectPr>
      </w:pPr>
    </w:p>
    <w:p w14:paraId="18BC7869">
      <w:pPr>
        <w:widowControl/>
        <w:spacing w:before="312" w:beforeLines="100" w:line="360" w:lineRule="auto"/>
        <w:jc w:val="center"/>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附表1：考核评分细则</w:t>
      </w:r>
    </w:p>
    <w:tbl>
      <w:tblPr>
        <w:tblStyle w:val="10"/>
        <w:tblW w:w="97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6"/>
        <w:gridCol w:w="1996"/>
        <w:gridCol w:w="3580"/>
        <w:gridCol w:w="3286"/>
      </w:tblGrid>
      <w:tr w14:paraId="7175E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36"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14:paraId="1B4E1E61">
            <w:pPr>
              <w:pStyle w:val="19"/>
              <w:spacing w:line="240" w:lineRule="auto"/>
              <w:ind w:left="103" w:left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序号</w:t>
            </w:r>
          </w:p>
        </w:tc>
        <w:tc>
          <w:tcPr>
            <w:tcW w:w="1996"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14:paraId="3A5BD3CC">
            <w:pPr>
              <w:pStyle w:val="19"/>
              <w:spacing w:line="240" w:lineRule="auto"/>
              <w:ind w:left="103" w:left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考核项目</w:t>
            </w:r>
          </w:p>
        </w:tc>
        <w:tc>
          <w:tcPr>
            <w:tcW w:w="3580" w:type="dxa"/>
            <w:tcBorders>
              <w:top w:val="single" w:color="000000" w:sz="4" w:space="0"/>
              <w:left w:val="single" w:color="000000" w:sz="4" w:space="0"/>
              <w:bottom w:val="single" w:color="000000" w:sz="4" w:space="0"/>
              <w:right w:val="single" w:color="000000" w:sz="4" w:space="0"/>
            </w:tcBorders>
            <w:tcMar>
              <w:top w:w="28" w:type="dxa"/>
              <w:left w:w="57" w:type="dxa"/>
              <w:bottom w:w="28" w:type="dxa"/>
              <w:right w:w="57" w:type="dxa"/>
            </w:tcMar>
            <w:vAlign w:val="center"/>
          </w:tcPr>
          <w:p w14:paraId="7119ACD8">
            <w:pPr>
              <w:pStyle w:val="19"/>
              <w:spacing w:line="240" w:lineRule="auto"/>
              <w:ind w:left="103" w:leftChars="0" w:right="262" w:right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考核内容</w:t>
            </w:r>
          </w:p>
        </w:tc>
        <w:tc>
          <w:tcPr>
            <w:tcW w:w="3286"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14:paraId="57991A5B">
            <w:pPr>
              <w:pStyle w:val="19"/>
              <w:spacing w:line="240" w:lineRule="auto"/>
              <w:ind w:left="103" w:left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评分细则</w:t>
            </w:r>
          </w:p>
        </w:tc>
      </w:tr>
      <w:tr w14:paraId="642E2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36"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14:paraId="028424EA">
            <w:pPr>
              <w:pStyle w:val="19"/>
              <w:spacing w:line="240" w:lineRule="auto"/>
              <w:ind w:left="103" w:left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1996"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14:paraId="79EBE628">
            <w:pPr>
              <w:pStyle w:val="19"/>
              <w:spacing w:line="24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服务时效</w:t>
            </w:r>
          </w:p>
          <w:p w14:paraId="4DDE4148">
            <w:pPr>
              <w:pStyle w:val="19"/>
              <w:spacing w:line="240" w:lineRule="auto"/>
              <w:ind w:left="103" w:left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（30分）</w:t>
            </w:r>
          </w:p>
        </w:tc>
        <w:tc>
          <w:tcPr>
            <w:tcW w:w="3580"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14:paraId="78ACB284">
            <w:pPr>
              <w:pStyle w:val="19"/>
              <w:spacing w:line="240" w:lineRule="auto"/>
              <w:ind w:left="103" w:left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按照采购合同约定时间完成监测，并提交监测信息、数据、报告（含原始记录）。</w:t>
            </w:r>
          </w:p>
        </w:tc>
        <w:tc>
          <w:tcPr>
            <w:tcW w:w="3286"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14:paraId="69B6BB36">
            <w:pPr>
              <w:pStyle w:val="19"/>
              <w:spacing w:line="240" w:lineRule="auto"/>
              <w:ind w:left="103" w:left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按时完成得30</w:t>
            </w:r>
            <w:r>
              <w:rPr>
                <w:rFonts w:hint="default" w:ascii="Times New Roman" w:hAnsi="Times New Roman" w:cs="Times New Roman"/>
                <w:color w:val="auto"/>
                <w:spacing w:val="-9"/>
                <w:szCs w:val="21"/>
                <w:highlight w:val="none"/>
              </w:rPr>
              <w:t>分，超过</w:t>
            </w:r>
            <w:r>
              <w:rPr>
                <w:rFonts w:hint="default" w:ascii="Times New Roman" w:hAnsi="Times New Roman" w:cs="Times New Roman"/>
                <w:color w:val="auto"/>
                <w:szCs w:val="21"/>
                <w:highlight w:val="none"/>
              </w:rPr>
              <w:t>上报时间每项次扣2分，扣完为止。</w:t>
            </w:r>
          </w:p>
        </w:tc>
      </w:tr>
      <w:tr w14:paraId="49C9F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7" w:hRule="atLeast"/>
          <w:jc w:val="center"/>
        </w:trPr>
        <w:tc>
          <w:tcPr>
            <w:tcW w:w="936"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14:paraId="7F74CAEE">
            <w:pPr>
              <w:pStyle w:val="19"/>
              <w:spacing w:line="240" w:lineRule="auto"/>
              <w:ind w:left="103" w:left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1996"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14:paraId="2A8C3461">
            <w:pPr>
              <w:pStyle w:val="19"/>
              <w:spacing w:line="24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异常数据报送</w:t>
            </w:r>
          </w:p>
          <w:p w14:paraId="46D349B1">
            <w:pPr>
              <w:pStyle w:val="19"/>
              <w:spacing w:line="240" w:lineRule="auto"/>
              <w:ind w:left="103" w:left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（30分）</w:t>
            </w:r>
          </w:p>
        </w:tc>
        <w:tc>
          <w:tcPr>
            <w:tcW w:w="3580"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14:paraId="4EF40237">
            <w:pPr>
              <w:pStyle w:val="19"/>
              <w:spacing w:line="240" w:lineRule="auto"/>
              <w:ind w:left="103" w:left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现场监测出现异常数据当天完成上报，实验室分析出现异常或超标数据，数据一审前须立刻完成上报，同时立即进行异常或超标样品复测，必要时进行复采，3个自然日内分析异常或超标原因并上报。</w:t>
            </w:r>
          </w:p>
        </w:tc>
        <w:tc>
          <w:tcPr>
            <w:tcW w:w="3286"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14:paraId="7BFE26D3">
            <w:pPr>
              <w:pStyle w:val="19"/>
              <w:spacing w:line="240" w:lineRule="auto"/>
              <w:ind w:left="103" w:left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按时完成上报得30</w:t>
            </w:r>
            <w:r>
              <w:rPr>
                <w:rFonts w:hint="default" w:ascii="Times New Roman" w:hAnsi="Times New Roman" w:cs="Times New Roman"/>
                <w:color w:val="auto"/>
                <w:spacing w:val="-9"/>
                <w:szCs w:val="21"/>
                <w:highlight w:val="none"/>
              </w:rPr>
              <w:t>分，监测数据超过</w:t>
            </w:r>
            <w:r>
              <w:rPr>
                <w:rFonts w:hint="default" w:ascii="Times New Roman" w:hAnsi="Times New Roman" w:cs="Times New Roman"/>
                <w:color w:val="auto"/>
                <w:szCs w:val="21"/>
                <w:highlight w:val="none"/>
              </w:rPr>
              <w:t>数据上报时间每项次扣2分，扣完为止。</w:t>
            </w:r>
          </w:p>
        </w:tc>
      </w:tr>
      <w:tr w14:paraId="2B5F6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jc w:val="center"/>
        </w:trPr>
        <w:tc>
          <w:tcPr>
            <w:tcW w:w="936"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14:paraId="1F09304A">
            <w:pPr>
              <w:pStyle w:val="19"/>
              <w:spacing w:line="240" w:lineRule="auto"/>
              <w:ind w:left="103" w:left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p>
        </w:tc>
        <w:tc>
          <w:tcPr>
            <w:tcW w:w="1996"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14:paraId="54F78FAA">
            <w:pPr>
              <w:pStyle w:val="19"/>
              <w:spacing w:line="24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采样规范性</w:t>
            </w:r>
          </w:p>
          <w:p w14:paraId="35F10D9A">
            <w:pPr>
              <w:pStyle w:val="19"/>
              <w:spacing w:line="240" w:lineRule="auto"/>
              <w:ind w:left="103" w:left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（10分）</w:t>
            </w:r>
          </w:p>
        </w:tc>
        <w:tc>
          <w:tcPr>
            <w:tcW w:w="3580"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14:paraId="2A8979D2">
            <w:pPr>
              <w:pStyle w:val="19"/>
              <w:spacing w:line="240" w:lineRule="auto"/>
              <w:ind w:left="103" w:left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采样规范性</w:t>
            </w:r>
          </w:p>
        </w:tc>
        <w:tc>
          <w:tcPr>
            <w:tcW w:w="3286"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14:paraId="76B8C9FF">
            <w:pPr>
              <w:pStyle w:val="19"/>
              <w:spacing w:line="240" w:lineRule="auto"/>
              <w:ind w:left="103" w:left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图片、视频或者现场核查发现明显不</w:t>
            </w:r>
            <w:r>
              <w:rPr>
                <w:rFonts w:hint="default" w:ascii="Times New Roman" w:hAnsi="Times New Roman" w:cs="Times New Roman"/>
                <w:color w:val="auto"/>
                <w:spacing w:val="-3"/>
                <w:szCs w:val="21"/>
                <w:highlight w:val="none"/>
              </w:rPr>
              <w:t>规</w:t>
            </w:r>
            <w:r>
              <w:rPr>
                <w:rFonts w:hint="default" w:ascii="Times New Roman" w:hAnsi="Times New Roman" w:cs="Times New Roman"/>
                <w:color w:val="auto"/>
                <w:szCs w:val="21"/>
                <w:highlight w:val="none"/>
              </w:rPr>
              <w:t>范</w:t>
            </w:r>
            <w:r>
              <w:rPr>
                <w:rFonts w:hint="default" w:ascii="Times New Roman" w:hAnsi="Times New Roman" w:cs="Times New Roman"/>
                <w:color w:val="auto"/>
                <w:spacing w:val="-3"/>
                <w:szCs w:val="21"/>
                <w:highlight w:val="none"/>
              </w:rPr>
              <w:t>行</w:t>
            </w:r>
            <w:r>
              <w:rPr>
                <w:rFonts w:hint="default" w:ascii="Times New Roman" w:hAnsi="Times New Roman" w:cs="Times New Roman"/>
                <w:color w:val="auto"/>
                <w:szCs w:val="21"/>
                <w:highlight w:val="none"/>
              </w:rPr>
              <w:t>为</w:t>
            </w:r>
            <w:r>
              <w:rPr>
                <w:rFonts w:hint="default" w:ascii="Times New Roman" w:hAnsi="Times New Roman" w:cs="Times New Roman"/>
                <w:color w:val="auto"/>
                <w:spacing w:val="-10"/>
                <w:szCs w:val="21"/>
                <w:highlight w:val="none"/>
              </w:rPr>
              <w:t>，</w:t>
            </w:r>
            <w:r>
              <w:rPr>
                <w:rFonts w:hint="default" w:ascii="Times New Roman" w:hAnsi="Times New Roman" w:cs="Times New Roman"/>
                <w:color w:val="auto"/>
                <w:szCs w:val="21"/>
                <w:highlight w:val="none"/>
              </w:rPr>
              <w:t>扣</w:t>
            </w:r>
            <w:r>
              <w:rPr>
                <w:rFonts w:hint="default" w:ascii="Times New Roman" w:hAnsi="Times New Roman" w:cs="Times New Roman"/>
                <w:color w:val="auto"/>
                <w:spacing w:val="-53"/>
                <w:szCs w:val="21"/>
                <w:highlight w:val="none"/>
              </w:rPr>
              <w:t xml:space="preserve"> </w:t>
            </w:r>
            <w:r>
              <w:rPr>
                <w:rFonts w:hint="default" w:ascii="Times New Roman" w:hAnsi="Times New Roman" w:cs="Times New Roman"/>
                <w:color w:val="auto"/>
                <w:szCs w:val="21"/>
                <w:highlight w:val="none"/>
              </w:rPr>
              <w:t>1分</w:t>
            </w:r>
            <w:r>
              <w:rPr>
                <w:rFonts w:hint="default" w:ascii="Times New Roman" w:hAnsi="Times New Roman" w:cs="Times New Roman"/>
                <w:color w:val="auto"/>
                <w:spacing w:val="-4"/>
                <w:szCs w:val="21"/>
                <w:highlight w:val="none"/>
              </w:rPr>
              <w:t>/</w:t>
            </w:r>
            <w:r>
              <w:rPr>
                <w:rFonts w:hint="default" w:ascii="Times New Roman" w:hAnsi="Times New Roman" w:cs="Times New Roman"/>
                <w:color w:val="auto"/>
                <w:szCs w:val="21"/>
                <w:highlight w:val="none"/>
              </w:rPr>
              <w:t>次</w:t>
            </w:r>
            <w:r>
              <w:rPr>
                <w:rFonts w:hint="default" w:ascii="Times New Roman" w:hAnsi="Times New Roman" w:cs="Times New Roman"/>
                <w:color w:val="auto"/>
                <w:spacing w:val="-10"/>
                <w:szCs w:val="21"/>
                <w:highlight w:val="none"/>
              </w:rPr>
              <w:t>，</w:t>
            </w:r>
            <w:r>
              <w:rPr>
                <w:rFonts w:hint="default" w:ascii="Times New Roman" w:hAnsi="Times New Roman" w:cs="Times New Roman"/>
                <w:color w:val="auto"/>
                <w:szCs w:val="21"/>
                <w:highlight w:val="none"/>
              </w:rPr>
              <w:t>扣完为止。</w:t>
            </w:r>
          </w:p>
        </w:tc>
      </w:tr>
      <w:tr w14:paraId="314AF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jc w:val="center"/>
        </w:trPr>
        <w:tc>
          <w:tcPr>
            <w:tcW w:w="936"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14:paraId="41A91688">
            <w:pPr>
              <w:pStyle w:val="19"/>
              <w:spacing w:line="240" w:lineRule="auto"/>
              <w:ind w:left="103" w:left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w:t>
            </w:r>
          </w:p>
        </w:tc>
        <w:tc>
          <w:tcPr>
            <w:tcW w:w="1996"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14:paraId="35003900">
            <w:pPr>
              <w:pStyle w:val="19"/>
              <w:spacing w:line="24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原始资料记录</w:t>
            </w:r>
          </w:p>
          <w:p w14:paraId="5359ACEA">
            <w:pPr>
              <w:pStyle w:val="19"/>
              <w:spacing w:line="240" w:lineRule="auto"/>
              <w:ind w:left="103" w:left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（10分）</w:t>
            </w:r>
          </w:p>
        </w:tc>
        <w:tc>
          <w:tcPr>
            <w:tcW w:w="3580"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14:paraId="0209DA01">
            <w:pPr>
              <w:pStyle w:val="19"/>
              <w:spacing w:line="240" w:lineRule="auto"/>
              <w:ind w:left="103" w:left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现场采样、样品交接记录、实验分析记录、质控记录。</w:t>
            </w:r>
          </w:p>
        </w:tc>
        <w:tc>
          <w:tcPr>
            <w:tcW w:w="3286"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14:paraId="184A8C60">
            <w:pPr>
              <w:pStyle w:val="19"/>
              <w:spacing w:line="240" w:lineRule="auto"/>
              <w:ind w:left="103" w:leftChars="0" w:right="-6" w:right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记录</w:t>
            </w:r>
            <w:r>
              <w:rPr>
                <w:rFonts w:hint="default" w:ascii="Times New Roman" w:hAnsi="Times New Roman" w:cs="Times New Roman"/>
                <w:color w:val="auto"/>
                <w:spacing w:val="-3"/>
                <w:szCs w:val="21"/>
                <w:highlight w:val="none"/>
              </w:rPr>
              <w:t>完</w:t>
            </w:r>
            <w:r>
              <w:rPr>
                <w:rFonts w:hint="default" w:ascii="Times New Roman" w:hAnsi="Times New Roman" w:cs="Times New Roman"/>
                <w:color w:val="auto"/>
                <w:szCs w:val="21"/>
                <w:highlight w:val="none"/>
              </w:rPr>
              <w:t>整</w:t>
            </w:r>
            <w:r>
              <w:rPr>
                <w:rFonts w:hint="default" w:ascii="Times New Roman" w:hAnsi="Times New Roman" w:cs="Times New Roman"/>
                <w:color w:val="auto"/>
                <w:spacing w:val="-34"/>
                <w:szCs w:val="21"/>
                <w:highlight w:val="none"/>
              </w:rPr>
              <w:t>、</w:t>
            </w:r>
            <w:r>
              <w:rPr>
                <w:rFonts w:hint="default" w:ascii="Times New Roman" w:hAnsi="Times New Roman" w:cs="Times New Roman"/>
                <w:color w:val="auto"/>
                <w:szCs w:val="21"/>
                <w:highlight w:val="none"/>
              </w:rPr>
              <w:t>准</w:t>
            </w:r>
            <w:r>
              <w:rPr>
                <w:rFonts w:hint="default" w:ascii="Times New Roman" w:hAnsi="Times New Roman" w:cs="Times New Roman"/>
                <w:color w:val="auto"/>
                <w:spacing w:val="-2"/>
                <w:szCs w:val="21"/>
                <w:highlight w:val="none"/>
              </w:rPr>
              <w:t>确</w:t>
            </w:r>
            <w:r>
              <w:rPr>
                <w:rFonts w:hint="default" w:ascii="Times New Roman" w:hAnsi="Times New Roman" w:cs="Times New Roman"/>
                <w:color w:val="auto"/>
                <w:szCs w:val="21"/>
                <w:highlight w:val="none"/>
              </w:rPr>
              <w:t>得</w:t>
            </w:r>
            <w:r>
              <w:rPr>
                <w:rFonts w:hint="default" w:ascii="Times New Roman" w:hAnsi="Times New Roman" w:cs="Times New Roman"/>
                <w:color w:val="auto"/>
                <w:spacing w:val="-53"/>
                <w:szCs w:val="21"/>
                <w:highlight w:val="none"/>
              </w:rPr>
              <w:t xml:space="preserve"> </w:t>
            </w:r>
            <w:r>
              <w:rPr>
                <w:rFonts w:hint="default" w:ascii="Times New Roman" w:hAnsi="Times New Roman" w:cs="Times New Roman"/>
                <w:color w:val="auto"/>
                <w:szCs w:val="21"/>
                <w:highlight w:val="none"/>
              </w:rPr>
              <w:t>10分</w:t>
            </w:r>
            <w:r>
              <w:rPr>
                <w:rFonts w:hint="default" w:ascii="Times New Roman" w:hAnsi="Times New Roman" w:cs="Times New Roman"/>
                <w:color w:val="auto"/>
                <w:spacing w:val="-34"/>
                <w:szCs w:val="21"/>
                <w:highlight w:val="none"/>
              </w:rPr>
              <w:t>；</w:t>
            </w:r>
            <w:r>
              <w:rPr>
                <w:rFonts w:hint="default" w:ascii="Times New Roman" w:hAnsi="Times New Roman" w:cs="Times New Roman"/>
                <w:color w:val="auto"/>
                <w:szCs w:val="21"/>
                <w:highlight w:val="none"/>
              </w:rPr>
              <w:t>缺少记</w:t>
            </w:r>
            <w:r>
              <w:rPr>
                <w:rFonts w:hint="default" w:ascii="Times New Roman" w:hAnsi="Times New Roman" w:cs="Times New Roman"/>
                <w:color w:val="auto"/>
                <w:spacing w:val="2"/>
                <w:szCs w:val="21"/>
                <w:highlight w:val="none"/>
              </w:rPr>
              <w:t>录或有明显错</w:t>
            </w:r>
            <w:r>
              <w:rPr>
                <w:rFonts w:hint="default" w:ascii="Times New Roman" w:hAnsi="Times New Roman" w:cs="Times New Roman"/>
                <w:color w:val="auto"/>
                <w:spacing w:val="3"/>
                <w:szCs w:val="21"/>
                <w:highlight w:val="none"/>
              </w:rPr>
              <w:t>误</w:t>
            </w:r>
            <w:r>
              <w:rPr>
                <w:rFonts w:hint="default" w:ascii="Times New Roman" w:hAnsi="Times New Roman" w:cs="Times New Roman"/>
                <w:color w:val="auto"/>
                <w:szCs w:val="21"/>
                <w:highlight w:val="none"/>
              </w:rPr>
              <w:t>扣1分</w:t>
            </w:r>
            <w:r>
              <w:rPr>
                <w:rFonts w:hint="default" w:ascii="Times New Roman" w:hAnsi="Times New Roman" w:cs="Times New Roman"/>
                <w:color w:val="auto"/>
                <w:spacing w:val="-2"/>
                <w:szCs w:val="21"/>
                <w:highlight w:val="none"/>
              </w:rPr>
              <w:t>/</w:t>
            </w:r>
            <w:r>
              <w:rPr>
                <w:rFonts w:hint="default" w:ascii="Times New Roman" w:hAnsi="Times New Roman" w:cs="Times New Roman"/>
                <w:color w:val="auto"/>
                <w:spacing w:val="-3"/>
                <w:szCs w:val="21"/>
                <w:highlight w:val="none"/>
              </w:rPr>
              <w:t>项</w:t>
            </w:r>
            <w:r>
              <w:rPr>
                <w:rFonts w:hint="default" w:ascii="Times New Roman" w:hAnsi="Times New Roman" w:cs="Times New Roman"/>
                <w:color w:val="auto"/>
                <w:szCs w:val="21"/>
                <w:highlight w:val="none"/>
              </w:rPr>
              <w:t>次，</w:t>
            </w:r>
            <w:r>
              <w:rPr>
                <w:rFonts w:hint="default" w:ascii="Times New Roman" w:hAnsi="Times New Roman" w:cs="Times New Roman"/>
                <w:color w:val="auto"/>
                <w:spacing w:val="-3"/>
                <w:szCs w:val="21"/>
                <w:highlight w:val="none"/>
              </w:rPr>
              <w:t>扣</w:t>
            </w:r>
            <w:r>
              <w:rPr>
                <w:rFonts w:hint="default" w:ascii="Times New Roman" w:hAnsi="Times New Roman" w:cs="Times New Roman"/>
                <w:color w:val="auto"/>
                <w:szCs w:val="21"/>
                <w:highlight w:val="none"/>
              </w:rPr>
              <w:t>完为</w:t>
            </w:r>
            <w:r>
              <w:rPr>
                <w:rFonts w:hint="default" w:ascii="Times New Roman" w:hAnsi="Times New Roman" w:cs="Times New Roman"/>
                <w:color w:val="auto"/>
                <w:spacing w:val="-3"/>
                <w:szCs w:val="21"/>
                <w:highlight w:val="none"/>
              </w:rPr>
              <w:t>止</w:t>
            </w:r>
            <w:r>
              <w:rPr>
                <w:rFonts w:hint="default" w:ascii="Times New Roman" w:hAnsi="Times New Roman" w:cs="Times New Roman"/>
                <w:color w:val="auto"/>
                <w:szCs w:val="21"/>
                <w:highlight w:val="none"/>
              </w:rPr>
              <w:t>。</w:t>
            </w:r>
          </w:p>
        </w:tc>
      </w:tr>
      <w:tr w14:paraId="2A09E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jc w:val="center"/>
        </w:trPr>
        <w:tc>
          <w:tcPr>
            <w:tcW w:w="936"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14:paraId="3716ED31">
            <w:pPr>
              <w:pStyle w:val="19"/>
              <w:spacing w:line="240" w:lineRule="auto"/>
              <w:ind w:left="103" w:left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w:t>
            </w:r>
          </w:p>
        </w:tc>
        <w:tc>
          <w:tcPr>
            <w:tcW w:w="1996"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14:paraId="3DF300FB">
            <w:pPr>
              <w:pStyle w:val="19"/>
              <w:spacing w:line="24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外部质量核查</w:t>
            </w:r>
          </w:p>
          <w:p w14:paraId="6AC6CAA5">
            <w:pPr>
              <w:pStyle w:val="19"/>
              <w:spacing w:line="240" w:lineRule="auto"/>
              <w:ind w:left="103" w:left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（5分）</w:t>
            </w:r>
          </w:p>
        </w:tc>
        <w:tc>
          <w:tcPr>
            <w:tcW w:w="3580"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14:paraId="0B52E693">
            <w:pPr>
              <w:pStyle w:val="19"/>
              <w:spacing w:line="240" w:lineRule="auto"/>
              <w:ind w:left="103" w:left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采购方开展的外部质量核查结果</w:t>
            </w:r>
          </w:p>
        </w:tc>
        <w:tc>
          <w:tcPr>
            <w:tcW w:w="3286"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14:paraId="62C77894">
            <w:pPr>
              <w:pStyle w:val="19"/>
              <w:spacing w:line="240" w:lineRule="auto"/>
              <w:ind w:left="103" w:left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合格得</w:t>
            </w:r>
            <w:r>
              <w:rPr>
                <w:rFonts w:hint="default" w:ascii="Times New Roman" w:hAnsi="Times New Roman" w:cs="Times New Roman"/>
                <w:color w:val="auto"/>
                <w:spacing w:val="-57"/>
                <w:szCs w:val="21"/>
                <w:highlight w:val="none"/>
              </w:rPr>
              <w:t xml:space="preserve"> </w:t>
            </w:r>
            <w:r>
              <w:rPr>
                <w:rFonts w:hint="default" w:ascii="Times New Roman" w:hAnsi="Times New Roman" w:cs="Times New Roman"/>
                <w:color w:val="auto"/>
                <w:szCs w:val="21"/>
                <w:highlight w:val="none"/>
              </w:rPr>
              <w:t>5分，不合格不得分。</w:t>
            </w:r>
          </w:p>
        </w:tc>
      </w:tr>
      <w:tr w14:paraId="2FA8C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8" w:hRule="atLeast"/>
          <w:jc w:val="center"/>
        </w:trPr>
        <w:tc>
          <w:tcPr>
            <w:tcW w:w="936"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14:paraId="58C014C3">
            <w:pPr>
              <w:pStyle w:val="19"/>
              <w:spacing w:line="240" w:lineRule="auto"/>
              <w:ind w:left="103" w:left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w:t>
            </w:r>
          </w:p>
        </w:tc>
        <w:tc>
          <w:tcPr>
            <w:tcW w:w="1996"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14:paraId="3267BB27">
            <w:pPr>
              <w:pStyle w:val="19"/>
              <w:spacing w:line="24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监测报告</w:t>
            </w:r>
          </w:p>
          <w:p w14:paraId="6DFB64CC">
            <w:pPr>
              <w:pStyle w:val="19"/>
              <w:spacing w:line="240" w:lineRule="auto"/>
              <w:ind w:left="103" w:left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（15分）</w:t>
            </w:r>
          </w:p>
        </w:tc>
        <w:tc>
          <w:tcPr>
            <w:tcW w:w="3580"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14:paraId="52A3EB8E">
            <w:pPr>
              <w:pStyle w:val="19"/>
              <w:spacing w:line="240" w:lineRule="auto"/>
              <w:ind w:left="103" w:leftChars="0" w:right="-5" w:right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监测报告</w:t>
            </w:r>
            <w:r>
              <w:rPr>
                <w:rFonts w:hint="default" w:ascii="Times New Roman" w:hAnsi="Times New Roman" w:cs="Times New Roman"/>
                <w:color w:val="auto"/>
                <w:spacing w:val="2"/>
                <w:szCs w:val="21"/>
                <w:highlight w:val="none"/>
              </w:rPr>
              <w:t>质</w:t>
            </w:r>
            <w:r>
              <w:rPr>
                <w:rFonts w:hint="default" w:ascii="Times New Roman" w:hAnsi="Times New Roman" w:cs="Times New Roman"/>
                <w:color w:val="auto"/>
                <w:szCs w:val="21"/>
                <w:highlight w:val="none"/>
              </w:rPr>
              <w:t>量（包括结果正误、</w:t>
            </w:r>
            <w:r>
              <w:rPr>
                <w:rFonts w:hint="default" w:ascii="Times New Roman" w:hAnsi="Times New Roman" w:cs="Times New Roman"/>
                <w:color w:val="auto"/>
                <w:spacing w:val="2"/>
                <w:szCs w:val="21"/>
                <w:highlight w:val="none"/>
              </w:rPr>
              <w:t>项</w:t>
            </w:r>
            <w:r>
              <w:rPr>
                <w:rFonts w:hint="default" w:ascii="Times New Roman" w:hAnsi="Times New Roman" w:cs="Times New Roman"/>
                <w:color w:val="auto"/>
                <w:szCs w:val="21"/>
                <w:highlight w:val="none"/>
              </w:rPr>
              <w:t>目完整性</w:t>
            </w:r>
            <w:r>
              <w:rPr>
                <w:rFonts w:hint="default" w:ascii="Times New Roman" w:hAnsi="Times New Roman" w:cs="Times New Roman"/>
                <w:color w:val="auto"/>
                <w:spacing w:val="-46"/>
                <w:szCs w:val="21"/>
                <w:highlight w:val="none"/>
              </w:rPr>
              <w:t>、</w:t>
            </w:r>
            <w:r>
              <w:rPr>
                <w:rFonts w:hint="default" w:ascii="Times New Roman" w:hAnsi="Times New Roman" w:cs="Times New Roman"/>
                <w:color w:val="auto"/>
                <w:szCs w:val="21"/>
                <w:highlight w:val="none"/>
              </w:rPr>
              <w:t>方</w:t>
            </w:r>
            <w:r>
              <w:rPr>
                <w:rFonts w:hint="default" w:ascii="Times New Roman" w:hAnsi="Times New Roman" w:cs="Times New Roman"/>
                <w:color w:val="auto"/>
                <w:spacing w:val="-3"/>
                <w:szCs w:val="21"/>
                <w:highlight w:val="none"/>
              </w:rPr>
              <w:t>法</w:t>
            </w:r>
            <w:r>
              <w:rPr>
                <w:rFonts w:hint="default" w:ascii="Times New Roman" w:hAnsi="Times New Roman" w:cs="Times New Roman"/>
                <w:color w:val="auto"/>
                <w:szCs w:val="21"/>
                <w:highlight w:val="none"/>
              </w:rPr>
              <w:t>适</w:t>
            </w:r>
            <w:r>
              <w:rPr>
                <w:rFonts w:hint="default" w:ascii="Times New Roman" w:hAnsi="Times New Roman" w:cs="Times New Roman"/>
                <w:color w:val="auto"/>
                <w:spacing w:val="-3"/>
                <w:szCs w:val="21"/>
                <w:highlight w:val="none"/>
              </w:rPr>
              <w:t>用</w:t>
            </w:r>
            <w:r>
              <w:rPr>
                <w:rFonts w:hint="default" w:ascii="Times New Roman" w:hAnsi="Times New Roman" w:cs="Times New Roman"/>
                <w:color w:val="auto"/>
                <w:szCs w:val="21"/>
                <w:highlight w:val="none"/>
              </w:rPr>
              <w:t>性</w:t>
            </w:r>
            <w:r>
              <w:rPr>
                <w:rFonts w:hint="default" w:ascii="Times New Roman" w:hAnsi="Times New Roman" w:cs="Times New Roman"/>
                <w:color w:val="auto"/>
                <w:spacing w:val="-44"/>
                <w:szCs w:val="21"/>
                <w:highlight w:val="none"/>
              </w:rPr>
              <w:t>、</w:t>
            </w:r>
            <w:r>
              <w:rPr>
                <w:rFonts w:hint="default" w:ascii="Times New Roman" w:hAnsi="Times New Roman" w:cs="Times New Roman"/>
                <w:color w:val="auto"/>
                <w:spacing w:val="-3"/>
                <w:szCs w:val="21"/>
                <w:highlight w:val="none"/>
              </w:rPr>
              <w:t>数据</w:t>
            </w:r>
            <w:r>
              <w:rPr>
                <w:rFonts w:hint="default" w:ascii="Times New Roman" w:hAnsi="Times New Roman" w:cs="Times New Roman"/>
                <w:color w:val="auto"/>
                <w:szCs w:val="21"/>
                <w:highlight w:val="none"/>
              </w:rPr>
              <w:t>合理</w:t>
            </w:r>
            <w:r>
              <w:rPr>
                <w:rFonts w:hint="default" w:ascii="Times New Roman" w:hAnsi="Times New Roman" w:cs="Times New Roman"/>
                <w:color w:val="auto"/>
                <w:spacing w:val="-3"/>
                <w:szCs w:val="21"/>
                <w:highlight w:val="none"/>
              </w:rPr>
              <w:t>性</w:t>
            </w:r>
            <w:r>
              <w:rPr>
                <w:rFonts w:hint="default" w:ascii="Times New Roman" w:hAnsi="Times New Roman" w:cs="Times New Roman"/>
                <w:color w:val="auto"/>
                <w:szCs w:val="21"/>
                <w:highlight w:val="none"/>
              </w:rPr>
              <w:t>等）</w:t>
            </w:r>
          </w:p>
        </w:tc>
        <w:tc>
          <w:tcPr>
            <w:tcW w:w="3286"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14:paraId="30A2B07E">
            <w:pPr>
              <w:pStyle w:val="19"/>
              <w:spacing w:line="240" w:lineRule="auto"/>
              <w:ind w:left="103" w:leftChars="0" w:right="96" w:right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质量</w:t>
            </w:r>
            <w:r>
              <w:rPr>
                <w:rFonts w:hint="default" w:ascii="Times New Roman" w:hAnsi="Times New Roman" w:cs="Times New Roman"/>
                <w:color w:val="auto"/>
                <w:spacing w:val="-3"/>
                <w:szCs w:val="21"/>
                <w:highlight w:val="none"/>
              </w:rPr>
              <w:t>符</w:t>
            </w:r>
            <w:r>
              <w:rPr>
                <w:rFonts w:hint="default" w:ascii="Times New Roman" w:hAnsi="Times New Roman" w:cs="Times New Roman"/>
                <w:color w:val="auto"/>
                <w:szCs w:val="21"/>
                <w:highlight w:val="none"/>
              </w:rPr>
              <w:t>合</w:t>
            </w:r>
            <w:r>
              <w:rPr>
                <w:rFonts w:hint="default" w:ascii="Times New Roman" w:hAnsi="Times New Roman" w:cs="Times New Roman"/>
                <w:color w:val="auto"/>
                <w:spacing w:val="-3"/>
                <w:szCs w:val="21"/>
                <w:highlight w:val="none"/>
              </w:rPr>
              <w:t>要求</w:t>
            </w:r>
            <w:r>
              <w:rPr>
                <w:rFonts w:hint="default" w:ascii="Times New Roman" w:hAnsi="Times New Roman" w:cs="Times New Roman"/>
                <w:color w:val="auto"/>
                <w:szCs w:val="21"/>
                <w:highlight w:val="none"/>
              </w:rPr>
              <w:t>得15</w:t>
            </w:r>
            <w:r>
              <w:rPr>
                <w:rFonts w:hint="default" w:ascii="Times New Roman" w:hAnsi="Times New Roman" w:cs="Times New Roman"/>
                <w:color w:val="auto"/>
                <w:spacing w:val="-3"/>
                <w:szCs w:val="21"/>
                <w:highlight w:val="none"/>
              </w:rPr>
              <w:t>分</w:t>
            </w:r>
            <w:r>
              <w:rPr>
                <w:rFonts w:hint="default" w:ascii="Times New Roman" w:hAnsi="Times New Roman" w:cs="Times New Roman"/>
                <w:color w:val="auto"/>
                <w:spacing w:val="-60"/>
                <w:szCs w:val="21"/>
                <w:highlight w:val="none"/>
              </w:rPr>
              <w:t>，</w:t>
            </w:r>
            <w:r>
              <w:rPr>
                <w:rFonts w:hint="default" w:ascii="Times New Roman" w:hAnsi="Times New Roman" w:cs="Times New Roman"/>
                <w:color w:val="auto"/>
                <w:spacing w:val="-3"/>
                <w:szCs w:val="21"/>
                <w:highlight w:val="none"/>
              </w:rPr>
              <w:t>发</w:t>
            </w:r>
            <w:r>
              <w:rPr>
                <w:rFonts w:hint="default" w:ascii="Times New Roman" w:hAnsi="Times New Roman" w:cs="Times New Roman"/>
                <w:color w:val="auto"/>
                <w:szCs w:val="21"/>
                <w:highlight w:val="none"/>
              </w:rPr>
              <w:t>现一处</w:t>
            </w:r>
            <w:r>
              <w:rPr>
                <w:rFonts w:hint="default" w:ascii="Times New Roman" w:hAnsi="Times New Roman" w:cs="Times New Roman"/>
                <w:color w:val="auto"/>
                <w:spacing w:val="2"/>
                <w:szCs w:val="21"/>
                <w:highlight w:val="none"/>
              </w:rPr>
              <w:t>明显</w:t>
            </w:r>
            <w:r>
              <w:rPr>
                <w:rFonts w:hint="default" w:ascii="Times New Roman" w:hAnsi="Times New Roman" w:cs="Times New Roman"/>
                <w:color w:val="auto"/>
                <w:szCs w:val="21"/>
                <w:highlight w:val="none"/>
              </w:rPr>
              <w:t>错</w:t>
            </w:r>
            <w:r>
              <w:rPr>
                <w:rFonts w:hint="default" w:ascii="Times New Roman" w:hAnsi="Times New Roman" w:cs="Times New Roman"/>
                <w:color w:val="auto"/>
                <w:spacing w:val="2"/>
                <w:szCs w:val="21"/>
                <w:highlight w:val="none"/>
              </w:rPr>
              <w:t>误</w:t>
            </w:r>
            <w:r>
              <w:rPr>
                <w:rFonts w:hint="default" w:ascii="Times New Roman" w:hAnsi="Times New Roman" w:cs="Times New Roman"/>
                <w:color w:val="auto"/>
                <w:szCs w:val="21"/>
                <w:highlight w:val="none"/>
              </w:rPr>
              <w:t>扣1分，</w:t>
            </w:r>
            <w:r>
              <w:rPr>
                <w:rFonts w:hint="default" w:ascii="Times New Roman" w:hAnsi="Times New Roman" w:cs="Times New Roman"/>
                <w:color w:val="auto"/>
                <w:spacing w:val="-3"/>
                <w:szCs w:val="21"/>
                <w:highlight w:val="none"/>
              </w:rPr>
              <w:t>扣</w:t>
            </w:r>
            <w:r>
              <w:rPr>
                <w:rFonts w:hint="default" w:ascii="Times New Roman" w:hAnsi="Times New Roman" w:cs="Times New Roman"/>
                <w:color w:val="auto"/>
                <w:szCs w:val="21"/>
                <w:highlight w:val="none"/>
              </w:rPr>
              <w:t>完</w:t>
            </w:r>
            <w:r>
              <w:rPr>
                <w:rFonts w:hint="default" w:ascii="Times New Roman" w:hAnsi="Times New Roman" w:cs="Times New Roman"/>
                <w:color w:val="auto"/>
                <w:spacing w:val="-3"/>
                <w:szCs w:val="21"/>
                <w:highlight w:val="none"/>
              </w:rPr>
              <w:t>为</w:t>
            </w:r>
            <w:r>
              <w:rPr>
                <w:rFonts w:hint="default" w:ascii="Times New Roman" w:hAnsi="Times New Roman" w:cs="Times New Roman"/>
                <w:color w:val="auto"/>
                <w:szCs w:val="21"/>
                <w:highlight w:val="none"/>
              </w:rPr>
              <w:t>止。</w:t>
            </w:r>
          </w:p>
        </w:tc>
      </w:tr>
    </w:tbl>
    <w:p w14:paraId="3FD1CF1C">
      <w:pPr>
        <w:rPr>
          <w:rFonts w:hint="default" w:ascii="Times New Roman" w:hAnsi="Times New Roman" w:cs="Times New Roman"/>
          <w:color w:val="auto"/>
          <w:highlight w:val="none"/>
        </w:rPr>
      </w:pPr>
    </w:p>
    <w:p w14:paraId="0F434EEF">
      <w:pPr>
        <w:pageBreakBefore w:val="0"/>
        <w:kinsoku/>
        <w:wordWrap/>
        <w:overflowPunct/>
        <w:topLinePunct w:val="0"/>
        <w:bidi w:val="0"/>
        <w:spacing w:line="360" w:lineRule="auto"/>
        <w:ind w:left="0" w:right="0" w:firstLine="560" w:firstLineChars="200"/>
        <w:outlineLvl w:val="1"/>
        <w:rPr>
          <w:rFonts w:hint="default" w:ascii="Times New Roman" w:hAnsi="Times New Roman" w:eastAsia="宋体" w:cs="Times New Roman"/>
          <w:bCs/>
          <w:color w:val="auto"/>
          <w:kern w:val="0"/>
          <w:sz w:val="28"/>
          <w:szCs w:val="28"/>
          <w:highlight w:val="none"/>
        </w:rPr>
        <w:sectPr>
          <w:pgSz w:w="11906" w:h="16838"/>
          <w:pgMar w:top="993" w:right="1133" w:bottom="1246" w:left="1418" w:header="851" w:footer="992" w:gutter="0"/>
          <w:cols w:space="720" w:num="1"/>
          <w:titlePg/>
          <w:docGrid w:linePitch="312" w:charSpace="0"/>
        </w:sectPr>
      </w:pPr>
    </w:p>
    <w:p w14:paraId="026BA6C0">
      <w:pPr>
        <w:spacing w:line="428" w:lineRule="exact"/>
        <w:ind w:left="119"/>
        <w:rPr>
          <w:rFonts w:ascii="Arial Unicode MS" w:hAnsi="Arial Unicode MS" w:eastAsia="Arial Unicode MS" w:cs="Arial Unicode MS"/>
          <w:color w:val="auto"/>
          <w:sz w:val="17"/>
          <w:szCs w:val="17"/>
          <w:highlight w:val="none"/>
        </w:rPr>
      </w:pPr>
      <w:r>
        <w:rPr>
          <w:rFonts w:hint="eastAsia" w:ascii="微软雅黑" w:hAnsi="微软雅黑" w:eastAsia="微软雅黑" w:cs="微软雅黑"/>
          <w:color w:val="auto"/>
          <w:sz w:val="32"/>
          <w:szCs w:val="32"/>
          <w:highlight w:val="none"/>
        </w:rPr>
        <w:t>附件：</w:t>
      </w:r>
    </w:p>
    <w:p w14:paraId="7F77991F">
      <w:pPr>
        <w:spacing w:line="528" w:lineRule="exact"/>
        <w:ind w:left="1871"/>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节能产品政府采购品目清单</w:t>
      </w:r>
    </w:p>
    <w:tbl>
      <w:tblPr>
        <w:tblStyle w:val="10"/>
        <w:tblW w:w="9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116"/>
        <w:gridCol w:w="1516"/>
        <w:gridCol w:w="1620"/>
        <w:gridCol w:w="4540"/>
      </w:tblGrid>
      <w:tr w14:paraId="00DA9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60" w:type="dxa"/>
            <w:noWrap/>
            <w:vAlign w:val="top"/>
          </w:tcPr>
          <w:p w14:paraId="6B258DEB">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020" w:type="dxa"/>
            <w:gridSpan w:val="3"/>
            <w:noWrap/>
            <w:vAlign w:val="center"/>
          </w:tcPr>
          <w:p w14:paraId="0A350B8A">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540" w:type="dxa"/>
            <w:noWrap/>
            <w:vAlign w:val="center"/>
          </w:tcPr>
          <w:p w14:paraId="6D8AE3CF">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06FBC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restart"/>
            <w:noWrap/>
            <w:vAlign w:val="center"/>
          </w:tcPr>
          <w:p w14:paraId="306F1A4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080" w:type="dxa"/>
            <w:vMerge w:val="restart"/>
            <w:noWrap/>
            <w:vAlign w:val="center"/>
          </w:tcPr>
          <w:p w14:paraId="13BF623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320" w:type="dxa"/>
            <w:noWrap/>
            <w:vAlign w:val="center"/>
          </w:tcPr>
          <w:p w14:paraId="5830E48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20" w:type="dxa"/>
            <w:noWrap/>
            <w:vAlign w:val="center"/>
          </w:tcPr>
          <w:p w14:paraId="66484FA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ign w:val="center"/>
          </w:tcPr>
          <w:p w14:paraId="5832567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05C6C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ign w:val="center"/>
          </w:tcPr>
          <w:p w14:paraId="32FCB20C">
            <w:pPr>
              <w:rPr>
                <w:color w:val="auto"/>
                <w:highlight w:val="none"/>
              </w:rPr>
            </w:pPr>
          </w:p>
        </w:tc>
        <w:tc>
          <w:tcPr>
            <w:tcW w:w="1080" w:type="dxa"/>
            <w:vMerge w:val="continue"/>
            <w:noWrap/>
            <w:vAlign w:val="center"/>
          </w:tcPr>
          <w:p w14:paraId="0675ABA4">
            <w:pPr>
              <w:rPr>
                <w:color w:val="auto"/>
                <w:highlight w:val="none"/>
              </w:rPr>
            </w:pPr>
          </w:p>
        </w:tc>
        <w:tc>
          <w:tcPr>
            <w:tcW w:w="1320" w:type="dxa"/>
            <w:noWrap/>
            <w:vAlign w:val="center"/>
          </w:tcPr>
          <w:p w14:paraId="1432CA9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20" w:type="dxa"/>
            <w:noWrap/>
            <w:vAlign w:val="center"/>
          </w:tcPr>
          <w:p w14:paraId="62CB94A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ign w:val="center"/>
          </w:tcPr>
          <w:p w14:paraId="5977CA8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506F5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noWrap/>
            <w:vAlign w:val="center"/>
          </w:tcPr>
          <w:p w14:paraId="20324A43">
            <w:pPr>
              <w:rPr>
                <w:color w:val="auto"/>
                <w:highlight w:val="none"/>
              </w:rPr>
            </w:pPr>
          </w:p>
        </w:tc>
        <w:tc>
          <w:tcPr>
            <w:tcW w:w="1080" w:type="dxa"/>
            <w:vMerge w:val="continue"/>
            <w:noWrap/>
            <w:vAlign w:val="center"/>
          </w:tcPr>
          <w:p w14:paraId="5A84152C">
            <w:pPr>
              <w:rPr>
                <w:color w:val="auto"/>
                <w:highlight w:val="none"/>
              </w:rPr>
            </w:pPr>
          </w:p>
        </w:tc>
        <w:tc>
          <w:tcPr>
            <w:tcW w:w="1320" w:type="dxa"/>
            <w:noWrap/>
            <w:vAlign w:val="center"/>
          </w:tcPr>
          <w:p w14:paraId="5CFB25B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20" w:type="dxa"/>
            <w:noWrap/>
            <w:vAlign w:val="center"/>
          </w:tcPr>
          <w:p w14:paraId="188190B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ign w:val="center"/>
          </w:tcPr>
          <w:p w14:paraId="52B013D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6A7E3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restart"/>
            <w:noWrap/>
            <w:vAlign w:val="center"/>
          </w:tcPr>
          <w:p w14:paraId="7658303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080" w:type="dxa"/>
            <w:vMerge w:val="restart"/>
            <w:noWrap/>
            <w:vAlign w:val="center"/>
          </w:tcPr>
          <w:p w14:paraId="1AD909E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320" w:type="dxa"/>
            <w:vMerge w:val="restart"/>
            <w:noWrap/>
            <w:vAlign w:val="center"/>
          </w:tcPr>
          <w:p w14:paraId="384E1B8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20" w:type="dxa"/>
            <w:noWrap/>
            <w:vAlign w:val="center"/>
          </w:tcPr>
          <w:p w14:paraId="12A0406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540" w:type="dxa"/>
            <w:noWrap/>
            <w:vAlign w:val="center"/>
          </w:tcPr>
          <w:p w14:paraId="2E2363C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06E9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ign w:val="center"/>
          </w:tcPr>
          <w:p w14:paraId="270DD1D0">
            <w:pPr>
              <w:rPr>
                <w:color w:val="auto"/>
                <w:highlight w:val="none"/>
              </w:rPr>
            </w:pPr>
          </w:p>
        </w:tc>
        <w:tc>
          <w:tcPr>
            <w:tcW w:w="1080" w:type="dxa"/>
            <w:vMerge w:val="continue"/>
            <w:noWrap/>
            <w:vAlign w:val="center"/>
          </w:tcPr>
          <w:p w14:paraId="2CCFCE79">
            <w:pPr>
              <w:rPr>
                <w:color w:val="auto"/>
                <w:highlight w:val="none"/>
              </w:rPr>
            </w:pPr>
          </w:p>
        </w:tc>
        <w:tc>
          <w:tcPr>
            <w:tcW w:w="1320" w:type="dxa"/>
            <w:vMerge w:val="continue"/>
            <w:noWrap/>
            <w:vAlign w:val="center"/>
          </w:tcPr>
          <w:p w14:paraId="445DD24E">
            <w:pPr>
              <w:rPr>
                <w:color w:val="auto"/>
                <w:highlight w:val="none"/>
              </w:rPr>
            </w:pPr>
          </w:p>
        </w:tc>
        <w:tc>
          <w:tcPr>
            <w:tcW w:w="1620" w:type="dxa"/>
            <w:noWrap/>
            <w:vAlign w:val="center"/>
          </w:tcPr>
          <w:p w14:paraId="1B6D4FD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540" w:type="dxa"/>
            <w:noWrap/>
            <w:vAlign w:val="center"/>
          </w:tcPr>
          <w:p w14:paraId="74E58DF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67F1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ign w:val="center"/>
          </w:tcPr>
          <w:p w14:paraId="0A316826">
            <w:pPr>
              <w:rPr>
                <w:color w:val="auto"/>
                <w:highlight w:val="none"/>
              </w:rPr>
            </w:pPr>
          </w:p>
        </w:tc>
        <w:tc>
          <w:tcPr>
            <w:tcW w:w="1080" w:type="dxa"/>
            <w:vMerge w:val="continue"/>
            <w:noWrap/>
            <w:vAlign w:val="center"/>
          </w:tcPr>
          <w:p w14:paraId="6398873A">
            <w:pPr>
              <w:rPr>
                <w:color w:val="auto"/>
                <w:highlight w:val="none"/>
              </w:rPr>
            </w:pPr>
          </w:p>
        </w:tc>
        <w:tc>
          <w:tcPr>
            <w:tcW w:w="1320" w:type="dxa"/>
            <w:vMerge w:val="continue"/>
            <w:noWrap/>
            <w:vAlign w:val="center"/>
          </w:tcPr>
          <w:p w14:paraId="4AB34E95">
            <w:pPr>
              <w:rPr>
                <w:color w:val="auto"/>
                <w:highlight w:val="none"/>
              </w:rPr>
            </w:pPr>
          </w:p>
        </w:tc>
        <w:tc>
          <w:tcPr>
            <w:tcW w:w="1620" w:type="dxa"/>
            <w:noWrap/>
            <w:vAlign w:val="center"/>
          </w:tcPr>
          <w:p w14:paraId="3391D96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540" w:type="dxa"/>
            <w:noWrap/>
            <w:vAlign w:val="center"/>
          </w:tcPr>
          <w:p w14:paraId="1A343E9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00A1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ign w:val="center"/>
          </w:tcPr>
          <w:p w14:paraId="49CDE004">
            <w:pPr>
              <w:rPr>
                <w:color w:val="auto"/>
                <w:highlight w:val="none"/>
              </w:rPr>
            </w:pPr>
          </w:p>
        </w:tc>
        <w:tc>
          <w:tcPr>
            <w:tcW w:w="1080" w:type="dxa"/>
            <w:vMerge w:val="continue"/>
            <w:noWrap/>
            <w:vAlign w:val="center"/>
          </w:tcPr>
          <w:p w14:paraId="79B09557">
            <w:pPr>
              <w:rPr>
                <w:color w:val="auto"/>
                <w:highlight w:val="none"/>
              </w:rPr>
            </w:pPr>
          </w:p>
        </w:tc>
        <w:tc>
          <w:tcPr>
            <w:tcW w:w="1320" w:type="dxa"/>
            <w:noWrap/>
            <w:vAlign w:val="center"/>
          </w:tcPr>
          <w:p w14:paraId="556D59B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20" w:type="dxa"/>
            <w:noWrap/>
            <w:vAlign w:val="center"/>
          </w:tcPr>
          <w:p w14:paraId="5B5E74F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540" w:type="dxa"/>
            <w:noWrap/>
            <w:vAlign w:val="center"/>
          </w:tcPr>
          <w:p w14:paraId="50F623C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18491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60" w:type="dxa"/>
            <w:vMerge w:val="continue"/>
            <w:noWrap/>
            <w:vAlign w:val="center"/>
          </w:tcPr>
          <w:p w14:paraId="6D5911BB">
            <w:pPr>
              <w:rPr>
                <w:color w:val="auto"/>
                <w:highlight w:val="none"/>
              </w:rPr>
            </w:pPr>
          </w:p>
        </w:tc>
        <w:tc>
          <w:tcPr>
            <w:tcW w:w="1080" w:type="dxa"/>
            <w:vMerge w:val="continue"/>
            <w:noWrap/>
            <w:vAlign w:val="center"/>
          </w:tcPr>
          <w:p w14:paraId="3CBAC596">
            <w:pPr>
              <w:rPr>
                <w:color w:val="auto"/>
                <w:highlight w:val="none"/>
              </w:rPr>
            </w:pPr>
          </w:p>
        </w:tc>
        <w:tc>
          <w:tcPr>
            <w:tcW w:w="1320" w:type="dxa"/>
            <w:noWrap/>
            <w:vAlign w:val="center"/>
          </w:tcPr>
          <w:p w14:paraId="5EA5EED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20" w:type="dxa"/>
            <w:noWrap/>
            <w:vAlign w:val="center"/>
          </w:tcPr>
          <w:p w14:paraId="44A1873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540" w:type="dxa"/>
            <w:noWrap/>
            <w:vAlign w:val="center"/>
          </w:tcPr>
          <w:p w14:paraId="28C63A2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13795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ign w:val="center"/>
          </w:tcPr>
          <w:p w14:paraId="08CD7BD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080" w:type="dxa"/>
            <w:noWrap/>
            <w:vAlign w:val="center"/>
          </w:tcPr>
          <w:p w14:paraId="6CA285F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320" w:type="dxa"/>
            <w:noWrap/>
            <w:vAlign w:val="center"/>
          </w:tcPr>
          <w:p w14:paraId="1177C78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noWrap/>
            <w:vAlign w:val="center"/>
          </w:tcPr>
          <w:p w14:paraId="59F0E93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ign w:val="center"/>
          </w:tcPr>
          <w:p w14:paraId="25B8056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47175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ign w:val="center"/>
          </w:tcPr>
          <w:p w14:paraId="767AFC3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080" w:type="dxa"/>
            <w:noWrap/>
            <w:vAlign w:val="center"/>
          </w:tcPr>
          <w:p w14:paraId="739D33D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320" w:type="dxa"/>
            <w:noWrap/>
            <w:vAlign w:val="center"/>
          </w:tcPr>
          <w:p w14:paraId="64578C8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noWrap/>
            <w:vAlign w:val="center"/>
          </w:tcPr>
          <w:p w14:paraId="4F91406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ign w:val="center"/>
          </w:tcPr>
          <w:p w14:paraId="695D7B9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3BC10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ign w:val="center"/>
          </w:tcPr>
          <w:p w14:paraId="394F8F6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080" w:type="dxa"/>
            <w:noWrap/>
            <w:vAlign w:val="center"/>
          </w:tcPr>
          <w:p w14:paraId="5B0674E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320" w:type="dxa"/>
            <w:noWrap/>
            <w:vAlign w:val="center"/>
          </w:tcPr>
          <w:p w14:paraId="64B4E2E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20" w:type="dxa"/>
            <w:noWrap/>
            <w:vAlign w:val="center"/>
          </w:tcPr>
          <w:p w14:paraId="1ED009E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ign w:val="center"/>
          </w:tcPr>
          <w:p w14:paraId="5565472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7063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restart"/>
            <w:noWrap/>
            <w:vAlign w:val="center"/>
          </w:tcPr>
          <w:p w14:paraId="52C75E0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80" w:type="dxa"/>
            <w:vMerge w:val="restart"/>
            <w:noWrap/>
            <w:vAlign w:val="center"/>
          </w:tcPr>
          <w:p w14:paraId="1D692FD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320" w:type="dxa"/>
            <w:vMerge w:val="restart"/>
            <w:noWrap/>
            <w:vAlign w:val="center"/>
          </w:tcPr>
          <w:p w14:paraId="541854D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20" w:type="dxa"/>
            <w:noWrap/>
            <w:vAlign w:val="center"/>
          </w:tcPr>
          <w:p w14:paraId="20C43C2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540" w:type="dxa"/>
            <w:noWrap/>
            <w:vAlign w:val="center"/>
          </w:tcPr>
          <w:p w14:paraId="673BD5A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2FE62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ign w:val="center"/>
          </w:tcPr>
          <w:p w14:paraId="7DE1EDF0">
            <w:pPr>
              <w:rPr>
                <w:color w:val="auto"/>
                <w:highlight w:val="none"/>
              </w:rPr>
            </w:pPr>
          </w:p>
        </w:tc>
        <w:tc>
          <w:tcPr>
            <w:tcW w:w="1080" w:type="dxa"/>
            <w:vMerge w:val="continue"/>
            <w:noWrap/>
            <w:vAlign w:val="center"/>
          </w:tcPr>
          <w:p w14:paraId="06B0248E">
            <w:pPr>
              <w:rPr>
                <w:color w:val="auto"/>
                <w:highlight w:val="none"/>
              </w:rPr>
            </w:pPr>
          </w:p>
        </w:tc>
        <w:tc>
          <w:tcPr>
            <w:tcW w:w="1320" w:type="dxa"/>
            <w:vMerge w:val="continue"/>
            <w:noWrap/>
            <w:vAlign w:val="center"/>
          </w:tcPr>
          <w:p w14:paraId="120312EE">
            <w:pPr>
              <w:rPr>
                <w:color w:val="auto"/>
                <w:highlight w:val="none"/>
              </w:rPr>
            </w:pPr>
          </w:p>
        </w:tc>
        <w:tc>
          <w:tcPr>
            <w:tcW w:w="1620" w:type="dxa"/>
            <w:noWrap/>
            <w:vAlign w:val="center"/>
          </w:tcPr>
          <w:p w14:paraId="358D033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540" w:type="dxa"/>
            <w:noWrap/>
            <w:vAlign w:val="center"/>
          </w:tcPr>
          <w:p w14:paraId="0C04DA9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5D0A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ign w:val="center"/>
          </w:tcPr>
          <w:p w14:paraId="53F1BC81">
            <w:pPr>
              <w:rPr>
                <w:color w:val="auto"/>
                <w:highlight w:val="none"/>
              </w:rPr>
            </w:pPr>
          </w:p>
        </w:tc>
        <w:tc>
          <w:tcPr>
            <w:tcW w:w="1080" w:type="dxa"/>
            <w:vMerge w:val="continue"/>
            <w:noWrap/>
            <w:vAlign w:val="center"/>
          </w:tcPr>
          <w:p w14:paraId="4BA1B37F">
            <w:pPr>
              <w:rPr>
                <w:color w:val="auto"/>
                <w:highlight w:val="none"/>
              </w:rPr>
            </w:pPr>
          </w:p>
        </w:tc>
        <w:tc>
          <w:tcPr>
            <w:tcW w:w="1320" w:type="dxa"/>
            <w:vMerge w:val="continue"/>
            <w:noWrap/>
            <w:vAlign w:val="center"/>
          </w:tcPr>
          <w:p w14:paraId="79FA4AF6">
            <w:pPr>
              <w:rPr>
                <w:color w:val="auto"/>
                <w:highlight w:val="none"/>
              </w:rPr>
            </w:pPr>
          </w:p>
        </w:tc>
        <w:tc>
          <w:tcPr>
            <w:tcW w:w="1620" w:type="dxa"/>
            <w:noWrap/>
            <w:vAlign w:val="center"/>
          </w:tcPr>
          <w:p w14:paraId="0985973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540" w:type="dxa"/>
            <w:noWrap/>
            <w:vAlign w:val="center"/>
          </w:tcPr>
          <w:p w14:paraId="0FAA314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26F7E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noWrap/>
            <w:vAlign w:val="center"/>
          </w:tcPr>
          <w:p w14:paraId="093BCE08">
            <w:pPr>
              <w:rPr>
                <w:color w:val="auto"/>
                <w:highlight w:val="none"/>
              </w:rPr>
            </w:pPr>
          </w:p>
        </w:tc>
        <w:tc>
          <w:tcPr>
            <w:tcW w:w="1080" w:type="dxa"/>
            <w:vMerge w:val="continue"/>
            <w:noWrap/>
            <w:vAlign w:val="center"/>
          </w:tcPr>
          <w:p w14:paraId="1D3500DA">
            <w:pPr>
              <w:rPr>
                <w:color w:val="auto"/>
                <w:highlight w:val="none"/>
              </w:rPr>
            </w:pPr>
          </w:p>
        </w:tc>
        <w:tc>
          <w:tcPr>
            <w:tcW w:w="1320" w:type="dxa"/>
            <w:vMerge w:val="restart"/>
            <w:noWrap/>
            <w:vAlign w:val="center"/>
          </w:tcPr>
          <w:p w14:paraId="65E3C77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20" w:type="dxa"/>
            <w:noWrap/>
            <w:vAlign w:val="center"/>
          </w:tcPr>
          <w:p w14:paraId="49F1E6F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540" w:type="dxa"/>
            <w:noWrap/>
            <w:vAlign w:val="center"/>
          </w:tcPr>
          <w:p w14:paraId="0839458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6B43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noWrap/>
            <w:vAlign w:val="center"/>
          </w:tcPr>
          <w:p w14:paraId="683E550D">
            <w:pPr>
              <w:rPr>
                <w:color w:val="auto"/>
                <w:highlight w:val="none"/>
              </w:rPr>
            </w:pPr>
          </w:p>
        </w:tc>
        <w:tc>
          <w:tcPr>
            <w:tcW w:w="1080" w:type="dxa"/>
            <w:vMerge w:val="continue"/>
            <w:noWrap/>
            <w:vAlign w:val="center"/>
          </w:tcPr>
          <w:p w14:paraId="6A878D50">
            <w:pPr>
              <w:rPr>
                <w:color w:val="auto"/>
                <w:highlight w:val="none"/>
              </w:rPr>
            </w:pPr>
          </w:p>
        </w:tc>
        <w:tc>
          <w:tcPr>
            <w:tcW w:w="1320" w:type="dxa"/>
            <w:vMerge w:val="continue"/>
            <w:noWrap/>
            <w:vAlign w:val="center"/>
          </w:tcPr>
          <w:p w14:paraId="58B8A2BE">
            <w:pPr>
              <w:rPr>
                <w:color w:val="auto"/>
                <w:highlight w:val="none"/>
              </w:rPr>
            </w:pPr>
          </w:p>
        </w:tc>
        <w:tc>
          <w:tcPr>
            <w:tcW w:w="1620" w:type="dxa"/>
            <w:noWrap/>
            <w:vAlign w:val="center"/>
          </w:tcPr>
          <w:p w14:paraId="1D7722B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540" w:type="dxa"/>
            <w:noWrap/>
            <w:vAlign w:val="center"/>
          </w:tcPr>
          <w:p w14:paraId="7141F57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136B0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noWrap/>
            <w:vAlign w:val="center"/>
          </w:tcPr>
          <w:p w14:paraId="7AD43539">
            <w:pPr>
              <w:rPr>
                <w:color w:val="auto"/>
                <w:highlight w:val="none"/>
              </w:rPr>
            </w:pPr>
          </w:p>
        </w:tc>
        <w:tc>
          <w:tcPr>
            <w:tcW w:w="1080" w:type="dxa"/>
            <w:vMerge w:val="continue"/>
            <w:noWrap/>
            <w:vAlign w:val="center"/>
          </w:tcPr>
          <w:p w14:paraId="315DF6EE">
            <w:pPr>
              <w:rPr>
                <w:color w:val="auto"/>
                <w:highlight w:val="none"/>
              </w:rPr>
            </w:pPr>
          </w:p>
        </w:tc>
        <w:tc>
          <w:tcPr>
            <w:tcW w:w="1320" w:type="dxa"/>
            <w:noWrap/>
            <w:vAlign w:val="center"/>
          </w:tcPr>
          <w:p w14:paraId="07C7BF0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20" w:type="dxa"/>
            <w:noWrap/>
            <w:vAlign w:val="center"/>
          </w:tcPr>
          <w:p w14:paraId="56A831F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540" w:type="dxa"/>
            <w:noWrap/>
            <w:vAlign w:val="center"/>
          </w:tcPr>
          <w:p w14:paraId="08360C0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49639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noWrap/>
            <w:vAlign w:val="center"/>
          </w:tcPr>
          <w:p w14:paraId="2E6428EA">
            <w:pPr>
              <w:rPr>
                <w:color w:val="auto"/>
                <w:highlight w:val="none"/>
              </w:rPr>
            </w:pPr>
          </w:p>
        </w:tc>
        <w:tc>
          <w:tcPr>
            <w:tcW w:w="1080" w:type="dxa"/>
            <w:vMerge w:val="continue"/>
            <w:noWrap/>
            <w:vAlign w:val="center"/>
          </w:tcPr>
          <w:p w14:paraId="3ADAFB73">
            <w:pPr>
              <w:rPr>
                <w:color w:val="auto"/>
                <w:highlight w:val="none"/>
              </w:rPr>
            </w:pPr>
          </w:p>
        </w:tc>
        <w:tc>
          <w:tcPr>
            <w:tcW w:w="1320" w:type="dxa"/>
            <w:noWrap/>
            <w:vAlign w:val="center"/>
          </w:tcPr>
          <w:p w14:paraId="207D84C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20" w:type="dxa"/>
            <w:noWrap/>
            <w:vAlign w:val="center"/>
          </w:tcPr>
          <w:p w14:paraId="01EF66E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540" w:type="dxa"/>
            <w:noWrap/>
            <w:vAlign w:val="center"/>
          </w:tcPr>
          <w:p w14:paraId="446CB86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6C1A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ign w:val="center"/>
          </w:tcPr>
          <w:p w14:paraId="5813523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080" w:type="dxa"/>
            <w:noWrap/>
            <w:vAlign w:val="center"/>
          </w:tcPr>
          <w:p w14:paraId="42EA066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320" w:type="dxa"/>
            <w:noWrap/>
            <w:vAlign w:val="center"/>
          </w:tcPr>
          <w:p w14:paraId="7C9E5AE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noWrap/>
            <w:vAlign w:val="center"/>
          </w:tcPr>
          <w:p w14:paraId="5722226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ign w:val="center"/>
          </w:tcPr>
          <w:p w14:paraId="2E3D403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4ACC1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ign w:val="center"/>
          </w:tcPr>
          <w:p w14:paraId="703E507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080" w:type="dxa"/>
            <w:noWrap/>
            <w:vAlign w:val="center"/>
          </w:tcPr>
          <w:p w14:paraId="375EC0F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320" w:type="dxa"/>
            <w:noWrap/>
            <w:vAlign w:val="center"/>
          </w:tcPr>
          <w:p w14:paraId="2A949AA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20" w:type="dxa"/>
            <w:noWrap/>
            <w:vAlign w:val="center"/>
          </w:tcPr>
          <w:p w14:paraId="328729B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ign w:val="center"/>
          </w:tcPr>
          <w:p w14:paraId="42B01CD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0A05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ign w:val="center"/>
          </w:tcPr>
          <w:p w14:paraId="0DF6240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080" w:type="dxa"/>
            <w:noWrap/>
            <w:vAlign w:val="center"/>
          </w:tcPr>
          <w:p w14:paraId="5564B8E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320" w:type="dxa"/>
            <w:noWrap/>
            <w:vAlign w:val="center"/>
          </w:tcPr>
          <w:p w14:paraId="77B68AC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20" w:type="dxa"/>
            <w:noWrap/>
            <w:vAlign w:val="center"/>
          </w:tcPr>
          <w:p w14:paraId="6383BE4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ign w:val="center"/>
          </w:tcPr>
          <w:p w14:paraId="5B1E4A4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34300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restart"/>
            <w:noWrap/>
            <w:vAlign w:val="center"/>
          </w:tcPr>
          <w:p w14:paraId="522C074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080" w:type="dxa"/>
            <w:vMerge w:val="restart"/>
            <w:noWrap/>
            <w:vAlign w:val="center"/>
          </w:tcPr>
          <w:p w14:paraId="1015D7F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320" w:type="dxa"/>
            <w:noWrap/>
            <w:vAlign w:val="center"/>
          </w:tcPr>
          <w:p w14:paraId="4CCB3A1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20" w:type="dxa"/>
            <w:noWrap/>
            <w:vAlign w:val="center"/>
          </w:tcPr>
          <w:p w14:paraId="7619706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ign w:val="center"/>
          </w:tcPr>
          <w:p w14:paraId="0CED9E1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5997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60" w:type="dxa"/>
            <w:vMerge w:val="continue"/>
            <w:noWrap/>
            <w:vAlign w:val="center"/>
          </w:tcPr>
          <w:p w14:paraId="3AC95A40">
            <w:pPr>
              <w:rPr>
                <w:color w:val="auto"/>
                <w:highlight w:val="none"/>
              </w:rPr>
            </w:pPr>
          </w:p>
        </w:tc>
        <w:tc>
          <w:tcPr>
            <w:tcW w:w="1080" w:type="dxa"/>
            <w:vMerge w:val="continue"/>
            <w:noWrap/>
            <w:vAlign w:val="center"/>
          </w:tcPr>
          <w:p w14:paraId="561E500C">
            <w:pPr>
              <w:rPr>
                <w:color w:val="auto"/>
                <w:highlight w:val="none"/>
              </w:rPr>
            </w:pPr>
          </w:p>
        </w:tc>
        <w:tc>
          <w:tcPr>
            <w:tcW w:w="1320" w:type="dxa"/>
            <w:vMerge w:val="restart"/>
            <w:noWrap/>
            <w:vAlign w:val="center"/>
          </w:tcPr>
          <w:p w14:paraId="380412D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20" w:type="dxa"/>
            <w:noWrap/>
            <w:vAlign w:val="center"/>
          </w:tcPr>
          <w:p w14:paraId="7769FA1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540" w:type="dxa"/>
            <w:noWrap/>
            <w:vAlign w:val="center"/>
          </w:tcPr>
          <w:p w14:paraId="6D60F43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49A17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noWrap/>
            <w:vAlign w:val="center"/>
          </w:tcPr>
          <w:p w14:paraId="433FD336">
            <w:pPr>
              <w:rPr>
                <w:color w:val="auto"/>
                <w:highlight w:val="none"/>
              </w:rPr>
            </w:pPr>
          </w:p>
        </w:tc>
        <w:tc>
          <w:tcPr>
            <w:tcW w:w="1080" w:type="dxa"/>
            <w:vMerge w:val="continue"/>
            <w:noWrap/>
            <w:vAlign w:val="center"/>
          </w:tcPr>
          <w:p w14:paraId="7DA3E181">
            <w:pPr>
              <w:rPr>
                <w:color w:val="auto"/>
                <w:highlight w:val="none"/>
              </w:rPr>
            </w:pPr>
          </w:p>
        </w:tc>
        <w:tc>
          <w:tcPr>
            <w:tcW w:w="1320" w:type="dxa"/>
            <w:vMerge w:val="continue"/>
            <w:noWrap/>
            <w:vAlign w:val="center"/>
          </w:tcPr>
          <w:p w14:paraId="509A9CB2">
            <w:pPr>
              <w:rPr>
                <w:color w:val="auto"/>
                <w:highlight w:val="none"/>
              </w:rPr>
            </w:pPr>
          </w:p>
        </w:tc>
        <w:tc>
          <w:tcPr>
            <w:tcW w:w="1620" w:type="dxa"/>
            <w:noWrap/>
            <w:vAlign w:val="center"/>
          </w:tcPr>
          <w:p w14:paraId="5DEFFF5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540" w:type="dxa"/>
            <w:noWrap/>
            <w:vAlign w:val="center"/>
          </w:tcPr>
          <w:p w14:paraId="31D0DEB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5E4B9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noWrap/>
            <w:vAlign w:val="center"/>
          </w:tcPr>
          <w:p w14:paraId="121A3942">
            <w:pPr>
              <w:rPr>
                <w:color w:val="auto"/>
                <w:highlight w:val="none"/>
              </w:rPr>
            </w:pPr>
          </w:p>
        </w:tc>
        <w:tc>
          <w:tcPr>
            <w:tcW w:w="1080" w:type="dxa"/>
            <w:vMerge w:val="continue"/>
            <w:noWrap/>
            <w:vAlign w:val="center"/>
          </w:tcPr>
          <w:p w14:paraId="40304D54">
            <w:pPr>
              <w:rPr>
                <w:color w:val="auto"/>
                <w:highlight w:val="none"/>
              </w:rPr>
            </w:pPr>
          </w:p>
        </w:tc>
        <w:tc>
          <w:tcPr>
            <w:tcW w:w="1320" w:type="dxa"/>
            <w:vMerge w:val="continue"/>
            <w:noWrap/>
            <w:vAlign w:val="center"/>
          </w:tcPr>
          <w:p w14:paraId="40B4ED2C">
            <w:pPr>
              <w:rPr>
                <w:color w:val="auto"/>
                <w:highlight w:val="none"/>
              </w:rPr>
            </w:pPr>
          </w:p>
        </w:tc>
        <w:tc>
          <w:tcPr>
            <w:tcW w:w="1620" w:type="dxa"/>
            <w:noWrap/>
            <w:vAlign w:val="center"/>
          </w:tcPr>
          <w:p w14:paraId="4FB4FBB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540" w:type="dxa"/>
            <w:noWrap/>
            <w:vAlign w:val="center"/>
          </w:tcPr>
          <w:p w14:paraId="0F58C51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07FCB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ign w:val="center"/>
          </w:tcPr>
          <w:p w14:paraId="5A034BB2">
            <w:pPr>
              <w:rPr>
                <w:color w:val="auto"/>
                <w:highlight w:val="none"/>
              </w:rPr>
            </w:pPr>
          </w:p>
        </w:tc>
        <w:tc>
          <w:tcPr>
            <w:tcW w:w="1080" w:type="dxa"/>
            <w:vMerge w:val="continue"/>
            <w:noWrap/>
            <w:vAlign w:val="center"/>
          </w:tcPr>
          <w:p w14:paraId="7DD1BE9C">
            <w:pPr>
              <w:rPr>
                <w:color w:val="auto"/>
                <w:highlight w:val="none"/>
              </w:rPr>
            </w:pPr>
          </w:p>
        </w:tc>
        <w:tc>
          <w:tcPr>
            <w:tcW w:w="1320" w:type="dxa"/>
            <w:noWrap/>
            <w:vAlign w:val="center"/>
          </w:tcPr>
          <w:p w14:paraId="5898368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20" w:type="dxa"/>
            <w:noWrap/>
            <w:vAlign w:val="center"/>
          </w:tcPr>
          <w:p w14:paraId="13FCD72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ign w:val="center"/>
          </w:tcPr>
          <w:p w14:paraId="2DBE651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33328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ign w:val="center"/>
          </w:tcPr>
          <w:p w14:paraId="118F5360">
            <w:pPr>
              <w:rPr>
                <w:color w:val="auto"/>
                <w:highlight w:val="none"/>
              </w:rPr>
            </w:pPr>
          </w:p>
        </w:tc>
        <w:tc>
          <w:tcPr>
            <w:tcW w:w="1080" w:type="dxa"/>
            <w:vMerge w:val="continue"/>
            <w:noWrap/>
            <w:vAlign w:val="center"/>
          </w:tcPr>
          <w:p w14:paraId="6691C411">
            <w:pPr>
              <w:rPr>
                <w:color w:val="auto"/>
                <w:highlight w:val="none"/>
              </w:rPr>
            </w:pPr>
          </w:p>
        </w:tc>
        <w:tc>
          <w:tcPr>
            <w:tcW w:w="1320" w:type="dxa"/>
            <w:vMerge w:val="restart"/>
            <w:noWrap/>
            <w:vAlign w:val="center"/>
          </w:tcPr>
          <w:p w14:paraId="3CCE714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20" w:type="dxa"/>
            <w:noWrap/>
            <w:vAlign w:val="center"/>
          </w:tcPr>
          <w:p w14:paraId="4C53818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540" w:type="dxa"/>
            <w:noWrap/>
            <w:vAlign w:val="center"/>
          </w:tcPr>
          <w:p w14:paraId="7A7B06C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737E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ign w:val="center"/>
          </w:tcPr>
          <w:p w14:paraId="43F932E6">
            <w:pPr>
              <w:rPr>
                <w:color w:val="auto"/>
                <w:highlight w:val="none"/>
              </w:rPr>
            </w:pPr>
          </w:p>
        </w:tc>
        <w:tc>
          <w:tcPr>
            <w:tcW w:w="1080" w:type="dxa"/>
            <w:vMerge w:val="continue"/>
            <w:noWrap/>
            <w:vAlign w:val="center"/>
          </w:tcPr>
          <w:p w14:paraId="56139277">
            <w:pPr>
              <w:rPr>
                <w:color w:val="auto"/>
                <w:highlight w:val="none"/>
              </w:rPr>
            </w:pPr>
          </w:p>
        </w:tc>
        <w:tc>
          <w:tcPr>
            <w:tcW w:w="1320" w:type="dxa"/>
            <w:vMerge w:val="continue"/>
            <w:noWrap/>
            <w:vAlign w:val="center"/>
          </w:tcPr>
          <w:p w14:paraId="4521A2BA">
            <w:pPr>
              <w:rPr>
                <w:color w:val="auto"/>
                <w:highlight w:val="none"/>
              </w:rPr>
            </w:pPr>
          </w:p>
        </w:tc>
        <w:tc>
          <w:tcPr>
            <w:tcW w:w="1620" w:type="dxa"/>
            <w:noWrap/>
            <w:vAlign w:val="center"/>
          </w:tcPr>
          <w:p w14:paraId="6572D8D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540" w:type="dxa"/>
            <w:noWrap/>
            <w:vAlign w:val="center"/>
          </w:tcPr>
          <w:p w14:paraId="58E75D7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0FB4F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ign w:val="center"/>
          </w:tcPr>
          <w:p w14:paraId="40277454">
            <w:pPr>
              <w:rPr>
                <w:color w:val="auto"/>
                <w:highlight w:val="none"/>
              </w:rPr>
            </w:pPr>
          </w:p>
        </w:tc>
        <w:tc>
          <w:tcPr>
            <w:tcW w:w="1080" w:type="dxa"/>
            <w:vMerge w:val="continue"/>
            <w:noWrap/>
            <w:vAlign w:val="center"/>
          </w:tcPr>
          <w:p w14:paraId="21FC1B6C">
            <w:pPr>
              <w:rPr>
                <w:color w:val="auto"/>
                <w:highlight w:val="none"/>
              </w:rPr>
            </w:pPr>
          </w:p>
        </w:tc>
        <w:tc>
          <w:tcPr>
            <w:tcW w:w="1320" w:type="dxa"/>
            <w:vMerge w:val="continue"/>
            <w:noWrap/>
            <w:vAlign w:val="center"/>
          </w:tcPr>
          <w:p w14:paraId="0093ACD3">
            <w:pPr>
              <w:rPr>
                <w:color w:val="auto"/>
                <w:highlight w:val="none"/>
              </w:rPr>
            </w:pPr>
          </w:p>
        </w:tc>
        <w:tc>
          <w:tcPr>
            <w:tcW w:w="1620" w:type="dxa"/>
            <w:noWrap/>
            <w:vAlign w:val="center"/>
          </w:tcPr>
          <w:p w14:paraId="6E05040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540" w:type="dxa"/>
            <w:noWrap/>
            <w:vAlign w:val="center"/>
          </w:tcPr>
          <w:p w14:paraId="6C654EE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4B0C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ign w:val="center"/>
          </w:tcPr>
          <w:p w14:paraId="2A451D79">
            <w:pPr>
              <w:rPr>
                <w:color w:val="auto"/>
                <w:highlight w:val="none"/>
              </w:rPr>
            </w:pPr>
          </w:p>
        </w:tc>
        <w:tc>
          <w:tcPr>
            <w:tcW w:w="1080" w:type="dxa"/>
            <w:vMerge w:val="continue"/>
            <w:noWrap/>
            <w:vAlign w:val="center"/>
          </w:tcPr>
          <w:p w14:paraId="3112F0CB">
            <w:pPr>
              <w:rPr>
                <w:color w:val="auto"/>
                <w:highlight w:val="none"/>
              </w:rPr>
            </w:pPr>
          </w:p>
        </w:tc>
        <w:tc>
          <w:tcPr>
            <w:tcW w:w="1320" w:type="dxa"/>
            <w:vMerge w:val="continue"/>
            <w:noWrap/>
            <w:vAlign w:val="center"/>
          </w:tcPr>
          <w:p w14:paraId="6E4ABCE1">
            <w:pPr>
              <w:rPr>
                <w:color w:val="auto"/>
                <w:highlight w:val="none"/>
              </w:rPr>
            </w:pPr>
          </w:p>
        </w:tc>
        <w:tc>
          <w:tcPr>
            <w:tcW w:w="1620" w:type="dxa"/>
            <w:noWrap/>
            <w:vAlign w:val="center"/>
          </w:tcPr>
          <w:p w14:paraId="1784A95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540" w:type="dxa"/>
            <w:noWrap/>
            <w:vAlign w:val="center"/>
          </w:tcPr>
          <w:p w14:paraId="7115A5A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453CE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restart"/>
            <w:noWrap/>
            <w:vAlign w:val="center"/>
          </w:tcPr>
          <w:p w14:paraId="4EFE019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080" w:type="dxa"/>
            <w:vMerge w:val="restart"/>
            <w:noWrap/>
            <w:vAlign w:val="center"/>
          </w:tcPr>
          <w:p w14:paraId="11D7B72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320" w:type="dxa"/>
            <w:noWrap/>
            <w:vAlign w:val="center"/>
          </w:tcPr>
          <w:p w14:paraId="6EA92EC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20" w:type="dxa"/>
            <w:noWrap/>
            <w:vAlign w:val="center"/>
          </w:tcPr>
          <w:p w14:paraId="052B55F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ign w:val="center"/>
          </w:tcPr>
          <w:p w14:paraId="0DBD551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7A5C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ign w:val="center"/>
          </w:tcPr>
          <w:p w14:paraId="6CB26CB1">
            <w:pPr>
              <w:rPr>
                <w:color w:val="auto"/>
                <w:highlight w:val="none"/>
              </w:rPr>
            </w:pPr>
          </w:p>
        </w:tc>
        <w:tc>
          <w:tcPr>
            <w:tcW w:w="1080" w:type="dxa"/>
            <w:vMerge w:val="continue"/>
            <w:noWrap/>
            <w:vAlign w:val="center"/>
          </w:tcPr>
          <w:p w14:paraId="746FD2FB">
            <w:pPr>
              <w:rPr>
                <w:color w:val="auto"/>
                <w:highlight w:val="none"/>
              </w:rPr>
            </w:pPr>
          </w:p>
        </w:tc>
        <w:tc>
          <w:tcPr>
            <w:tcW w:w="1320" w:type="dxa"/>
            <w:noWrap/>
            <w:vAlign w:val="center"/>
          </w:tcPr>
          <w:p w14:paraId="22FEEBD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20" w:type="dxa"/>
            <w:noWrap/>
            <w:vAlign w:val="center"/>
          </w:tcPr>
          <w:p w14:paraId="6C69007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ign w:val="center"/>
          </w:tcPr>
          <w:p w14:paraId="52345E7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3A6DB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ign w:val="center"/>
          </w:tcPr>
          <w:p w14:paraId="0A2C29BB">
            <w:pPr>
              <w:rPr>
                <w:color w:val="auto"/>
                <w:highlight w:val="none"/>
              </w:rPr>
            </w:pPr>
          </w:p>
        </w:tc>
        <w:tc>
          <w:tcPr>
            <w:tcW w:w="1080" w:type="dxa"/>
            <w:vMerge w:val="continue"/>
            <w:noWrap/>
            <w:vAlign w:val="center"/>
          </w:tcPr>
          <w:p w14:paraId="573A2EFF">
            <w:pPr>
              <w:rPr>
                <w:color w:val="auto"/>
                <w:highlight w:val="none"/>
              </w:rPr>
            </w:pPr>
          </w:p>
        </w:tc>
        <w:tc>
          <w:tcPr>
            <w:tcW w:w="1320" w:type="dxa"/>
            <w:noWrap/>
            <w:vAlign w:val="center"/>
          </w:tcPr>
          <w:p w14:paraId="1DAF8E6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20" w:type="dxa"/>
            <w:noWrap/>
            <w:vAlign w:val="center"/>
          </w:tcPr>
          <w:p w14:paraId="145D356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ign w:val="center"/>
          </w:tcPr>
          <w:p w14:paraId="7C81D72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28A8A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noWrap/>
            <w:vAlign w:val="center"/>
          </w:tcPr>
          <w:p w14:paraId="6DC825F8">
            <w:pPr>
              <w:rPr>
                <w:color w:val="auto"/>
                <w:highlight w:val="none"/>
              </w:rPr>
            </w:pPr>
          </w:p>
        </w:tc>
        <w:tc>
          <w:tcPr>
            <w:tcW w:w="1080" w:type="dxa"/>
            <w:vMerge w:val="continue"/>
            <w:noWrap/>
            <w:vAlign w:val="center"/>
          </w:tcPr>
          <w:p w14:paraId="546F819A">
            <w:pPr>
              <w:rPr>
                <w:color w:val="auto"/>
                <w:highlight w:val="none"/>
              </w:rPr>
            </w:pPr>
          </w:p>
        </w:tc>
        <w:tc>
          <w:tcPr>
            <w:tcW w:w="1320" w:type="dxa"/>
            <w:noWrap/>
            <w:vAlign w:val="center"/>
          </w:tcPr>
          <w:p w14:paraId="320A824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20" w:type="dxa"/>
            <w:noWrap/>
            <w:vAlign w:val="center"/>
          </w:tcPr>
          <w:p w14:paraId="487043D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ign w:val="center"/>
          </w:tcPr>
          <w:p w14:paraId="1C2CFEE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513B2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noWrap/>
            <w:vAlign w:val="center"/>
          </w:tcPr>
          <w:p w14:paraId="599537C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080" w:type="dxa"/>
            <w:noWrap/>
            <w:vAlign w:val="center"/>
          </w:tcPr>
          <w:p w14:paraId="1CE5BEB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320" w:type="dxa"/>
            <w:noWrap/>
            <w:vAlign w:val="center"/>
          </w:tcPr>
          <w:p w14:paraId="28561BA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20" w:type="dxa"/>
            <w:noWrap/>
            <w:vAlign w:val="center"/>
          </w:tcPr>
          <w:p w14:paraId="5906EE5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ign w:val="center"/>
          </w:tcPr>
          <w:p w14:paraId="5678C92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2D40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60" w:type="dxa"/>
            <w:noWrap/>
            <w:vAlign w:val="center"/>
          </w:tcPr>
          <w:p w14:paraId="1D8A0B3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080" w:type="dxa"/>
            <w:noWrap/>
            <w:vAlign w:val="center"/>
          </w:tcPr>
          <w:p w14:paraId="636CA56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320" w:type="dxa"/>
            <w:noWrap/>
            <w:vAlign w:val="center"/>
          </w:tcPr>
          <w:p w14:paraId="111487E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20" w:type="dxa"/>
            <w:noWrap/>
            <w:vAlign w:val="center"/>
          </w:tcPr>
          <w:p w14:paraId="2461AED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540" w:type="dxa"/>
            <w:noWrap/>
            <w:vAlign w:val="center"/>
          </w:tcPr>
          <w:p w14:paraId="6C9D36C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3B391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ign w:val="center"/>
          </w:tcPr>
          <w:p w14:paraId="7340138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080" w:type="dxa"/>
            <w:noWrap/>
            <w:vAlign w:val="center"/>
          </w:tcPr>
          <w:p w14:paraId="16E8F07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320" w:type="dxa"/>
            <w:noWrap/>
            <w:vAlign w:val="center"/>
          </w:tcPr>
          <w:p w14:paraId="5C7C1C2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20" w:type="dxa"/>
            <w:noWrap/>
            <w:vAlign w:val="center"/>
          </w:tcPr>
          <w:p w14:paraId="29A710A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ign w:val="center"/>
          </w:tcPr>
          <w:p w14:paraId="38A1C21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1C2F7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0" w:type="dxa"/>
            <w:vMerge w:val="restart"/>
            <w:noWrap/>
            <w:vAlign w:val="center"/>
          </w:tcPr>
          <w:p w14:paraId="0591541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080" w:type="dxa"/>
            <w:vMerge w:val="restart"/>
            <w:noWrap/>
            <w:vAlign w:val="center"/>
          </w:tcPr>
          <w:p w14:paraId="198B2B9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320" w:type="dxa"/>
            <w:noWrap/>
            <w:vAlign w:val="center"/>
          </w:tcPr>
          <w:p w14:paraId="7877A81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20" w:type="dxa"/>
            <w:noWrap/>
            <w:vAlign w:val="center"/>
          </w:tcPr>
          <w:p w14:paraId="604B6DC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ign w:val="center"/>
          </w:tcPr>
          <w:p w14:paraId="1CC2890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0DEE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ign w:val="center"/>
          </w:tcPr>
          <w:p w14:paraId="75D0B61F">
            <w:pPr>
              <w:rPr>
                <w:color w:val="auto"/>
                <w:highlight w:val="none"/>
              </w:rPr>
            </w:pPr>
          </w:p>
        </w:tc>
        <w:tc>
          <w:tcPr>
            <w:tcW w:w="1080" w:type="dxa"/>
            <w:vMerge w:val="continue"/>
            <w:noWrap/>
            <w:vAlign w:val="center"/>
          </w:tcPr>
          <w:p w14:paraId="669FE457">
            <w:pPr>
              <w:rPr>
                <w:color w:val="auto"/>
                <w:highlight w:val="none"/>
              </w:rPr>
            </w:pPr>
          </w:p>
        </w:tc>
        <w:tc>
          <w:tcPr>
            <w:tcW w:w="1320" w:type="dxa"/>
            <w:noWrap/>
            <w:vAlign w:val="center"/>
          </w:tcPr>
          <w:p w14:paraId="63FC78A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20" w:type="dxa"/>
            <w:noWrap/>
            <w:vAlign w:val="center"/>
          </w:tcPr>
          <w:p w14:paraId="70762C3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ign w:val="center"/>
          </w:tcPr>
          <w:p w14:paraId="4E2F5D2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53A6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ign w:val="center"/>
          </w:tcPr>
          <w:p w14:paraId="52FA51D4">
            <w:pPr>
              <w:rPr>
                <w:color w:val="auto"/>
                <w:highlight w:val="none"/>
              </w:rPr>
            </w:pPr>
          </w:p>
        </w:tc>
        <w:tc>
          <w:tcPr>
            <w:tcW w:w="1080" w:type="dxa"/>
            <w:vMerge w:val="continue"/>
            <w:noWrap/>
            <w:vAlign w:val="center"/>
          </w:tcPr>
          <w:p w14:paraId="55A2D3F6">
            <w:pPr>
              <w:rPr>
                <w:color w:val="auto"/>
                <w:highlight w:val="none"/>
              </w:rPr>
            </w:pPr>
          </w:p>
        </w:tc>
        <w:tc>
          <w:tcPr>
            <w:tcW w:w="1320" w:type="dxa"/>
            <w:noWrap/>
            <w:vAlign w:val="center"/>
          </w:tcPr>
          <w:p w14:paraId="5464195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20" w:type="dxa"/>
            <w:noWrap/>
            <w:vAlign w:val="center"/>
          </w:tcPr>
          <w:p w14:paraId="69ECCD8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ign w:val="center"/>
          </w:tcPr>
          <w:p w14:paraId="74F5D0B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6E42F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ign w:val="center"/>
          </w:tcPr>
          <w:p w14:paraId="6D9A2B7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080" w:type="dxa"/>
            <w:noWrap/>
            <w:vAlign w:val="center"/>
          </w:tcPr>
          <w:p w14:paraId="42D5474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320" w:type="dxa"/>
            <w:noWrap/>
            <w:vAlign w:val="center"/>
          </w:tcPr>
          <w:p w14:paraId="0D5FBA0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noWrap/>
            <w:vAlign w:val="center"/>
          </w:tcPr>
          <w:p w14:paraId="67A2C4D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ign w:val="center"/>
          </w:tcPr>
          <w:p w14:paraId="5704521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75ABE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ign w:val="center"/>
          </w:tcPr>
          <w:p w14:paraId="72FEF8B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080" w:type="dxa"/>
            <w:noWrap/>
            <w:vAlign w:val="center"/>
          </w:tcPr>
          <w:p w14:paraId="6BEA428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320" w:type="dxa"/>
            <w:noWrap/>
            <w:vAlign w:val="center"/>
          </w:tcPr>
          <w:p w14:paraId="79A4413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noWrap/>
            <w:vAlign w:val="center"/>
          </w:tcPr>
          <w:p w14:paraId="2820880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ign w:val="center"/>
          </w:tcPr>
          <w:p w14:paraId="7B2D299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4BF37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ign w:val="center"/>
          </w:tcPr>
          <w:p w14:paraId="0A59918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080" w:type="dxa"/>
            <w:noWrap/>
            <w:vAlign w:val="center"/>
          </w:tcPr>
          <w:p w14:paraId="0D67DFB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320" w:type="dxa"/>
            <w:noWrap/>
            <w:vAlign w:val="center"/>
          </w:tcPr>
          <w:p w14:paraId="753D022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noWrap/>
            <w:vAlign w:val="center"/>
          </w:tcPr>
          <w:p w14:paraId="1ED02B1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ign w:val="center"/>
          </w:tcPr>
          <w:p w14:paraId="294A8DB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3C29CD09">
      <w:pPr>
        <w:spacing w:after="120" w:line="360" w:lineRule="auto"/>
        <w:rPr>
          <w:rFonts w:ascii="宋体" w:hAnsi="宋体"/>
          <w:color w:val="auto"/>
          <w:szCs w:val="21"/>
          <w:highlight w:val="none"/>
        </w:rPr>
      </w:pPr>
      <w:r>
        <w:rPr>
          <w:rFonts w:hint="eastAsia"/>
          <w:color w:val="auto"/>
          <w:spacing w:val="-3"/>
          <w:szCs w:val="21"/>
          <w:highlight w:val="none"/>
        </w:rPr>
        <w:t>注：</w:t>
      </w:r>
      <w:r>
        <w:rPr>
          <w:color w:val="auto"/>
          <w:spacing w:val="-3"/>
          <w:szCs w:val="21"/>
          <w:highlight w:val="none"/>
        </w:rPr>
        <w:t>1.</w:t>
      </w:r>
      <w:r>
        <w:rPr>
          <w:rFonts w:hint="eastAsia"/>
          <w:color w:val="auto"/>
          <w:spacing w:val="-3"/>
          <w:szCs w:val="21"/>
          <w:highlight w:val="none"/>
        </w:rPr>
        <w:t>节能产品认证应依据相关国家标准的最新版本，依据国家标准中二级能效（水效）</w:t>
      </w:r>
      <w:r>
        <w:rPr>
          <w:rFonts w:hint="eastAsia"/>
          <w:color w:val="auto"/>
          <w:szCs w:val="21"/>
          <w:highlight w:val="none"/>
        </w:rPr>
        <w:t>指标。</w:t>
      </w:r>
    </w:p>
    <w:p w14:paraId="1BE0DFBD">
      <w:pPr>
        <w:rPr>
          <w:color w:val="auto"/>
          <w:highlight w:val="none"/>
        </w:rPr>
      </w:pPr>
      <w:r>
        <w:rPr>
          <w:rFonts w:hint="eastAsia"/>
          <w:color w:val="auto"/>
          <w:highlight w:val="none"/>
        </w:rPr>
        <w:t>2.以</w:t>
      </w:r>
      <w:r>
        <w:rPr>
          <w:color w:val="auto"/>
          <w:highlight w:val="none"/>
        </w:rPr>
        <w:t>“</w:t>
      </w:r>
      <w:r>
        <w:rPr>
          <w:rFonts w:hint="eastAsia"/>
          <w:color w:val="auto"/>
          <w:highlight w:val="none"/>
        </w:rPr>
        <w:t>★</w:t>
      </w:r>
      <w:r>
        <w:rPr>
          <w:color w:val="auto"/>
          <w:highlight w:val="none"/>
        </w:rPr>
        <w:t>”</w:t>
      </w:r>
      <w:r>
        <w:rPr>
          <w:rFonts w:hint="eastAsia"/>
          <w:color w:val="auto"/>
          <w:highlight w:val="none"/>
        </w:rPr>
        <w:t>标注的为政府强制采购产品。</w:t>
      </w:r>
    </w:p>
    <w:p w14:paraId="2320DE97">
      <w:pPr>
        <w:rPr>
          <w:color w:val="auto"/>
          <w:highlight w:val="none"/>
        </w:rPr>
      </w:pPr>
    </w:p>
    <w:p w14:paraId="5F3D2F4C">
      <w:pPr>
        <w:rPr>
          <w:color w:val="auto"/>
          <w:highlight w:val="none"/>
        </w:rPr>
      </w:pPr>
    </w:p>
    <w:p w14:paraId="11BEFE32">
      <w:pPr>
        <w:rPr>
          <w:color w:val="auto"/>
          <w:highlight w:val="none"/>
        </w:rPr>
      </w:pPr>
    </w:p>
    <w:p w14:paraId="74F5278C">
      <w:pPr>
        <w:rPr>
          <w:color w:val="auto"/>
          <w:highlight w:val="none"/>
        </w:rPr>
      </w:pPr>
    </w:p>
    <w:p w14:paraId="6D8AD6A3">
      <w:pPr>
        <w:rPr>
          <w:color w:val="auto"/>
          <w:highlight w:val="none"/>
        </w:rPr>
      </w:pPr>
    </w:p>
    <w:p w14:paraId="7FF0645E">
      <w:pPr>
        <w:rPr>
          <w:color w:val="auto"/>
          <w:highlight w:val="none"/>
        </w:rPr>
      </w:pPr>
    </w:p>
    <w:p w14:paraId="52E409C8">
      <w:pPr>
        <w:widowControl/>
        <w:jc w:val="left"/>
        <w:rPr>
          <w:rFonts w:hint="eastAsia" w:hAnsi="宋体" w:cs="Arial Unicode MS"/>
          <w:color w:val="auto"/>
          <w:sz w:val="32"/>
          <w:szCs w:val="32"/>
          <w:highlight w:val="none"/>
        </w:rPr>
      </w:pPr>
    </w:p>
    <w:p w14:paraId="15EC7B0B">
      <w:pPr>
        <w:widowControl/>
        <w:jc w:val="left"/>
        <w:rPr>
          <w:rFonts w:hint="eastAsia" w:hAnsi="宋体" w:cs="Arial Unicode MS"/>
          <w:color w:val="auto"/>
          <w:sz w:val="32"/>
          <w:szCs w:val="32"/>
          <w:highlight w:val="none"/>
        </w:rPr>
      </w:pPr>
    </w:p>
    <w:p w14:paraId="29E21F50">
      <w:pPr>
        <w:widowControl/>
        <w:jc w:val="left"/>
        <w:rPr>
          <w:rFonts w:hint="eastAsia" w:hAnsi="宋体" w:cs="Arial Unicode MS"/>
          <w:color w:val="auto"/>
          <w:sz w:val="32"/>
          <w:szCs w:val="32"/>
          <w:highlight w:val="none"/>
        </w:rPr>
      </w:pPr>
    </w:p>
    <w:p w14:paraId="3C893FA7">
      <w:pPr>
        <w:widowControl/>
        <w:jc w:val="left"/>
        <w:rPr>
          <w:rFonts w:hint="eastAsia" w:hAnsi="宋体" w:cs="Arial Unicode MS"/>
          <w:color w:val="auto"/>
          <w:sz w:val="32"/>
          <w:szCs w:val="32"/>
          <w:highlight w:val="none"/>
        </w:rPr>
      </w:pPr>
    </w:p>
    <w:p w14:paraId="235C8673">
      <w:pPr>
        <w:pStyle w:val="2"/>
        <w:rPr>
          <w:rFonts w:hint="eastAsia"/>
          <w:color w:val="auto"/>
          <w:highlight w:val="none"/>
        </w:rPr>
      </w:pPr>
    </w:p>
    <w:p w14:paraId="3A0C7B2B">
      <w:pPr>
        <w:widowControl/>
        <w:jc w:val="left"/>
        <w:rPr>
          <w:rFonts w:hAnsi="宋体" w:cs="Arial Unicode MS"/>
          <w:color w:val="auto"/>
          <w:sz w:val="32"/>
          <w:szCs w:val="32"/>
          <w:highlight w:val="none"/>
        </w:rPr>
      </w:pPr>
      <w:r>
        <w:rPr>
          <w:rFonts w:hint="eastAsia" w:hAnsi="宋体" w:cs="Arial Unicode MS"/>
          <w:color w:val="auto"/>
          <w:sz w:val="32"/>
          <w:szCs w:val="32"/>
          <w:highlight w:val="none"/>
        </w:rPr>
        <w:t>附件2：</w:t>
      </w:r>
    </w:p>
    <w:p w14:paraId="5BD1FF2E">
      <w:pPr>
        <w:spacing w:line="528" w:lineRule="exact"/>
        <w:jc w:val="center"/>
        <w:rPr>
          <w:rFonts w:ascii="宋体" w:hAnsi="宋体" w:cs="Arial Unicode MS"/>
          <w:color w:val="auto"/>
          <w:sz w:val="40"/>
          <w:szCs w:val="40"/>
          <w:highlight w:val="none"/>
        </w:rPr>
      </w:pPr>
      <w:r>
        <w:rPr>
          <w:rFonts w:hint="eastAsia" w:ascii="宋体" w:hAnsi="宋体" w:cs="Arial Unicode MS"/>
          <w:color w:val="auto"/>
          <w:sz w:val="40"/>
          <w:szCs w:val="40"/>
          <w:highlight w:val="none"/>
        </w:rPr>
        <w:t>中 小 微 企 业 划 型 标 准</w:t>
      </w:r>
    </w:p>
    <w:tbl>
      <w:tblPr>
        <w:tblStyle w:val="10"/>
        <w:tblW w:w="9286" w:type="dxa"/>
        <w:tblInd w:w="-116" w:type="dxa"/>
        <w:tblLayout w:type="fixed"/>
        <w:tblCellMar>
          <w:top w:w="0" w:type="dxa"/>
          <w:left w:w="108" w:type="dxa"/>
          <w:bottom w:w="0" w:type="dxa"/>
          <w:right w:w="108" w:type="dxa"/>
        </w:tblCellMar>
      </w:tblPr>
      <w:tblGrid>
        <w:gridCol w:w="1597"/>
        <w:gridCol w:w="1597"/>
        <w:gridCol w:w="1450"/>
        <w:gridCol w:w="1742"/>
        <w:gridCol w:w="1742"/>
        <w:gridCol w:w="1158"/>
      </w:tblGrid>
      <w:tr w14:paraId="72A0D580">
        <w:tblPrEx>
          <w:tblCellMar>
            <w:top w:w="0" w:type="dxa"/>
            <w:left w:w="108" w:type="dxa"/>
            <w:bottom w:w="0" w:type="dxa"/>
            <w:right w:w="108" w:type="dxa"/>
          </w:tblCellMar>
        </w:tblPrEx>
        <w:trPr>
          <w:trHeight w:val="285" w:hRule="atLeast"/>
        </w:trPr>
        <w:tc>
          <w:tcPr>
            <w:tcW w:w="1597" w:type="dxa"/>
            <w:tcBorders>
              <w:top w:val="single" w:color="auto" w:sz="4" w:space="0"/>
              <w:left w:val="single" w:color="auto" w:sz="4" w:space="0"/>
              <w:bottom w:val="single" w:color="auto" w:sz="4" w:space="0"/>
              <w:right w:val="single" w:color="auto" w:sz="4" w:space="0"/>
            </w:tcBorders>
            <w:noWrap w:val="0"/>
            <w:vAlign w:val="center"/>
          </w:tcPr>
          <w:p w14:paraId="7A208998">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597" w:type="dxa"/>
            <w:tcBorders>
              <w:top w:val="single" w:color="auto" w:sz="4" w:space="0"/>
              <w:left w:val="nil"/>
              <w:bottom w:val="single" w:color="auto" w:sz="4" w:space="0"/>
              <w:right w:val="single" w:color="auto" w:sz="4" w:space="0"/>
            </w:tcBorders>
            <w:noWrap w:val="0"/>
            <w:vAlign w:val="center"/>
          </w:tcPr>
          <w:p w14:paraId="6352BE28">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1450" w:type="dxa"/>
            <w:tcBorders>
              <w:top w:val="single" w:color="auto" w:sz="4" w:space="0"/>
              <w:left w:val="nil"/>
              <w:bottom w:val="single" w:color="auto" w:sz="4" w:space="0"/>
              <w:right w:val="single" w:color="auto" w:sz="4" w:space="0"/>
            </w:tcBorders>
            <w:noWrap w:val="0"/>
            <w:vAlign w:val="center"/>
          </w:tcPr>
          <w:p w14:paraId="542D4B95">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742" w:type="dxa"/>
            <w:tcBorders>
              <w:top w:val="single" w:color="auto" w:sz="4" w:space="0"/>
              <w:left w:val="nil"/>
              <w:bottom w:val="single" w:color="auto" w:sz="4" w:space="0"/>
              <w:right w:val="single" w:color="auto" w:sz="4" w:space="0"/>
            </w:tcBorders>
            <w:noWrap w:val="0"/>
            <w:vAlign w:val="center"/>
          </w:tcPr>
          <w:p w14:paraId="27EB976A">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742" w:type="dxa"/>
            <w:tcBorders>
              <w:top w:val="single" w:color="auto" w:sz="4" w:space="0"/>
              <w:left w:val="nil"/>
              <w:bottom w:val="single" w:color="auto" w:sz="4" w:space="0"/>
              <w:right w:val="single" w:color="auto" w:sz="4" w:space="0"/>
            </w:tcBorders>
            <w:noWrap w:val="0"/>
            <w:vAlign w:val="center"/>
          </w:tcPr>
          <w:p w14:paraId="4D887F88">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158" w:type="dxa"/>
            <w:tcBorders>
              <w:top w:val="single" w:color="auto" w:sz="4" w:space="0"/>
              <w:left w:val="nil"/>
              <w:bottom w:val="single" w:color="auto" w:sz="4" w:space="0"/>
              <w:right w:val="single" w:color="auto" w:sz="4" w:space="0"/>
            </w:tcBorders>
            <w:noWrap w:val="0"/>
            <w:vAlign w:val="center"/>
          </w:tcPr>
          <w:p w14:paraId="296D7A3D">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1275D9A2">
        <w:tblPrEx>
          <w:tblCellMar>
            <w:top w:w="0" w:type="dxa"/>
            <w:left w:w="108" w:type="dxa"/>
            <w:bottom w:w="0" w:type="dxa"/>
            <w:right w:w="108" w:type="dxa"/>
          </w:tblCellMar>
        </w:tblPrEx>
        <w:trPr>
          <w:trHeight w:val="225" w:hRule="atLeast"/>
        </w:trPr>
        <w:tc>
          <w:tcPr>
            <w:tcW w:w="1597" w:type="dxa"/>
            <w:tcBorders>
              <w:top w:val="nil"/>
              <w:left w:val="single" w:color="auto" w:sz="4" w:space="0"/>
              <w:bottom w:val="single" w:color="auto" w:sz="4" w:space="0"/>
              <w:right w:val="single" w:color="auto" w:sz="4" w:space="0"/>
            </w:tcBorders>
            <w:noWrap w:val="0"/>
            <w:vAlign w:val="bottom"/>
          </w:tcPr>
          <w:p w14:paraId="2E47007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597" w:type="dxa"/>
            <w:tcBorders>
              <w:top w:val="nil"/>
              <w:left w:val="nil"/>
              <w:bottom w:val="single" w:color="auto" w:sz="4" w:space="0"/>
              <w:right w:val="single" w:color="auto" w:sz="4" w:space="0"/>
            </w:tcBorders>
            <w:noWrap w:val="0"/>
            <w:vAlign w:val="center"/>
          </w:tcPr>
          <w:p w14:paraId="593C903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50" w:type="dxa"/>
            <w:tcBorders>
              <w:top w:val="nil"/>
              <w:left w:val="nil"/>
              <w:bottom w:val="single" w:color="auto" w:sz="4" w:space="0"/>
              <w:right w:val="single" w:color="auto" w:sz="4" w:space="0"/>
            </w:tcBorders>
            <w:noWrap w:val="0"/>
            <w:vAlign w:val="center"/>
          </w:tcPr>
          <w:p w14:paraId="31E9DFE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742" w:type="dxa"/>
            <w:tcBorders>
              <w:top w:val="nil"/>
              <w:left w:val="nil"/>
              <w:bottom w:val="single" w:color="auto" w:sz="4" w:space="0"/>
              <w:right w:val="single" w:color="auto" w:sz="4" w:space="0"/>
            </w:tcBorders>
            <w:noWrap w:val="0"/>
            <w:vAlign w:val="center"/>
          </w:tcPr>
          <w:p w14:paraId="2932E34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42" w:type="dxa"/>
            <w:tcBorders>
              <w:top w:val="nil"/>
              <w:left w:val="nil"/>
              <w:bottom w:val="single" w:color="auto" w:sz="4" w:space="0"/>
              <w:right w:val="single" w:color="auto" w:sz="4" w:space="0"/>
            </w:tcBorders>
            <w:noWrap w:val="0"/>
            <w:vAlign w:val="center"/>
          </w:tcPr>
          <w:p w14:paraId="473FBA7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158" w:type="dxa"/>
            <w:tcBorders>
              <w:top w:val="nil"/>
              <w:left w:val="nil"/>
              <w:bottom w:val="single" w:color="auto" w:sz="4" w:space="0"/>
              <w:right w:val="single" w:color="auto" w:sz="4" w:space="0"/>
            </w:tcBorders>
            <w:noWrap w:val="0"/>
            <w:vAlign w:val="center"/>
          </w:tcPr>
          <w:p w14:paraId="6A43695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139A6F57">
        <w:tblPrEx>
          <w:tblCellMar>
            <w:top w:w="0" w:type="dxa"/>
            <w:left w:w="108" w:type="dxa"/>
            <w:bottom w:w="0" w:type="dxa"/>
            <w:right w:w="108" w:type="dxa"/>
          </w:tblCellMar>
        </w:tblPrEx>
        <w:trPr>
          <w:trHeight w:val="225" w:hRule="atLeast"/>
        </w:trPr>
        <w:tc>
          <w:tcPr>
            <w:tcW w:w="1597" w:type="dxa"/>
            <w:vMerge w:val="restart"/>
            <w:tcBorders>
              <w:top w:val="nil"/>
              <w:left w:val="single" w:color="auto" w:sz="4" w:space="0"/>
              <w:bottom w:val="single" w:color="auto" w:sz="4" w:space="0"/>
              <w:right w:val="single" w:color="auto" w:sz="4" w:space="0"/>
            </w:tcBorders>
            <w:noWrap w:val="0"/>
            <w:vAlign w:val="bottom"/>
          </w:tcPr>
          <w:p w14:paraId="50FF431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597" w:type="dxa"/>
            <w:tcBorders>
              <w:top w:val="nil"/>
              <w:left w:val="nil"/>
              <w:bottom w:val="single" w:color="auto" w:sz="4" w:space="0"/>
              <w:right w:val="single" w:color="auto" w:sz="4" w:space="0"/>
            </w:tcBorders>
            <w:noWrap w:val="0"/>
            <w:vAlign w:val="center"/>
          </w:tcPr>
          <w:p w14:paraId="0533BC7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50" w:type="dxa"/>
            <w:tcBorders>
              <w:top w:val="nil"/>
              <w:left w:val="nil"/>
              <w:bottom w:val="single" w:color="auto" w:sz="4" w:space="0"/>
              <w:right w:val="single" w:color="auto" w:sz="4" w:space="0"/>
            </w:tcBorders>
            <w:noWrap w:val="0"/>
            <w:vAlign w:val="center"/>
          </w:tcPr>
          <w:p w14:paraId="457E861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742" w:type="dxa"/>
            <w:tcBorders>
              <w:top w:val="nil"/>
              <w:left w:val="nil"/>
              <w:bottom w:val="single" w:color="auto" w:sz="4" w:space="0"/>
              <w:right w:val="single" w:color="auto" w:sz="4" w:space="0"/>
            </w:tcBorders>
            <w:noWrap w:val="0"/>
            <w:vAlign w:val="center"/>
          </w:tcPr>
          <w:p w14:paraId="0E50BE4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42" w:type="dxa"/>
            <w:tcBorders>
              <w:top w:val="nil"/>
              <w:left w:val="nil"/>
              <w:bottom w:val="single" w:color="auto" w:sz="4" w:space="0"/>
              <w:right w:val="single" w:color="auto" w:sz="4" w:space="0"/>
            </w:tcBorders>
            <w:noWrap w:val="0"/>
            <w:vAlign w:val="center"/>
          </w:tcPr>
          <w:p w14:paraId="3C66DE1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58" w:type="dxa"/>
            <w:tcBorders>
              <w:top w:val="nil"/>
              <w:left w:val="nil"/>
              <w:bottom w:val="single" w:color="auto" w:sz="4" w:space="0"/>
              <w:right w:val="single" w:color="auto" w:sz="4" w:space="0"/>
            </w:tcBorders>
            <w:noWrap w:val="0"/>
            <w:vAlign w:val="center"/>
          </w:tcPr>
          <w:p w14:paraId="00B17E5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3AB25C5C">
        <w:tblPrEx>
          <w:tblCellMar>
            <w:top w:w="0" w:type="dxa"/>
            <w:left w:w="108" w:type="dxa"/>
            <w:bottom w:w="0" w:type="dxa"/>
            <w:right w:w="108" w:type="dxa"/>
          </w:tblCellMar>
        </w:tblPrEx>
        <w:trPr>
          <w:trHeight w:val="225" w:hRule="atLeast"/>
        </w:trPr>
        <w:tc>
          <w:tcPr>
            <w:tcW w:w="1597" w:type="dxa"/>
            <w:vMerge w:val="continue"/>
            <w:tcBorders>
              <w:top w:val="nil"/>
              <w:left w:val="single" w:color="auto" w:sz="4" w:space="0"/>
              <w:bottom w:val="single" w:color="auto" w:sz="4" w:space="0"/>
              <w:right w:val="single" w:color="auto" w:sz="4" w:space="0"/>
            </w:tcBorders>
            <w:noWrap w:val="0"/>
            <w:vAlign w:val="center"/>
          </w:tcPr>
          <w:p w14:paraId="68E6C204">
            <w:pPr>
              <w:rPr>
                <w:color w:val="auto"/>
                <w:highlight w:val="none"/>
              </w:rPr>
            </w:pPr>
          </w:p>
        </w:tc>
        <w:tc>
          <w:tcPr>
            <w:tcW w:w="1597" w:type="dxa"/>
            <w:tcBorders>
              <w:top w:val="nil"/>
              <w:left w:val="nil"/>
              <w:bottom w:val="single" w:color="auto" w:sz="4" w:space="0"/>
              <w:right w:val="single" w:color="auto" w:sz="4" w:space="0"/>
            </w:tcBorders>
            <w:noWrap w:val="0"/>
            <w:vAlign w:val="center"/>
          </w:tcPr>
          <w:p w14:paraId="434B53F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50" w:type="dxa"/>
            <w:tcBorders>
              <w:top w:val="nil"/>
              <w:left w:val="nil"/>
              <w:bottom w:val="single" w:color="auto" w:sz="4" w:space="0"/>
              <w:right w:val="single" w:color="auto" w:sz="4" w:space="0"/>
            </w:tcBorders>
            <w:noWrap w:val="0"/>
            <w:vAlign w:val="center"/>
          </w:tcPr>
          <w:p w14:paraId="36877AD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742" w:type="dxa"/>
            <w:tcBorders>
              <w:top w:val="nil"/>
              <w:left w:val="nil"/>
              <w:bottom w:val="single" w:color="auto" w:sz="4" w:space="0"/>
              <w:right w:val="single" w:color="auto" w:sz="4" w:space="0"/>
            </w:tcBorders>
            <w:noWrap w:val="0"/>
            <w:vAlign w:val="center"/>
          </w:tcPr>
          <w:p w14:paraId="3363C8B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742" w:type="dxa"/>
            <w:tcBorders>
              <w:top w:val="nil"/>
              <w:left w:val="nil"/>
              <w:bottom w:val="single" w:color="auto" w:sz="4" w:space="0"/>
              <w:right w:val="single" w:color="auto" w:sz="4" w:space="0"/>
            </w:tcBorders>
            <w:noWrap w:val="0"/>
            <w:vAlign w:val="center"/>
          </w:tcPr>
          <w:p w14:paraId="3311158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158" w:type="dxa"/>
            <w:tcBorders>
              <w:top w:val="nil"/>
              <w:left w:val="nil"/>
              <w:bottom w:val="single" w:color="auto" w:sz="4" w:space="0"/>
              <w:right w:val="single" w:color="auto" w:sz="4" w:space="0"/>
            </w:tcBorders>
            <w:noWrap w:val="0"/>
            <w:vAlign w:val="center"/>
          </w:tcPr>
          <w:p w14:paraId="46B18D0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12DA0C79">
        <w:tblPrEx>
          <w:tblCellMar>
            <w:top w:w="0" w:type="dxa"/>
            <w:left w:w="108" w:type="dxa"/>
            <w:bottom w:w="0" w:type="dxa"/>
            <w:right w:w="108" w:type="dxa"/>
          </w:tblCellMar>
        </w:tblPrEx>
        <w:trPr>
          <w:trHeight w:val="225" w:hRule="atLeast"/>
        </w:trPr>
        <w:tc>
          <w:tcPr>
            <w:tcW w:w="1597" w:type="dxa"/>
            <w:vMerge w:val="restart"/>
            <w:tcBorders>
              <w:top w:val="nil"/>
              <w:left w:val="single" w:color="auto" w:sz="4" w:space="0"/>
              <w:bottom w:val="single" w:color="auto" w:sz="4" w:space="0"/>
              <w:right w:val="single" w:color="auto" w:sz="4" w:space="0"/>
            </w:tcBorders>
            <w:noWrap w:val="0"/>
            <w:vAlign w:val="bottom"/>
          </w:tcPr>
          <w:p w14:paraId="6090FA1A">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597" w:type="dxa"/>
            <w:tcBorders>
              <w:top w:val="nil"/>
              <w:left w:val="nil"/>
              <w:bottom w:val="single" w:color="auto" w:sz="4" w:space="0"/>
              <w:right w:val="single" w:color="auto" w:sz="4" w:space="0"/>
            </w:tcBorders>
            <w:noWrap w:val="0"/>
            <w:vAlign w:val="center"/>
          </w:tcPr>
          <w:p w14:paraId="5D5D928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50" w:type="dxa"/>
            <w:tcBorders>
              <w:top w:val="nil"/>
              <w:left w:val="nil"/>
              <w:bottom w:val="single" w:color="auto" w:sz="4" w:space="0"/>
              <w:right w:val="single" w:color="auto" w:sz="4" w:space="0"/>
            </w:tcBorders>
            <w:noWrap w:val="0"/>
            <w:vAlign w:val="center"/>
          </w:tcPr>
          <w:p w14:paraId="7F2BB8B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742" w:type="dxa"/>
            <w:tcBorders>
              <w:top w:val="nil"/>
              <w:left w:val="nil"/>
              <w:bottom w:val="single" w:color="auto" w:sz="4" w:space="0"/>
              <w:right w:val="single" w:color="auto" w:sz="4" w:space="0"/>
            </w:tcBorders>
            <w:noWrap w:val="0"/>
            <w:vAlign w:val="center"/>
          </w:tcPr>
          <w:p w14:paraId="66D9CFA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742" w:type="dxa"/>
            <w:tcBorders>
              <w:top w:val="nil"/>
              <w:left w:val="nil"/>
              <w:bottom w:val="single" w:color="auto" w:sz="4" w:space="0"/>
              <w:right w:val="single" w:color="auto" w:sz="4" w:space="0"/>
            </w:tcBorders>
            <w:noWrap w:val="0"/>
            <w:vAlign w:val="center"/>
          </w:tcPr>
          <w:p w14:paraId="22B23BB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158" w:type="dxa"/>
            <w:tcBorders>
              <w:top w:val="nil"/>
              <w:left w:val="nil"/>
              <w:bottom w:val="single" w:color="auto" w:sz="4" w:space="0"/>
              <w:right w:val="single" w:color="auto" w:sz="4" w:space="0"/>
            </w:tcBorders>
            <w:noWrap w:val="0"/>
            <w:vAlign w:val="center"/>
          </w:tcPr>
          <w:p w14:paraId="5E3F37F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62EB737C">
        <w:tblPrEx>
          <w:tblCellMar>
            <w:top w:w="0" w:type="dxa"/>
            <w:left w:w="108" w:type="dxa"/>
            <w:bottom w:w="0" w:type="dxa"/>
            <w:right w:w="108" w:type="dxa"/>
          </w:tblCellMar>
        </w:tblPrEx>
        <w:trPr>
          <w:trHeight w:val="225" w:hRule="atLeast"/>
        </w:trPr>
        <w:tc>
          <w:tcPr>
            <w:tcW w:w="1597" w:type="dxa"/>
            <w:vMerge w:val="continue"/>
            <w:tcBorders>
              <w:top w:val="nil"/>
              <w:left w:val="single" w:color="auto" w:sz="4" w:space="0"/>
              <w:bottom w:val="single" w:color="auto" w:sz="4" w:space="0"/>
              <w:right w:val="single" w:color="auto" w:sz="4" w:space="0"/>
            </w:tcBorders>
            <w:noWrap w:val="0"/>
            <w:vAlign w:val="center"/>
          </w:tcPr>
          <w:p w14:paraId="4D5D28AF">
            <w:pPr>
              <w:rPr>
                <w:color w:val="auto"/>
                <w:highlight w:val="none"/>
              </w:rPr>
            </w:pPr>
          </w:p>
        </w:tc>
        <w:tc>
          <w:tcPr>
            <w:tcW w:w="1597" w:type="dxa"/>
            <w:tcBorders>
              <w:top w:val="nil"/>
              <w:left w:val="nil"/>
              <w:bottom w:val="single" w:color="auto" w:sz="4" w:space="0"/>
              <w:right w:val="single" w:color="auto" w:sz="4" w:space="0"/>
            </w:tcBorders>
            <w:noWrap w:val="0"/>
            <w:vAlign w:val="center"/>
          </w:tcPr>
          <w:p w14:paraId="2A32B34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450" w:type="dxa"/>
            <w:tcBorders>
              <w:top w:val="nil"/>
              <w:left w:val="nil"/>
              <w:bottom w:val="single" w:color="auto" w:sz="4" w:space="0"/>
              <w:right w:val="single" w:color="auto" w:sz="4" w:space="0"/>
            </w:tcBorders>
            <w:noWrap w:val="0"/>
            <w:vAlign w:val="center"/>
          </w:tcPr>
          <w:p w14:paraId="76A9D25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742" w:type="dxa"/>
            <w:tcBorders>
              <w:top w:val="nil"/>
              <w:left w:val="nil"/>
              <w:bottom w:val="single" w:color="auto" w:sz="4" w:space="0"/>
              <w:right w:val="single" w:color="auto" w:sz="4" w:space="0"/>
            </w:tcBorders>
            <w:noWrap w:val="0"/>
            <w:vAlign w:val="center"/>
          </w:tcPr>
          <w:p w14:paraId="174E9FD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742" w:type="dxa"/>
            <w:tcBorders>
              <w:top w:val="nil"/>
              <w:left w:val="nil"/>
              <w:bottom w:val="single" w:color="auto" w:sz="4" w:space="0"/>
              <w:right w:val="single" w:color="auto" w:sz="4" w:space="0"/>
            </w:tcBorders>
            <w:noWrap w:val="0"/>
            <w:vAlign w:val="center"/>
          </w:tcPr>
          <w:p w14:paraId="6E767CB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158" w:type="dxa"/>
            <w:tcBorders>
              <w:top w:val="nil"/>
              <w:left w:val="nil"/>
              <w:bottom w:val="single" w:color="auto" w:sz="4" w:space="0"/>
              <w:right w:val="single" w:color="auto" w:sz="4" w:space="0"/>
            </w:tcBorders>
            <w:noWrap w:val="0"/>
            <w:vAlign w:val="center"/>
          </w:tcPr>
          <w:p w14:paraId="176201C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76807E3F">
        <w:tblPrEx>
          <w:tblCellMar>
            <w:top w:w="0" w:type="dxa"/>
            <w:left w:w="108" w:type="dxa"/>
            <w:bottom w:w="0" w:type="dxa"/>
            <w:right w:w="108" w:type="dxa"/>
          </w:tblCellMar>
        </w:tblPrEx>
        <w:trPr>
          <w:trHeight w:val="225" w:hRule="atLeast"/>
        </w:trPr>
        <w:tc>
          <w:tcPr>
            <w:tcW w:w="1597" w:type="dxa"/>
            <w:vMerge w:val="restart"/>
            <w:tcBorders>
              <w:top w:val="nil"/>
              <w:left w:val="single" w:color="auto" w:sz="4" w:space="0"/>
              <w:bottom w:val="single" w:color="auto" w:sz="4" w:space="0"/>
              <w:right w:val="single" w:color="auto" w:sz="4" w:space="0"/>
            </w:tcBorders>
            <w:noWrap w:val="0"/>
            <w:vAlign w:val="bottom"/>
          </w:tcPr>
          <w:p w14:paraId="5EBF4AD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597" w:type="dxa"/>
            <w:tcBorders>
              <w:top w:val="nil"/>
              <w:left w:val="nil"/>
              <w:bottom w:val="single" w:color="auto" w:sz="4" w:space="0"/>
              <w:right w:val="single" w:color="auto" w:sz="4" w:space="0"/>
            </w:tcBorders>
            <w:noWrap w:val="0"/>
            <w:vAlign w:val="center"/>
          </w:tcPr>
          <w:p w14:paraId="5FABCC5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50" w:type="dxa"/>
            <w:tcBorders>
              <w:top w:val="nil"/>
              <w:left w:val="nil"/>
              <w:bottom w:val="single" w:color="auto" w:sz="4" w:space="0"/>
              <w:right w:val="single" w:color="auto" w:sz="4" w:space="0"/>
            </w:tcBorders>
            <w:noWrap w:val="0"/>
            <w:vAlign w:val="center"/>
          </w:tcPr>
          <w:p w14:paraId="13A3640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742" w:type="dxa"/>
            <w:tcBorders>
              <w:top w:val="nil"/>
              <w:left w:val="nil"/>
              <w:bottom w:val="single" w:color="auto" w:sz="4" w:space="0"/>
              <w:right w:val="single" w:color="auto" w:sz="4" w:space="0"/>
            </w:tcBorders>
            <w:noWrap w:val="0"/>
            <w:vAlign w:val="center"/>
          </w:tcPr>
          <w:p w14:paraId="5B7B19F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742" w:type="dxa"/>
            <w:tcBorders>
              <w:top w:val="nil"/>
              <w:left w:val="nil"/>
              <w:bottom w:val="single" w:color="auto" w:sz="4" w:space="0"/>
              <w:right w:val="single" w:color="auto" w:sz="4" w:space="0"/>
            </w:tcBorders>
            <w:noWrap w:val="0"/>
            <w:vAlign w:val="center"/>
          </w:tcPr>
          <w:p w14:paraId="0A6DA5A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158" w:type="dxa"/>
            <w:tcBorders>
              <w:top w:val="nil"/>
              <w:left w:val="nil"/>
              <w:bottom w:val="single" w:color="auto" w:sz="4" w:space="0"/>
              <w:right w:val="single" w:color="auto" w:sz="4" w:space="0"/>
            </w:tcBorders>
            <w:noWrap w:val="0"/>
            <w:vAlign w:val="center"/>
          </w:tcPr>
          <w:p w14:paraId="419C722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1DD823F9">
        <w:tblPrEx>
          <w:tblCellMar>
            <w:top w:w="0" w:type="dxa"/>
            <w:left w:w="108" w:type="dxa"/>
            <w:bottom w:w="0" w:type="dxa"/>
            <w:right w:w="108" w:type="dxa"/>
          </w:tblCellMar>
        </w:tblPrEx>
        <w:trPr>
          <w:trHeight w:val="225" w:hRule="atLeast"/>
        </w:trPr>
        <w:tc>
          <w:tcPr>
            <w:tcW w:w="1597" w:type="dxa"/>
            <w:vMerge w:val="continue"/>
            <w:tcBorders>
              <w:top w:val="nil"/>
              <w:left w:val="single" w:color="auto" w:sz="4" w:space="0"/>
              <w:bottom w:val="single" w:color="auto" w:sz="4" w:space="0"/>
              <w:right w:val="single" w:color="auto" w:sz="4" w:space="0"/>
            </w:tcBorders>
            <w:noWrap w:val="0"/>
            <w:vAlign w:val="center"/>
          </w:tcPr>
          <w:p w14:paraId="1B08EA47">
            <w:pPr>
              <w:rPr>
                <w:color w:val="auto"/>
                <w:highlight w:val="none"/>
              </w:rPr>
            </w:pPr>
          </w:p>
        </w:tc>
        <w:tc>
          <w:tcPr>
            <w:tcW w:w="1597" w:type="dxa"/>
            <w:tcBorders>
              <w:top w:val="nil"/>
              <w:left w:val="nil"/>
              <w:bottom w:val="single" w:color="auto" w:sz="4" w:space="0"/>
              <w:right w:val="single" w:color="auto" w:sz="4" w:space="0"/>
            </w:tcBorders>
            <w:noWrap w:val="0"/>
            <w:vAlign w:val="center"/>
          </w:tcPr>
          <w:p w14:paraId="11A9626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50" w:type="dxa"/>
            <w:tcBorders>
              <w:top w:val="nil"/>
              <w:left w:val="nil"/>
              <w:bottom w:val="single" w:color="auto" w:sz="4" w:space="0"/>
              <w:right w:val="single" w:color="auto" w:sz="4" w:space="0"/>
            </w:tcBorders>
            <w:noWrap w:val="0"/>
            <w:vAlign w:val="center"/>
          </w:tcPr>
          <w:p w14:paraId="026AB98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742" w:type="dxa"/>
            <w:tcBorders>
              <w:top w:val="nil"/>
              <w:left w:val="nil"/>
              <w:bottom w:val="single" w:color="auto" w:sz="4" w:space="0"/>
              <w:right w:val="single" w:color="auto" w:sz="4" w:space="0"/>
            </w:tcBorders>
            <w:noWrap w:val="0"/>
            <w:vAlign w:val="center"/>
          </w:tcPr>
          <w:p w14:paraId="648A814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742" w:type="dxa"/>
            <w:tcBorders>
              <w:top w:val="nil"/>
              <w:left w:val="nil"/>
              <w:bottom w:val="single" w:color="auto" w:sz="4" w:space="0"/>
              <w:right w:val="single" w:color="auto" w:sz="4" w:space="0"/>
            </w:tcBorders>
            <w:noWrap w:val="0"/>
            <w:vAlign w:val="center"/>
          </w:tcPr>
          <w:p w14:paraId="11FD2BB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158" w:type="dxa"/>
            <w:tcBorders>
              <w:top w:val="nil"/>
              <w:left w:val="nil"/>
              <w:bottom w:val="single" w:color="auto" w:sz="4" w:space="0"/>
              <w:right w:val="single" w:color="auto" w:sz="4" w:space="0"/>
            </w:tcBorders>
            <w:noWrap w:val="0"/>
            <w:vAlign w:val="center"/>
          </w:tcPr>
          <w:p w14:paraId="32F661C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2B26DF50">
        <w:tblPrEx>
          <w:tblCellMar>
            <w:top w:w="0" w:type="dxa"/>
            <w:left w:w="108" w:type="dxa"/>
            <w:bottom w:w="0" w:type="dxa"/>
            <w:right w:w="108" w:type="dxa"/>
          </w:tblCellMar>
        </w:tblPrEx>
        <w:trPr>
          <w:trHeight w:val="225" w:hRule="atLeast"/>
        </w:trPr>
        <w:tc>
          <w:tcPr>
            <w:tcW w:w="1597" w:type="dxa"/>
            <w:vMerge w:val="restart"/>
            <w:tcBorders>
              <w:top w:val="nil"/>
              <w:left w:val="single" w:color="auto" w:sz="4" w:space="0"/>
              <w:bottom w:val="single" w:color="auto" w:sz="4" w:space="0"/>
              <w:right w:val="single" w:color="auto" w:sz="4" w:space="0"/>
            </w:tcBorders>
            <w:noWrap w:val="0"/>
            <w:vAlign w:val="bottom"/>
          </w:tcPr>
          <w:p w14:paraId="606A2C6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597" w:type="dxa"/>
            <w:tcBorders>
              <w:top w:val="nil"/>
              <w:left w:val="nil"/>
              <w:bottom w:val="single" w:color="auto" w:sz="4" w:space="0"/>
              <w:right w:val="single" w:color="auto" w:sz="4" w:space="0"/>
            </w:tcBorders>
            <w:noWrap w:val="0"/>
            <w:vAlign w:val="center"/>
          </w:tcPr>
          <w:p w14:paraId="3FC8EDC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50" w:type="dxa"/>
            <w:tcBorders>
              <w:top w:val="nil"/>
              <w:left w:val="nil"/>
              <w:bottom w:val="single" w:color="auto" w:sz="4" w:space="0"/>
              <w:right w:val="single" w:color="auto" w:sz="4" w:space="0"/>
            </w:tcBorders>
            <w:noWrap w:val="0"/>
            <w:vAlign w:val="center"/>
          </w:tcPr>
          <w:p w14:paraId="33F3393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742" w:type="dxa"/>
            <w:tcBorders>
              <w:top w:val="nil"/>
              <w:left w:val="nil"/>
              <w:bottom w:val="single" w:color="auto" w:sz="4" w:space="0"/>
              <w:right w:val="single" w:color="auto" w:sz="4" w:space="0"/>
            </w:tcBorders>
            <w:noWrap w:val="0"/>
            <w:vAlign w:val="center"/>
          </w:tcPr>
          <w:p w14:paraId="47F4E7A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742" w:type="dxa"/>
            <w:tcBorders>
              <w:top w:val="nil"/>
              <w:left w:val="nil"/>
              <w:bottom w:val="single" w:color="auto" w:sz="4" w:space="0"/>
              <w:right w:val="single" w:color="auto" w:sz="4" w:space="0"/>
            </w:tcBorders>
            <w:noWrap w:val="0"/>
            <w:vAlign w:val="center"/>
          </w:tcPr>
          <w:p w14:paraId="058DD2F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158" w:type="dxa"/>
            <w:tcBorders>
              <w:top w:val="nil"/>
              <w:left w:val="nil"/>
              <w:bottom w:val="single" w:color="auto" w:sz="4" w:space="0"/>
              <w:right w:val="single" w:color="auto" w:sz="4" w:space="0"/>
            </w:tcBorders>
            <w:noWrap w:val="0"/>
            <w:vAlign w:val="center"/>
          </w:tcPr>
          <w:p w14:paraId="1AA6696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38DA26E">
        <w:tblPrEx>
          <w:tblCellMar>
            <w:top w:w="0" w:type="dxa"/>
            <w:left w:w="108" w:type="dxa"/>
            <w:bottom w:w="0" w:type="dxa"/>
            <w:right w:w="108" w:type="dxa"/>
          </w:tblCellMar>
        </w:tblPrEx>
        <w:trPr>
          <w:trHeight w:val="225" w:hRule="atLeast"/>
        </w:trPr>
        <w:tc>
          <w:tcPr>
            <w:tcW w:w="1597" w:type="dxa"/>
            <w:vMerge w:val="continue"/>
            <w:tcBorders>
              <w:top w:val="nil"/>
              <w:left w:val="single" w:color="auto" w:sz="4" w:space="0"/>
              <w:bottom w:val="single" w:color="auto" w:sz="4" w:space="0"/>
              <w:right w:val="single" w:color="auto" w:sz="4" w:space="0"/>
            </w:tcBorders>
            <w:noWrap w:val="0"/>
            <w:vAlign w:val="center"/>
          </w:tcPr>
          <w:p w14:paraId="685CA36D">
            <w:pPr>
              <w:rPr>
                <w:color w:val="auto"/>
                <w:highlight w:val="none"/>
              </w:rPr>
            </w:pPr>
          </w:p>
        </w:tc>
        <w:tc>
          <w:tcPr>
            <w:tcW w:w="1597" w:type="dxa"/>
            <w:tcBorders>
              <w:top w:val="nil"/>
              <w:left w:val="nil"/>
              <w:bottom w:val="single" w:color="auto" w:sz="4" w:space="0"/>
              <w:right w:val="single" w:color="auto" w:sz="4" w:space="0"/>
            </w:tcBorders>
            <w:noWrap w:val="0"/>
            <w:vAlign w:val="center"/>
          </w:tcPr>
          <w:p w14:paraId="208DFBA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50" w:type="dxa"/>
            <w:tcBorders>
              <w:top w:val="nil"/>
              <w:left w:val="nil"/>
              <w:bottom w:val="single" w:color="auto" w:sz="4" w:space="0"/>
              <w:right w:val="single" w:color="auto" w:sz="4" w:space="0"/>
            </w:tcBorders>
            <w:noWrap w:val="0"/>
            <w:vAlign w:val="center"/>
          </w:tcPr>
          <w:p w14:paraId="12391E2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742" w:type="dxa"/>
            <w:tcBorders>
              <w:top w:val="nil"/>
              <w:left w:val="nil"/>
              <w:bottom w:val="single" w:color="auto" w:sz="4" w:space="0"/>
              <w:right w:val="single" w:color="auto" w:sz="4" w:space="0"/>
            </w:tcBorders>
            <w:noWrap w:val="0"/>
            <w:vAlign w:val="center"/>
          </w:tcPr>
          <w:p w14:paraId="4433EC6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42" w:type="dxa"/>
            <w:tcBorders>
              <w:top w:val="nil"/>
              <w:left w:val="nil"/>
              <w:bottom w:val="single" w:color="auto" w:sz="4" w:space="0"/>
              <w:right w:val="single" w:color="auto" w:sz="4" w:space="0"/>
            </w:tcBorders>
            <w:noWrap w:val="0"/>
            <w:vAlign w:val="center"/>
          </w:tcPr>
          <w:p w14:paraId="0B95FB5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158" w:type="dxa"/>
            <w:tcBorders>
              <w:top w:val="nil"/>
              <w:left w:val="nil"/>
              <w:bottom w:val="single" w:color="auto" w:sz="4" w:space="0"/>
              <w:right w:val="single" w:color="auto" w:sz="4" w:space="0"/>
            </w:tcBorders>
            <w:noWrap w:val="0"/>
            <w:vAlign w:val="center"/>
          </w:tcPr>
          <w:p w14:paraId="4A9858A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8F493D2">
        <w:tblPrEx>
          <w:tblCellMar>
            <w:top w:w="0" w:type="dxa"/>
            <w:left w:w="108" w:type="dxa"/>
            <w:bottom w:w="0" w:type="dxa"/>
            <w:right w:w="108" w:type="dxa"/>
          </w:tblCellMar>
        </w:tblPrEx>
        <w:trPr>
          <w:trHeight w:val="225" w:hRule="atLeast"/>
        </w:trPr>
        <w:tc>
          <w:tcPr>
            <w:tcW w:w="1597" w:type="dxa"/>
            <w:vMerge w:val="restart"/>
            <w:tcBorders>
              <w:top w:val="nil"/>
              <w:left w:val="single" w:color="auto" w:sz="4" w:space="0"/>
              <w:bottom w:val="single" w:color="auto" w:sz="4" w:space="0"/>
              <w:right w:val="single" w:color="auto" w:sz="4" w:space="0"/>
            </w:tcBorders>
            <w:noWrap w:val="0"/>
            <w:vAlign w:val="bottom"/>
          </w:tcPr>
          <w:p w14:paraId="388AB2A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597" w:type="dxa"/>
            <w:tcBorders>
              <w:top w:val="nil"/>
              <w:left w:val="nil"/>
              <w:bottom w:val="single" w:color="auto" w:sz="4" w:space="0"/>
              <w:right w:val="single" w:color="auto" w:sz="4" w:space="0"/>
            </w:tcBorders>
            <w:noWrap w:val="0"/>
            <w:vAlign w:val="center"/>
          </w:tcPr>
          <w:p w14:paraId="49C9CDF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50" w:type="dxa"/>
            <w:tcBorders>
              <w:top w:val="nil"/>
              <w:left w:val="nil"/>
              <w:bottom w:val="single" w:color="auto" w:sz="4" w:space="0"/>
              <w:right w:val="single" w:color="auto" w:sz="4" w:space="0"/>
            </w:tcBorders>
            <w:noWrap w:val="0"/>
            <w:vAlign w:val="center"/>
          </w:tcPr>
          <w:p w14:paraId="66D4A87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742" w:type="dxa"/>
            <w:tcBorders>
              <w:top w:val="nil"/>
              <w:left w:val="nil"/>
              <w:bottom w:val="single" w:color="auto" w:sz="4" w:space="0"/>
              <w:right w:val="single" w:color="auto" w:sz="4" w:space="0"/>
            </w:tcBorders>
            <w:noWrap w:val="0"/>
            <w:vAlign w:val="center"/>
          </w:tcPr>
          <w:p w14:paraId="58894A5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42" w:type="dxa"/>
            <w:tcBorders>
              <w:top w:val="nil"/>
              <w:left w:val="nil"/>
              <w:bottom w:val="single" w:color="auto" w:sz="4" w:space="0"/>
              <w:right w:val="single" w:color="auto" w:sz="4" w:space="0"/>
            </w:tcBorders>
            <w:noWrap w:val="0"/>
            <w:vAlign w:val="center"/>
          </w:tcPr>
          <w:p w14:paraId="33EE572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58" w:type="dxa"/>
            <w:tcBorders>
              <w:top w:val="nil"/>
              <w:left w:val="nil"/>
              <w:bottom w:val="single" w:color="auto" w:sz="4" w:space="0"/>
              <w:right w:val="single" w:color="auto" w:sz="4" w:space="0"/>
            </w:tcBorders>
            <w:noWrap w:val="0"/>
            <w:vAlign w:val="center"/>
          </w:tcPr>
          <w:p w14:paraId="7F3CDF6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D79E6B3">
        <w:tblPrEx>
          <w:tblCellMar>
            <w:top w:w="0" w:type="dxa"/>
            <w:left w:w="108" w:type="dxa"/>
            <w:bottom w:w="0" w:type="dxa"/>
            <w:right w:w="108" w:type="dxa"/>
          </w:tblCellMar>
        </w:tblPrEx>
        <w:trPr>
          <w:trHeight w:val="225" w:hRule="atLeast"/>
        </w:trPr>
        <w:tc>
          <w:tcPr>
            <w:tcW w:w="1597" w:type="dxa"/>
            <w:vMerge w:val="continue"/>
            <w:tcBorders>
              <w:top w:val="nil"/>
              <w:left w:val="single" w:color="auto" w:sz="4" w:space="0"/>
              <w:bottom w:val="single" w:color="auto" w:sz="4" w:space="0"/>
              <w:right w:val="single" w:color="auto" w:sz="4" w:space="0"/>
            </w:tcBorders>
            <w:noWrap w:val="0"/>
            <w:vAlign w:val="center"/>
          </w:tcPr>
          <w:p w14:paraId="2DD4A73F">
            <w:pPr>
              <w:rPr>
                <w:color w:val="auto"/>
                <w:highlight w:val="none"/>
              </w:rPr>
            </w:pPr>
          </w:p>
        </w:tc>
        <w:tc>
          <w:tcPr>
            <w:tcW w:w="1597" w:type="dxa"/>
            <w:tcBorders>
              <w:top w:val="nil"/>
              <w:left w:val="nil"/>
              <w:bottom w:val="single" w:color="auto" w:sz="4" w:space="0"/>
              <w:right w:val="single" w:color="auto" w:sz="4" w:space="0"/>
            </w:tcBorders>
            <w:noWrap w:val="0"/>
            <w:vAlign w:val="center"/>
          </w:tcPr>
          <w:p w14:paraId="453C037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50" w:type="dxa"/>
            <w:tcBorders>
              <w:top w:val="nil"/>
              <w:left w:val="nil"/>
              <w:bottom w:val="single" w:color="auto" w:sz="4" w:space="0"/>
              <w:right w:val="single" w:color="auto" w:sz="4" w:space="0"/>
            </w:tcBorders>
            <w:noWrap w:val="0"/>
            <w:vAlign w:val="center"/>
          </w:tcPr>
          <w:p w14:paraId="12700D9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742" w:type="dxa"/>
            <w:tcBorders>
              <w:top w:val="nil"/>
              <w:left w:val="nil"/>
              <w:bottom w:val="single" w:color="auto" w:sz="4" w:space="0"/>
              <w:right w:val="single" w:color="auto" w:sz="4" w:space="0"/>
            </w:tcBorders>
            <w:noWrap w:val="0"/>
            <w:vAlign w:val="center"/>
          </w:tcPr>
          <w:p w14:paraId="0FAE2E0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742" w:type="dxa"/>
            <w:tcBorders>
              <w:top w:val="nil"/>
              <w:left w:val="nil"/>
              <w:bottom w:val="single" w:color="auto" w:sz="4" w:space="0"/>
              <w:right w:val="single" w:color="auto" w:sz="4" w:space="0"/>
            </w:tcBorders>
            <w:noWrap w:val="0"/>
            <w:vAlign w:val="center"/>
          </w:tcPr>
          <w:p w14:paraId="52958C7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158" w:type="dxa"/>
            <w:tcBorders>
              <w:top w:val="nil"/>
              <w:left w:val="nil"/>
              <w:bottom w:val="single" w:color="auto" w:sz="4" w:space="0"/>
              <w:right w:val="single" w:color="auto" w:sz="4" w:space="0"/>
            </w:tcBorders>
            <w:noWrap w:val="0"/>
            <w:vAlign w:val="center"/>
          </w:tcPr>
          <w:p w14:paraId="12EBAB5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7C083FF9">
        <w:tblPrEx>
          <w:tblCellMar>
            <w:top w:w="0" w:type="dxa"/>
            <w:left w:w="108" w:type="dxa"/>
            <w:bottom w:w="0" w:type="dxa"/>
            <w:right w:w="108" w:type="dxa"/>
          </w:tblCellMar>
        </w:tblPrEx>
        <w:trPr>
          <w:trHeight w:val="225" w:hRule="atLeast"/>
        </w:trPr>
        <w:tc>
          <w:tcPr>
            <w:tcW w:w="1597" w:type="dxa"/>
            <w:vMerge w:val="restart"/>
            <w:tcBorders>
              <w:top w:val="nil"/>
              <w:left w:val="single" w:color="auto" w:sz="4" w:space="0"/>
              <w:bottom w:val="single" w:color="auto" w:sz="4" w:space="0"/>
              <w:right w:val="single" w:color="auto" w:sz="4" w:space="0"/>
            </w:tcBorders>
            <w:noWrap w:val="0"/>
            <w:vAlign w:val="bottom"/>
          </w:tcPr>
          <w:p w14:paraId="79CF201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597" w:type="dxa"/>
            <w:tcBorders>
              <w:top w:val="nil"/>
              <w:left w:val="nil"/>
              <w:bottom w:val="single" w:color="auto" w:sz="4" w:space="0"/>
              <w:right w:val="single" w:color="auto" w:sz="4" w:space="0"/>
            </w:tcBorders>
            <w:noWrap w:val="0"/>
            <w:vAlign w:val="center"/>
          </w:tcPr>
          <w:p w14:paraId="0C9B637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50" w:type="dxa"/>
            <w:tcBorders>
              <w:top w:val="nil"/>
              <w:left w:val="nil"/>
              <w:bottom w:val="single" w:color="auto" w:sz="4" w:space="0"/>
              <w:right w:val="single" w:color="auto" w:sz="4" w:space="0"/>
            </w:tcBorders>
            <w:noWrap w:val="0"/>
            <w:vAlign w:val="center"/>
          </w:tcPr>
          <w:p w14:paraId="12F7118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742" w:type="dxa"/>
            <w:tcBorders>
              <w:top w:val="nil"/>
              <w:left w:val="nil"/>
              <w:bottom w:val="single" w:color="auto" w:sz="4" w:space="0"/>
              <w:right w:val="single" w:color="auto" w:sz="4" w:space="0"/>
            </w:tcBorders>
            <w:noWrap w:val="0"/>
            <w:vAlign w:val="center"/>
          </w:tcPr>
          <w:p w14:paraId="1AFD9A3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742" w:type="dxa"/>
            <w:tcBorders>
              <w:top w:val="nil"/>
              <w:left w:val="nil"/>
              <w:bottom w:val="single" w:color="auto" w:sz="4" w:space="0"/>
              <w:right w:val="single" w:color="auto" w:sz="4" w:space="0"/>
            </w:tcBorders>
            <w:noWrap w:val="0"/>
            <w:vAlign w:val="center"/>
          </w:tcPr>
          <w:p w14:paraId="058B4E4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158" w:type="dxa"/>
            <w:tcBorders>
              <w:top w:val="nil"/>
              <w:left w:val="nil"/>
              <w:bottom w:val="single" w:color="auto" w:sz="4" w:space="0"/>
              <w:right w:val="single" w:color="auto" w:sz="4" w:space="0"/>
            </w:tcBorders>
            <w:noWrap w:val="0"/>
            <w:vAlign w:val="center"/>
          </w:tcPr>
          <w:p w14:paraId="2C75919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67592D92">
        <w:tblPrEx>
          <w:tblCellMar>
            <w:top w:w="0" w:type="dxa"/>
            <w:left w:w="108" w:type="dxa"/>
            <w:bottom w:w="0" w:type="dxa"/>
            <w:right w:w="108" w:type="dxa"/>
          </w:tblCellMar>
        </w:tblPrEx>
        <w:trPr>
          <w:trHeight w:val="225" w:hRule="atLeast"/>
        </w:trPr>
        <w:tc>
          <w:tcPr>
            <w:tcW w:w="1597" w:type="dxa"/>
            <w:vMerge w:val="continue"/>
            <w:tcBorders>
              <w:top w:val="nil"/>
              <w:left w:val="single" w:color="auto" w:sz="4" w:space="0"/>
              <w:bottom w:val="single" w:color="auto" w:sz="4" w:space="0"/>
              <w:right w:val="single" w:color="auto" w:sz="4" w:space="0"/>
            </w:tcBorders>
            <w:noWrap w:val="0"/>
            <w:vAlign w:val="center"/>
          </w:tcPr>
          <w:p w14:paraId="4CB0B46C">
            <w:pPr>
              <w:rPr>
                <w:color w:val="auto"/>
                <w:highlight w:val="none"/>
              </w:rPr>
            </w:pPr>
          </w:p>
        </w:tc>
        <w:tc>
          <w:tcPr>
            <w:tcW w:w="1597" w:type="dxa"/>
            <w:tcBorders>
              <w:top w:val="nil"/>
              <w:left w:val="nil"/>
              <w:bottom w:val="single" w:color="auto" w:sz="4" w:space="0"/>
              <w:right w:val="single" w:color="auto" w:sz="4" w:space="0"/>
            </w:tcBorders>
            <w:noWrap w:val="0"/>
            <w:vAlign w:val="center"/>
          </w:tcPr>
          <w:p w14:paraId="0255D4F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50" w:type="dxa"/>
            <w:tcBorders>
              <w:top w:val="nil"/>
              <w:left w:val="nil"/>
              <w:bottom w:val="single" w:color="auto" w:sz="4" w:space="0"/>
              <w:right w:val="single" w:color="auto" w:sz="4" w:space="0"/>
            </w:tcBorders>
            <w:noWrap w:val="0"/>
            <w:vAlign w:val="center"/>
          </w:tcPr>
          <w:p w14:paraId="79A3818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742" w:type="dxa"/>
            <w:tcBorders>
              <w:top w:val="nil"/>
              <w:left w:val="nil"/>
              <w:bottom w:val="single" w:color="auto" w:sz="4" w:space="0"/>
              <w:right w:val="single" w:color="auto" w:sz="4" w:space="0"/>
            </w:tcBorders>
            <w:noWrap w:val="0"/>
            <w:vAlign w:val="center"/>
          </w:tcPr>
          <w:p w14:paraId="54D1F22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742" w:type="dxa"/>
            <w:tcBorders>
              <w:top w:val="nil"/>
              <w:left w:val="nil"/>
              <w:bottom w:val="single" w:color="auto" w:sz="4" w:space="0"/>
              <w:right w:val="single" w:color="auto" w:sz="4" w:space="0"/>
            </w:tcBorders>
            <w:noWrap w:val="0"/>
            <w:vAlign w:val="center"/>
          </w:tcPr>
          <w:p w14:paraId="08DF867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58" w:type="dxa"/>
            <w:tcBorders>
              <w:top w:val="nil"/>
              <w:left w:val="nil"/>
              <w:bottom w:val="single" w:color="auto" w:sz="4" w:space="0"/>
              <w:right w:val="single" w:color="auto" w:sz="4" w:space="0"/>
            </w:tcBorders>
            <w:noWrap w:val="0"/>
            <w:vAlign w:val="center"/>
          </w:tcPr>
          <w:p w14:paraId="557084B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97672CE">
        <w:tblPrEx>
          <w:tblCellMar>
            <w:top w:w="0" w:type="dxa"/>
            <w:left w:w="108" w:type="dxa"/>
            <w:bottom w:w="0" w:type="dxa"/>
            <w:right w:w="108" w:type="dxa"/>
          </w:tblCellMar>
        </w:tblPrEx>
        <w:trPr>
          <w:trHeight w:val="225" w:hRule="atLeast"/>
        </w:trPr>
        <w:tc>
          <w:tcPr>
            <w:tcW w:w="1597" w:type="dxa"/>
            <w:vMerge w:val="restart"/>
            <w:tcBorders>
              <w:top w:val="nil"/>
              <w:left w:val="single" w:color="auto" w:sz="4" w:space="0"/>
              <w:bottom w:val="single" w:color="auto" w:sz="4" w:space="0"/>
              <w:right w:val="single" w:color="auto" w:sz="4" w:space="0"/>
            </w:tcBorders>
            <w:noWrap w:val="0"/>
            <w:vAlign w:val="bottom"/>
          </w:tcPr>
          <w:p w14:paraId="44AF57C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597" w:type="dxa"/>
            <w:tcBorders>
              <w:top w:val="nil"/>
              <w:left w:val="nil"/>
              <w:bottom w:val="single" w:color="auto" w:sz="4" w:space="0"/>
              <w:right w:val="single" w:color="auto" w:sz="4" w:space="0"/>
            </w:tcBorders>
            <w:noWrap w:val="0"/>
            <w:vAlign w:val="center"/>
          </w:tcPr>
          <w:p w14:paraId="526DED9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50" w:type="dxa"/>
            <w:tcBorders>
              <w:top w:val="nil"/>
              <w:left w:val="nil"/>
              <w:bottom w:val="single" w:color="auto" w:sz="4" w:space="0"/>
              <w:right w:val="single" w:color="auto" w:sz="4" w:space="0"/>
            </w:tcBorders>
            <w:noWrap w:val="0"/>
            <w:vAlign w:val="center"/>
          </w:tcPr>
          <w:p w14:paraId="4734CAC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742" w:type="dxa"/>
            <w:tcBorders>
              <w:top w:val="nil"/>
              <w:left w:val="nil"/>
              <w:bottom w:val="single" w:color="auto" w:sz="4" w:space="0"/>
              <w:right w:val="single" w:color="auto" w:sz="4" w:space="0"/>
            </w:tcBorders>
            <w:noWrap w:val="0"/>
            <w:vAlign w:val="center"/>
          </w:tcPr>
          <w:p w14:paraId="015D1B7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42" w:type="dxa"/>
            <w:tcBorders>
              <w:top w:val="nil"/>
              <w:left w:val="nil"/>
              <w:bottom w:val="single" w:color="auto" w:sz="4" w:space="0"/>
              <w:right w:val="single" w:color="auto" w:sz="4" w:space="0"/>
            </w:tcBorders>
            <w:noWrap w:val="0"/>
            <w:vAlign w:val="center"/>
          </w:tcPr>
          <w:p w14:paraId="6E4BEB7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58" w:type="dxa"/>
            <w:tcBorders>
              <w:top w:val="nil"/>
              <w:left w:val="nil"/>
              <w:bottom w:val="single" w:color="auto" w:sz="4" w:space="0"/>
              <w:right w:val="single" w:color="auto" w:sz="4" w:space="0"/>
            </w:tcBorders>
            <w:noWrap w:val="0"/>
            <w:vAlign w:val="center"/>
          </w:tcPr>
          <w:p w14:paraId="2909136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7293762C">
        <w:tblPrEx>
          <w:tblCellMar>
            <w:top w:w="0" w:type="dxa"/>
            <w:left w:w="108" w:type="dxa"/>
            <w:bottom w:w="0" w:type="dxa"/>
            <w:right w:w="108" w:type="dxa"/>
          </w:tblCellMar>
        </w:tblPrEx>
        <w:trPr>
          <w:trHeight w:val="225" w:hRule="atLeast"/>
        </w:trPr>
        <w:tc>
          <w:tcPr>
            <w:tcW w:w="1597" w:type="dxa"/>
            <w:vMerge w:val="continue"/>
            <w:tcBorders>
              <w:top w:val="nil"/>
              <w:left w:val="single" w:color="auto" w:sz="4" w:space="0"/>
              <w:bottom w:val="single" w:color="auto" w:sz="4" w:space="0"/>
              <w:right w:val="single" w:color="auto" w:sz="4" w:space="0"/>
            </w:tcBorders>
            <w:noWrap w:val="0"/>
            <w:vAlign w:val="center"/>
          </w:tcPr>
          <w:p w14:paraId="0F550356">
            <w:pPr>
              <w:rPr>
                <w:color w:val="auto"/>
                <w:highlight w:val="none"/>
              </w:rPr>
            </w:pPr>
          </w:p>
        </w:tc>
        <w:tc>
          <w:tcPr>
            <w:tcW w:w="1597" w:type="dxa"/>
            <w:tcBorders>
              <w:top w:val="nil"/>
              <w:left w:val="nil"/>
              <w:bottom w:val="single" w:color="auto" w:sz="4" w:space="0"/>
              <w:right w:val="single" w:color="auto" w:sz="4" w:space="0"/>
            </w:tcBorders>
            <w:noWrap w:val="0"/>
            <w:vAlign w:val="center"/>
          </w:tcPr>
          <w:p w14:paraId="579E128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50" w:type="dxa"/>
            <w:tcBorders>
              <w:top w:val="nil"/>
              <w:left w:val="nil"/>
              <w:bottom w:val="single" w:color="auto" w:sz="4" w:space="0"/>
              <w:right w:val="single" w:color="auto" w:sz="4" w:space="0"/>
            </w:tcBorders>
            <w:noWrap w:val="0"/>
            <w:vAlign w:val="center"/>
          </w:tcPr>
          <w:p w14:paraId="3673274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742" w:type="dxa"/>
            <w:tcBorders>
              <w:top w:val="nil"/>
              <w:left w:val="nil"/>
              <w:bottom w:val="single" w:color="auto" w:sz="4" w:space="0"/>
              <w:right w:val="single" w:color="auto" w:sz="4" w:space="0"/>
            </w:tcBorders>
            <w:noWrap w:val="0"/>
            <w:vAlign w:val="center"/>
          </w:tcPr>
          <w:p w14:paraId="42A9F39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742" w:type="dxa"/>
            <w:tcBorders>
              <w:top w:val="nil"/>
              <w:left w:val="nil"/>
              <w:bottom w:val="single" w:color="auto" w:sz="4" w:space="0"/>
              <w:right w:val="single" w:color="auto" w:sz="4" w:space="0"/>
            </w:tcBorders>
            <w:noWrap w:val="0"/>
            <w:vAlign w:val="center"/>
          </w:tcPr>
          <w:p w14:paraId="05BBE0D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58" w:type="dxa"/>
            <w:tcBorders>
              <w:top w:val="nil"/>
              <w:left w:val="nil"/>
              <w:bottom w:val="single" w:color="auto" w:sz="4" w:space="0"/>
              <w:right w:val="single" w:color="auto" w:sz="4" w:space="0"/>
            </w:tcBorders>
            <w:noWrap w:val="0"/>
            <w:vAlign w:val="center"/>
          </w:tcPr>
          <w:p w14:paraId="5A1E52F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7823C06">
        <w:tblPrEx>
          <w:tblCellMar>
            <w:top w:w="0" w:type="dxa"/>
            <w:left w:w="108" w:type="dxa"/>
            <w:bottom w:w="0" w:type="dxa"/>
            <w:right w:w="108" w:type="dxa"/>
          </w:tblCellMar>
        </w:tblPrEx>
        <w:trPr>
          <w:trHeight w:val="225" w:hRule="atLeast"/>
        </w:trPr>
        <w:tc>
          <w:tcPr>
            <w:tcW w:w="1597" w:type="dxa"/>
            <w:vMerge w:val="restart"/>
            <w:tcBorders>
              <w:top w:val="nil"/>
              <w:left w:val="single" w:color="auto" w:sz="4" w:space="0"/>
              <w:bottom w:val="single" w:color="auto" w:sz="4" w:space="0"/>
              <w:right w:val="single" w:color="auto" w:sz="4" w:space="0"/>
            </w:tcBorders>
            <w:noWrap w:val="0"/>
            <w:vAlign w:val="bottom"/>
          </w:tcPr>
          <w:p w14:paraId="2CDD42D0">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597" w:type="dxa"/>
            <w:tcBorders>
              <w:top w:val="nil"/>
              <w:left w:val="nil"/>
              <w:bottom w:val="single" w:color="auto" w:sz="4" w:space="0"/>
              <w:right w:val="single" w:color="auto" w:sz="4" w:space="0"/>
            </w:tcBorders>
            <w:noWrap w:val="0"/>
            <w:vAlign w:val="center"/>
          </w:tcPr>
          <w:p w14:paraId="6BDD2B3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50" w:type="dxa"/>
            <w:tcBorders>
              <w:top w:val="nil"/>
              <w:left w:val="nil"/>
              <w:bottom w:val="single" w:color="auto" w:sz="4" w:space="0"/>
              <w:right w:val="single" w:color="auto" w:sz="4" w:space="0"/>
            </w:tcBorders>
            <w:noWrap w:val="0"/>
            <w:vAlign w:val="center"/>
          </w:tcPr>
          <w:p w14:paraId="627AE36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742" w:type="dxa"/>
            <w:tcBorders>
              <w:top w:val="nil"/>
              <w:left w:val="nil"/>
              <w:bottom w:val="single" w:color="auto" w:sz="4" w:space="0"/>
              <w:right w:val="single" w:color="auto" w:sz="4" w:space="0"/>
            </w:tcBorders>
            <w:noWrap w:val="0"/>
            <w:vAlign w:val="center"/>
          </w:tcPr>
          <w:p w14:paraId="019679D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42" w:type="dxa"/>
            <w:tcBorders>
              <w:top w:val="nil"/>
              <w:left w:val="nil"/>
              <w:bottom w:val="single" w:color="auto" w:sz="4" w:space="0"/>
              <w:right w:val="single" w:color="auto" w:sz="4" w:space="0"/>
            </w:tcBorders>
            <w:noWrap w:val="0"/>
            <w:vAlign w:val="center"/>
          </w:tcPr>
          <w:p w14:paraId="386EE18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58" w:type="dxa"/>
            <w:tcBorders>
              <w:top w:val="nil"/>
              <w:left w:val="nil"/>
              <w:bottom w:val="single" w:color="auto" w:sz="4" w:space="0"/>
              <w:right w:val="single" w:color="auto" w:sz="4" w:space="0"/>
            </w:tcBorders>
            <w:noWrap w:val="0"/>
            <w:vAlign w:val="center"/>
          </w:tcPr>
          <w:p w14:paraId="384B515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D5B3AE7">
        <w:tblPrEx>
          <w:tblCellMar>
            <w:top w:w="0" w:type="dxa"/>
            <w:left w:w="108" w:type="dxa"/>
            <w:bottom w:w="0" w:type="dxa"/>
            <w:right w:w="108" w:type="dxa"/>
          </w:tblCellMar>
        </w:tblPrEx>
        <w:trPr>
          <w:trHeight w:val="225" w:hRule="atLeast"/>
        </w:trPr>
        <w:tc>
          <w:tcPr>
            <w:tcW w:w="1597" w:type="dxa"/>
            <w:vMerge w:val="continue"/>
            <w:tcBorders>
              <w:top w:val="nil"/>
              <w:left w:val="single" w:color="auto" w:sz="4" w:space="0"/>
              <w:bottom w:val="single" w:color="auto" w:sz="4" w:space="0"/>
              <w:right w:val="single" w:color="auto" w:sz="4" w:space="0"/>
            </w:tcBorders>
            <w:noWrap w:val="0"/>
            <w:vAlign w:val="center"/>
          </w:tcPr>
          <w:p w14:paraId="11EC0AED">
            <w:pPr>
              <w:rPr>
                <w:color w:val="auto"/>
                <w:highlight w:val="none"/>
              </w:rPr>
            </w:pPr>
          </w:p>
        </w:tc>
        <w:tc>
          <w:tcPr>
            <w:tcW w:w="1597" w:type="dxa"/>
            <w:tcBorders>
              <w:top w:val="nil"/>
              <w:left w:val="nil"/>
              <w:bottom w:val="single" w:color="auto" w:sz="4" w:space="0"/>
              <w:right w:val="single" w:color="auto" w:sz="4" w:space="0"/>
            </w:tcBorders>
            <w:noWrap w:val="0"/>
            <w:vAlign w:val="center"/>
          </w:tcPr>
          <w:p w14:paraId="3817540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50" w:type="dxa"/>
            <w:tcBorders>
              <w:top w:val="nil"/>
              <w:left w:val="nil"/>
              <w:bottom w:val="single" w:color="auto" w:sz="4" w:space="0"/>
              <w:right w:val="single" w:color="auto" w:sz="4" w:space="0"/>
            </w:tcBorders>
            <w:noWrap w:val="0"/>
            <w:vAlign w:val="center"/>
          </w:tcPr>
          <w:p w14:paraId="1A1DF5D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742" w:type="dxa"/>
            <w:tcBorders>
              <w:top w:val="nil"/>
              <w:left w:val="nil"/>
              <w:bottom w:val="single" w:color="auto" w:sz="4" w:space="0"/>
              <w:right w:val="single" w:color="auto" w:sz="4" w:space="0"/>
            </w:tcBorders>
            <w:noWrap w:val="0"/>
            <w:vAlign w:val="center"/>
          </w:tcPr>
          <w:p w14:paraId="0312121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42" w:type="dxa"/>
            <w:tcBorders>
              <w:top w:val="nil"/>
              <w:left w:val="nil"/>
              <w:bottom w:val="single" w:color="auto" w:sz="4" w:space="0"/>
              <w:right w:val="single" w:color="auto" w:sz="4" w:space="0"/>
            </w:tcBorders>
            <w:noWrap w:val="0"/>
            <w:vAlign w:val="center"/>
          </w:tcPr>
          <w:p w14:paraId="2339D62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58" w:type="dxa"/>
            <w:tcBorders>
              <w:top w:val="nil"/>
              <w:left w:val="nil"/>
              <w:bottom w:val="single" w:color="auto" w:sz="4" w:space="0"/>
              <w:right w:val="single" w:color="auto" w:sz="4" w:space="0"/>
            </w:tcBorders>
            <w:noWrap w:val="0"/>
            <w:vAlign w:val="center"/>
          </w:tcPr>
          <w:p w14:paraId="7E9C304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FD02E1C">
        <w:tblPrEx>
          <w:tblCellMar>
            <w:top w:w="0" w:type="dxa"/>
            <w:left w:w="108" w:type="dxa"/>
            <w:bottom w:w="0" w:type="dxa"/>
            <w:right w:w="108" w:type="dxa"/>
          </w:tblCellMar>
        </w:tblPrEx>
        <w:trPr>
          <w:trHeight w:val="225" w:hRule="atLeast"/>
        </w:trPr>
        <w:tc>
          <w:tcPr>
            <w:tcW w:w="1597" w:type="dxa"/>
            <w:vMerge w:val="restart"/>
            <w:tcBorders>
              <w:top w:val="nil"/>
              <w:left w:val="single" w:color="auto" w:sz="4" w:space="0"/>
              <w:bottom w:val="single" w:color="auto" w:sz="4" w:space="0"/>
              <w:right w:val="single" w:color="auto" w:sz="4" w:space="0"/>
            </w:tcBorders>
            <w:noWrap w:val="0"/>
            <w:vAlign w:val="bottom"/>
          </w:tcPr>
          <w:p w14:paraId="05D2A64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597" w:type="dxa"/>
            <w:tcBorders>
              <w:top w:val="nil"/>
              <w:left w:val="nil"/>
              <w:bottom w:val="single" w:color="auto" w:sz="4" w:space="0"/>
              <w:right w:val="single" w:color="auto" w:sz="4" w:space="0"/>
            </w:tcBorders>
            <w:noWrap w:val="0"/>
            <w:vAlign w:val="center"/>
          </w:tcPr>
          <w:p w14:paraId="535F146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50" w:type="dxa"/>
            <w:tcBorders>
              <w:top w:val="nil"/>
              <w:left w:val="nil"/>
              <w:bottom w:val="single" w:color="auto" w:sz="4" w:space="0"/>
              <w:right w:val="single" w:color="auto" w:sz="4" w:space="0"/>
            </w:tcBorders>
            <w:noWrap w:val="0"/>
            <w:vAlign w:val="center"/>
          </w:tcPr>
          <w:p w14:paraId="2F385B3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742" w:type="dxa"/>
            <w:tcBorders>
              <w:top w:val="nil"/>
              <w:left w:val="nil"/>
              <w:bottom w:val="single" w:color="auto" w:sz="4" w:space="0"/>
              <w:right w:val="single" w:color="auto" w:sz="4" w:space="0"/>
            </w:tcBorders>
            <w:noWrap w:val="0"/>
            <w:vAlign w:val="center"/>
          </w:tcPr>
          <w:p w14:paraId="06E2F4B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42" w:type="dxa"/>
            <w:tcBorders>
              <w:top w:val="nil"/>
              <w:left w:val="nil"/>
              <w:bottom w:val="single" w:color="auto" w:sz="4" w:space="0"/>
              <w:right w:val="single" w:color="auto" w:sz="4" w:space="0"/>
            </w:tcBorders>
            <w:noWrap w:val="0"/>
            <w:vAlign w:val="center"/>
          </w:tcPr>
          <w:p w14:paraId="5278D49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58" w:type="dxa"/>
            <w:tcBorders>
              <w:top w:val="nil"/>
              <w:left w:val="nil"/>
              <w:bottom w:val="single" w:color="auto" w:sz="4" w:space="0"/>
              <w:right w:val="single" w:color="auto" w:sz="4" w:space="0"/>
            </w:tcBorders>
            <w:noWrap w:val="0"/>
            <w:vAlign w:val="center"/>
          </w:tcPr>
          <w:p w14:paraId="3855090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B24D61D">
        <w:tblPrEx>
          <w:tblCellMar>
            <w:top w:w="0" w:type="dxa"/>
            <w:left w:w="108" w:type="dxa"/>
            <w:bottom w:w="0" w:type="dxa"/>
            <w:right w:w="108" w:type="dxa"/>
          </w:tblCellMar>
        </w:tblPrEx>
        <w:trPr>
          <w:trHeight w:val="225" w:hRule="atLeast"/>
        </w:trPr>
        <w:tc>
          <w:tcPr>
            <w:tcW w:w="1597" w:type="dxa"/>
            <w:vMerge w:val="continue"/>
            <w:tcBorders>
              <w:top w:val="nil"/>
              <w:left w:val="single" w:color="auto" w:sz="4" w:space="0"/>
              <w:bottom w:val="single" w:color="auto" w:sz="4" w:space="0"/>
              <w:right w:val="single" w:color="auto" w:sz="4" w:space="0"/>
            </w:tcBorders>
            <w:noWrap w:val="0"/>
            <w:vAlign w:val="center"/>
          </w:tcPr>
          <w:p w14:paraId="08FD4FD0">
            <w:pPr>
              <w:rPr>
                <w:color w:val="auto"/>
                <w:highlight w:val="none"/>
              </w:rPr>
            </w:pPr>
          </w:p>
        </w:tc>
        <w:tc>
          <w:tcPr>
            <w:tcW w:w="1597" w:type="dxa"/>
            <w:tcBorders>
              <w:top w:val="nil"/>
              <w:left w:val="nil"/>
              <w:bottom w:val="single" w:color="auto" w:sz="4" w:space="0"/>
              <w:right w:val="single" w:color="auto" w:sz="4" w:space="0"/>
            </w:tcBorders>
            <w:noWrap w:val="0"/>
            <w:vAlign w:val="center"/>
          </w:tcPr>
          <w:p w14:paraId="79D4573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50" w:type="dxa"/>
            <w:tcBorders>
              <w:top w:val="nil"/>
              <w:left w:val="nil"/>
              <w:bottom w:val="single" w:color="auto" w:sz="4" w:space="0"/>
              <w:right w:val="single" w:color="auto" w:sz="4" w:space="0"/>
            </w:tcBorders>
            <w:noWrap w:val="0"/>
            <w:vAlign w:val="center"/>
          </w:tcPr>
          <w:p w14:paraId="182A5B8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742" w:type="dxa"/>
            <w:tcBorders>
              <w:top w:val="nil"/>
              <w:left w:val="nil"/>
              <w:bottom w:val="single" w:color="auto" w:sz="4" w:space="0"/>
              <w:right w:val="single" w:color="auto" w:sz="4" w:space="0"/>
            </w:tcBorders>
            <w:noWrap w:val="0"/>
            <w:vAlign w:val="center"/>
          </w:tcPr>
          <w:p w14:paraId="3968423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42" w:type="dxa"/>
            <w:tcBorders>
              <w:top w:val="nil"/>
              <w:left w:val="nil"/>
              <w:bottom w:val="single" w:color="auto" w:sz="4" w:space="0"/>
              <w:right w:val="single" w:color="auto" w:sz="4" w:space="0"/>
            </w:tcBorders>
            <w:noWrap w:val="0"/>
            <w:vAlign w:val="center"/>
          </w:tcPr>
          <w:p w14:paraId="3A79FBF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58" w:type="dxa"/>
            <w:tcBorders>
              <w:top w:val="nil"/>
              <w:left w:val="nil"/>
              <w:bottom w:val="single" w:color="auto" w:sz="4" w:space="0"/>
              <w:right w:val="single" w:color="auto" w:sz="4" w:space="0"/>
            </w:tcBorders>
            <w:noWrap w:val="0"/>
            <w:vAlign w:val="center"/>
          </w:tcPr>
          <w:p w14:paraId="1F51377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AAC99B3">
        <w:tblPrEx>
          <w:tblCellMar>
            <w:top w:w="0" w:type="dxa"/>
            <w:left w:w="108" w:type="dxa"/>
            <w:bottom w:w="0" w:type="dxa"/>
            <w:right w:w="108" w:type="dxa"/>
          </w:tblCellMar>
        </w:tblPrEx>
        <w:trPr>
          <w:trHeight w:val="225" w:hRule="atLeast"/>
        </w:trPr>
        <w:tc>
          <w:tcPr>
            <w:tcW w:w="1597" w:type="dxa"/>
            <w:vMerge w:val="restart"/>
            <w:tcBorders>
              <w:top w:val="nil"/>
              <w:left w:val="single" w:color="auto" w:sz="4" w:space="0"/>
              <w:bottom w:val="single" w:color="auto" w:sz="4" w:space="0"/>
              <w:right w:val="single" w:color="auto" w:sz="4" w:space="0"/>
            </w:tcBorders>
            <w:noWrap w:val="0"/>
            <w:vAlign w:val="bottom"/>
          </w:tcPr>
          <w:p w14:paraId="75677981">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597" w:type="dxa"/>
            <w:tcBorders>
              <w:top w:val="nil"/>
              <w:left w:val="nil"/>
              <w:bottom w:val="single" w:color="auto" w:sz="4" w:space="0"/>
              <w:right w:val="single" w:color="auto" w:sz="4" w:space="0"/>
            </w:tcBorders>
            <w:noWrap w:val="0"/>
            <w:vAlign w:val="center"/>
          </w:tcPr>
          <w:p w14:paraId="64A8346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50" w:type="dxa"/>
            <w:tcBorders>
              <w:top w:val="nil"/>
              <w:left w:val="nil"/>
              <w:bottom w:val="single" w:color="auto" w:sz="4" w:space="0"/>
              <w:right w:val="single" w:color="auto" w:sz="4" w:space="0"/>
            </w:tcBorders>
            <w:noWrap w:val="0"/>
            <w:vAlign w:val="center"/>
          </w:tcPr>
          <w:p w14:paraId="785C160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742" w:type="dxa"/>
            <w:tcBorders>
              <w:top w:val="nil"/>
              <w:left w:val="nil"/>
              <w:bottom w:val="single" w:color="auto" w:sz="4" w:space="0"/>
              <w:right w:val="single" w:color="auto" w:sz="4" w:space="0"/>
            </w:tcBorders>
            <w:noWrap w:val="0"/>
            <w:vAlign w:val="center"/>
          </w:tcPr>
          <w:p w14:paraId="6D961D1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742" w:type="dxa"/>
            <w:tcBorders>
              <w:top w:val="nil"/>
              <w:left w:val="nil"/>
              <w:bottom w:val="single" w:color="auto" w:sz="4" w:space="0"/>
              <w:right w:val="single" w:color="auto" w:sz="4" w:space="0"/>
            </w:tcBorders>
            <w:noWrap w:val="0"/>
            <w:vAlign w:val="center"/>
          </w:tcPr>
          <w:p w14:paraId="5386F5A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58" w:type="dxa"/>
            <w:tcBorders>
              <w:top w:val="nil"/>
              <w:left w:val="nil"/>
              <w:bottom w:val="single" w:color="auto" w:sz="4" w:space="0"/>
              <w:right w:val="single" w:color="auto" w:sz="4" w:space="0"/>
            </w:tcBorders>
            <w:noWrap w:val="0"/>
            <w:vAlign w:val="center"/>
          </w:tcPr>
          <w:p w14:paraId="2A36C8A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402BA2A">
        <w:tblPrEx>
          <w:tblCellMar>
            <w:top w:w="0" w:type="dxa"/>
            <w:left w:w="108" w:type="dxa"/>
            <w:bottom w:w="0" w:type="dxa"/>
            <w:right w:w="108" w:type="dxa"/>
          </w:tblCellMar>
        </w:tblPrEx>
        <w:trPr>
          <w:trHeight w:val="225" w:hRule="atLeast"/>
        </w:trPr>
        <w:tc>
          <w:tcPr>
            <w:tcW w:w="1597" w:type="dxa"/>
            <w:vMerge w:val="continue"/>
            <w:tcBorders>
              <w:top w:val="nil"/>
              <w:left w:val="single" w:color="auto" w:sz="4" w:space="0"/>
              <w:bottom w:val="single" w:color="auto" w:sz="4" w:space="0"/>
              <w:right w:val="single" w:color="auto" w:sz="4" w:space="0"/>
            </w:tcBorders>
            <w:noWrap w:val="0"/>
            <w:vAlign w:val="center"/>
          </w:tcPr>
          <w:p w14:paraId="6AFCCD77">
            <w:pPr>
              <w:rPr>
                <w:color w:val="auto"/>
                <w:highlight w:val="none"/>
              </w:rPr>
            </w:pPr>
          </w:p>
        </w:tc>
        <w:tc>
          <w:tcPr>
            <w:tcW w:w="1597" w:type="dxa"/>
            <w:tcBorders>
              <w:top w:val="nil"/>
              <w:left w:val="nil"/>
              <w:bottom w:val="single" w:color="auto" w:sz="4" w:space="0"/>
              <w:right w:val="single" w:color="auto" w:sz="4" w:space="0"/>
            </w:tcBorders>
            <w:noWrap w:val="0"/>
            <w:vAlign w:val="center"/>
          </w:tcPr>
          <w:p w14:paraId="2143F36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50" w:type="dxa"/>
            <w:tcBorders>
              <w:top w:val="nil"/>
              <w:left w:val="nil"/>
              <w:bottom w:val="single" w:color="auto" w:sz="4" w:space="0"/>
              <w:right w:val="single" w:color="auto" w:sz="4" w:space="0"/>
            </w:tcBorders>
            <w:noWrap w:val="0"/>
            <w:vAlign w:val="center"/>
          </w:tcPr>
          <w:p w14:paraId="28D8D26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742" w:type="dxa"/>
            <w:tcBorders>
              <w:top w:val="nil"/>
              <w:left w:val="nil"/>
              <w:bottom w:val="single" w:color="auto" w:sz="4" w:space="0"/>
              <w:right w:val="single" w:color="auto" w:sz="4" w:space="0"/>
            </w:tcBorders>
            <w:noWrap w:val="0"/>
            <w:vAlign w:val="center"/>
          </w:tcPr>
          <w:p w14:paraId="4FFBBE1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742" w:type="dxa"/>
            <w:tcBorders>
              <w:top w:val="nil"/>
              <w:left w:val="nil"/>
              <w:bottom w:val="single" w:color="auto" w:sz="4" w:space="0"/>
              <w:right w:val="single" w:color="auto" w:sz="4" w:space="0"/>
            </w:tcBorders>
            <w:noWrap w:val="0"/>
            <w:vAlign w:val="center"/>
          </w:tcPr>
          <w:p w14:paraId="1F6186A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58" w:type="dxa"/>
            <w:tcBorders>
              <w:top w:val="nil"/>
              <w:left w:val="nil"/>
              <w:bottom w:val="single" w:color="auto" w:sz="4" w:space="0"/>
              <w:right w:val="single" w:color="auto" w:sz="4" w:space="0"/>
            </w:tcBorders>
            <w:noWrap w:val="0"/>
            <w:vAlign w:val="center"/>
          </w:tcPr>
          <w:p w14:paraId="66B36A5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1EFD0B0">
        <w:tblPrEx>
          <w:tblCellMar>
            <w:top w:w="0" w:type="dxa"/>
            <w:left w:w="108" w:type="dxa"/>
            <w:bottom w:w="0" w:type="dxa"/>
            <w:right w:w="108" w:type="dxa"/>
          </w:tblCellMar>
        </w:tblPrEx>
        <w:trPr>
          <w:trHeight w:val="225" w:hRule="atLeast"/>
        </w:trPr>
        <w:tc>
          <w:tcPr>
            <w:tcW w:w="1597" w:type="dxa"/>
            <w:vMerge w:val="restart"/>
            <w:tcBorders>
              <w:top w:val="nil"/>
              <w:left w:val="single" w:color="auto" w:sz="4" w:space="0"/>
              <w:bottom w:val="single" w:color="auto" w:sz="4" w:space="0"/>
              <w:right w:val="single" w:color="auto" w:sz="4" w:space="0"/>
            </w:tcBorders>
            <w:noWrap w:val="0"/>
            <w:vAlign w:val="bottom"/>
          </w:tcPr>
          <w:p w14:paraId="54DA1F1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597" w:type="dxa"/>
            <w:tcBorders>
              <w:top w:val="nil"/>
              <w:left w:val="nil"/>
              <w:bottom w:val="single" w:color="auto" w:sz="4" w:space="0"/>
              <w:right w:val="single" w:color="auto" w:sz="4" w:space="0"/>
            </w:tcBorders>
            <w:noWrap w:val="0"/>
            <w:vAlign w:val="center"/>
          </w:tcPr>
          <w:p w14:paraId="757928E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50" w:type="dxa"/>
            <w:tcBorders>
              <w:top w:val="nil"/>
              <w:left w:val="nil"/>
              <w:bottom w:val="single" w:color="auto" w:sz="4" w:space="0"/>
              <w:right w:val="single" w:color="auto" w:sz="4" w:space="0"/>
            </w:tcBorders>
            <w:noWrap w:val="0"/>
            <w:vAlign w:val="center"/>
          </w:tcPr>
          <w:p w14:paraId="47A6282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742" w:type="dxa"/>
            <w:tcBorders>
              <w:top w:val="nil"/>
              <w:left w:val="nil"/>
              <w:bottom w:val="single" w:color="auto" w:sz="4" w:space="0"/>
              <w:right w:val="single" w:color="auto" w:sz="4" w:space="0"/>
            </w:tcBorders>
            <w:noWrap w:val="0"/>
            <w:vAlign w:val="center"/>
          </w:tcPr>
          <w:p w14:paraId="089BEF9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42" w:type="dxa"/>
            <w:tcBorders>
              <w:top w:val="nil"/>
              <w:left w:val="nil"/>
              <w:bottom w:val="single" w:color="auto" w:sz="4" w:space="0"/>
              <w:right w:val="single" w:color="auto" w:sz="4" w:space="0"/>
            </w:tcBorders>
            <w:noWrap w:val="0"/>
            <w:vAlign w:val="center"/>
          </w:tcPr>
          <w:p w14:paraId="3D680AD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58" w:type="dxa"/>
            <w:tcBorders>
              <w:top w:val="nil"/>
              <w:left w:val="nil"/>
              <w:bottom w:val="single" w:color="auto" w:sz="4" w:space="0"/>
              <w:right w:val="single" w:color="auto" w:sz="4" w:space="0"/>
            </w:tcBorders>
            <w:noWrap w:val="0"/>
            <w:vAlign w:val="center"/>
          </w:tcPr>
          <w:p w14:paraId="1B1C1FB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71A388B">
        <w:tblPrEx>
          <w:tblCellMar>
            <w:top w:w="0" w:type="dxa"/>
            <w:left w:w="108" w:type="dxa"/>
            <w:bottom w:w="0" w:type="dxa"/>
            <w:right w:w="108" w:type="dxa"/>
          </w:tblCellMar>
        </w:tblPrEx>
        <w:trPr>
          <w:trHeight w:val="225" w:hRule="atLeast"/>
        </w:trPr>
        <w:tc>
          <w:tcPr>
            <w:tcW w:w="1597" w:type="dxa"/>
            <w:vMerge w:val="continue"/>
            <w:tcBorders>
              <w:top w:val="nil"/>
              <w:left w:val="single" w:color="auto" w:sz="4" w:space="0"/>
              <w:bottom w:val="single" w:color="auto" w:sz="4" w:space="0"/>
              <w:right w:val="single" w:color="auto" w:sz="4" w:space="0"/>
            </w:tcBorders>
            <w:noWrap w:val="0"/>
            <w:vAlign w:val="center"/>
          </w:tcPr>
          <w:p w14:paraId="67516853">
            <w:pPr>
              <w:rPr>
                <w:color w:val="auto"/>
                <w:highlight w:val="none"/>
              </w:rPr>
            </w:pPr>
          </w:p>
        </w:tc>
        <w:tc>
          <w:tcPr>
            <w:tcW w:w="1597" w:type="dxa"/>
            <w:tcBorders>
              <w:top w:val="nil"/>
              <w:left w:val="nil"/>
              <w:bottom w:val="single" w:color="auto" w:sz="4" w:space="0"/>
              <w:right w:val="single" w:color="auto" w:sz="4" w:space="0"/>
            </w:tcBorders>
            <w:noWrap w:val="0"/>
            <w:vAlign w:val="center"/>
          </w:tcPr>
          <w:p w14:paraId="3A017C8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50" w:type="dxa"/>
            <w:tcBorders>
              <w:top w:val="nil"/>
              <w:left w:val="nil"/>
              <w:bottom w:val="single" w:color="auto" w:sz="4" w:space="0"/>
              <w:right w:val="single" w:color="auto" w:sz="4" w:space="0"/>
            </w:tcBorders>
            <w:noWrap w:val="0"/>
            <w:vAlign w:val="center"/>
          </w:tcPr>
          <w:p w14:paraId="4749900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742" w:type="dxa"/>
            <w:tcBorders>
              <w:top w:val="nil"/>
              <w:left w:val="nil"/>
              <w:bottom w:val="single" w:color="auto" w:sz="4" w:space="0"/>
              <w:right w:val="single" w:color="auto" w:sz="4" w:space="0"/>
            </w:tcBorders>
            <w:noWrap w:val="0"/>
            <w:vAlign w:val="center"/>
          </w:tcPr>
          <w:p w14:paraId="59BF202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742" w:type="dxa"/>
            <w:tcBorders>
              <w:top w:val="nil"/>
              <w:left w:val="nil"/>
              <w:bottom w:val="single" w:color="auto" w:sz="4" w:space="0"/>
              <w:right w:val="single" w:color="auto" w:sz="4" w:space="0"/>
            </w:tcBorders>
            <w:noWrap w:val="0"/>
            <w:vAlign w:val="center"/>
          </w:tcPr>
          <w:p w14:paraId="6762E15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158" w:type="dxa"/>
            <w:tcBorders>
              <w:top w:val="nil"/>
              <w:left w:val="nil"/>
              <w:bottom w:val="single" w:color="auto" w:sz="4" w:space="0"/>
              <w:right w:val="single" w:color="auto" w:sz="4" w:space="0"/>
            </w:tcBorders>
            <w:noWrap w:val="0"/>
            <w:vAlign w:val="center"/>
          </w:tcPr>
          <w:p w14:paraId="2EAF8B4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51CEDA43">
        <w:tblPrEx>
          <w:tblCellMar>
            <w:top w:w="0" w:type="dxa"/>
            <w:left w:w="108" w:type="dxa"/>
            <w:bottom w:w="0" w:type="dxa"/>
            <w:right w:w="108" w:type="dxa"/>
          </w:tblCellMar>
        </w:tblPrEx>
        <w:trPr>
          <w:trHeight w:val="225" w:hRule="atLeast"/>
        </w:trPr>
        <w:tc>
          <w:tcPr>
            <w:tcW w:w="1597" w:type="dxa"/>
            <w:vMerge w:val="restart"/>
            <w:tcBorders>
              <w:top w:val="nil"/>
              <w:left w:val="single" w:color="auto" w:sz="4" w:space="0"/>
              <w:bottom w:val="single" w:color="auto" w:sz="4" w:space="0"/>
              <w:right w:val="single" w:color="auto" w:sz="4" w:space="0"/>
            </w:tcBorders>
            <w:noWrap w:val="0"/>
            <w:vAlign w:val="bottom"/>
          </w:tcPr>
          <w:p w14:paraId="5A29970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597" w:type="dxa"/>
            <w:tcBorders>
              <w:top w:val="nil"/>
              <w:left w:val="nil"/>
              <w:bottom w:val="single" w:color="auto" w:sz="4" w:space="0"/>
              <w:right w:val="single" w:color="auto" w:sz="4" w:space="0"/>
            </w:tcBorders>
            <w:noWrap w:val="0"/>
            <w:vAlign w:val="center"/>
          </w:tcPr>
          <w:p w14:paraId="21ADB25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50" w:type="dxa"/>
            <w:tcBorders>
              <w:top w:val="nil"/>
              <w:left w:val="nil"/>
              <w:bottom w:val="single" w:color="auto" w:sz="4" w:space="0"/>
              <w:right w:val="single" w:color="auto" w:sz="4" w:space="0"/>
            </w:tcBorders>
            <w:noWrap w:val="0"/>
            <w:vAlign w:val="center"/>
          </w:tcPr>
          <w:p w14:paraId="72B76B7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742" w:type="dxa"/>
            <w:tcBorders>
              <w:top w:val="nil"/>
              <w:left w:val="nil"/>
              <w:bottom w:val="single" w:color="auto" w:sz="4" w:space="0"/>
              <w:right w:val="single" w:color="auto" w:sz="4" w:space="0"/>
            </w:tcBorders>
            <w:noWrap w:val="0"/>
            <w:vAlign w:val="center"/>
          </w:tcPr>
          <w:p w14:paraId="2E45A2F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742" w:type="dxa"/>
            <w:tcBorders>
              <w:top w:val="nil"/>
              <w:left w:val="nil"/>
              <w:bottom w:val="single" w:color="auto" w:sz="4" w:space="0"/>
              <w:right w:val="single" w:color="auto" w:sz="4" w:space="0"/>
            </w:tcBorders>
            <w:noWrap w:val="0"/>
            <w:vAlign w:val="center"/>
          </w:tcPr>
          <w:p w14:paraId="126CBEE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158" w:type="dxa"/>
            <w:tcBorders>
              <w:top w:val="nil"/>
              <w:left w:val="nil"/>
              <w:bottom w:val="single" w:color="auto" w:sz="4" w:space="0"/>
              <w:right w:val="single" w:color="auto" w:sz="4" w:space="0"/>
            </w:tcBorders>
            <w:noWrap w:val="0"/>
            <w:vAlign w:val="center"/>
          </w:tcPr>
          <w:p w14:paraId="7954276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7E695F3F">
        <w:tblPrEx>
          <w:tblCellMar>
            <w:top w:w="0" w:type="dxa"/>
            <w:left w:w="108" w:type="dxa"/>
            <w:bottom w:w="0" w:type="dxa"/>
            <w:right w:w="108" w:type="dxa"/>
          </w:tblCellMar>
        </w:tblPrEx>
        <w:trPr>
          <w:trHeight w:val="225" w:hRule="atLeast"/>
        </w:trPr>
        <w:tc>
          <w:tcPr>
            <w:tcW w:w="1597" w:type="dxa"/>
            <w:vMerge w:val="continue"/>
            <w:tcBorders>
              <w:top w:val="nil"/>
              <w:left w:val="single" w:color="auto" w:sz="4" w:space="0"/>
              <w:bottom w:val="single" w:color="auto" w:sz="4" w:space="0"/>
              <w:right w:val="single" w:color="auto" w:sz="4" w:space="0"/>
            </w:tcBorders>
            <w:noWrap w:val="0"/>
            <w:vAlign w:val="center"/>
          </w:tcPr>
          <w:p w14:paraId="33B22774">
            <w:pPr>
              <w:rPr>
                <w:color w:val="auto"/>
                <w:highlight w:val="none"/>
              </w:rPr>
            </w:pPr>
          </w:p>
        </w:tc>
        <w:tc>
          <w:tcPr>
            <w:tcW w:w="1597" w:type="dxa"/>
            <w:tcBorders>
              <w:top w:val="nil"/>
              <w:left w:val="nil"/>
              <w:bottom w:val="single" w:color="auto" w:sz="4" w:space="0"/>
              <w:right w:val="single" w:color="auto" w:sz="4" w:space="0"/>
            </w:tcBorders>
            <w:noWrap w:val="0"/>
            <w:vAlign w:val="center"/>
          </w:tcPr>
          <w:p w14:paraId="3C143B1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450" w:type="dxa"/>
            <w:tcBorders>
              <w:top w:val="nil"/>
              <w:left w:val="nil"/>
              <w:bottom w:val="single" w:color="auto" w:sz="4" w:space="0"/>
              <w:right w:val="single" w:color="auto" w:sz="4" w:space="0"/>
            </w:tcBorders>
            <w:noWrap w:val="0"/>
            <w:vAlign w:val="center"/>
          </w:tcPr>
          <w:p w14:paraId="16804A1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742" w:type="dxa"/>
            <w:tcBorders>
              <w:top w:val="nil"/>
              <w:left w:val="nil"/>
              <w:bottom w:val="single" w:color="auto" w:sz="4" w:space="0"/>
              <w:right w:val="single" w:color="auto" w:sz="4" w:space="0"/>
            </w:tcBorders>
            <w:noWrap w:val="0"/>
            <w:vAlign w:val="center"/>
          </w:tcPr>
          <w:p w14:paraId="2BB9066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742" w:type="dxa"/>
            <w:tcBorders>
              <w:top w:val="nil"/>
              <w:left w:val="nil"/>
              <w:bottom w:val="single" w:color="auto" w:sz="4" w:space="0"/>
              <w:right w:val="single" w:color="auto" w:sz="4" w:space="0"/>
            </w:tcBorders>
            <w:noWrap w:val="0"/>
            <w:vAlign w:val="center"/>
          </w:tcPr>
          <w:p w14:paraId="573EC7A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158" w:type="dxa"/>
            <w:tcBorders>
              <w:top w:val="nil"/>
              <w:left w:val="nil"/>
              <w:bottom w:val="single" w:color="auto" w:sz="4" w:space="0"/>
              <w:right w:val="single" w:color="auto" w:sz="4" w:space="0"/>
            </w:tcBorders>
            <w:noWrap w:val="0"/>
            <w:vAlign w:val="center"/>
          </w:tcPr>
          <w:p w14:paraId="508D6D5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7EC16F36">
        <w:tblPrEx>
          <w:tblCellMar>
            <w:top w:w="0" w:type="dxa"/>
            <w:left w:w="108" w:type="dxa"/>
            <w:bottom w:w="0" w:type="dxa"/>
            <w:right w:w="108" w:type="dxa"/>
          </w:tblCellMar>
        </w:tblPrEx>
        <w:trPr>
          <w:trHeight w:val="225" w:hRule="atLeast"/>
        </w:trPr>
        <w:tc>
          <w:tcPr>
            <w:tcW w:w="1597" w:type="dxa"/>
            <w:vMerge w:val="restart"/>
            <w:tcBorders>
              <w:top w:val="nil"/>
              <w:left w:val="single" w:color="auto" w:sz="4" w:space="0"/>
              <w:bottom w:val="single" w:color="auto" w:sz="4" w:space="0"/>
              <w:right w:val="single" w:color="auto" w:sz="4" w:space="0"/>
            </w:tcBorders>
            <w:noWrap w:val="0"/>
            <w:vAlign w:val="bottom"/>
          </w:tcPr>
          <w:p w14:paraId="66B2B645">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597" w:type="dxa"/>
            <w:tcBorders>
              <w:top w:val="nil"/>
              <w:left w:val="nil"/>
              <w:bottom w:val="single" w:color="auto" w:sz="4" w:space="0"/>
              <w:right w:val="single" w:color="auto" w:sz="4" w:space="0"/>
            </w:tcBorders>
            <w:noWrap w:val="0"/>
            <w:vAlign w:val="center"/>
          </w:tcPr>
          <w:p w14:paraId="1253242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50" w:type="dxa"/>
            <w:tcBorders>
              <w:top w:val="nil"/>
              <w:left w:val="nil"/>
              <w:bottom w:val="single" w:color="auto" w:sz="4" w:space="0"/>
              <w:right w:val="single" w:color="auto" w:sz="4" w:space="0"/>
            </w:tcBorders>
            <w:noWrap w:val="0"/>
            <w:vAlign w:val="center"/>
          </w:tcPr>
          <w:p w14:paraId="4986CC2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742" w:type="dxa"/>
            <w:tcBorders>
              <w:top w:val="nil"/>
              <w:left w:val="nil"/>
              <w:bottom w:val="single" w:color="auto" w:sz="4" w:space="0"/>
              <w:right w:val="single" w:color="auto" w:sz="4" w:space="0"/>
            </w:tcBorders>
            <w:noWrap w:val="0"/>
            <w:vAlign w:val="center"/>
          </w:tcPr>
          <w:p w14:paraId="4333C39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42" w:type="dxa"/>
            <w:tcBorders>
              <w:top w:val="nil"/>
              <w:left w:val="nil"/>
              <w:bottom w:val="single" w:color="auto" w:sz="4" w:space="0"/>
              <w:right w:val="single" w:color="auto" w:sz="4" w:space="0"/>
            </w:tcBorders>
            <w:noWrap w:val="0"/>
            <w:vAlign w:val="center"/>
          </w:tcPr>
          <w:p w14:paraId="0468A9B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158" w:type="dxa"/>
            <w:tcBorders>
              <w:top w:val="nil"/>
              <w:left w:val="nil"/>
              <w:bottom w:val="single" w:color="auto" w:sz="4" w:space="0"/>
              <w:right w:val="single" w:color="auto" w:sz="4" w:space="0"/>
            </w:tcBorders>
            <w:noWrap w:val="0"/>
            <w:vAlign w:val="center"/>
          </w:tcPr>
          <w:p w14:paraId="3931A59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2642126C">
        <w:tblPrEx>
          <w:tblCellMar>
            <w:top w:w="0" w:type="dxa"/>
            <w:left w:w="108" w:type="dxa"/>
            <w:bottom w:w="0" w:type="dxa"/>
            <w:right w:w="108" w:type="dxa"/>
          </w:tblCellMar>
        </w:tblPrEx>
        <w:trPr>
          <w:trHeight w:val="225" w:hRule="atLeast"/>
        </w:trPr>
        <w:tc>
          <w:tcPr>
            <w:tcW w:w="1597" w:type="dxa"/>
            <w:vMerge w:val="continue"/>
            <w:tcBorders>
              <w:top w:val="nil"/>
              <w:left w:val="single" w:color="auto" w:sz="4" w:space="0"/>
              <w:bottom w:val="single" w:color="auto" w:sz="4" w:space="0"/>
              <w:right w:val="single" w:color="auto" w:sz="4" w:space="0"/>
            </w:tcBorders>
            <w:noWrap w:val="0"/>
            <w:vAlign w:val="center"/>
          </w:tcPr>
          <w:p w14:paraId="65FCA9E1">
            <w:pPr>
              <w:rPr>
                <w:color w:val="auto"/>
                <w:highlight w:val="none"/>
              </w:rPr>
            </w:pPr>
          </w:p>
        </w:tc>
        <w:tc>
          <w:tcPr>
            <w:tcW w:w="1597" w:type="dxa"/>
            <w:tcBorders>
              <w:top w:val="nil"/>
              <w:left w:val="nil"/>
              <w:bottom w:val="single" w:color="auto" w:sz="4" w:space="0"/>
              <w:right w:val="single" w:color="auto" w:sz="4" w:space="0"/>
            </w:tcBorders>
            <w:noWrap w:val="0"/>
            <w:vAlign w:val="center"/>
          </w:tcPr>
          <w:p w14:paraId="614A6C0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50" w:type="dxa"/>
            <w:tcBorders>
              <w:top w:val="nil"/>
              <w:left w:val="nil"/>
              <w:bottom w:val="single" w:color="auto" w:sz="4" w:space="0"/>
              <w:right w:val="single" w:color="auto" w:sz="4" w:space="0"/>
            </w:tcBorders>
            <w:noWrap w:val="0"/>
            <w:vAlign w:val="center"/>
          </w:tcPr>
          <w:p w14:paraId="55B6ED2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742" w:type="dxa"/>
            <w:tcBorders>
              <w:top w:val="nil"/>
              <w:left w:val="nil"/>
              <w:bottom w:val="single" w:color="auto" w:sz="4" w:space="0"/>
              <w:right w:val="single" w:color="auto" w:sz="4" w:space="0"/>
            </w:tcBorders>
            <w:noWrap w:val="0"/>
            <w:vAlign w:val="center"/>
          </w:tcPr>
          <w:p w14:paraId="6780C0F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742" w:type="dxa"/>
            <w:tcBorders>
              <w:top w:val="nil"/>
              <w:left w:val="nil"/>
              <w:bottom w:val="single" w:color="auto" w:sz="4" w:space="0"/>
              <w:right w:val="single" w:color="auto" w:sz="4" w:space="0"/>
            </w:tcBorders>
            <w:noWrap w:val="0"/>
            <w:vAlign w:val="center"/>
          </w:tcPr>
          <w:p w14:paraId="5168FD4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158" w:type="dxa"/>
            <w:tcBorders>
              <w:top w:val="nil"/>
              <w:left w:val="nil"/>
              <w:bottom w:val="single" w:color="auto" w:sz="4" w:space="0"/>
              <w:right w:val="single" w:color="auto" w:sz="4" w:space="0"/>
            </w:tcBorders>
            <w:noWrap w:val="0"/>
            <w:vAlign w:val="center"/>
          </w:tcPr>
          <w:p w14:paraId="1F05B1A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0754CB67">
        <w:tblPrEx>
          <w:tblCellMar>
            <w:top w:w="0" w:type="dxa"/>
            <w:left w:w="108" w:type="dxa"/>
            <w:bottom w:w="0" w:type="dxa"/>
            <w:right w:w="108" w:type="dxa"/>
          </w:tblCellMar>
        </w:tblPrEx>
        <w:trPr>
          <w:trHeight w:val="225" w:hRule="atLeast"/>
        </w:trPr>
        <w:tc>
          <w:tcPr>
            <w:tcW w:w="1597" w:type="dxa"/>
            <w:vMerge w:val="restart"/>
            <w:tcBorders>
              <w:top w:val="nil"/>
              <w:left w:val="single" w:color="auto" w:sz="4" w:space="0"/>
              <w:bottom w:val="single" w:color="auto" w:sz="4" w:space="0"/>
              <w:right w:val="single" w:color="auto" w:sz="4" w:space="0"/>
            </w:tcBorders>
            <w:noWrap w:val="0"/>
            <w:vAlign w:val="bottom"/>
          </w:tcPr>
          <w:p w14:paraId="49B031FE">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597" w:type="dxa"/>
            <w:tcBorders>
              <w:top w:val="nil"/>
              <w:left w:val="nil"/>
              <w:bottom w:val="single" w:color="auto" w:sz="4" w:space="0"/>
              <w:right w:val="single" w:color="auto" w:sz="4" w:space="0"/>
            </w:tcBorders>
            <w:noWrap w:val="0"/>
            <w:vAlign w:val="center"/>
          </w:tcPr>
          <w:p w14:paraId="4850E0A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50" w:type="dxa"/>
            <w:tcBorders>
              <w:top w:val="nil"/>
              <w:left w:val="nil"/>
              <w:bottom w:val="single" w:color="auto" w:sz="4" w:space="0"/>
              <w:right w:val="single" w:color="auto" w:sz="4" w:space="0"/>
            </w:tcBorders>
            <w:noWrap w:val="0"/>
            <w:vAlign w:val="center"/>
          </w:tcPr>
          <w:p w14:paraId="3C9C072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742" w:type="dxa"/>
            <w:tcBorders>
              <w:top w:val="nil"/>
              <w:left w:val="nil"/>
              <w:bottom w:val="single" w:color="auto" w:sz="4" w:space="0"/>
              <w:right w:val="single" w:color="auto" w:sz="4" w:space="0"/>
            </w:tcBorders>
            <w:noWrap w:val="0"/>
            <w:vAlign w:val="center"/>
          </w:tcPr>
          <w:p w14:paraId="5A6CFA7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42" w:type="dxa"/>
            <w:tcBorders>
              <w:top w:val="nil"/>
              <w:left w:val="nil"/>
              <w:bottom w:val="single" w:color="auto" w:sz="4" w:space="0"/>
              <w:right w:val="single" w:color="auto" w:sz="4" w:space="0"/>
            </w:tcBorders>
            <w:noWrap w:val="0"/>
            <w:vAlign w:val="center"/>
          </w:tcPr>
          <w:p w14:paraId="7081AFF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58" w:type="dxa"/>
            <w:tcBorders>
              <w:top w:val="nil"/>
              <w:left w:val="nil"/>
              <w:bottom w:val="single" w:color="auto" w:sz="4" w:space="0"/>
              <w:right w:val="single" w:color="auto" w:sz="4" w:space="0"/>
            </w:tcBorders>
            <w:noWrap w:val="0"/>
            <w:vAlign w:val="center"/>
          </w:tcPr>
          <w:p w14:paraId="443895C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01E1527">
        <w:tblPrEx>
          <w:tblCellMar>
            <w:top w:w="0" w:type="dxa"/>
            <w:left w:w="108" w:type="dxa"/>
            <w:bottom w:w="0" w:type="dxa"/>
            <w:right w:w="108" w:type="dxa"/>
          </w:tblCellMar>
        </w:tblPrEx>
        <w:trPr>
          <w:trHeight w:val="225" w:hRule="atLeast"/>
        </w:trPr>
        <w:tc>
          <w:tcPr>
            <w:tcW w:w="1597" w:type="dxa"/>
            <w:vMerge w:val="continue"/>
            <w:tcBorders>
              <w:top w:val="nil"/>
              <w:left w:val="single" w:color="auto" w:sz="4" w:space="0"/>
              <w:bottom w:val="single" w:color="auto" w:sz="4" w:space="0"/>
              <w:right w:val="single" w:color="auto" w:sz="4" w:space="0"/>
            </w:tcBorders>
            <w:noWrap w:val="0"/>
            <w:vAlign w:val="center"/>
          </w:tcPr>
          <w:p w14:paraId="40E57851">
            <w:pPr>
              <w:rPr>
                <w:color w:val="auto"/>
                <w:highlight w:val="none"/>
              </w:rPr>
            </w:pPr>
          </w:p>
        </w:tc>
        <w:tc>
          <w:tcPr>
            <w:tcW w:w="1597" w:type="dxa"/>
            <w:tcBorders>
              <w:top w:val="nil"/>
              <w:left w:val="nil"/>
              <w:bottom w:val="single" w:color="auto" w:sz="4" w:space="0"/>
              <w:right w:val="single" w:color="auto" w:sz="4" w:space="0"/>
            </w:tcBorders>
            <w:noWrap w:val="0"/>
            <w:vAlign w:val="center"/>
          </w:tcPr>
          <w:p w14:paraId="6809F9A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450" w:type="dxa"/>
            <w:tcBorders>
              <w:top w:val="nil"/>
              <w:left w:val="nil"/>
              <w:bottom w:val="single" w:color="auto" w:sz="4" w:space="0"/>
              <w:right w:val="single" w:color="auto" w:sz="4" w:space="0"/>
            </w:tcBorders>
            <w:noWrap w:val="0"/>
            <w:vAlign w:val="center"/>
          </w:tcPr>
          <w:p w14:paraId="472F18E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742" w:type="dxa"/>
            <w:tcBorders>
              <w:top w:val="nil"/>
              <w:left w:val="nil"/>
              <w:bottom w:val="single" w:color="auto" w:sz="4" w:space="0"/>
              <w:right w:val="single" w:color="auto" w:sz="4" w:space="0"/>
            </w:tcBorders>
            <w:noWrap w:val="0"/>
            <w:vAlign w:val="center"/>
          </w:tcPr>
          <w:p w14:paraId="13C70DD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742" w:type="dxa"/>
            <w:tcBorders>
              <w:top w:val="nil"/>
              <w:left w:val="nil"/>
              <w:bottom w:val="single" w:color="auto" w:sz="4" w:space="0"/>
              <w:right w:val="single" w:color="auto" w:sz="4" w:space="0"/>
            </w:tcBorders>
            <w:noWrap w:val="0"/>
            <w:vAlign w:val="center"/>
          </w:tcPr>
          <w:p w14:paraId="312A183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158" w:type="dxa"/>
            <w:tcBorders>
              <w:top w:val="nil"/>
              <w:left w:val="nil"/>
              <w:bottom w:val="single" w:color="auto" w:sz="4" w:space="0"/>
              <w:right w:val="single" w:color="auto" w:sz="4" w:space="0"/>
            </w:tcBorders>
            <w:noWrap w:val="0"/>
            <w:vAlign w:val="center"/>
          </w:tcPr>
          <w:p w14:paraId="3CBDAEE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689924C">
        <w:tblPrEx>
          <w:tblCellMar>
            <w:top w:w="0" w:type="dxa"/>
            <w:left w:w="108" w:type="dxa"/>
            <w:bottom w:w="0" w:type="dxa"/>
            <w:right w:w="108" w:type="dxa"/>
          </w:tblCellMar>
        </w:tblPrEx>
        <w:trPr>
          <w:trHeight w:val="225" w:hRule="atLeast"/>
        </w:trPr>
        <w:tc>
          <w:tcPr>
            <w:tcW w:w="1597" w:type="dxa"/>
            <w:tcBorders>
              <w:top w:val="nil"/>
              <w:left w:val="single" w:color="auto" w:sz="4" w:space="0"/>
              <w:bottom w:val="single" w:color="auto" w:sz="4" w:space="0"/>
              <w:right w:val="single" w:color="auto" w:sz="4" w:space="0"/>
            </w:tcBorders>
            <w:noWrap w:val="0"/>
            <w:vAlign w:val="bottom"/>
          </w:tcPr>
          <w:p w14:paraId="4D66964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597" w:type="dxa"/>
            <w:tcBorders>
              <w:top w:val="nil"/>
              <w:left w:val="nil"/>
              <w:bottom w:val="single" w:color="auto" w:sz="4" w:space="0"/>
              <w:right w:val="single" w:color="auto" w:sz="4" w:space="0"/>
            </w:tcBorders>
            <w:noWrap w:val="0"/>
            <w:vAlign w:val="center"/>
          </w:tcPr>
          <w:p w14:paraId="636ECD7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50" w:type="dxa"/>
            <w:tcBorders>
              <w:top w:val="nil"/>
              <w:left w:val="nil"/>
              <w:bottom w:val="single" w:color="auto" w:sz="4" w:space="0"/>
              <w:right w:val="single" w:color="auto" w:sz="4" w:space="0"/>
            </w:tcBorders>
            <w:noWrap w:val="0"/>
            <w:vAlign w:val="center"/>
          </w:tcPr>
          <w:p w14:paraId="439D078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742" w:type="dxa"/>
            <w:tcBorders>
              <w:top w:val="nil"/>
              <w:left w:val="nil"/>
              <w:bottom w:val="single" w:color="auto" w:sz="4" w:space="0"/>
              <w:right w:val="single" w:color="auto" w:sz="4" w:space="0"/>
            </w:tcBorders>
            <w:noWrap w:val="0"/>
            <w:vAlign w:val="center"/>
          </w:tcPr>
          <w:p w14:paraId="19AC0C1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42" w:type="dxa"/>
            <w:tcBorders>
              <w:top w:val="nil"/>
              <w:left w:val="nil"/>
              <w:bottom w:val="single" w:color="auto" w:sz="4" w:space="0"/>
              <w:right w:val="single" w:color="auto" w:sz="4" w:space="0"/>
            </w:tcBorders>
            <w:noWrap w:val="0"/>
            <w:vAlign w:val="center"/>
          </w:tcPr>
          <w:p w14:paraId="7897F9B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58" w:type="dxa"/>
            <w:tcBorders>
              <w:top w:val="nil"/>
              <w:left w:val="nil"/>
              <w:bottom w:val="single" w:color="auto" w:sz="4" w:space="0"/>
              <w:right w:val="single" w:color="auto" w:sz="4" w:space="0"/>
            </w:tcBorders>
            <w:noWrap w:val="0"/>
            <w:vAlign w:val="center"/>
          </w:tcPr>
          <w:p w14:paraId="6994879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14F83B61">
      <w:pPr>
        <w:spacing w:line="560" w:lineRule="exact"/>
        <w:ind w:firstLine="525" w:firstLineChars="250"/>
        <w:rPr>
          <w:rFonts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954C57E">
      <w:pPr>
        <w:jc w:val="center"/>
        <w:outlineLvl w:val="0"/>
        <w:rPr>
          <w:rFonts w:ascii="宋体" w:hAnsi="宋体"/>
          <w:color w:val="auto"/>
          <w:kern w:val="0"/>
          <w:sz w:val="20"/>
          <w:szCs w:val="21"/>
          <w:highlight w:val="none"/>
        </w:rPr>
        <w:sectPr>
          <w:headerReference r:id="rId10" w:type="default"/>
          <w:footerReference r:id="rId11" w:type="default"/>
          <w:pgSz w:w="11906" w:h="16838"/>
          <w:pgMar w:top="1134" w:right="1418" w:bottom="1134" w:left="1418" w:header="720" w:footer="720" w:gutter="0"/>
          <w:pgNumType w:start="1"/>
          <w:cols w:space="720" w:num="1"/>
          <w:docGrid w:type="lines" w:linePitch="331" w:charSpace="0"/>
        </w:sectPr>
      </w:pPr>
    </w:p>
    <w:p w14:paraId="7E388484">
      <w:pPr>
        <w:keepNext/>
        <w:keepLines/>
        <w:spacing w:line="360" w:lineRule="auto"/>
        <w:jc w:val="center"/>
        <w:outlineLvl w:val="0"/>
        <w:rPr>
          <w:b/>
          <w:bCs/>
          <w:color w:val="auto"/>
          <w:kern w:val="44"/>
          <w:sz w:val="44"/>
          <w:szCs w:val="44"/>
          <w:highlight w:val="none"/>
        </w:rPr>
      </w:pPr>
      <w:bookmarkStart w:id="48" w:name="_Toc213251775"/>
      <w:r>
        <w:rPr>
          <w:rFonts w:hint="eastAsia" w:ascii="Cambria" w:hAnsi="Cambria"/>
          <w:b/>
          <w:color w:val="auto"/>
          <w:kern w:val="44"/>
          <w:sz w:val="32"/>
          <w:szCs w:val="32"/>
          <w:highlight w:val="none"/>
        </w:rPr>
        <w:t>第三章供应商须知</w:t>
      </w:r>
      <w:bookmarkEnd w:id="48"/>
    </w:p>
    <w:p w14:paraId="3EE980E7">
      <w:pPr>
        <w:keepNext/>
        <w:keepLines/>
        <w:spacing w:line="360" w:lineRule="auto"/>
        <w:jc w:val="center"/>
        <w:outlineLvl w:val="1"/>
        <w:rPr>
          <w:rFonts w:ascii="宋体" w:hAnsi="宋体"/>
          <w:bCs/>
          <w:color w:val="auto"/>
          <w:sz w:val="32"/>
          <w:szCs w:val="32"/>
          <w:highlight w:val="none"/>
        </w:rPr>
      </w:pPr>
      <w:bookmarkStart w:id="49" w:name="_Toc213251776"/>
      <w:r>
        <w:rPr>
          <w:rFonts w:hint="eastAsia" w:ascii="宋体" w:hAnsi="宋体"/>
          <w:bCs/>
          <w:color w:val="auto"/>
          <w:sz w:val="32"/>
          <w:szCs w:val="32"/>
          <w:highlight w:val="none"/>
        </w:rPr>
        <w:t>第一节 供应商须知前附表</w:t>
      </w:r>
      <w:bookmarkEnd w:id="49"/>
    </w:p>
    <w:tbl>
      <w:tblPr>
        <w:tblStyle w:val="10"/>
        <w:tblW w:w="89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0"/>
        <w:gridCol w:w="1132"/>
        <w:gridCol w:w="6851"/>
      </w:tblGrid>
      <w:tr w14:paraId="719A3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noWrap w:val="0"/>
            <w:vAlign w:val="top"/>
          </w:tcPr>
          <w:p w14:paraId="549ED28E">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1132" w:type="dxa"/>
            <w:noWrap w:val="0"/>
            <w:vAlign w:val="center"/>
          </w:tcPr>
          <w:p w14:paraId="5D281F3A">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条款内容</w:t>
            </w:r>
          </w:p>
        </w:tc>
        <w:tc>
          <w:tcPr>
            <w:tcW w:w="6851" w:type="dxa"/>
            <w:noWrap w:val="0"/>
            <w:vAlign w:val="top"/>
          </w:tcPr>
          <w:p w14:paraId="056E03A8">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具体要求</w:t>
            </w:r>
          </w:p>
        </w:tc>
      </w:tr>
      <w:tr w14:paraId="66CB3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noWrap w:val="0"/>
            <w:vAlign w:val="center"/>
          </w:tcPr>
          <w:p w14:paraId="0B7C7DA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3.1</w:t>
            </w:r>
          </w:p>
        </w:tc>
        <w:tc>
          <w:tcPr>
            <w:tcW w:w="1132" w:type="dxa"/>
            <w:noWrap w:val="0"/>
            <w:vAlign w:val="center"/>
          </w:tcPr>
          <w:p w14:paraId="20DD961A">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供应商资格条件</w:t>
            </w:r>
          </w:p>
        </w:tc>
        <w:tc>
          <w:tcPr>
            <w:tcW w:w="6851" w:type="dxa"/>
            <w:noWrap w:val="0"/>
            <w:vAlign w:val="top"/>
          </w:tcPr>
          <w:p w14:paraId="23E71834">
            <w:pPr>
              <w:spacing w:line="360" w:lineRule="exact"/>
              <w:rPr>
                <w:rFonts w:ascii="宋体" w:hAnsi="宋体" w:cs="宋体"/>
                <w:color w:val="auto"/>
                <w:szCs w:val="21"/>
                <w:highlight w:val="none"/>
              </w:rPr>
            </w:pPr>
            <w:r>
              <w:rPr>
                <w:rFonts w:hint="eastAsia" w:ascii="宋体" w:hAnsi="宋体" w:cs="宋体"/>
                <w:color w:val="auto"/>
                <w:szCs w:val="21"/>
                <w:highlight w:val="none"/>
              </w:rPr>
              <w:t>供应商资格条件要求详见公告。</w:t>
            </w:r>
          </w:p>
        </w:tc>
      </w:tr>
      <w:tr w14:paraId="24E96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noWrap w:val="0"/>
            <w:vAlign w:val="center"/>
          </w:tcPr>
          <w:p w14:paraId="050FFE1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5.1</w:t>
            </w:r>
          </w:p>
        </w:tc>
        <w:tc>
          <w:tcPr>
            <w:tcW w:w="1132" w:type="dxa"/>
            <w:noWrap w:val="0"/>
            <w:vAlign w:val="center"/>
          </w:tcPr>
          <w:p w14:paraId="68A7F578">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是否接受联合体竞标</w:t>
            </w:r>
          </w:p>
        </w:tc>
        <w:tc>
          <w:tcPr>
            <w:tcW w:w="6851" w:type="dxa"/>
            <w:noWrap w:val="0"/>
            <w:vAlign w:val="center"/>
          </w:tcPr>
          <w:p w14:paraId="5858E8F7">
            <w:pPr>
              <w:spacing w:line="360" w:lineRule="exact"/>
              <w:rPr>
                <w:rFonts w:ascii="宋体" w:hAnsi="宋体" w:cs="宋体"/>
                <w:color w:val="auto"/>
                <w:szCs w:val="21"/>
                <w:highlight w:val="none"/>
              </w:rPr>
            </w:pPr>
            <w:r>
              <w:rPr>
                <w:rFonts w:hint="eastAsia" w:ascii="宋体" w:hAnsi="宋体" w:cs="宋体"/>
                <w:color w:val="auto"/>
                <w:szCs w:val="21"/>
                <w:highlight w:val="none"/>
              </w:rPr>
              <w:t>是否接受联合体竞标要求详见公告</w:t>
            </w:r>
          </w:p>
        </w:tc>
      </w:tr>
      <w:tr w14:paraId="51DAE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noWrap w:val="0"/>
            <w:vAlign w:val="center"/>
          </w:tcPr>
          <w:p w14:paraId="1D561939">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5.2</w:t>
            </w:r>
          </w:p>
        </w:tc>
        <w:tc>
          <w:tcPr>
            <w:tcW w:w="1132" w:type="dxa"/>
            <w:noWrap w:val="0"/>
            <w:vAlign w:val="center"/>
          </w:tcPr>
          <w:p w14:paraId="15DF67FE">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联合体竞标要求</w:t>
            </w:r>
          </w:p>
        </w:tc>
        <w:tc>
          <w:tcPr>
            <w:tcW w:w="6851" w:type="dxa"/>
            <w:noWrap w:val="0"/>
            <w:vAlign w:val="center"/>
          </w:tcPr>
          <w:p w14:paraId="70379C08">
            <w:pPr>
              <w:spacing w:line="360" w:lineRule="auto"/>
              <w:rPr>
                <w:rFonts w:ascii="宋体" w:hAnsi="宋体" w:cs="宋体"/>
                <w:color w:val="auto"/>
                <w:szCs w:val="21"/>
                <w:highlight w:val="none"/>
              </w:rPr>
            </w:pPr>
            <w:r>
              <w:rPr>
                <w:rFonts w:hint="eastAsia" w:ascii="宋体" w:hAnsi="宋体"/>
                <w:color w:val="auto"/>
                <w:szCs w:val="21"/>
                <w:highlight w:val="none"/>
              </w:rPr>
              <w:t>如接受联合体竞标，联合体竞标要求如下：</w:t>
            </w:r>
          </w:p>
          <w:p w14:paraId="0E13C7B1">
            <w:pPr>
              <w:spacing w:line="360" w:lineRule="auto"/>
              <w:rPr>
                <w:rFonts w:ascii="宋体" w:hAnsi="宋体" w:cs="宋体"/>
                <w:color w:val="auto"/>
                <w:szCs w:val="21"/>
                <w:highlight w:val="none"/>
              </w:rPr>
            </w:pPr>
            <w:r>
              <w:rPr>
                <w:rFonts w:hint="eastAsia" w:ascii="宋体" w:hAnsi="宋体" w:cs="宋体"/>
                <w:color w:val="auto"/>
                <w:szCs w:val="21"/>
                <w:highlight w:val="none"/>
              </w:rPr>
              <w:t>1.两个以上供应商可以组成一个竞标联合体，以一个供应商的身份共同参加投标。联合体投标的，须提供《联合体投标协议书》（格式后附）。</w:t>
            </w:r>
          </w:p>
          <w:p w14:paraId="1177EABF">
            <w:pPr>
              <w:spacing w:line="360" w:lineRule="auto"/>
              <w:rPr>
                <w:rFonts w:ascii="宋体" w:hAnsi="宋体" w:cs="宋体"/>
                <w:color w:val="auto"/>
                <w:szCs w:val="21"/>
                <w:highlight w:val="none"/>
              </w:rPr>
            </w:pPr>
            <w:r>
              <w:rPr>
                <w:rFonts w:hint="eastAsia" w:ascii="宋体" w:hAnsi="宋体" w:cs="宋体"/>
                <w:color w:val="auto"/>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采购文件规定的特定条件。</w:t>
            </w:r>
          </w:p>
          <w:p w14:paraId="1E949855">
            <w:pPr>
              <w:spacing w:line="360" w:lineRule="auto"/>
              <w:rPr>
                <w:rFonts w:ascii="宋体" w:hAnsi="宋体" w:cs="宋体"/>
                <w:color w:val="auto"/>
                <w:szCs w:val="21"/>
                <w:highlight w:val="none"/>
              </w:rPr>
            </w:pPr>
            <w:r>
              <w:rPr>
                <w:rFonts w:hint="eastAsia" w:ascii="宋体" w:hAnsi="宋体" w:cs="宋体"/>
                <w:color w:val="auto"/>
                <w:szCs w:val="21"/>
                <w:highlight w:val="none"/>
              </w:rPr>
              <w:t>3.联合体各方之间必须签订联合投标协议，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p>
          <w:p w14:paraId="72A3D4B4">
            <w:pPr>
              <w:spacing w:line="360" w:lineRule="auto"/>
              <w:rPr>
                <w:rFonts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4.以联合体形式参加政府采购活动的，联合体各方不得再单独参加或者与其他供应商另外组成联合体参加同一合同项下的政府采购活动。</w:t>
            </w:r>
          </w:p>
          <w:p w14:paraId="6BF96937">
            <w:pPr>
              <w:spacing w:line="360" w:lineRule="auto"/>
              <w:rPr>
                <w:rFonts w:ascii="宋体" w:hAnsi="宋体" w:cs="宋体"/>
                <w:color w:val="auto"/>
                <w:szCs w:val="21"/>
                <w:highlight w:val="none"/>
              </w:rPr>
            </w:pPr>
            <w:r>
              <w:rPr>
                <w:rFonts w:hint="eastAsia" w:ascii="宋体" w:hAnsi="宋体" w:cs="宋体"/>
                <w:color w:val="auto"/>
                <w:szCs w:val="21"/>
                <w:highlight w:val="none"/>
              </w:rPr>
              <w:t>5.联合体中有同类资质的供应商按照联合体分工承担相同工作的，应当按照资质等级较低的供应商确定资质等级。</w:t>
            </w:r>
          </w:p>
          <w:p w14:paraId="397D019E">
            <w:pPr>
              <w:spacing w:line="360" w:lineRule="auto"/>
              <w:rPr>
                <w:rFonts w:ascii="宋体" w:hAnsi="宋体" w:cs="宋体"/>
                <w:color w:val="auto"/>
                <w:szCs w:val="21"/>
                <w:highlight w:val="none"/>
              </w:rPr>
            </w:pPr>
            <w:r>
              <w:rPr>
                <w:rFonts w:hint="eastAsia" w:ascii="宋体" w:hAnsi="宋体" w:cs="宋体"/>
                <w:color w:val="auto"/>
                <w:szCs w:val="21"/>
                <w:highlight w:val="none"/>
              </w:rPr>
              <w:t>6.联合体投标业绩、履约能力按照联合体各方其中较高的一方认定并计算（采购文件另有规定的除外）。联合体投标业绩和人员，联合体任意一方具有的均认定并计算（采购文件另有规定的除外）。</w:t>
            </w:r>
          </w:p>
          <w:p w14:paraId="038D9EA0">
            <w:pPr>
              <w:spacing w:line="360" w:lineRule="auto"/>
              <w:rPr>
                <w:rFonts w:ascii="宋体" w:hAnsi="宋体" w:cs="宋体"/>
                <w:color w:val="auto"/>
                <w:szCs w:val="21"/>
                <w:highlight w:val="none"/>
              </w:rPr>
            </w:pPr>
            <w:r>
              <w:rPr>
                <w:rFonts w:hint="eastAsia" w:ascii="宋体" w:hAnsi="宋体" w:cs="宋体"/>
                <w:color w:val="auto"/>
                <w:szCs w:val="21"/>
                <w:highlight w:val="none"/>
              </w:rPr>
              <w:t>7.供应商为联合体的，可以由联合体中的一方或者多方共同交纳投标保证金，其交纳的保证金对联合体各方均具有约束力。</w:t>
            </w:r>
          </w:p>
          <w:p w14:paraId="6523DF40">
            <w:pPr>
              <w:spacing w:line="360" w:lineRule="auto"/>
              <w:rPr>
                <w:rFonts w:ascii="宋体" w:hAnsi="宋体" w:cs="宋体"/>
                <w:color w:val="auto"/>
                <w:szCs w:val="21"/>
                <w:highlight w:val="none"/>
              </w:rPr>
            </w:pPr>
            <w:r>
              <w:rPr>
                <w:rFonts w:hint="eastAsia" w:ascii="宋体" w:hAnsi="宋体" w:cs="宋体"/>
                <w:color w:val="auto"/>
                <w:szCs w:val="21"/>
                <w:highlight w:val="none"/>
              </w:rPr>
              <w:t>8.联合体各方均应按照采购文件的规定提交资格证明文件。除联合体协议书及特定备注要求需要双方盖法人单位公章（可采用纸质版盖联合体各方法人单位公章后扫描上传），其他只需盖联合体牵头单位的电子印章。</w:t>
            </w:r>
          </w:p>
        </w:tc>
      </w:tr>
      <w:tr w14:paraId="19E72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noWrap w:val="0"/>
            <w:vAlign w:val="center"/>
          </w:tcPr>
          <w:p w14:paraId="71B0A360">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6.1</w:t>
            </w:r>
          </w:p>
        </w:tc>
        <w:tc>
          <w:tcPr>
            <w:tcW w:w="1132" w:type="dxa"/>
            <w:noWrap w:val="0"/>
            <w:vAlign w:val="center"/>
          </w:tcPr>
          <w:p w14:paraId="1D038945">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是否允许分包</w:t>
            </w:r>
          </w:p>
        </w:tc>
        <w:tc>
          <w:tcPr>
            <w:tcW w:w="6851" w:type="dxa"/>
            <w:noWrap w:val="0"/>
            <w:vAlign w:val="center"/>
          </w:tcPr>
          <w:p w14:paraId="4AF2D6EB">
            <w:pPr>
              <w:spacing w:line="360" w:lineRule="exact"/>
              <w:jc w:val="left"/>
              <w:rPr>
                <w:rFonts w:ascii="宋体" w:hAnsi="宋体" w:cs="宋体"/>
                <w:color w:val="auto"/>
                <w:szCs w:val="21"/>
                <w:highlight w:val="none"/>
              </w:rPr>
            </w:pPr>
            <w:r>
              <w:rPr>
                <w:rFonts w:ascii="Segoe UI Symbol" w:hAnsi="Segoe UI Symbol" w:cs="Segoe UI Symbol"/>
                <w:color w:val="auto"/>
                <w:szCs w:val="21"/>
                <w:highlight w:val="none"/>
              </w:rPr>
              <w:t>☑</w:t>
            </w:r>
            <w:r>
              <w:rPr>
                <w:rFonts w:hint="eastAsia" w:ascii="宋体" w:hAnsi="宋体" w:cs="宋体"/>
                <w:color w:val="auto"/>
                <w:szCs w:val="21"/>
                <w:highlight w:val="none"/>
              </w:rPr>
              <w:t>不允许分包</w:t>
            </w:r>
          </w:p>
          <w:p w14:paraId="787B38A5">
            <w:pPr>
              <w:spacing w:line="360" w:lineRule="exact"/>
              <w:jc w:val="left"/>
              <w:rPr>
                <w:rFonts w:ascii="宋体" w:hAnsi="宋体" w:cs="宋体"/>
                <w:color w:val="auto"/>
                <w:szCs w:val="21"/>
                <w:highlight w:val="none"/>
              </w:rPr>
            </w:pPr>
            <w:r>
              <w:rPr>
                <w:rFonts w:hint="eastAsia" w:ascii="宋体" w:hAnsi="宋体" w:cs="宋体"/>
                <w:color w:val="auto"/>
                <w:szCs w:val="21"/>
                <w:highlight w:val="none"/>
              </w:rPr>
              <w:t>□允许分包</w:t>
            </w:r>
          </w:p>
          <w:p w14:paraId="34250E10">
            <w:pPr>
              <w:spacing w:line="360" w:lineRule="exact"/>
              <w:jc w:val="left"/>
              <w:rPr>
                <w:rFonts w:ascii="宋体" w:hAnsi="宋体" w:cs="宋体"/>
                <w:color w:val="auto"/>
                <w:szCs w:val="21"/>
                <w:highlight w:val="none"/>
              </w:rPr>
            </w:pPr>
            <w:r>
              <w:rPr>
                <w:rFonts w:hint="eastAsia" w:ascii="宋体" w:hAnsi="宋体" w:cs="宋体"/>
                <w:color w:val="auto"/>
                <w:szCs w:val="21"/>
                <w:highlight w:val="none"/>
              </w:rPr>
              <w:t>分包内容：/。</w:t>
            </w:r>
          </w:p>
          <w:p w14:paraId="29A9CA35">
            <w:pPr>
              <w:spacing w:line="360" w:lineRule="exact"/>
              <w:jc w:val="left"/>
              <w:rPr>
                <w:rFonts w:ascii="宋体" w:hAnsi="宋体" w:cs="宋体"/>
                <w:color w:val="auto"/>
                <w:szCs w:val="21"/>
                <w:highlight w:val="none"/>
              </w:rPr>
            </w:pPr>
            <w:r>
              <w:rPr>
                <w:rFonts w:hint="eastAsia" w:ascii="宋体" w:hAnsi="宋体" w:cs="宋体"/>
                <w:color w:val="auto"/>
                <w:szCs w:val="21"/>
                <w:highlight w:val="none"/>
              </w:rPr>
              <w:t>分包金额或者比例：/。</w:t>
            </w:r>
          </w:p>
        </w:tc>
      </w:tr>
      <w:tr w14:paraId="09F8F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0" w:type="dxa"/>
            <w:noWrap w:val="0"/>
            <w:vAlign w:val="center"/>
          </w:tcPr>
          <w:p w14:paraId="64BC6C2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1132" w:type="dxa"/>
            <w:noWrap w:val="0"/>
            <w:vAlign w:val="center"/>
          </w:tcPr>
          <w:p w14:paraId="7A7BE23E">
            <w:pPr>
              <w:snapToGrid w:val="0"/>
              <w:spacing w:line="360" w:lineRule="exact"/>
              <w:jc w:val="center"/>
              <w:rPr>
                <w:rFonts w:ascii="宋体" w:hAnsi="宋体" w:cs="宋体"/>
                <w:color w:val="auto"/>
                <w:szCs w:val="21"/>
                <w:highlight w:val="none"/>
              </w:rPr>
            </w:pPr>
            <w:r>
              <w:rPr>
                <w:rFonts w:hint="eastAsia" w:ascii="宋体" w:hAnsi="宋体" w:cs="宋体"/>
                <w:b/>
                <w:color w:val="auto"/>
                <w:szCs w:val="21"/>
                <w:highlight w:val="none"/>
              </w:rPr>
              <w:t>资格证明文件组成</w:t>
            </w:r>
          </w:p>
        </w:tc>
        <w:tc>
          <w:tcPr>
            <w:tcW w:w="6851" w:type="dxa"/>
            <w:noWrap w:val="0"/>
            <w:vAlign w:val="center"/>
          </w:tcPr>
          <w:p w14:paraId="68D0B700">
            <w:pPr>
              <w:spacing w:line="360" w:lineRule="exact"/>
              <w:jc w:val="left"/>
              <w:rPr>
                <w:rFonts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EF6478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2.供应商依法缴纳税收的相关材料（2025年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月至2026年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内连续3个月的依法缴纳税收的凭据复印件或纳税申报）；依法免税的供应商，必须提供相应文件证明其依法免税。从取得营业执照时间起至响应文件提交截止时间为止不足要求月数的，只需提供从取得营业执照起的依法缴纳税收相应证明文件）；（</w:t>
            </w:r>
            <w:r>
              <w:rPr>
                <w:rFonts w:hint="eastAsia" w:ascii="宋体" w:hAnsi="宋体" w:cs="宋体"/>
                <w:b/>
                <w:color w:val="auto"/>
                <w:szCs w:val="21"/>
                <w:highlight w:val="none"/>
              </w:rPr>
              <w:t>必须提供，否则作无效竞标处理</w:t>
            </w:r>
            <w:r>
              <w:rPr>
                <w:rFonts w:hint="eastAsia" w:ascii="宋体" w:hAnsi="宋体" w:cs="宋体"/>
                <w:color w:val="auto"/>
                <w:szCs w:val="21"/>
                <w:highlight w:val="none"/>
              </w:rPr>
              <w:t>）</w:t>
            </w:r>
          </w:p>
          <w:p w14:paraId="2DC5609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3.供应商依法缴纳社会保障资金的相关材料[2025年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月至2026年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内连续3个月的依法缴纳社会保障资金的缴费凭证（专用收据或者社会保险缴纳清单）复印件；依法不需要缴纳社会保障资金的供应商，必须提供相应文件证明不需要缴纳社会保障资金。从取得营业执照时间起至响应文件提交截止时间为止不足要求月数的只需提供从取得营业执照起的依法缴纳社会保障资金的相应证明文件]；（</w:t>
            </w:r>
            <w:r>
              <w:rPr>
                <w:rFonts w:hint="eastAsia" w:ascii="宋体" w:hAnsi="宋体" w:cs="宋体"/>
                <w:b/>
                <w:color w:val="auto"/>
                <w:szCs w:val="21"/>
                <w:highlight w:val="none"/>
              </w:rPr>
              <w:t>必须提供，否则作无效竞标处理</w:t>
            </w:r>
            <w:r>
              <w:rPr>
                <w:rFonts w:hint="eastAsia" w:ascii="宋体" w:hAnsi="宋体" w:cs="宋体"/>
                <w:color w:val="auto"/>
                <w:szCs w:val="21"/>
                <w:highlight w:val="none"/>
              </w:rPr>
              <w:t>）</w:t>
            </w:r>
          </w:p>
          <w:p w14:paraId="38BF9AB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4.供应商财务状况报告：[2024或2025年度]财务报表复印件；</w:t>
            </w:r>
            <w:r>
              <w:rPr>
                <w:rFonts w:hint="eastAsia" w:ascii="宋体" w:hAnsi="宋体"/>
                <w:color w:val="auto"/>
                <w:szCs w:val="21"/>
                <w:highlight w:val="none"/>
              </w:rPr>
              <w:t>或者银行出具的资信证明，或者中国人民银行征信中心出具的信用报告（企业投标的提供企业信用报告，自然人投标的提供个人信用报告，供应商属于成立时间在规定年度之后的法人或其他组织，需提供成立之日起至投标截止时间前的月报表或银行出具的资信证明或者中国人民银行征信中心出具的企业信用报告；资信证明应在有效期内，未注明有效期的，银行出具时间至投标截止时间不超过一年]；</w:t>
            </w:r>
            <w:r>
              <w:rPr>
                <w:rFonts w:hint="eastAsia" w:ascii="宋体" w:hAnsi="宋体" w:cs="宋体"/>
                <w:color w:val="auto"/>
                <w:szCs w:val="21"/>
                <w:highlight w:val="none"/>
              </w:rPr>
              <w:t>（上述财务报表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b/>
                <w:color w:val="auto"/>
                <w:szCs w:val="21"/>
                <w:highlight w:val="none"/>
              </w:rPr>
              <w:t>必须提供，否则作无效竞标处理</w:t>
            </w:r>
            <w:r>
              <w:rPr>
                <w:rFonts w:hint="eastAsia" w:ascii="宋体" w:hAnsi="宋体" w:cs="宋体"/>
                <w:color w:val="auto"/>
                <w:szCs w:val="21"/>
                <w:highlight w:val="none"/>
              </w:rPr>
              <w:t>）</w:t>
            </w:r>
          </w:p>
          <w:p w14:paraId="7279DF7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5.供应商直接控股、管理关系信息表；（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45AC952">
            <w:pPr>
              <w:snapToGrid w:val="0"/>
              <w:spacing w:line="360" w:lineRule="exact"/>
              <w:jc w:val="left"/>
              <w:rPr>
                <w:rFonts w:hint="eastAsia" w:ascii="宋体" w:hAnsi="宋体" w:cs="宋体"/>
                <w:b/>
                <w:bCs/>
                <w:color w:val="auto"/>
                <w:szCs w:val="21"/>
                <w:highlight w:val="none"/>
              </w:rPr>
            </w:pPr>
            <w:r>
              <w:rPr>
                <w:rFonts w:hint="eastAsia" w:ascii="宋体" w:hAnsi="宋体" w:cs="宋体"/>
                <w:color w:val="auto"/>
                <w:szCs w:val="21"/>
                <w:highlight w:val="none"/>
              </w:rPr>
              <w:t>6.资格声明函；</w:t>
            </w:r>
            <w:r>
              <w:rPr>
                <w:rFonts w:hint="eastAsia" w:ascii="宋体" w:hAnsi="宋体" w:cs="宋体"/>
                <w:b/>
                <w:bCs/>
                <w:color w:val="auto"/>
                <w:szCs w:val="21"/>
                <w:highlight w:val="none"/>
              </w:rPr>
              <w:t>（必须提供，否则响应文件按无效响应处理）</w:t>
            </w:r>
          </w:p>
          <w:p w14:paraId="47F8BDB7">
            <w:pPr>
              <w:widowControl/>
              <w:jc w:val="left"/>
              <w:rPr>
                <w:rFonts w:hint="default" w:eastAsia="宋体"/>
                <w:color w:val="auto"/>
                <w:highlight w:val="none"/>
                <w:lang w:val="en-US" w:eastAsia="zh-CN"/>
              </w:rPr>
            </w:pPr>
            <w:r>
              <w:rPr>
                <w:rFonts w:hint="eastAsia" w:ascii="宋体" w:hAnsi="宋体" w:cs="宋体"/>
                <w:b/>
                <w:bCs/>
                <w:color w:val="auto"/>
                <w:szCs w:val="21"/>
                <w:highlight w:val="none"/>
                <w:lang w:val="en-US" w:eastAsia="zh-CN"/>
              </w:rPr>
              <w:t>7.</w:t>
            </w:r>
            <w:r>
              <w:rPr>
                <w:rFonts w:hint="eastAsia" w:ascii="宋体" w:hAnsi="宋体" w:eastAsia="宋体" w:cs="宋体"/>
                <w:color w:val="auto"/>
                <w:kern w:val="0"/>
                <w:sz w:val="20"/>
                <w:szCs w:val="20"/>
                <w:highlight w:val="none"/>
                <w:lang w:val="en-US" w:eastAsia="zh-CN" w:bidi="ar"/>
              </w:rPr>
              <w:t>属于中小企业的提供《中小企业声明函》，属于残疾人福利性单位的《提供残疾人福利性单位声明函》，属于监狱企业的提供省级以上监狱管理局、戒毒管理局（含新疆生产建设兵团）出具的属于监狱企业的证明文件（《中小企业声明函》及《提供残疾人福利性单位声明函》格式后附，监狱企业证明材料自行提供）；</w:t>
            </w:r>
            <w:r>
              <w:rPr>
                <w:rFonts w:hint="eastAsia" w:ascii="宋体" w:hAnsi="宋体" w:cs="宋体"/>
                <w:b/>
                <w:bCs/>
                <w:color w:val="auto"/>
                <w:szCs w:val="21"/>
                <w:highlight w:val="none"/>
              </w:rPr>
              <w:t>（必须提供，否则响应文件按无效响应处理）</w:t>
            </w:r>
          </w:p>
          <w:p w14:paraId="4EEFC865">
            <w:pPr>
              <w:snapToGrid w:val="0"/>
              <w:spacing w:line="360" w:lineRule="exact"/>
              <w:jc w:val="left"/>
              <w:rPr>
                <w:rFonts w:ascii="宋体" w:hAnsi="宋体" w:cs="宋体"/>
                <w:b/>
                <w:bCs/>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.联合体协议书。</w:t>
            </w:r>
            <w:r>
              <w:rPr>
                <w:rFonts w:hint="eastAsia" w:ascii="宋体" w:hAnsi="宋体" w:cs="宋体"/>
                <w:b/>
                <w:bCs/>
                <w:color w:val="auto"/>
                <w:szCs w:val="21"/>
                <w:highlight w:val="none"/>
              </w:rPr>
              <w:t>（联合体投标时必须提供，否则作无效投标处理）</w:t>
            </w:r>
          </w:p>
          <w:p w14:paraId="47058FF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.除磋商文件规定必须提供以外，供应商认为需要提供的其他证明材料；</w:t>
            </w:r>
          </w:p>
          <w:p w14:paraId="15BFB6A6">
            <w:pPr>
              <w:snapToGrid w:val="0"/>
              <w:spacing w:line="360" w:lineRule="exact"/>
              <w:jc w:val="left"/>
              <w:rPr>
                <w:rFonts w:ascii="宋体" w:hAnsi="宋体" w:cs="宋体"/>
                <w:b/>
                <w:color w:val="auto"/>
                <w:szCs w:val="21"/>
                <w:highlight w:val="none"/>
              </w:rPr>
            </w:pPr>
            <w:r>
              <w:rPr>
                <w:rFonts w:hint="eastAsia" w:ascii="宋体" w:hAnsi="宋体" w:cs="宋体"/>
                <w:b/>
                <w:color w:val="auto"/>
                <w:szCs w:val="21"/>
                <w:highlight w:val="none"/>
              </w:rPr>
              <w:t>注：</w:t>
            </w:r>
          </w:p>
          <w:p w14:paraId="7E13421A">
            <w:pPr>
              <w:snapToGrid w:val="0"/>
              <w:spacing w:line="360" w:lineRule="exact"/>
              <w:ind w:firstLine="413" w:firstLineChars="196"/>
              <w:jc w:val="left"/>
              <w:rPr>
                <w:color w:val="auto"/>
                <w:highlight w:val="none"/>
              </w:rPr>
            </w:pPr>
            <w:r>
              <w:rPr>
                <w:rFonts w:hint="eastAsia" w:ascii="宋体" w:hAnsi="宋体" w:cs="宋体"/>
                <w:b/>
                <w:color w:val="auto"/>
                <w:szCs w:val="21"/>
                <w:highlight w:val="none"/>
              </w:rPr>
              <w:t>1.以上标明“必须提供”的材料属于复印件的扫描件的，必须加盖供应商电子公章，否则响应文件按无效响应处理。</w:t>
            </w:r>
          </w:p>
          <w:p w14:paraId="3A2C4B28">
            <w:pPr>
              <w:ind w:firstLine="420"/>
              <w:rPr>
                <w:color w:val="auto"/>
                <w:szCs w:val="20"/>
                <w:highlight w:val="none"/>
              </w:rPr>
            </w:pPr>
            <w:r>
              <w:rPr>
                <w:rFonts w:hint="eastAsia" w:ascii="宋体" w:hAnsi="宋体" w:cs="宋体"/>
                <w:b/>
                <w:color w:val="auto"/>
                <w:szCs w:val="21"/>
                <w:highlight w:val="none"/>
              </w:rPr>
              <w:t>2.</w:t>
            </w:r>
            <w:r>
              <w:rPr>
                <w:rFonts w:hint="eastAsia" w:ascii="宋体" w:hAnsi="宋体"/>
                <w:b/>
                <w:bCs/>
                <w:color w:val="auto"/>
                <w:szCs w:val="21"/>
                <w:highlight w:val="none"/>
              </w:rPr>
              <w:t>联合体投标时，第1-6、7项资格证明文件联合体各方均必须分别提供，联合体各方分别盖章和签字，否则投标文件按无效响应处理。</w:t>
            </w:r>
          </w:p>
        </w:tc>
      </w:tr>
      <w:tr w14:paraId="0486E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restart"/>
            <w:noWrap w:val="0"/>
            <w:vAlign w:val="center"/>
          </w:tcPr>
          <w:p w14:paraId="0BF6A0AD">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1132" w:type="dxa"/>
            <w:noWrap w:val="0"/>
            <w:vAlign w:val="center"/>
          </w:tcPr>
          <w:p w14:paraId="0926FC4B">
            <w:pPr>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商务文件组成</w:t>
            </w:r>
          </w:p>
        </w:tc>
        <w:tc>
          <w:tcPr>
            <w:tcW w:w="6851" w:type="dxa"/>
            <w:noWrap w:val="0"/>
            <w:vAlign w:val="center"/>
          </w:tcPr>
          <w:p w14:paraId="53602160">
            <w:pPr>
              <w:spacing w:line="360" w:lineRule="exact"/>
              <w:contextualSpacing/>
              <w:rPr>
                <w:rFonts w:ascii="宋体" w:hAnsi="宋体" w:cs="宋体"/>
                <w:color w:val="auto"/>
                <w:szCs w:val="21"/>
                <w:highlight w:val="none"/>
              </w:rPr>
            </w:pPr>
            <w:bookmarkStart w:id="50" w:name="_Hlk144805240"/>
            <w:r>
              <w:rPr>
                <w:rFonts w:hint="eastAsia" w:ascii="宋体" w:hAnsi="宋体" w:cs="宋体"/>
                <w:color w:val="auto"/>
                <w:szCs w:val="21"/>
                <w:highlight w:val="none"/>
              </w:rPr>
              <w:t>1.无串通竞标行为的承诺函；（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DD7340B">
            <w:pPr>
              <w:snapToGrid w:val="0"/>
              <w:spacing w:line="360" w:lineRule="exact"/>
              <w:contextualSpacing/>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A78A154">
            <w:pPr>
              <w:spacing w:line="360" w:lineRule="exact"/>
              <w:contextualSpacing/>
              <w:rPr>
                <w:rFonts w:ascii="宋体" w:hAnsi="宋体" w:cs="宋体"/>
                <w:b/>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0E468F25">
            <w:pPr>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492A7DF">
            <w:pPr>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5.竞标人情况介绍；</w:t>
            </w:r>
          </w:p>
          <w:p w14:paraId="0B796A88">
            <w:pPr>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6.供应商认为需要提供的其他有关资料。</w:t>
            </w:r>
          </w:p>
          <w:p w14:paraId="0A5B8299">
            <w:pPr>
              <w:snapToGrid w:val="0"/>
              <w:spacing w:line="360" w:lineRule="exact"/>
              <w:contextualSpacing/>
              <w:jc w:val="left"/>
              <w:rPr>
                <w:rFonts w:ascii="宋体" w:hAnsi="宋体" w:cs="宋体"/>
                <w:b/>
                <w:color w:val="auto"/>
                <w:szCs w:val="21"/>
                <w:highlight w:val="none"/>
              </w:rPr>
            </w:pPr>
            <w:r>
              <w:rPr>
                <w:rFonts w:hint="eastAsia" w:ascii="宋体" w:hAnsi="宋体" w:cs="宋体"/>
                <w:b/>
                <w:color w:val="auto"/>
                <w:szCs w:val="21"/>
                <w:highlight w:val="none"/>
              </w:rPr>
              <w:t xml:space="preserve">注： </w:t>
            </w:r>
          </w:p>
          <w:p w14:paraId="5B5752F6">
            <w:pPr>
              <w:snapToGrid w:val="0"/>
              <w:spacing w:line="360" w:lineRule="exact"/>
              <w:ind w:firstLine="413" w:firstLineChars="196"/>
              <w:contextualSpacing/>
              <w:jc w:val="left"/>
              <w:rPr>
                <w:rFonts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1.法定代表人授权委托书必须由法定代表人及委托代理人签字，并加盖供应商公章（在线下盖章、签字上传原版扫描件），否则响应文件按无效响应处理。</w:t>
            </w:r>
          </w:p>
          <w:p w14:paraId="065219B3">
            <w:pPr>
              <w:spacing w:line="360" w:lineRule="exact"/>
              <w:ind w:firstLine="413" w:firstLineChars="196"/>
              <w:contextualSpacing/>
              <w:rPr>
                <w:rFonts w:ascii="宋体" w:hAnsi="宋体" w:cs="宋体"/>
                <w:b/>
                <w:color w:val="auto"/>
                <w:szCs w:val="21"/>
                <w:highlight w:val="none"/>
              </w:rPr>
            </w:pPr>
            <w:r>
              <w:rPr>
                <w:rFonts w:hint="eastAsia" w:ascii="宋体" w:hAnsi="宋体" w:cs="宋体"/>
                <w:b/>
                <w:color w:val="auto"/>
                <w:szCs w:val="21"/>
                <w:highlight w:val="none"/>
              </w:rPr>
              <w:t>2.以上标明“必须提供”的材料属于复印件的扫描件的，必须加盖供应商电子公章，否则响应文件按无效响应处理。</w:t>
            </w:r>
          </w:p>
          <w:bookmarkEnd w:id="50"/>
        </w:tc>
      </w:tr>
      <w:tr w14:paraId="43D5A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continue"/>
            <w:noWrap w:val="0"/>
            <w:vAlign w:val="center"/>
          </w:tcPr>
          <w:p w14:paraId="0D90F30B">
            <w:pPr>
              <w:rPr>
                <w:color w:val="auto"/>
                <w:highlight w:val="none"/>
              </w:rPr>
            </w:pPr>
          </w:p>
        </w:tc>
        <w:tc>
          <w:tcPr>
            <w:tcW w:w="1132" w:type="dxa"/>
            <w:noWrap w:val="0"/>
            <w:vAlign w:val="center"/>
          </w:tcPr>
          <w:p w14:paraId="17B73FEE">
            <w:pPr>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技术文件组成</w:t>
            </w:r>
          </w:p>
        </w:tc>
        <w:tc>
          <w:tcPr>
            <w:tcW w:w="6851" w:type="dxa"/>
            <w:noWrap w:val="0"/>
            <w:vAlign w:val="center"/>
          </w:tcPr>
          <w:p w14:paraId="04A5B11F">
            <w:pPr>
              <w:spacing w:line="360" w:lineRule="exact"/>
              <w:rPr>
                <w:rFonts w:ascii="宋体" w:hAnsi="宋体" w:cs="宋体"/>
                <w:color w:val="auto"/>
                <w:szCs w:val="21"/>
                <w:highlight w:val="none"/>
              </w:rPr>
            </w:pPr>
            <w:bookmarkStart w:id="51" w:name="_Hlk144805253"/>
            <w:r>
              <w:rPr>
                <w:rFonts w:hint="eastAsia" w:ascii="宋体" w:hAnsi="宋体" w:cs="宋体"/>
                <w:color w:val="auto"/>
                <w:szCs w:val="21"/>
                <w:highlight w:val="none"/>
              </w:rPr>
              <w:t>1.服务需求偏离表；（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2D83A6C">
            <w:pPr>
              <w:spacing w:line="360" w:lineRule="exact"/>
              <w:rPr>
                <w:rFonts w:ascii="宋体" w:hAnsi="宋体" w:cs="宋体"/>
                <w:color w:val="auto"/>
                <w:szCs w:val="21"/>
                <w:highlight w:val="none"/>
              </w:rPr>
            </w:pPr>
            <w:r>
              <w:rPr>
                <w:rFonts w:hint="eastAsia" w:ascii="宋体" w:hAnsi="宋体" w:cs="宋体"/>
                <w:color w:val="auto"/>
                <w:szCs w:val="21"/>
                <w:highlight w:val="none"/>
              </w:rPr>
              <w:t>2.服务方案；</w:t>
            </w:r>
          </w:p>
          <w:p w14:paraId="222B7C3C">
            <w:pPr>
              <w:spacing w:line="360" w:lineRule="exact"/>
              <w:rPr>
                <w:rFonts w:ascii="宋体" w:hAnsi="宋体" w:cs="宋体"/>
                <w:color w:val="auto"/>
                <w:szCs w:val="21"/>
                <w:highlight w:val="none"/>
              </w:rPr>
            </w:pPr>
            <w:r>
              <w:rPr>
                <w:rFonts w:hint="eastAsia" w:ascii="宋体" w:hAnsi="宋体" w:cs="宋体"/>
                <w:color w:val="auto"/>
                <w:szCs w:val="21"/>
                <w:highlight w:val="none"/>
              </w:rPr>
              <w:t>3.售后服务承诺；</w:t>
            </w:r>
          </w:p>
          <w:p w14:paraId="5B07598F">
            <w:pPr>
              <w:spacing w:line="360" w:lineRule="exact"/>
              <w:rPr>
                <w:rFonts w:ascii="宋体" w:hAnsi="宋体" w:cs="宋体"/>
                <w:color w:val="auto"/>
                <w:szCs w:val="21"/>
                <w:highlight w:val="none"/>
              </w:rPr>
            </w:pPr>
            <w:r>
              <w:rPr>
                <w:rFonts w:hint="eastAsia" w:ascii="宋体" w:hAnsi="宋体" w:cs="宋体"/>
                <w:color w:val="auto"/>
                <w:szCs w:val="21"/>
                <w:highlight w:val="none"/>
              </w:rPr>
              <w:t>4.项目实施人员一览表；（</w:t>
            </w:r>
            <w:r>
              <w:rPr>
                <w:rFonts w:hint="eastAsia" w:ascii="宋体" w:hAnsi="宋体" w:cs="宋体"/>
                <w:b/>
                <w:color w:val="auto"/>
                <w:szCs w:val="21"/>
                <w:highlight w:val="none"/>
              </w:rPr>
              <w:t>必须提供，加盖电子公章，否则响应文件按无效响应处理</w:t>
            </w:r>
            <w:r>
              <w:rPr>
                <w:rFonts w:hint="eastAsia" w:ascii="宋体" w:hAnsi="宋体" w:cs="宋体"/>
                <w:color w:val="auto"/>
                <w:szCs w:val="21"/>
                <w:highlight w:val="none"/>
              </w:rPr>
              <w:t>）</w:t>
            </w:r>
          </w:p>
          <w:p w14:paraId="11E5284A">
            <w:pPr>
              <w:spacing w:line="360" w:lineRule="exact"/>
              <w:rPr>
                <w:rFonts w:ascii="宋体" w:hAnsi="宋体" w:cs="宋体"/>
                <w:color w:val="auto"/>
                <w:szCs w:val="21"/>
                <w:highlight w:val="none"/>
              </w:rPr>
            </w:pPr>
            <w:r>
              <w:rPr>
                <w:rFonts w:hint="eastAsia" w:ascii="宋体" w:hAnsi="宋体" w:cs="宋体"/>
                <w:color w:val="auto"/>
                <w:szCs w:val="21"/>
                <w:highlight w:val="none"/>
              </w:rPr>
              <w:t>5.对应采购需求的服务需求、商务条款提供的其他文件资料；</w:t>
            </w:r>
          </w:p>
          <w:p w14:paraId="6128FF9F">
            <w:pPr>
              <w:spacing w:line="360" w:lineRule="exact"/>
              <w:rPr>
                <w:rFonts w:ascii="宋体" w:hAnsi="宋体" w:cs="宋体"/>
                <w:color w:val="auto"/>
                <w:szCs w:val="21"/>
                <w:highlight w:val="none"/>
              </w:rPr>
            </w:pPr>
            <w:r>
              <w:rPr>
                <w:rFonts w:hint="eastAsia" w:ascii="宋体" w:hAnsi="宋体" w:cs="宋体"/>
                <w:color w:val="auto"/>
                <w:szCs w:val="21"/>
                <w:highlight w:val="none"/>
              </w:rPr>
              <w:t>6.供应商认为需要提供的其他有关资料。</w:t>
            </w:r>
          </w:p>
          <w:bookmarkEnd w:id="51"/>
          <w:p w14:paraId="1736B12B">
            <w:pPr>
              <w:spacing w:line="360" w:lineRule="exact"/>
              <w:rPr>
                <w:rFonts w:ascii="宋体" w:hAnsi="宋体" w:cs="宋体"/>
                <w:color w:val="auto"/>
                <w:szCs w:val="21"/>
                <w:highlight w:val="none"/>
              </w:rPr>
            </w:pPr>
            <w:r>
              <w:rPr>
                <w:rFonts w:hint="eastAsia" w:ascii="宋体" w:hAnsi="宋体" w:cs="宋体"/>
                <w:b/>
                <w:color w:val="auto"/>
                <w:szCs w:val="21"/>
                <w:highlight w:val="none"/>
              </w:rPr>
              <w:t>注：1.以上标明“必须提供”的材料属于复印件的扫描件的，必须加盖供应商电子公章，否则响应文件按无效响应处理。</w:t>
            </w:r>
          </w:p>
        </w:tc>
      </w:tr>
      <w:tr w14:paraId="1D770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noWrap w:val="0"/>
            <w:vAlign w:val="center"/>
          </w:tcPr>
          <w:p w14:paraId="72344A9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1132" w:type="dxa"/>
            <w:noWrap w:val="0"/>
            <w:vAlign w:val="center"/>
          </w:tcPr>
          <w:p w14:paraId="316236B3">
            <w:pPr>
              <w:spacing w:line="360" w:lineRule="exact"/>
              <w:jc w:val="center"/>
              <w:rPr>
                <w:rFonts w:ascii="宋体" w:hAnsi="宋体" w:cs="宋体"/>
                <w:color w:val="auto"/>
                <w:szCs w:val="21"/>
                <w:highlight w:val="none"/>
              </w:rPr>
            </w:pPr>
            <w:r>
              <w:rPr>
                <w:rFonts w:hint="eastAsia" w:ascii="宋体" w:hAnsi="宋体" w:cs="宋体"/>
                <w:b/>
                <w:bCs/>
                <w:color w:val="auto"/>
                <w:szCs w:val="21"/>
                <w:highlight w:val="none"/>
              </w:rPr>
              <w:t>报价文件组成</w:t>
            </w:r>
          </w:p>
        </w:tc>
        <w:tc>
          <w:tcPr>
            <w:tcW w:w="6851" w:type="dxa"/>
            <w:noWrap w:val="0"/>
            <w:vAlign w:val="center"/>
          </w:tcPr>
          <w:p w14:paraId="36CF667A">
            <w:pPr>
              <w:tabs>
                <w:tab w:val="left" w:pos="459"/>
              </w:tabs>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1.响应函；</w:t>
            </w:r>
            <w:r>
              <w:rPr>
                <w:rFonts w:hint="eastAsia" w:ascii="宋体" w:hAnsi="宋体" w:cs="宋体"/>
                <w:b/>
                <w:color w:val="auto"/>
                <w:szCs w:val="21"/>
                <w:highlight w:val="none"/>
              </w:rPr>
              <w:t>（必须提供，否则作无效响应处理）</w:t>
            </w:r>
          </w:p>
          <w:p w14:paraId="47E72B43">
            <w:pPr>
              <w:spacing w:line="360" w:lineRule="exact"/>
              <w:rPr>
                <w:rFonts w:ascii="宋体" w:hAnsi="宋体" w:cs="宋体"/>
                <w:color w:val="auto"/>
                <w:szCs w:val="21"/>
                <w:highlight w:val="none"/>
              </w:rPr>
            </w:pPr>
            <w:r>
              <w:rPr>
                <w:rFonts w:hint="eastAsia" w:ascii="宋体" w:hAnsi="宋体" w:cs="宋体"/>
                <w:color w:val="auto"/>
                <w:szCs w:val="21"/>
                <w:highlight w:val="none"/>
              </w:rPr>
              <w:t>2.响应报价表。（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529AA98">
            <w:pPr>
              <w:spacing w:line="360" w:lineRule="exact"/>
              <w:rPr>
                <w:rFonts w:ascii="宋体" w:hAnsi="宋体" w:cs="宋体"/>
                <w:color w:val="auto"/>
                <w:szCs w:val="21"/>
                <w:highlight w:val="none"/>
              </w:rPr>
            </w:pPr>
            <w:r>
              <w:rPr>
                <w:rFonts w:hint="eastAsia" w:ascii="宋体" w:hAnsi="宋体" w:cs="宋体"/>
                <w:color w:val="auto"/>
                <w:szCs w:val="21"/>
                <w:highlight w:val="none"/>
              </w:rPr>
              <w:t>3.中小企业声明函或</w:t>
            </w:r>
            <w:r>
              <w:rPr>
                <w:rFonts w:hint="eastAsia" w:ascii="宋体" w:hAnsi="宋体"/>
                <w:color w:val="auto"/>
                <w:szCs w:val="21"/>
                <w:highlight w:val="none"/>
              </w:rPr>
              <w:t>省级以上监狱管理局、戒毒管理局(含新疆生产建设兵团)出具的属于监狱企业的证明文件或《残疾人福利性单位声明函》</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p>
        </w:tc>
      </w:tr>
      <w:tr w14:paraId="546EA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noWrap w:val="0"/>
            <w:vAlign w:val="center"/>
          </w:tcPr>
          <w:p w14:paraId="3DA791B6">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12.2</w:t>
            </w:r>
          </w:p>
        </w:tc>
        <w:tc>
          <w:tcPr>
            <w:tcW w:w="1132" w:type="dxa"/>
            <w:noWrap w:val="0"/>
            <w:vAlign w:val="center"/>
          </w:tcPr>
          <w:p w14:paraId="0614C459">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响应文件电子版要求</w:t>
            </w:r>
          </w:p>
        </w:tc>
        <w:tc>
          <w:tcPr>
            <w:tcW w:w="6851" w:type="dxa"/>
            <w:noWrap w:val="0"/>
            <w:vAlign w:val="center"/>
          </w:tcPr>
          <w:p w14:paraId="5E8E5DC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2C80550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2.响应文件电子版密封方式：电子响应文件通过平台有效CA加密后在广西政府采购云平台投送。（操作方式见公告附件“电子响应文件制作与投送教程” ）</w:t>
            </w:r>
          </w:p>
        </w:tc>
      </w:tr>
      <w:tr w14:paraId="479F5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noWrap w:val="0"/>
            <w:vAlign w:val="center"/>
          </w:tcPr>
          <w:p w14:paraId="5D00289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15.2</w:t>
            </w:r>
          </w:p>
        </w:tc>
        <w:tc>
          <w:tcPr>
            <w:tcW w:w="1132" w:type="dxa"/>
            <w:noWrap w:val="0"/>
            <w:vAlign w:val="center"/>
          </w:tcPr>
          <w:p w14:paraId="04A432B9">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响应报价要求</w:t>
            </w:r>
          </w:p>
        </w:tc>
        <w:tc>
          <w:tcPr>
            <w:tcW w:w="6851" w:type="dxa"/>
            <w:noWrap w:val="0"/>
            <w:vAlign w:val="center"/>
          </w:tcPr>
          <w:p w14:paraId="3ACC1EB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cs="宋体"/>
                <w:b/>
                <w:color w:val="auto"/>
                <w:szCs w:val="21"/>
                <w:highlight w:val="none"/>
              </w:rPr>
              <w:t>（采购需求另有约定的，从其约定。）</w:t>
            </w:r>
          </w:p>
        </w:tc>
      </w:tr>
      <w:tr w14:paraId="4BA86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noWrap w:val="0"/>
            <w:vAlign w:val="center"/>
          </w:tcPr>
          <w:p w14:paraId="6568D28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16.2</w:t>
            </w:r>
          </w:p>
        </w:tc>
        <w:tc>
          <w:tcPr>
            <w:tcW w:w="1132" w:type="dxa"/>
            <w:noWrap w:val="0"/>
            <w:vAlign w:val="center"/>
          </w:tcPr>
          <w:p w14:paraId="280205E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竞标有效期</w:t>
            </w:r>
          </w:p>
        </w:tc>
        <w:tc>
          <w:tcPr>
            <w:tcW w:w="6851" w:type="dxa"/>
            <w:noWrap w:val="0"/>
            <w:vAlign w:val="center"/>
          </w:tcPr>
          <w:p w14:paraId="43FEA5F3">
            <w:pPr>
              <w:tabs>
                <w:tab w:val="left" w:pos="720"/>
                <w:tab w:val="left" w:pos="840"/>
              </w:tabs>
              <w:snapToGrid w:val="0"/>
              <w:spacing w:after="120" w:line="360" w:lineRule="exact"/>
              <w:ind w:left="283" w:hanging="283" w:hangingChars="135"/>
              <w:jc w:val="left"/>
              <w:rPr>
                <w:rFonts w:ascii="宋体" w:hAnsi="宋体" w:cs="宋体"/>
                <w:color w:val="auto"/>
                <w:szCs w:val="21"/>
                <w:highlight w:val="none"/>
              </w:rPr>
            </w:pPr>
            <w:r>
              <w:rPr>
                <w:rFonts w:hint="eastAsia" w:ascii="宋体" w:hAnsi="宋体" w:cs="宋体"/>
                <w:color w:val="auto"/>
                <w:szCs w:val="21"/>
                <w:highlight w:val="none"/>
              </w:rPr>
              <w:t>自首次响应文件提交截止之日起90日。</w:t>
            </w:r>
          </w:p>
        </w:tc>
      </w:tr>
      <w:tr w14:paraId="09C71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noWrap w:val="0"/>
            <w:vAlign w:val="center"/>
          </w:tcPr>
          <w:p w14:paraId="1F5493A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17.1</w:t>
            </w:r>
          </w:p>
        </w:tc>
        <w:tc>
          <w:tcPr>
            <w:tcW w:w="1132" w:type="dxa"/>
            <w:noWrap w:val="0"/>
            <w:vAlign w:val="center"/>
          </w:tcPr>
          <w:p w14:paraId="3F52172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磋商保证金</w:t>
            </w:r>
          </w:p>
        </w:tc>
        <w:tc>
          <w:tcPr>
            <w:tcW w:w="6851" w:type="dxa"/>
            <w:noWrap w:val="0"/>
            <w:vAlign w:val="center"/>
          </w:tcPr>
          <w:p w14:paraId="32FBD58D">
            <w:pPr>
              <w:autoSpaceDE w:val="0"/>
              <w:autoSpaceDN w:val="0"/>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本项目不收取磋商保证金。</w:t>
            </w:r>
          </w:p>
        </w:tc>
      </w:tr>
      <w:tr w14:paraId="0C501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restart"/>
            <w:noWrap w:val="0"/>
            <w:vAlign w:val="center"/>
          </w:tcPr>
          <w:p w14:paraId="25DB8B0A">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20.1</w:t>
            </w:r>
          </w:p>
        </w:tc>
        <w:tc>
          <w:tcPr>
            <w:tcW w:w="1132" w:type="dxa"/>
            <w:noWrap w:val="0"/>
            <w:vAlign w:val="center"/>
          </w:tcPr>
          <w:p w14:paraId="37CAEF56">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首次响应文件提交起止时间</w:t>
            </w:r>
          </w:p>
        </w:tc>
        <w:tc>
          <w:tcPr>
            <w:tcW w:w="6851" w:type="dxa"/>
            <w:noWrap w:val="0"/>
            <w:vAlign w:val="center"/>
          </w:tcPr>
          <w:p w14:paraId="7EE950D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详见竞争性磋商公告。</w:t>
            </w:r>
          </w:p>
        </w:tc>
      </w:tr>
      <w:tr w14:paraId="32484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continue"/>
            <w:noWrap w:val="0"/>
            <w:vAlign w:val="center"/>
          </w:tcPr>
          <w:p w14:paraId="7D066402">
            <w:pPr>
              <w:rPr>
                <w:color w:val="auto"/>
                <w:highlight w:val="none"/>
              </w:rPr>
            </w:pPr>
          </w:p>
        </w:tc>
        <w:tc>
          <w:tcPr>
            <w:tcW w:w="1132" w:type="dxa"/>
            <w:noWrap w:val="0"/>
            <w:vAlign w:val="center"/>
          </w:tcPr>
          <w:p w14:paraId="5577346F">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首次响应文件提交地点</w:t>
            </w:r>
          </w:p>
        </w:tc>
        <w:tc>
          <w:tcPr>
            <w:tcW w:w="6851" w:type="dxa"/>
            <w:noWrap w:val="0"/>
            <w:vAlign w:val="center"/>
          </w:tcPr>
          <w:p w14:paraId="453008F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详见竞争性磋商公告。</w:t>
            </w:r>
          </w:p>
        </w:tc>
      </w:tr>
      <w:tr w14:paraId="5224D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noWrap w:val="0"/>
            <w:vAlign w:val="center"/>
          </w:tcPr>
          <w:p w14:paraId="683577A5">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20.6</w:t>
            </w:r>
          </w:p>
        </w:tc>
        <w:tc>
          <w:tcPr>
            <w:tcW w:w="1132" w:type="dxa"/>
            <w:noWrap w:val="0"/>
            <w:vAlign w:val="center"/>
          </w:tcPr>
          <w:p w14:paraId="1AC2192A">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备份响应文件</w:t>
            </w:r>
          </w:p>
        </w:tc>
        <w:tc>
          <w:tcPr>
            <w:tcW w:w="6851" w:type="dxa"/>
            <w:noWrap w:val="0"/>
            <w:vAlign w:val="center"/>
          </w:tcPr>
          <w:p w14:paraId="297D977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本项目不接受备份响应文件。</w:t>
            </w:r>
          </w:p>
        </w:tc>
      </w:tr>
      <w:tr w14:paraId="07B4B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noWrap w:val="0"/>
            <w:vAlign w:val="center"/>
          </w:tcPr>
          <w:p w14:paraId="476EFE1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21</w:t>
            </w:r>
          </w:p>
        </w:tc>
        <w:tc>
          <w:tcPr>
            <w:tcW w:w="1132" w:type="dxa"/>
            <w:noWrap w:val="0"/>
            <w:vAlign w:val="center"/>
          </w:tcPr>
          <w:p w14:paraId="0F9958FA">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首次响应文件的退回</w:t>
            </w:r>
          </w:p>
        </w:tc>
        <w:tc>
          <w:tcPr>
            <w:tcW w:w="6851" w:type="dxa"/>
            <w:noWrap w:val="0"/>
            <w:vAlign w:val="center"/>
          </w:tcPr>
          <w:p w14:paraId="024A558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详见竞争性磋商公告。</w:t>
            </w:r>
          </w:p>
        </w:tc>
      </w:tr>
      <w:tr w14:paraId="04428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restart"/>
            <w:noWrap w:val="0"/>
            <w:vAlign w:val="center"/>
          </w:tcPr>
          <w:p w14:paraId="0798173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26.2</w:t>
            </w:r>
          </w:p>
        </w:tc>
        <w:tc>
          <w:tcPr>
            <w:tcW w:w="1132" w:type="dxa"/>
            <w:noWrap w:val="0"/>
            <w:vAlign w:val="center"/>
          </w:tcPr>
          <w:p w14:paraId="3DF100E1">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负偏离要求</w:t>
            </w:r>
          </w:p>
        </w:tc>
        <w:tc>
          <w:tcPr>
            <w:tcW w:w="6851" w:type="dxa"/>
            <w:noWrap w:val="0"/>
            <w:vAlign w:val="center"/>
          </w:tcPr>
          <w:p w14:paraId="0BC3A912">
            <w:pPr>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商务条款评审中允许负偏离的条款数为</w:t>
            </w:r>
            <w:r>
              <w:rPr>
                <w:rFonts w:hint="eastAsia" w:ascii="宋体" w:hAnsi="宋体" w:cs="宋体"/>
                <w:b/>
                <w:color w:val="auto"/>
                <w:szCs w:val="21"/>
                <w:highlight w:val="none"/>
                <w:u w:val="single"/>
              </w:rPr>
              <w:t xml:space="preserve"> 0 </w:t>
            </w:r>
            <w:r>
              <w:rPr>
                <w:rFonts w:hint="eastAsia" w:ascii="宋体" w:hAnsi="宋体" w:cs="宋体"/>
                <w:b/>
                <w:color w:val="auto"/>
                <w:szCs w:val="21"/>
                <w:highlight w:val="none"/>
              </w:rPr>
              <w:t>项。</w:t>
            </w:r>
          </w:p>
        </w:tc>
      </w:tr>
      <w:tr w14:paraId="299F7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continue"/>
            <w:noWrap w:val="0"/>
            <w:vAlign w:val="center"/>
          </w:tcPr>
          <w:p w14:paraId="45F86DF4">
            <w:pPr>
              <w:rPr>
                <w:color w:val="auto"/>
                <w:highlight w:val="none"/>
              </w:rPr>
            </w:pPr>
          </w:p>
        </w:tc>
        <w:tc>
          <w:tcPr>
            <w:tcW w:w="1132" w:type="dxa"/>
            <w:noWrap w:val="0"/>
            <w:vAlign w:val="center"/>
          </w:tcPr>
          <w:p w14:paraId="381E02AB">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磋商的顺序</w:t>
            </w:r>
          </w:p>
        </w:tc>
        <w:tc>
          <w:tcPr>
            <w:tcW w:w="6851" w:type="dxa"/>
            <w:noWrap w:val="0"/>
            <w:vAlign w:val="center"/>
          </w:tcPr>
          <w:p w14:paraId="07A33C03">
            <w:pPr>
              <w:spacing w:line="360" w:lineRule="exact"/>
              <w:jc w:val="left"/>
              <w:rPr>
                <w:rFonts w:ascii="宋体" w:hAnsi="宋体" w:cs="宋体"/>
                <w:color w:val="auto"/>
                <w:szCs w:val="21"/>
                <w:highlight w:val="none"/>
              </w:rPr>
            </w:pPr>
            <w:r>
              <w:rPr>
                <w:rFonts w:hint="eastAsia" w:ascii="宋体" w:hAnsi="宋体" w:cs="宋体"/>
                <w:color w:val="auto"/>
                <w:szCs w:val="21"/>
                <w:highlight w:val="none"/>
              </w:rPr>
              <w:t>□按照提交首次响应文件的顺序，通知磋商时，若某供应商不在通知现场时，该供应商排序到最后磋商，按照签到的顺序由其下一位供应商先参与磋商。</w:t>
            </w:r>
          </w:p>
          <w:p w14:paraId="5FD86C73">
            <w:pPr>
              <w:snapToGrid w:val="0"/>
              <w:spacing w:line="360" w:lineRule="exact"/>
              <w:rPr>
                <w:rFonts w:ascii="宋体" w:hAnsi="宋体" w:cs="宋体"/>
                <w:color w:val="auto"/>
                <w:szCs w:val="21"/>
                <w:highlight w:val="none"/>
              </w:rPr>
            </w:pPr>
            <w:r>
              <w:rPr>
                <w:rFonts w:ascii="Segoe UI Symbol" w:hAnsi="Segoe UI Symbol" w:cs="Segoe UI Symbol"/>
                <w:color w:val="auto"/>
                <w:kern w:val="0"/>
                <w:szCs w:val="21"/>
                <w:highlight w:val="none"/>
              </w:rPr>
              <w:t>☑</w:t>
            </w:r>
            <w:r>
              <w:rPr>
                <w:rFonts w:hint="eastAsia" w:ascii="宋体" w:hAnsi="宋体" w:cs="宋体"/>
                <w:color w:val="auto"/>
                <w:szCs w:val="21"/>
                <w:highlight w:val="none"/>
              </w:rPr>
              <w:t>随机排序。</w:t>
            </w:r>
          </w:p>
          <w:p w14:paraId="5DFEBE72">
            <w:pPr>
              <w:spacing w:line="360" w:lineRule="exact"/>
              <w:jc w:val="left"/>
              <w:rPr>
                <w:rFonts w:ascii="宋体" w:hAnsi="宋体" w:cs="宋体"/>
                <w:b/>
                <w:color w:val="auto"/>
                <w:szCs w:val="21"/>
                <w:highlight w:val="none"/>
              </w:rPr>
            </w:pPr>
            <w:r>
              <w:rPr>
                <w:rFonts w:hint="eastAsia" w:ascii="宋体" w:hAnsi="宋体" w:cs="宋体"/>
                <w:b/>
                <w:color w:val="auto"/>
                <w:szCs w:val="21"/>
                <w:highlight w:val="none"/>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2DC83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noWrap w:val="0"/>
            <w:vAlign w:val="center"/>
          </w:tcPr>
          <w:p w14:paraId="56B8069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28</w:t>
            </w:r>
          </w:p>
        </w:tc>
        <w:tc>
          <w:tcPr>
            <w:tcW w:w="1132" w:type="dxa"/>
            <w:noWrap w:val="0"/>
            <w:vAlign w:val="center"/>
          </w:tcPr>
          <w:p w14:paraId="17528C35">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6851" w:type="dxa"/>
            <w:noWrap w:val="0"/>
            <w:vAlign w:val="center"/>
          </w:tcPr>
          <w:p w14:paraId="44718ED4">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本项目不收取履约保证金</w:t>
            </w:r>
          </w:p>
        </w:tc>
      </w:tr>
      <w:tr w14:paraId="1EBE7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noWrap w:val="0"/>
            <w:vAlign w:val="center"/>
          </w:tcPr>
          <w:p w14:paraId="424C38DD">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29.5</w:t>
            </w:r>
          </w:p>
        </w:tc>
        <w:tc>
          <w:tcPr>
            <w:tcW w:w="1132" w:type="dxa"/>
            <w:noWrap w:val="0"/>
            <w:vAlign w:val="center"/>
          </w:tcPr>
          <w:p w14:paraId="4ED95545">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签订合同携带的材料</w:t>
            </w:r>
          </w:p>
        </w:tc>
        <w:tc>
          <w:tcPr>
            <w:tcW w:w="6851" w:type="dxa"/>
            <w:noWrap w:val="0"/>
            <w:vAlign w:val="center"/>
          </w:tcPr>
          <w:p w14:paraId="210882EE">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使用的有效CA证书加盖单位电子公章</w:t>
            </w:r>
          </w:p>
        </w:tc>
      </w:tr>
      <w:tr w14:paraId="16D7B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restart"/>
            <w:noWrap w:val="0"/>
            <w:vAlign w:val="center"/>
          </w:tcPr>
          <w:p w14:paraId="6244959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31.2</w:t>
            </w:r>
          </w:p>
        </w:tc>
        <w:tc>
          <w:tcPr>
            <w:tcW w:w="1132" w:type="dxa"/>
            <w:noWrap w:val="0"/>
            <w:vAlign w:val="center"/>
          </w:tcPr>
          <w:p w14:paraId="257BEC7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6851" w:type="dxa"/>
            <w:noWrap w:val="0"/>
            <w:vAlign w:val="center"/>
          </w:tcPr>
          <w:p w14:paraId="331F9EF8">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以书面形式</w:t>
            </w:r>
          </w:p>
        </w:tc>
      </w:tr>
      <w:tr w14:paraId="7CAF9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continue"/>
            <w:noWrap w:val="0"/>
            <w:vAlign w:val="center"/>
          </w:tcPr>
          <w:p w14:paraId="1821D72D">
            <w:pPr>
              <w:rPr>
                <w:color w:val="auto"/>
                <w:highlight w:val="none"/>
              </w:rPr>
            </w:pPr>
          </w:p>
        </w:tc>
        <w:tc>
          <w:tcPr>
            <w:tcW w:w="1132" w:type="dxa"/>
            <w:noWrap w:val="0"/>
            <w:vAlign w:val="center"/>
          </w:tcPr>
          <w:p w14:paraId="79E837AF">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6851" w:type="dxa"/>
            <w:noWrap w:val="0"/>
            <w:vAlign w:val="center"/>
          </w:tcPr>
          <w:p w14:paraId="66657A5B">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广西同泽工程项目管理股份有限公司</w:t>
            </w:r>
            <w:r>
              <w:rPr>
                <w:rFonts w:hint="eastAsia" w:ascii="宋体" w:hAnsi="宋体" w:cs="宋体"/>
                <w:color w:val="auto"/>
                <w:szCs w:val="21"/>
                <w:highlight w:val="none"/>
              </w:rPr>
              <w:t>；</w:t>
            </w:r>
          </w:p>
          <w:p w14:paraId="30A1FD87">
            <w:pPr>
              <w:snapToGrid w:val="0"/>
              <w:spacing w:line="36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联系电话：0771-</w:t>
            </w:r>
            <w:r>
              <w:rPr>
                <w:rFonts w:hint="eastAsia" w:ascii="宋体" w:hAnsi="宋体" w:cs="宋体"/>
                <w:color w:val="auto"/>
                <w:szCs w:val="21"/>
                <w:highlight w:val="none"/>
                <w:lang w:val="en-US" w:eastAsia="zh-CN"/>
              </w:rPr>
              <w:t>5590176</w:t>
            </w:r>
          </w:p>
          <w:p w14:paraId="100A852B">
            <w:pPr>
              <w:snapToGrid w:val="0"/>
              <w:spacing w:line="3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通讯地址：</w:t>
            </w:r>
            <w:r>
              <w:rPr>
                <w:rFonts w:hint="eastAsia" w:ascii="宋体" w:hAnsi="宋体" w:cs="宋体"/>
                <w:color w:val="auto"/>
                <w:szCs w:val="21"/>
                <w:highlight w:val="none"/>
                <w:lang w:eastAsia="zh-CN"/>
              </w:rPr>
              <w:t>南宁市良庆区凯旋路16号裕达国际中心广东大厦18层</w:t>
            </w:r>
          </w:p>
          <w:p w14:paraId="2700FA86">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南宁市生态环境局</w:t>
            </w:r>
            <w:r>
              <w:rPr>
                <w:rFonts w:hint="eastAsia" w:ascii="宋体" w:hAnsi="宋体" w:cs="宋体"/>
                <w:color w:val="auto"/>
                <w:szCs w:val="21"/>
                <w:highlight w:val="none"/>
              </w:rPr>
              <w:t>；</w:t>
            </w:r>
          </w:p>
          <w:p w14:paraId="48252024">
            <w:pPr>
              <w:snapToGrid w:val="0"/>
              <w:spacing w:line="36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lang w:val="en-US" w:eastAsia="zh-CN"/>
              </w:rPr>
              <w:t>0771-5757646</w:t>
            </w:r>
          </w:p>
          <w:p w14:paraId="753D63E7">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通讯地址：南宁市竹溪大道33号</w:t>
            </w:r>
          </w:p>
        </w:tc>
      </w:tr>
      <w:tr w14:paraId="797EE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vMerge w:val="continue"/>
            <w:noWrap w:val="0"/>
            <w:vAlign w:val="center"/>
          </w:tcPr>
          <w:p w14:paraId="23C8DDA7">
            <w:pPr>
              <w:rPr>
                <w:color w:val="auto"/>
                <w:highlight w:val="none"/>
              </w:rPr>
            </w:pPr>
          </w:p>
        </w:tc>
        <w:tc>
          <w:tcPr>
            <w:tcW w:w="1132" w:type="dxa"/>
            <w:noWrap w:val="0"/>
            <w:vAlign w:val="center"/>
          </w:tcPr>
          <w:p w14:paraId="1592A0ED">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现场提交质疑办理业务时间</w:t>
            </w:r>
          </w:p>
        </w:tc>
        <w:tc>
          <w:tcPr>
            <w:tcW w:w="6851" w:type="dxa"/>
            <w:noWrap w:val="0"/>
            <w:vAlign w:val="center"/>
          </w:tcPr>
          <w:p w14:paraId="55993F7D">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质疑期内每个工作日</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时00分到12时00分，</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0分到</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0分</w:t>
            </w:r>
          </w:p>
        </w:tc>
      </w:tr>
      <w:tr w14:paraId="099EF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noWrap w:val="0"/>
            <w:vAlign w:val="center"/>
          </w:tcPr>
          <w:p w14:paraId="5958AE24">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31.6</w:t>
            </w:r>
          </w:p>
        </w:tc>
        <w:tc>
          <w:tcPr>
            <w:tcW w:w="1132" w:type="dxa"/>
            <w:noWrap w:val="0"/>
            <w:vAlign w:val="center"/>
          </w:tcPr>
          <w:p w14:paraId="2313E350">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受理投诉方式</w:t>
            </w:r>
          </w:p>
        </w:tc>
        <w:tc>
          <w:tcPr>
            <w:tcW w:w="6851" w:type="dxa"/>
            <w:noWrap w:val="0"/>
            <w:vAlign w:val="center"/>
          </w:tcPr>
          <w:p w14:paraId="3272A08C">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1、受理方式：纸质方式受理，投诉书正、副本（经过质疑的事项才可投诉）。</w:t>
            </w:r>
          </w:p>
          <w:p w14:paraId="011B44F3">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2、邮寄地址：</w:t>
            </w:r>
          </w:p>
          <w:p w14:paraId="0E5DCD17">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名称：广西壮族自治区南宁市财政局政府采购监督管理科</w:t>
            </w:r>
          </w:p>
          <w:p w14:paraId="7A8C054F">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地址：广西壮族自治区南宁市青秀区东葛路129号</w:t>
            </w:r>
          </w:p>
          <w:p w14:paraId="479AD192">
            <w:pPr>
              <w:snapToGrid w:val="0"/>
              <w:spacing w:line="360" w:lineRule="exact"/>
              <w:rPr>
                <w:rFonts w:ascii="宋体" w:hAnsi="宋体" w:cs="宋体"/>
                <w:color w:val="auto"/>
                <w:kern w:val="0"/>
                <w:szCs w:val="21"/>
                <w:highlight w:val="none"/>
              </w:rPr>
            </w:pPr>
            <w:r>
              <w:rPr>
                <w:rFonts w:hint="eastAsia" w:ascii="宋体" w:hAnsi="宋体" w:cs="宋体"/>
                <w:color w:val="auto"/>
                <w:szCs w:val="21"/>
                <w:highlight w:val="none"/>
              </w:rPr>
              <w:t>联系电话：0771-2189091</w:t>
            </w:r>
          </w:p>
        </w:tc>
      </w:tr>
      <w:tr w14:paraId="4D01F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noWrap w:val="0"/>
            <w:vAlign w:val="center"/>
          </w:tcPr>
          <w:p w14:paraId="432302DD">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33</w:t>
            </w:r>
          </w:p>
        </w:tc>
        <w:tc>
          <w:tcPr>
            <w:tcW w:w="1132" w:type="dxa"/>
            <w:noWrap w:val="0"/>
            <w:vAlign w:val="center"/>
          </w:tcPr>
          <w:p w14:paraId="70F54CAA">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采购代理费</w:t>
            </w:r>
          </w:p>
        </w:tc>
        <w:tc>
          <w:tcPr>
            <w:tcW w:w="6851" w:type="dxa"/>
            <w:noWrap w:val="0"/>
            <w:vAlign w:val="center"/>
          </w:tcPr>
          <w:p w14:paraId="6256F179">
            <w:pPr>
              <w:snapToGrid w:val="0"/>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1.是否收取采购代理费：</w:t>
            </w:r>
          </w:p>
          <w:p w14:paraId="47E5DFDD">
            <w:pPr>
              <w:snapToGrid w:val="0"/>
              <w:spacing w:line="360" w:lineRule="exact"/>
              <w:rPr>
                <w:rFonts w:ascii="宋体" w:hAnsi="宋体" w:cs="宋体"/>
                <w:color w:val="auto"/>
                <w:kern w:val="0"/>
                <w:szCs w:val="21"/>
                <w:highlight w:val="none"/>
              </w:rPr>
            </w:pPr>
            <w:r>
              <w:rPr>
                <w:rFonts w:ascii="Segoe UI Symbol" w:hAnsi="Segoe UI Symbol" w:cs="Segoe UI Symbol"/>
                <w:color w:val="auto"/>
                <w:kern w:val="0"/>
                <w:szCs w:val="21"/>
                <w:highlight w:val="none"/>
              </w:rPr>
              <w:t>☑</w:t>
            </w:r>
            <w:r>
              <w:rPr>
                <w:rFonts w:hint="eastAsia" w:ascii="宋体" w:hAnsi="宋体" w:cs="宋体"/>
                <w:color w:val="auto"/>
                <w:kern w:val="0"/>
                <w:szCs w:val="21"/>
                <w:highlight w:val="none"/>
              </w:rPr>
              <w:t>是    □ 否</w:t>
            </w:r>
          </w:p>
          <w:p w14:paraId="1BB5F3D9">
            <w:pPr>
              <w:snapToGrid w:val="0"/>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2.采购代理费支付方式：</w:t>
            </w:r>
          </w:p>
          <w:p w14:paraId="74438DEC">
            <w:pPr>
              <w:snapToGrid w:val="0"/>
              <w:spacing w:line="360" w:lineRule="exact"/>
              <w:rPr>
                <w:rFonts w:ascii="宋体" w:hAnsi="宋体" w:cs="宋体"/>
                <w:color w:val="auto"/>
                <w:kern w:val="0"/>
                <w:szCs w:val="21"/>
                <w:highlight w:val="none"/>
              </w:rPr>
            </w:pPr>
            <w:r>
              <w:rPr>
                <w:rFonts w:ascii="Segoe UI Symbol" w:hAnsi="Segoe UI Symbol" w:cs="Segoe UI Symbol"/>
                <w:color w:val="auto"/>
                <w:kern w:val="0"/>
                <w:szCs w:val="21"/>
                <w:highlight w:val="none"/>
              </w:rPr>
              <w:t>☑</w:t>
            </w:r>
            <w:r>
              <w:rPr>
                <w:rFonts w:hint="eastAsia" w:ascii="宋体" w:hAnsi="宋体" w:cs="宋体"/>
                <w:color w:val="auto"/>
                <w:kern w:val="0"/>
                <w:szCs w:val="21"/>
                <w:highlight w:val="none"/>
              </w:rPr>
              <w:t>本项目代理服务费由成交供应商一次性向采购代理机构支付。</w:t>
            </w:r>
          </w:p>
          <w:p w14:paraId="59994A35">
            <w:pPr>
              <w:snapToGrid w:val="0"/>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□采购人支付。</w:t>
            </w:r>
          </w:p>
          <w:p w14:paraId="58FFEB5E">
            <w:pPr>
              <w:snapToGrid w:val="0"/>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3.采购代理费收取标准：</w:t>
            </w:r>
          </w:p>
          <w:p w14:paraId="5FE40F9F">
            <w:pPr>
              <w:snapToGrid w:val="0"/>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以项目（</w:t>
            </w:r>
            <w:r>
              <w:rPr>
                <w:rFonts w:ascii="Segoe UI Symbol" w:hAnsi="Segoe UI Symbol" w:cs="Segoe UI Symbol"/>
                <w:color w:val="auto"/>
                <w:kern w:val="0"/>
                <w:szCs w:val="21"/>
                <w:highlight w:val="none"/>
              </w:rPr>
              <w:t>☑</w:t>
            </w:r>
            <w:r>
              <w:rPr>
                <w:rFonts w:hint="eastAsia" w:ascii="宋体" w:hAnsi="宋体" w:cs="宋体"/>
                <w:color w:val="auto"/>
                <w:kern w:val="0"/>
                <w:szCs w:val="21"/>
                <w:highlight w:val="none"/>
              </w:rPr>
              <w:t>成交金额/□采购预算/□暂定成交金额/</w:t>
            </w:r>
            <w:r>
              <w:rPr>
                <w:rFonts w:hint="eastAsia" w:ascii="Segoe UI Symbol" w:hAnsi="Segoe UI Symbol" w:cs="Segoe UI Symbol"/>
                <w:color w:val="auto"/>
                <w:kern w:val="0"/>
                <w:szCs w:val="21"/>
                <w:highlight w:val="none"/>
              </w:rPr>
              <w:t>□</w:t>
            </w:r>
            <w:r>
              <w:rPr>
                <w:rFonts w:hint="eastAsia" w:ascii="宋体" w:hAnsi="宋体" w:cs="宋体"/>
                <w:color w:val="auto"/>
                <w:kern w:val="0"/>
                <w:szCs w:val="21"/>
                <w:highlight w:val="none"/>
              </w:rPr>
              <w:t>其他 ）为计费额，按计价格[2002]1980号文服务类采用差额定率累进法计算出收费基准价格，采购代理收费以（</w:t>
            </w:r>
            <w:r>
              <w:rPr>
                <w:rFonts w:ascii="Segoe UI Symbol" w:hAnsi="Segoe UI Symbol" w:cs="Segoe UI Symbol"/>
                <w:color w:val="auto"/>
                <w:kern w:val="0"/>
                <w:szCs w:val="21"/>
                <w:highlight w:val="none"/>
              </w:rPr>
              <w:t>☑</w:t>
            </w:r>
            <w:r>
              <w:rPr>
                <w:rFonts w:hint="eastAsia" w:ascii="宋体" w:hAnsi="宋体" w:cs="宋体"/>
                <w:color w:val="auto"/>
                <w:kern w:val="0"/>
                <w:szCs w:val="21"/>
                <w:highlight w:val="none"/>
              </w:rPr>
              <w:t>收费基准价格</w:t>
            </w:r>
            <w:r>
              <w:rPr>
                <w:rFonts w:ascii="宋体" w:hAnsi="宋体" w:cs="宋体"/>
                <w:color w:val="auto"/>
                <w:kern w:val="0"/>
                <w:szCs w:val="21"/>
                <w:highlight w:val="none"/>
              </w:rPr>
              <w:t>/</w:t>
            </w:r>
            <w:r>
              <w:rPr>
                <w:rFonts w:hint="eastAsia" w:ascii="宋体" w:hAnsi="宋体" w:cs="宋体"/>
                <w:color w:val="auto"/>
                <w:kern w:val="0"/>
                <w:szCs w:val="21"/>
                <w:highlight w:val="none"/>
              </w:rPr>
              <w:t>□收费基准价格下浮</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□收费基准价格上浮</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）收取。 </w:t>
            </w:r>
          </w:p>
          <w:p w14:paraId="7F5A0845">
            <w:pPr>
              <w:snapToGrid w:val="0"/>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4.采购代理费收取银行账户</w:t>
            </w:r>
          </w:p>
          <w:p w14:paraId="57478957">
            <w:pPr>
              <w:snapToGrid w:val="0"/>
              <w:spacing w:line="360" w:lineRule="exac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开户名称：广西同泽工程项目管理股份有限公司南宁第八分公司</w:t>
            </w:r>
          </w:p>
          <w:p w14:paraId="1747257F">
            <w:pPr>
              <w:snapToGrid w:val="0"/>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银行账号：63150078801600000504</w:t>
            </w:r>
          </w:p>
          <w:p w14:paraId="1B213736">
            <w:pPr>
              <w:snapToGrid w:val="0"/>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开户银行：上海浦东发展银行广西自贸试验区南宁片区支行</w:t>
            </w:r>
          </w:p>
        </w:tc>
      </w:tr>
      <w:tr w14:paraId="285F4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noWrap w:val="0"/>
            <w:vAlign w:val="center"/>
          </w:tcPr>
          <w:p w14:paraId="0254165D">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34.1</w:t>
            </w:r>
          </w:p>
        </w:tc>
        <w:tc>
          <w:tcPr>
            <w:tcW w:w="1132" w:type="dxa"/>
            <w:noWrap w:val="0"/>
            <w:vAlign w:val="center"/>
          </w:tcPr>
          <w:p w14:paraId="62973E10">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解释</w:t>
            </w:r>
          </w:p>
        </w:tc>
        <w:tc>
          <w:tcPr>
            <w:tcW w:w="6851" w:type="dxa"/>
            <w:noWrap w:val="0"/>
            <w:vAlign w:val="center"/>
          </w:tcPr>
          <w:p w14:paraId="46D143CB">
            <w:pPr>
              <w:snapToGrid w:val="0"/>
              <w:spacing w:line="360" w:lineRule="exact"/>
              <w:rPr>
                <w:rFonts w:ascii="宋体" w:hAnsi="宋体" w:cs="宋体"/>
                <w:b/>
                <w:color w:val="auto"/>
                <w:kern w:val="0"/>
                <w:szCs w:val="21"/>
                <w:highlight w:val="none"/>
              </w:rPr>
            </w:pPr>
            <w:r>
              <w:rPr>
                <w:rFonts w:hint="eastAsia" w:ascii="宋体" w:hAnsi="宋体" w:cs="宋体"/>
                <w:b/>
                <w:color w:val="auto"/>
                <w:kern w:val="0"/>
                <w:szCs w:val="21"/>
                <w:highlight w:val="none"/>
              </w:rPr>
              <w:t>解释权：</w:t>
            </w:r>
            <w:r>
              <w:rPr>
                <w:rFonts w:hint="eastAsia" w:ascii="宋体" w:hAnsi="宋体" w:cs="宋体"/>
                <w:color w:val="auto"/>
                <w:kern w:val="0"/>
                <w:szCs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cs="宋体"/>
                <w:b/>
                <w:color w:val="auto"/>
                <w:kern w:val="0"/>
                <w:szCs w:val="21"/>
                <w:highlight w:val="none"/>
              </w:rPr>
              <w:t>由采购人或者采购代理机构负责解释。</w:t>
            </w:r>
          </w:p>
          <w:p w14:paraId="0C0B1566">
            <w:pPr>
              <w:snapToGrid w:val="0"/>
              <w:spacing w:line="360" w:lineRule="exact"/>
              <w:rPr>
                <w:rFonts w:ascii="宋体" w:hAnsi="宋体" w:cs="宋体"/>
                <w:color w:val="auto"/>
                <w:kern w:val="0"/>
                <w:szCs w:val="21"/>
                <w:highlight w:val="none"/>
              </w:rPr>
            </w:pPr>
            <w:r>
              <w:rPr>
                <w:rFonts w:hint="eastAsia" w:ascii="宋体" w:hAnsi="宋体" w:cs="宋体"/>
                <w:b/>
                <w:color w:val="auto"/>
                <w:kern w:val="0"/>
                <w:szCs w:val="21"/>
                <w:highlight w:val="none"/>
              </w:rPr>
              <w:t>法律责任：</w:t>
            </w:r>
            <w:r>
              <w:rPr>
                <w:rFonts w:hint="eastAsia" w:ascii="宋体" w:hAnsi="宋体" w:cs="宋体"/>
                <w:color w:val="auto"/>
                <w:kern w:val="0"/>
                <w:szCs w:val="21"/>
                <w:highlight w:val="none"/>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14:paraId="0B72293A">
            <w:pPr>
              <w:snapToGrid w:val="0"/>
              <w:spacing w:line="360" w:lineRule="exact"/>
              <w:rPr>
                <w:rFonts w:ascii="宋体" w:hAnsi="宋体" w:cs="宋体"/>
                <w:color w:val="auto"/>
                <w:szCs w:val="21"/>
                <w:highlight w:val="none"/>
              </w:rPr>
            </w:pPr>
            <w:r>
              <w:rPr>
                <w:rFonts w:hint="eastAsia" w:ascii="宋体" w:hAnsi="宋体" w:cs="宋体"/>
                <w:b/>
                <w:bCs/>
                <w:color w:val="auto"/>
                <w:kern w:val="0"/>
                <w:szCs w:val="21"/>
                <w:highlight w:val="none"/>
              </w:rPr>
              <w:t>2.本项目采购代理机构应严格按照广西政府采购云平台项目采购全流程电子化电子开评标规程执行项目采购活动，代理机构在“项目管理”—“采购文件管理”内开评标规则设置作为本采购文件的组成部分，一经开标不可更改，因代理机构开评标规则设置错误导致采购活动无法开展下去的情况，由代理机构负责解释并承担后果。</w:t>
            </w:r>
          </w:p>
        </w:tc>
      </w:tr>
      <w:tr w14:paraId="250A3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noWrap w:val="0"/>
            <w:vAlign w:val="center"/>
          </w:tcPr>
          <w:p w14:paraId="18E49099">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34.2</w:t>
            </w:r>
          </w:p>
        </w:tc>
        <w:tc>
          <w:tcPr>
            <w:tcW w:w="1132" w:type="dxa"/>
            <w:noWrap w:val="0"/>
            <w:vAlign w:val="center"/>
          </w:tcPr>
          <w:p w14:paraId="1706E16E">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6851" w:type="dxa"/>
            <w:noWrap w:val="0"/>
            <w:vAlign w:val="center"/>
          </w:tcPr>
          <w:p w14:paraId="06444AF2">
            <w:pPr>
              <w:snapToGrid w:val="0"/>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19B93384">
            <w:pPr>
              <w:snapToGrid w:val="0"/>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EB18A07">
            <w:pPr>
              <w:snapToGrid w:val="0"/>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74219CC5">
            <w:pPr>
              <w:snapToGrid w:val="0"/>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4.自然人竞标的，磋商文件规定盖公章处由自然人摁手指指印。</w:t>
            </w:r>
          </w:p>
          <w:p w14:paraId="43083F98">
            <w:pPr>
              <w:snapToGrid w:val="0"/>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5.本磋商文件所称的“以上”“以下”“以内”“届满”，包括本数；所称的“不满”“超过”“以外”，不包括本数。</w:t>
            </w:r>
          </w:p>
        </w:tc>
      </w:tr>
      <w:tr w14:paraId="708A2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60" w:type="dxa"/>
            <w:noWrap w:val="0"/>
            <w:vAlign w:val="center"/>
          </w:tcPr>
          <w:p w14:paraId="108458E5">
            <w:pPr>
              <w:spacing w:line="360" w:lineRule="exact"/>
              <w:jc w:val="center"/>
              <w:rPr>
                <w:rFonts w:hint="eastAsia" w:ascii="宋体" w:hAnsi="宋体" w:cs="宋体"/>
                <w:color w:val="auto"/>
                <w:szCs w:val="21"/>
                <w:highlight w:val="none"/>
              </w:rPr>
            </w:pPr>
          </w:p>
        </w:tc>
        <w:tc>
          <w:tcPr>
            <w:tcW w:w="1132" w:type="dxa"/>
            <w:noWrap w:val="0"/>
            <w:vAlign w:val="center"/>
          </w:tcPr>
          <w:p w14:paraId="5619E798">
            <w:pPr>
              <w:spacing w:line="360" w:lineRule="exact"/>
              <w:jc w:val="center"/>
              <w:rPr>
                <w:rFonts w:hint="eastAsia" w:ascii="宋体" w:hAnsi="宋体" w:cs="宋体"/>
                <w:color w:val="auto"/>
                <w:szCs w:val="21"/>
                <w:highlight w:val="none"/>
              </w:rPr>
            </w:pPr>
          </w:p>
        </w:tc>
        <w:tc>
          <w:tcPr>
            <w:tcW w:w="6851" w:type="dxa"/>
            <w:noWrap w:val="0"/>
            <w:vAlign w:val="center"/>
          </w:tcPr>
          <w:p w14:paraId="3162C697">
            <w:pPr>
              <w:spacing w:line="360" w:lineRule="auto"/>
              <w:jc w:val="left"/>
              <w:rPr>
                <w:rFonts w:hAnsi="宋体" w:cs="宋体"/>
                <w:b/>
                <w:color w:val="auto"/>
                <w:highlight w:val="none"/>
              </w:rPr>
            </w:pPr>
            <w:r>
              <w:rPr>
                <w:rFonts w:hint="eastAsia" w:hAnsi="宋体" w:cs="宋体"/>
                <w:b/>
                <w:color w:val="auto"/>
                <w:highlight w:val="none"/>
              </w:rPr>
              <w:t>特别说明：因项目存档需要，须按以下要求提供纸质投标响应文件：</w:t>
            </w:r>
          </w:p>
          <w:p w14:paraId="23016517">
            <w:pPr>
              <w:snapToGrid w:val="0"/>
              <w:spacing w:line="360" w:lineRule="exact"/>
              <w:rPr>
                <w:rFonts w:hint="eastAsia" w:ascii="宋体" w:hAnsi="宋体" w:cs="宋体"/>
                <w:color w:val="auto"/>
                <w:kern w:val="0"/>
                <w:szCs w:val="21"/>
                <w:highlight w:val="none"/>
              </w:rPr>
            </w:pPr>
            <w:r>
              <w:rPr>
                <w:rFonts w:hint="eastAsia" w:hAnsi="宋体" w:cs="宋体"/>
                <w:b/>
                <w:color w:val="auto"/>
                <w:highlight w:val="none"/>
              </w:rPr>
              <w:t>中标供应商在中标通知书发出后5天内须提交3套纸质版响应文件（含报价文件、资格证明文件、商务文件、技术文件。按要求加盖公章）给招标代理机构，一正二副。提交的纸质版响应文件文本必须与其上传系统的电子响应文件内容一致，不允许有篡改。如项目验收时因所提供的纸质响应文件与评标的响应文件不一致造成纠纷时，所有责任由</w:t>
            </w:r>
            <w:r>
              <w:rPr>
                <w:rFonts w:hint="eastAsia" w:hAnsi="宋体" w:cs="宋体"/>
                <w:b/>
                <w:color w:val="auto"/>
                <w:highlight w:val="none"/>
                <w:lang w:val="en-US" w:eastAsia="zh-CN"/>
              </w:rPr>
              <w:t>成交</w:t>
            </w:r>
            <w:r>
              <w:rPr>
                <w:rFonts w:hint="eastAsia" w:hAnsi="宋体" w:cs="宋体"/>
                <w:b/>
                <w:color w:val="auto"/>
                <w:highlight w:val="none"/>
              </w:rPr>
              <w:t>人承担。</w:t>
            </w:r>
          </w:p>
        </w:tc>
      </w:tr>
    </w:tbl>
    <w:p w14:paraId="6B851184">
      <w:pPr>
        <w:keepNext/>
        <w:keepLines/>
        <w:spacing w:before="260" w:after="260" w:line="420" w:lineRule="exact"/>
        <w:jc w:val="center"/>
        <w:outlineLvl w:val="1"/>
        <w:rPr>
          <w:rFonts w:ascii="宋体" w:hAnsi="宋体"/>
          <w:bCs/>
          <w:color w:val="auto"/>
          <w:sz w:val="32"/>
          <w:szCs w:val="32"/>
          <w:highlight w:val="none"/>
        </w:rPr>
      </w:pPr>
      <w:r>
        <w:rPr>
          <w:rFonts w:hint="eastAsia" w:ascii="宋体" w:hAnsi="宋体"/>
          <w:bCs/>
          <w:color w:val="auto"/>
          <w:sz w:val="32"/>
          <w:szCs w:val="32"/>
          <w:highlight w:val="none"/>
        </w:rPr>
        <w:br w:type="page"/>
      </w:r>
      <w:bookmarkStart w:id="52" w:name="_Toc213251777"/>
      <w:r>
        <w:rPr>
          <w:rFonts w:hint="eastAsia" w:ascii="宋体" w:hAnsi="宋体"/>
          <w:b/>
          <w:color w:val="auto"/>
          <w:sz w:val="32"/>
          <w:szCs w:val="32"/>
          <w:highlight w:val="none"/>
        </w:rPr>
        <w:t>第二节 供应商须知正文</w:t>
      </w:r>
      <w:bookmarkEnd w:id="52"/>
    </w:p>
    <w:p w14:paraId="47B18089">
      <w:pPr>
        <w:keepNext/>
        <w:keepLines/>
        <w:spacing w:line="360" w:lineRule="auto"/>
        <w:ind w:firstLine="640" w:firstLineChars="200"/>
        <w:outlineLvl w:val="2"/>
        <w:rPr>
          <w:rFonts w:ascii="宋体" w:hAnsi="宋体"/>
          <w:bCs/>
          <w:color w:val="auto"/>
          <w:sz w:val="32"/>
          <w:szCs w:val="32"/>
          <w:highlight w:val="none"/>
        </w:rPr>
      </w:pPr>
      <w:bookmarkStart w:id="53" w:name="_Toc213251778"/>
      <w:r>
        <w:rPr>
          <w:rFonts w:hint="eastAsia" w:ascii="宋体" w:hAnsi="宋体"/>
          <w:bCs/>
          <w:color w:val="auto"/>
          <w:sz w:val="32"/>
          <w:szCs w:val="32"/>
          <w:highlight w:val="none"/>
        </w:rPr>
        <w:t>一、总则</w:t>
      </w:r>
      <w:bookmarkEnd w:id="53"/>
    </w:p>
    <w:p w14:paraId="30BD7451">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5A687F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2E54E9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21A063B3">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694227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4DDC67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2.2“采购代理机构”是指政府采购集中采购机构和集中采购机构以外的采购代理机构。</w:t>
      </w:r>
    </w:p>
    <w:p w14:paraId="019AA8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051D9431">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2.4“服务”是指除货物和工程以外的其他政府采购对象。</w:t>
      </w:r>
    </w:p>
    <w:p w14:paraId="183097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5DF295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619D80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14:paraId="463819E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14:paraId="62F4E4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14:paraId="406B05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19DC9B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4D8297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1F9B6E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2.13“评审报价”是指供应商提交的最后报价并经修正（如有）和政策功能价格扣除（如有）后的价格。</w:t>
      </w:r>
    </w:p>
    <w:p w14:paraId="6EC0FAD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184091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73670E42">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4.磋商费用</w:t>
      </w:r>
    </w:p>
    <w:p w14:paraId="79145C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0765962E">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7976A2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1C801B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highlight w:val="none"/>
        </w:rPr>
        <w:t>如接受联合体竞标，</w:t>
      </w:r>
      <w:r>
        <w:rPr>
          <w:rFonts w:hint="eastAsia" w:ascii="宋体" w:hAnsi="宋体" w:cs="宋体"/>
          <w:color w:val="auto"/>
          <w:szCs w:val="21"/>
          <w:highlight w:val="none"/>
        </w:rPr>
        <w:t>联合体竞标要求详见“供应商须知前附表”。</w:t>
      </w:r>
    </w:p>
    <w:p w14:paraId="3E17B19E">
      <w:pPr>
        <w:spacing w:line="360" w:lineRule="auto"/>
        <w:ind w:firstLine="420" w:firstLineChars="200"/>
        <w:rPr>
          <w:rFonts w:ascii="宋体" w:hAnsi="宋体"/>
          <w:bCs/>
          <w:color w:val="auto"/>
          <w:szCs w:val="21"/>
          <w:highlight w:val="none"/>
        </w:rPr>
      </w:pPr>
      <w:r>
        <w:rPr>
          <w:rFonts w:hint="eastAsia" w:ascii="宋体" w:hAnsi="宋体" w:cs="宋体"/>
          <w:color w:val="auto"/>
          <w:szCs w:val="21"/>
          <w:highlight w:val="none"/>
        </w:rPr>
        <w:t>5.3</w:t>
      </w:r>
      <w:r>
        <w:rPr>
          <w:rFonts w:hint="eastAsia" w:ascii="宋体" w:hAnsi="宋体"/>
          <w:bCs/>
          <w:color w:val="auto"/>
          <w:szCs w:val="21"/>
          <w:highlight w:val="none"/>
        </w:rPr>
        <w:t>根据《政府采购促进中小企业发展管理办法》（财库[2020]46号）第九条及《广西壮族自治区财政厅关于持续优化政府采购营商环境推动高质量发展的通知》桂财采〔2024〕55号规定，接受大中型企业与小微企业组成联合体的采购项目，对于联合协议约定小微企业的合同份额占到合同总金额30%以上的，采购人、采购代理机构应当对联合体的报价给予4%-6%（工程项目为1%—2%）的扣除，用扣除后的价格参加评审。组成联合体的小微企业与联合体内其他企业、分包企业之间存在直接控股、管理关系的，不享受价格扣除优惠政策。</w:t>
      </w:r>
    </w:p>
    <w:p w14:paraId="3E23A60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6.转包与分包</w:t>
      </w:r>
    </w:p>
    <w:p w14:paraId="0277F7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w:t>
      </w:r>
    </w:p>
    <w:p w14:paraId="0FC588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w:t>
      </w:r>
      <w:r>
        <w:rPr>
          <w:rFonts w:hint="eastAsia" w:ascii="宋体" w:hAnsi="宋体"/>
          <w:bCs/>
          <w:color w:val="auto"/>
          <w:szCs w:val="21"/>
          <w:highlight w:val="none"/>
        </w:rPr>
        <w:t>根据《政府采购促进中小企业发展管理办法》（财库[2020]46号）第九条及《广西壮族自治区财政厅关于持续优化政府采购营商环境推动高质量发展的通知》桂财采〔2024〕55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45D90447">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p>
    <w:p w14:paraId="696A53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7.1</w:t>
      </w:r>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p w14:paraId="77E3A6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7D356BD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03BD19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4B8C0A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18B981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284040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797029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15756B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50540C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5AC3C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3BF2B3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0AB7D0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74DB04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13379E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47BADB2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3A64C213">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586F7B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5522E0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12079E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61AF0C2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1EAA1D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49CE8F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187574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501BE7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017802BC">
      <w:pPr>
        <w:keepNext/>
        <w:keepLines/>
        <w:spacing w:line="360" w:lineRule="auto"/>
        <w:ind w:firstLine="640" w:firstLineChars="200"/>
        <w:outlineLvl w:val="2"/>
        <w:rPr>
          <w:rFonts w:ascii="宋体" w:hAnsi="宋体"/>
          <w:color w:val="auto"/>
          <w:sz w:val="32"/>
          <w:szCs w:val="32"/>
          <w:highlight w:val="none"/>
        </w:rPr>
      </w:pPr>
      <w:bookmarkStart w:id="54" w:name="_Toc213251779"/>
      <w:r>
        <w:rPr>
          <w:rFonts w:hint="eastAsia" w:ascii="宋体" w:hAnsi="宋体"/>
          <w:color w:val="auto"/>
          <w:sz w:val="32"/>
          <w:szCs w:val="32"/>
          <w:highlight w:val="none"/>
        </w:rPr>
        <w:t>二、磋商文件</w:t>
      </w:r>
      <w:bookmarkEnd w:id="54"/>
    </w:p>
    <w:p w14:paraId="178E4A53">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2E1A52F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第一章 竞争性磋商公告；</w:t>
      </w:r>
    </w:p>
    <w:p w14:paraId="3B321A4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第二章 采购需求；</w:t>
      </w:r>
    </w:p>
    <w:p w14:paraId="19BEFDC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第三章 供应商须知； </w:t>
      </w:r>
    </w:p>
    <w:p w14:paraId="290412C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第四章 评审程序、评审方法和评审标准；</w:t>
      </w:r>
    </w:p>
    <w:p w14:paraId="39C9444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第五章 响应文件格式；</w:t>
      </w:r>
    </w:p>
    <w:p w14:paraId="15C7D1D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第六章 合同文本；</w:t>
      </w:r>
    </w:p>
    <w:p w14:paraId="381B0E1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第七章 质疑、投诉材料格式。</w:t>
      </w:r>
    </w:p>
    <w:p w14:paraId="45D09128">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193B433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316F7F6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16F552B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1F85D932">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621A5A4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63DAF53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10.4</w:t>
      </w:r>
      <w:r>
        <w:rPr>
          <w:rFonts w:ascii="Arial" w:hAnsi="Arial" w:cs="Arial"/>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5AF03C17">
      <w:pPr>
        <w:spacing w:line="360" w:lineRule="auto"/>
        <w:ind w:firstLine="420" w:firstLineChars="200"/>
        <w:rPr>
          <w:color w:val="auto"/>
          <w:highlight w:val="none"/>
        </w:rPr>
      </w:pPr>
      <w:r>
        <w:rPr>
          <w:rFonts w:hint="eastAsia" w:hAnsi="宋体"/>
          <w:color w:val="auto"/>
          <w:highlight w:val="none"/>
        </w:rPr>
        <w:t xml:space="preserve">10.5  </w:t>
      </w:r>
      <w:r>
        <w:rPr>
          <w:rFonts w:hint="eastAsia"/>
          <w:color w:val="auto"/>
          <w:highlight w:val="none"/>
        </w:rPr>
        <w:t>采购人和采购代理机构可以视采购具体情况，变更</w:t>
      </w:r>
      <w:r>
        <w:rPr>
          <w:rFonts w:hAnsi="宋体"/>
          <w:color w:val="auto"/>
          <w:highlight w:val="none"/>
        </w:rPr>
        <w:t>提交首次响应文件</w:t>
      </w:r>
      <w:r>
        <w:rPr>
          <w:rFonts w:hint="eastAsia"/>
          <w:color w:val="auto"/>
          <w:highlight w:val="none"/>
        </w:rPr>
        <w:t>截止时间和竞谈时间，将变更时间将在</w:t>
      </w:r>
      <w:r>
        <w:rPr>
          <w:rFonts w:hint="eastAsia" w:hAnsi="宋体"/>
          <w:color w:val="auto"/>
          <w:highlight w:val="none"/>
        </w:rPr>
        <w:t>“采购文件公告</w:t>
      </w:r>
      <w:r>
        <w:rPr>
          <w:rFonts w:hAnsi="宋体"/>
          <w:color w:val="auto"/>
          <w:highlight w:val="none"/>
        </w:rPr>
        <w:t>”</w:t>
      </w:r>
      <w:r>
        <w:rPr>
          <w:rFonts w:hint="eastAsia" w:hAnsi="宋体"/>
          <w:color w:val="auto"/>
          <w:highlight w:val="none"/>
        </w:rPr>
        <w:t>中“七、其他补充事宜3.网上查询地址”</w:t>
      </w:r>
      <w:r>
        <w:rPr>
          <w:rFonts w:hint="eastAsia" w:cs="宋体"/>
          <w:color w:val="auto"/>
          <w:highlight w:val="none"/>
        </w:rPr>
        <w:t>规定的政府采购信息发布媒体上</w:t>
      </w:r>
      <w:r>
        <w:rPr>
          <w:rFonts w:hint="eastAsia"/>
          <w:color w:val="auto"/>
          <w:highlight w:val="none"/>
        </w:rPr>
        <w:t>发布更正公告。</w:t>
      </w:r>
    </w:p>
    <w:p w14:paraId="7071AD8D">
      <w:pPr>
        <w:spacing w:line="360" w:lineRule="auto"/>
        <w:ind w:firstLine="442" w:firstLineChars="200"/>
        <w:rPr>
          <w:rFonts w:ascii="宋体" w:hAnsi="Courier New"/>
          <w:color w:val="auto"/>
          <w:kern w:val="0"/>
          <w:sz w:val="22"/>
          <w:szCs w:val="21"/>
          <w:highlight w:val="none"/>
        </w:rPr>
      </w:pPr>
      <w:r>
        <w:rPr>
          <w:rFonts w:hint="eastAsia" w:ascii="宋体" w:hAnsi="Courier New"/>
          <w:b/>
          <w:bCs/>
          <w:color w:val="auto"/>
          <w:kern w:val="0"/>
          <w:sz w:val="22"/>
          <w:szCs w:val="21"/>
          <w:highlight w:val="none"/>
        </w:rPr>
        <w:t>10.6响应文件未按磋商文件的澄清、修改的内容编制，又不符合实质性要求的，其响应文件作无效处理</w:t>
      </w:r>
      <w:r>
        <w:rPr>
          <w:rFonts w:hint="eastAsia" w:ascii="宋体" w:hAnsi="Courier New"/>
          <w:b/>
          <w:color w:val="auto"/>
          <w:kern w:val="0"/>
          <w:sz w:val="22"/>
          <w:szCs w:val="21"/>
          <w:highlight w:val="none"/>
        </w:rPr>
        <w:t>。</w:t>
      </w:r>
    </w:p>
    <w:p w14:paraId="6F0974AB">
      <w:pPr>
        <w:keepNext/>
        <w:keepLines/>
        <w:spacing w:line="360" w:lineRule="auto"/>
        <w:ind w:firstLine="640" w:firstLineChars="200"/>
        <w:outlineLvl w:val="2"/>
        <w:rPr>
          <w:rFonts w:ascii="宋体" w:hAnsi="宋体"/>
          <w:color w:val="auto"/>
          <w:sz w:val="32"/>
          <w:szCs w:val="32"/>
          <w:highlight w:val="none"/>
        </w:rPr>
      </w:pPr>
      <w:bookmarkStart w:id="55" w:name="_Toc213251780"/>
      <w:r>
        <w:rPr>
          <w:rFonts w:hint="eastAsia" w:ascii="宋体" w:hAnsi="宋体"/>
          <w:color w:val="auto"/>
          <w:sz w:val="32"/>
          <w:szCs w:val="32"/>
          <w:highlight w:val="none"/>
        </w:rPr>
        <w:t>三、响应文件的编制</w:t>
      </w:r>
      <w:bookmarkEnd w:id="55"/>
    </w:p>
    <w:p w14:paraId="265E7CC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787B999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684AF0B1">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115F86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12.1响应文件由资格证明文件、报价文件、商务和技术文件三部分组成。</w:t>
      </w:r>
    </w:p>
    <w:p w14:paraId="6D525306">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40C0BA77">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12.1.2商务技术文件：详见须知前附表</w:t>
      </w:r>
    </w:p>
    <w:p w14:paraId="07322826">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12.1.3报价文件：详见须知前附表</w:t>
      </w:r>
    </w:p>
    <w:p w14:paraId="7E786C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12.2响应文件电子版：详见须知前附表</w:t>
      </w:r>
    </w:p>
    <w:p w14:paraId="36A44597">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77E308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0AD9DE53">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123A8E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551BE2D3">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15.响应报价要求和构成</w:t>
      </w:r>
    </w:p>
    <w:p w14:paraId="450F648F">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14:paraId="1BB85574">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14:paraId="0F5BE2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15.3响应报价要求</w:t>
      </w:r>
    </w:p>
    <w:p w14:paraId="41B6C6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15.3.1供应商的响应报价应符合以下要求，否则响应文件按无效响应处理：</w:t>
      </w:r>
    </w:p>
    <w:p w14:paraId="381DFA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4924FF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2C7A1E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15.3.2响应报价（包含首次报价、最后报价）超过所竞标分标规定的采购预算金额或者最高限价的，其响应文件将作无效处理。</w:t>
      </w:r>
    </w:p>
    <w:p w14:paraId="1D9FB0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15.3.3响应报价（包含首次报价、最后报价）超过分项采购预算金额或者最高限价的，其响应文件将作无效处理。</w:t>
      </w:r>
    </w:p>
    <w:p w14:paraId="1E8C3E6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0F4934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03B17F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67EB39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4455BBC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17.磋商保证金</w:t>
      </w:r>
    </w:p>
    <w:p w14:paraId="00CB0B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7EF619CE">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3BBD3C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14:paraId="6F68E8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18.2响应文件应按资格证明、报价分别编制，商务技术文件合并编制，本磋商只接受电子版响应文件，要求见本章“12.2响应文件电子版要求”。</w:t>
      </w:r>
    </w:p>
    <w:p w14:paraId="52607800">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18.3</w:t>
      </w:r>
      <w:r>
        <w:rPr>
          <w:rFonts w:hint="eastAsia" w:ascii="宋体" w:hAnsi="宋体"/>
          <w:b/>
          <w:color w:val="auto"/>
          <w:szCs w:val="21"/>
          <w:highlight w:val="none"/>
        </w:rPr>
        <w:t>响应文件须由供应商在</w:t>
      </w:r>
      <w:r>
        <w:rPr>
          <w:rFonts w:hint="eastAsia" w:ascii="宋体" w:hAnsi="宋体" w:cs="仿宋_GB2312"/>
          <w:b/>
          <w:color w:val="auto"/>
          <w:kern w:val="0"/>
          <w:szCs w:val="21"/>
          <w:highlight w:val="none"/>
          <w:lang w:val="zh-CN"/>
        </w:rPr>
        <w:t>“</w:t>
      </w:r>
      <w:r>
        <w:rPr>
          <w:rFonts w:hint="eastAsia" w:ascii="宋体" w:hAnsi="宋体"/>
          <w:b/>
          <w:color w:val="auto"/>
          <w:szCs w:val="21"/>
          <w:highlight w:val="none"/>
        </w:rPr>
        <w:t>第五章 响应文件格式</w:t>
      </w:r>
      <w:r>
        <w:rPr>
          <w:rFonts w:hint="eastAsia" w:ascii="宋体" w:hAnsi="宋体" w:cs="仿宋_GB2312"/>
          <w:b/>
          <w:color w:val="auto"/>
          <w:kern w:val="0"/>
          <w:szCs w:val="21"/>
          <w:highlight w:val="none"/>
          <w:lang w:val="zh-CN"/>
        </w:rPr>
        <w:t>”</w:t>
      </w:r>
      <w:r>
        <w:rPr>
          <w:rFonts w:hint="eastAsia" w:ascii="宋体" w:hAnsi="宋体"/>
          <w:b/>
          <w:color w:val="auto"/>
          <w:szCs w:val="21"/>
          <w:highlight w:val="none"/>
        </w:rPr>
        <w:t>规定位置</w:t>
      </w:r>
      <w:r>
        <w:rPr>
          <w:rFonts w:hint="eastAsia" w:ascii="宋体" w:hAnsi="宋体" w:cs="仿宋_GB2312"/>
          <w:b/>
          <w:color w:val="auto"/>
          <w:szCs w:val="21"/>
          <w:highlight w:val="none"/>
        </w:rPr>
        <w:t>进行签署、盖章</w:t>
      </w:r>
      <w:r>
        <w:rPr>
          <w:rFonts w:hint="eastAsia" w:ascii="宋体" w:hAnsi="宋体" w:cs="宋体"/>
          <w:b/>
          <w:color w:val="auto"/>
          <w:szCs w:val="21"/>
          <w:highlight w:val="none"/>
        </w:rPr>
        <w:t>，否则其响应文件按无效响应处理。骑缝盖公章不视为在规定位置盖章。</w:t>
      </w:r>
    </w:p>
    <w:p w14:paraId="4924CB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14:paraId="33EC6C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14:paraId="1A18CB1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19.响应文件的密封和标记</w:t>
      </w:r>
    </w:p>
    <w:p w14:paraId="2DFF5C2F">
      <w:pPr>
        <w:spacing w:line="360" w:lineRule="auto"/>
        <w:ind w:firstLine="420" w:firstLineChars="200"/>
        <w:rPr>
          <w:rFonts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1E819D27">
      <w:pPr>
        <w:spacing w:line="360" w:lineRule="auto"/>
        <w:ind w:firstLine="420" w:firstLineChars="200"/>
        <w:rPr>
          <w:rFonts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19.2使用“广西政府采购云平台电子交易客户端”需要提前申领CA数字证书，申领流程见该项目采购公告附件。</w:t>
      </w:r>
    </w:p>
    <w:p w14:paraId="53F5E557">
      <w:pPr>
        <w:spacing w:line="360" w:lineRule="auto"/>
        <w:ind w:firstLine="420" w:firstLineChars="200"/>
        <w:rPr>
          <w:rFonts w:ascii="宋体" w:hAnsi="宋体" w:cs="仿宋_GB2312"/>
          <w:color w:val="auto"/>
          <w:kern w:val="0"/>
          <w:szCs w:val="21"/>
          <w:highlight w:val="none"/>
        </w:rPr>
      </w:pPr>
      <w:r>
        <w:rPr>
          <w:rFonts w:hint="eastAsia" w:ascii="宋体" w:hAnsi="宋体" w:cs="仿宋_GB2312"/>
          <w:color w:val="auto"/>
          <w:kern w:val="0"/>
          <w:szCs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474D8CE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657D1A5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3C967210">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20</w:t>
      </w:r>
      <w:r>
        <w:rPr>
          <w:rFonts w:hint="eastAsia" w:ascii="宋体" w:hAnsi="宋体"/>
          <w:color w:val="auto"/>
          <w:szCs w:val="21"/>
          <w:highlight w:val="none"/>
        </w:rPr>
        <w:t>.2 在响应文件提交截止时间以后，不能补充、修改响应文件。</w:t>
      </w:r>
    </w:p>
    <w:p w14:paraId="14452CE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20.3 在提交“最后报价”后，供应商不能退出谈判。</w:t>
      </w:r>
    </w:p>
    <w:p w14:paraId="0538E6B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41C4E1B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20.5 采购机构不可视情况延长提交响应文件的截止时间。</w:t>
      </w:r>
    </w:p>
    <w:p w14:paraId="3B5DA6B6">
      <w:pPr>
        <w:spacing w:line="360" w:lineRule="auto"/>
        <w:ind w:firstLine="420" w:firstLineChars="200"/>
        <w:rPr>
          <w:rFonts w:ascii="黑体" w:hAnsi="黑体" w:eastAsia="黑体"/>
          <w:color w:val="auto"/>
          <w:sz w:val="24"/>
          <w:highlight w:val="none"/>
        </w:rPr>
      </w:pPr>
      <w:r>
        <w:rPr>
          <w:rFonts w:hint="eastAsia" w:ascii="宋体" w:hAnsi="宋体"/>
          <w:color w:val="auto"/>
          <w:szCs w:val="21"/>
          <w:highlight w:val="none"/>
        </w:rPr>
        <w:t>20.6备份响应文件。</w:t>
      </w:r>
      <w:r>
        <w:rPr>
          <w:rFonts w:hint="eastAsia" w:hAnsi="宋体"/>
          <w:bCs/>
          <w:color w:val="auto"/>
          <w:szCs w:val="21"/>
          <w:highlight w:val="none"/>
        </w:rPr>
        <w:t>详见在“供应商须知前附表”。</w:t>
      </w:r>
    </w:p>
    <w:p w14:paraId="7237610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523B55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5B98342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22.首次响应文件的退回</w:t>
      </w:r>
    </w:p>
    <w:p w14:paraId="570C1C4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47412718">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4586C90D">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本项目不收取磋商保证金，供应商在首次响应文件提交截止时间后可向采购人、采购代理机构书面申请撤回电子响应文件。</w:t>
      </w:r>
    </w:p>
    <w:p w14:paraId="1D3F450F">
      <w:pPr>
        <w:keepNext/>
        <w:keepLines/>
        <w:spacing w:line="360" w:lineRule="auto"/>
        <w:ind w:firstLine="640" w:firstLineChars="200"/>
        <w:outlineLvl w:val="2"/>
        <w:rPr>
          <w:rFonts w:ascii="宋体" w:hAnsi="宋体"/>
          <w:color w:val="auto"/>
          <w:sz w:val="32"/>
          <w:szCs w:val="32"/>
          <w:highlight w:val="none"/>
        </w:rPr>
      </w:pPr>
      <w:bookmarkStart w:id="56" w:name="_Toc213251781"/>
      <w:r>
        <w:rPr>
          <w:rFonts w:hint="eastAsia" w:ascii="宋体" w:hAnsi="宋体"/>
          <w:color w:val="auto"/>
          <w:sz w:val="32"/>
          <w:szCs w:val="32"/>
          <w:highlight w:val="none"/>
        </w:rPr>
        <w:t>四、评审及磋商</w:t>
      </w:r>
      <w:bookmarkEnd w:id="56"/>
    </w:p>
    <w:p w14:paraId="5613EEC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792C38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D6AB9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9CB1868">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25.首次响应文件的开启</w:t>
      </w:r>
    </w:p>
    <w:p w14:paraId="3B6BFD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14:paraId="4B0F9517">
      <w:pPr>
        <w:spacing w:line="360" w:lineRule="auto"/>
        <w:ind w:firstLine="420" w:firstLineChars="200"/>
        <w:rPr>
          <w:rFonts w:ascii="宋体" w:hAnsi="宋体"/>
          <w:bCs/>
          <w:color w:val="auto"/>
          <w:kern w:val="0"/>
          <w:szCs w:val="21"/>
          <w:highlight w:val="none"/>
        </w:rPr>
      </w:pPr>
      <w:r>
        <w:rPr>
          <w:rFonts w:ascii="宋体" w:hAnsi="宋体" w:cs="宋体"/>
          <w:color w:val="auto"/>
          <w:kern w:val="0"/>
          <w:szCs w:val="21"/>
          <w:highlight w:val="none"/>
        </w:rPr>
        <w:t xml:space="preserve">25.2 </w:t>
      </w:r>
      <w:r>
        <w:rPr>
          <w:rFonts w:hint="eastAsia" w:ascii="宋体" w:hAnsi="宋体"/>
          <w:bCs/>
          <w:color w:val="auto"/>
          <w:kern w:val="0"/>
          <w:szCs w:val="21"/>
          <w:highlight w:val="none"/>
        </w:rPr>
        <w:t>响应文件解密</w:t>
      </w:r>
    </w:p>
    <w:p w14:paraId="32CDD948">
      <w:pPr>
        <w:snapToGrid w:val="0"/>
        <w:spacing w:line="360" w:lineRule="auto"/>
        <w:ind w:firstLine="420" w:firstLineChars="200"/>
        <w:rPr>
          <w:rFonts w:ascii="宋体" w:hAnsi="宋体"/>
          <w:color w:val="auto"/>
          <w:kern w:val="0"/>
          <w:szCs w:val="21"/>
          <w:highlight w:val="none"/>
        </w:rPr>
      </w:pPr>
      <w:r>
        <w:rPr>
          <w:rFonts w:hint="eastAsia" w:ascii="宋体" w:hAnsi="宋体"/>
          <w:bCs/>
          <w:color w:val="auto"/>
          <w:kern w:val="0"/>
          <w:szCs w:val="21"/>
          <w:highlight w:val="none"/>
        </w:rPr>
        <w:t>采购代理机构将在“供应商须知前附表”规定的时</w:t>
      </w:r>
      <w:r>
        <w:rPr>
          <w:rFonts w:hint="eastAsia" w:ascii="宋体" w:hAnsi="宋体"/>
          <w:color w:val="auto"/>
          <w:kern w:val="0"/>
          <w:szCs w:val="21"/>
          <w:highlight w:val="none"/>
        </w:rPr>
        <w:t>间通过电子交易平台组织响应文件开启，采购机构依托电子交易平台发起开始解密指令，供应商的法定代表人或其委托代理人</w:t>
      </w:r>
      <w:r>
        <w:rPr>
          <w:rFonts w:hint="eastAsia" w:ascii="宋体" w:hAnsi="宋体"/>
          <w:b/>
          <w:color w:val="auto"/>
          <w:kern w:val="0"/>
          <w:szCs w:val="21"/>
          <w:highlight w:val="none"/>
        </w:rPr>
        <w:t>须携带加密时所用的CA锁按平台提示和采购文件的规定登录到广西政府采购云平台电子开标大厅签到并在发起解密指令之时起30分钟内完成对电子响应文件在线解密</w:t>
      </w:r>
      <w:r>
        <w:rPr>
          <w:rFonts w:hint="eastAsia" w:ascii="宋体" w:hAnsi="宋体"/>
          <w:color w:val="auto"/>
          <w:kern w:val="0"/>
          <w:szCs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b/>
          <w:color w:val="auto"/>
          <w:kern w:val="0"/>
          <w:szCs w:val="21"/>
          <w:highlight w:val="none"/>
        </w:rPr>
        <w:t>视为响应文件无效。</w:t>
      </w:r>
      <w:r>
        <w:rPr>
          <w:rFonts w:hint="eastAsia" w:ascii="宋体" w:hAnsi="宋体"/>
          <w:color w:val="auto"/>
          <w:kern w:val="0"/>
          <w:szCs w:val="21"/>
          <w:highlight w:val="none"/>
        </w:rPr>
        <w:t>（解密</w:t>
      </w:r>
      <w:r>
        <w:rPr>
          <w:rFonts w:hint="eastAsia" w:ascii="宋体" w:hAnsi="宋体"/>
          <w:bCs/>
          <w:color w:val="auto"/>
          <w:kern w:val="0"/>
          <w:szCs w:val="21"/>
          <w:highlight w:val="none"/>
        </w:rPr>
        <w:t>异常情况处理：详见本章</w:t>
      </w:r>
      <w:r>
        <w:rPr>
          <w:rFonts w:hint="eastAsia" w:ascii="宋体" w:hAnsi="宋体"/>
          <w:color w:val="auto"/>
          <w:kern w:val="0"/>
          <w:szCs w:val="21"/>
          <w:highlight w:val="none"/>
        </w:rPr>
        <w:t>26.3 电子交易活动的中止。）</w:t>
      </w:r>
    </w:p>
    <w:p w14:paraId="14C5B4C4">
      <w:pPr>
        <w:spacing w:line="360" w:lineRule="auto"/>
        <w:ind w:firstLine="420" w:firstLineChars="200"/>
        <w:rPr>
          <w:rFonts w:ascii="宋体" w:hAnsi="Courier New"/>
          <w:color w:val="auto"/>
          <w:kern w:val="0"/>
          <w:szCs w:val="21"/>
          <w:highlight w:val="none"/>
        </w:rPr>
      </w:pPr>
      <w:r>
        <w:rPr>
          <w:rFonts w:hint="eastAsia" w:ascii="宋体" w:hAnsi="宋体"/>
          <w:color w:val="auto"/>
          <w:kern w:val="0"/>
          <w:szCs w:val="21"/>
          <w:highlight w:val="none"/>
        </w:rPr>
        <w:t>如</w:t>
      </w:r>
      <w:r>
        <w:rPr>
          <w:rFonts w:hint="eastAsia" w:ascii="宋体" w:hAnsi="宋体"/>
          <w:bCs/>
          <w:color w:val="auto"/>
          <w:kern w:val="0"/>
          <w:szCs w:val="21"/>
          <w:highlight w:val="none"/>
        </w:rPr>
        <w:t>供应商成功解密响应文件，但未在“广西政府采购云平台”电子开标大厅参加磋商的，视同认可谈判过程和结果，</w:t>
      </w:r>
      <w:r>
        <w:rPr>
          <w:rFonts w:hint="eastAsia" w:ascii="宋体" w:hAnsi="宋体"/>
          <w:color w:val="auto"/>
          <w:kern w:val="0"/>
          <w:szCs w:val="21"/>
          <w:highlight w:val="none"/>
        </w:rPr>
        <w:t>由此产生的后果由供应商自行负责。 参与谈判的供应商</w:t>
      </w:r>
      <w:r>
        <w:rPr>
          <w:rFonts w:hint="eastAsia" w:ascii="宋体" w:hAnsi="Courier New"/>
          <w:color w:val="auto"/>
          <w:kern w:val="0"/>
          <w:szCs w:val="21"/>
          <w:highlight w:val="none"/>
        </w:rPr>
        <w:t>不足3家的，不得谈判。</w:t>
      </w:r>
    </w:p>
    <w:p w14:paraId="43248DF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26.评审程序、评审方法和评审标准</w:t>
      </w:r>
    </w:p>
    <w:p w14:paraId="35AFBF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26.1磋商小组按照“第四章 评审程序、评审方法和评审标准”规定的方法、评审因素、标准和程序对响应文件进行评审。</w:t>
      </w:r>
    </w:p>
    <w:p w14:paraId="50C159D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26.2 采购需求负偏离要求及磋商顺序详见 “ 供应商须知前附表”。</w:t>
      </w:r>
    </w:p>
    <w:p w14:paraId="50B394CE">
      <w:pPr>
        <w:spacing w:line="360" w:lineRule="auto"/>
        <w:ind w:firstLine="420" w:firstLineChars="200"/>
        <w:rPr>
          <w:rFonts w:ascii="宋体" w:hAnsi="宋体"/>
          <w:color w:val="auto"/>
          <w:highlight w:val="none"/>
        </w:rPr>
      </w:pPr>
      <w:r>
        <w:rPr>
          <w:rFonts w:hint="eastAsia" w:ascii="宋体" w:hAnsi="宋体"/>
          <w:color w:val="auto"/>
          <w:highlight w:val="none"/>
        </w:rPr>
        <w:t>26.3电子交易活动的中止。采购过程中出现以下情形，导致电子交易平台无法正常运行，或者无法保证电子交易的公平、公正和安全时，采购机构可中止电子交易活动：</w:t>
      </w:r>
    </w:p>
    <w:p w14:paraId="5DD5935A">
      <w:pPr>
        <w:spacing w:line="360" w:lineRule="auto"/>
        <w:ind w:firstLine="420" w:firstLineChars="200"/>
        <w:rPr>
          <w:rFonts w:ascii="宋体" w:hAnsi="宋体"/>
          <w:color w:val="auto"/>
          <w:highlight w:val="none"/>
        </w:rPr>
      </w:pPr>
      <w:r>
        <w:rPr>
          <w:rFonts w:hint="eastAsia" w:ascii="宋体" w:hAnsi="宋体"/>
          <w:color w:val="auto"/>
          <w:highlight w:val="none"/>
        </w:rPr>
        <w:t xml:space="preserve">（1）电子交易平台发生故障而无法登录访问的； </w:t>
      </w:r>
    </w:p>
    <w:p w14:paraId="7EC22C92">
      <w:pPr>
        <w:spacing w:line="360" w:lineRule="auto"/>
        <w:ind w:firstLine="420" w:firstLineChars="200"/>
        <w:rPr>
          <w:rFonts w:ascii="宋体" w:hAnsi="宋体"/>
          <w:color w:val="auto"/>
          <w:highlight w:val="none"/>
        </w:rPr>
      </w:pPr>
      <w:r>
        <w:rPr>
          <w:rFonts w:hint="eastAsia" w:ascii="宋体" w:hAnsi="宋体"/>
          <w:color w:val="auto"/>
          <w:highlight w:val="none"/>
        </w:rPr>
        <w:t>（2）电子交易平台应用或数据库出现错误，不能进行正常操作的；</w:t>
      </w:r>
    </w:p>
    <w:p w14:paraId="7AC4E741">
      <w:pPr>
        <w:spacing w:line="360" w:lineRule="auto"/>
        <w:ind w:firstLine="420" w:firstLineChars="200"/>
        <w:rPr>
          <w:rFonts w:ascii="宋体" w:hAnsi="宋体"/>
          <w:color w:val="auto"/>
          <w:highlight w:val="none"/>
        </w:rPr>
      </w:pPr>
      <w:r>
        <w:rPr>
          <w:rFonts w:hint="eastAsia" w:ascii="宋体" w:hAnsi="宋体"/>
          <w:color w:val="auto"/>
          <w:highlight w:val="none"/>
        </w:rPr>
        <w:t>（3）电子交易平台发现严重安全漏洞，有潜在泄密危险的；</w:t>
      </w:r>
    </w:p>
    <w:p w14:paraId="44D65504">
      <w:pPr>
        <w:spacing w:line="360" w:lineRule="auto"/>
        <w:ind w:firstLine="420" w:firstLineChars="200"/>
        <w:rPr>
          <w:rFonts w:ascii="宋体" w:hAnsi="宋体"/>
          <w:color w:val="auto"/>
          <w:highlight w:val="none"/>
        </w:rPr>
      </w:pPr>
      <w:r>
        <w:rPr>
          <w:rFonts w:hint="eastAsia" w:ascii="宋体" w:hAnsi="宋体"/>
          <w:color w:val="auto"/>
          <w:highlight w:val="none"/>
        </w:rPr>
        <w:t xml:space="preserve">（4）病毒发作导致不能进行正常操作的； </w:t>
      </w:r>
    </w:p>
    <w:p w14:paraId="2D648F52">
      <w:pPr>
        <w:spacing w:line="360" w:lineRule="auto"/>
        <w:ind w:firstLine="420" w:firstLineChars="200"/>
        <w:rPr>
          <w:rFonts w:ascii="宋体" w:hAnsi="宋体"/>
          <w:color w:val="auto"/>
          <w:highlight w:val="none"/>
        </w:rPr>
      </w:pPr>
      <w:r>
        <w:rPr>
          <w:rFonts w:hint="eastAsia" w:ascii="宋体" w:hAnsi="宋体"/>
          <w:color w:val="auto"/>
          <w:highlight w:val="none"/>
        </w:rPr>
        <w:t>（5）其他无法保证电子交易的公平、公正和安全的情况。</w:t>
      </w:r>
    </w:p>
    <w:p w14:paraId="4DB7DA97">
      <w:pPr>
        <w:spacing w:line="360" w:lineRule="auto"/>
        <w:ind w:firstLine="420" w:firstLineChars="200"/>
        <w:rPr>
          <w:rFonts w:ascii="宋体" w:hAnsi="宋体"/>
          <w:color w:val="auto"/>
          <w:highlight w:val="none"/>
        </w:rPr>
      </w:pPr>
      <w:r>
        <w:rPr>
          <w:rFonts w:hint="eastAsia" w:ascii="宋体" w:hAnsi="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6D4B68DD">
      <w:pPr>
        <w:keepNext/>
        <w:keepLines/>
        <w:spacing w:line="360" w:lineRule="auto"/>
        <w:ind w:firstLine="480" w:firstLineChars="150"/>
        <w:outlineLvl w:val="2"/>
        <w:rPr>
          <w:rFonts w:ascii="宋体" w:hAnsi="宋体"/>
          <w:color w:val="auto"/>
          <w:sz w:val="32"/>
          <w:szCs w:val="32"/>
          <w:highlight w:val="none"/>
        </w:rPr>
      </w:pPr>
      <w:bookmarkStart w:id="57" w:name="_Toc213251782"/>
      <w:r>
        <w:rPr>
          <w:rFonts w:hint="eastAsia" w:ascii="宋体" w:hAnsi="宋体"/>
          <w:color w:val="auto"/>
          <w:sz w:val="32"/>
          <w:szCs w:val="32"/>
          <w:highlight w:val="none"/>
        </w:rPr>
        <w:t>五、成交及合同</w:t>
      </w:r>
      <w:bookmarkEnd w:id="57"/>
    </w:p>
    <w:p w14:paraId="6D621AF7">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27.确定成交供应商及结果公告</w:t>
      </w:r>
    </w:p>
    <w:p w14:paraId="255BD4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27.1确定成交供应商。</w:t>
      </w:r>
      <w:r>
        <w:rPr>
          <w:rFonts w:hint="eastAsia" w:ascii="宋体" w:hAnsi="宋体" w:cs="宋体"/>
          <w:color w:val="auto"/>
          <w:kern w:val="0"/>
          <w:szCs w:val="21"/>
          <w:highlight w:val="none"/>
        </w:rPr>
        <w:t xml:space="preserve"> 由采购人直接委托评审专家确定</w:t>
      </w:r>
      <w:r>
        <w:rPr>
          <w:rFonts w:hint="eastAsia" w:ascii="宋体" w:hAnsi="宋体" w:cs="宋体"/>
          <w:color w:val="auto"/>
          <w:szCs w:val="21"/>
          <w:highlight w:val="none"/>
        </w:rPr>
        <w:t>，评审报告提出的排序第一的供应商为成交供应商。</w:t>
      </w:r>
    </w:p>
    <w:p w14:paraId="071EB7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27.2成交通知及成交结果公告。</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w:t>
      </w:r>
      <w:r>
        <w:rPr>
          <w:rFonts w:hint="eastAsia" w:ascii="宋体" w:hAnsi="宋体" w:cs="宋体"/>
          <w:color w:val="auto"/>
          <w:kern w:val="0"/>
          <w:szCs w:val="21"/>
          <w:highlight w:val="none"/>
        </w:rPr>
        <w:t>告成交结果（成交通知及成交结果公告应使用南宁市本级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cs="宋体"/>
          <w:color w:val="auto"/>
          <w:szCs w:val="21"/>
          <w:highlight w:val="none"/>
        </w:rPr>
        <w:t>同时向成交供应商发出成交通知书，成交通知书规定签订合同的时间不得超过25日。</w:t>
      </w:r>
    </w:p>
    <w:p w14:paraId="314A14F4">
      <w:pPr>
        <w:spacing w:line="360" w:lineRule="auto"/>
        <w:ind w:firstLine="420" w:firstLineChars="200"/>
        <w:rPr>
          <w:rFonts w:ascii="宋体" w:hAnsi="宋体" w:cs="Courier New"/>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w:t>
      </w:r>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p>
    <w:p w14:paraId="77AA959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698BAF0">
      <w:pPr>
        <w:spacing w:line="360" w:lineRule="auto"/>
        <w:ind w:firstLine="420" w:firstLineChars="200"/>
        <w:rPr>
          <w:rFonts w:ascii="宋体" w:hAnsi="宋体" w:cs="宋体"/>
          <w:color w:val="auto"/>
          <w:szCs w:val="21"/>
          <w:highlight w:val="none"/>
        </w:rPr>
      </w:pPr>
      <w:r>
        <w:rPr>
          <w:rFonts w:hint="eastAsia" w:ascii="宋体" w:hAnsi="宋体"/>
          <w:bCs/>
          <w:color w:val="auto"/>
          <w:szCs w:val="21"/>
          <w:highlight w:val="none"/>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00620B8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28.履约保证金</w:t>
      </w:r>
    </w:p>
    <w:p w14:paraId="5B1DB76B">
      <w:pPr>
        <w:spacing w:line="360" w:lineRule="auto"/>
        <w:ind w:firstLine="420" w:firstLineChars="200"/>
        <w:rPr>
          <w:rFonts w:ascii="黑体" w:hAnsi="黑体" w:eastAsia="黑体" w:cs="宋体"/>
          <w:b/>
          <w:bCs/>
          <w:color w:val="auto"/>
          <w:sz w:val="24"/>
          <w:highlight w:val="none"/>
        </w:rPr>
      </w:pPr>
      <w:r>
        <w:rPr>
          <w:rFonts w:hint="eastAsia" w:ascii="宋体" w:hAnsi="宋体" w:cs="宋体"/>
          <w:color w:val="auto"/>
          <w:szCs w:val="21"/>
          <w:highlight w:val="none"/>
        </w:rPr>
        <w:t>详见 “供应商须知前附表”</w:t>
      </w:r>
    </w:p>
    <w:p w14:paraId="6DD4303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29.签订合同</w:t>
      </w:r>
    </w:p>
    <w:p w14:paraId="5A0B1F9E">
      <w:pPr>
        <w:adjustRightInd w:val="0"/>
        <w:snapToGrid w:val="0"/>
        <w:spacing w:line="360" w:lineRule="auto"/>
        <w:ind w:firstLine="420" w:firstLineChars="200"/>
        <w:rPr>
          <w:rFonts w:ascii="宋体" w:hAnsi="宋体"/>
          <w:color w:val="auto"/>
          <w:kern w:val="0"/>
          <w:szCs w:val="21"/>
          <w:highlight w:val="none"/>
          <w:lang w:val="zh-CN"/>
        </w:rPr>
      </w:pPr>
      <w:r>
        <w:rPr>
          <w:rFonts w:hint="eastAsia" w:ascii="宋体" w:hAnsi="宋体" w:cs="宋体"/>
          <w:color w:val="auto"/>
          <w:kern w:val="0"/>
          <w:szCs w:val="21"/>
          <w:highlight w:val="none"/>
        </w:rPr>
        <w:t>29.1</w:t>
      </w:r>
      <w:r>
        <w:rPr>
          <w:rFonts w:hint="eastAsia" w:ascii="宋体" w:hAnsi="宋体"/>
          <w:color w:val="auto"/>
          <w:kern w:val="0"/>
          <w:szCs w:val="21"/>
          <w:highlight w:val="none"/>
        </w:rPr>
        <w:t>采购人与成交供应商应当在</w:t>
      </w:r>
      <w:r>
        <w:rPr>
          <w:rFonts w:hint="eastAsia" w:ascii="宋体" w:hAnsi="宋体" w:cs="宋体"/>
          <w:color w:val="auto"/>
          <w:kern w:val="0"/>
          <w:szCs w:val="21"/>
          <w:highlight w:val="none"/>
        </w:rPr>
        <w:t>成交通知书规定的时间内</w:t>
      </w:r>
      <w:r>
        <w:rPr>
          <w:rFonts w:hint="eastAsia" w:ascii="宋体" w:hAnsi="宋体"/>
          <w:color w:val="auto"/>
          <w:kern w:val="0"/>
          <w:szCs w:val="21"/>
          <w:highlight w:val="none"/>
        </w:rPr>
        <w:t>，按照磋商文件确定的合同文本以及采购标的、服务技术、采购金额、采购数量、技术和服务要求等事项签订政府采购合同。</w:t>
      </w:r>
      <w:r>
        <w:rPr>
          <w:rFonts w:hint="eastAsia" w:ascii="宋体" w:hAnsi="宋体"/>
          <w:color w:val="auto"/>
          <w:kern w:val="0"/>
          <w:szCs w:val="21"/>
          <w:highlight w:val="none"/>
          <w:lang w:val="zh-CN"/>
        </w:rPr>
        <w:t>如成交供应商为联合体的，由联合体成员各方法定代表人或其授权代表与采购人代表签订合同。</w:t>
      </w:r>
    </w:p>
    <w:p w14:paraId="16A54EA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28430FD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29.3成交供应商拒绝签订政府采购合同的，</w:t>
      </w:r>
      <w:r>
        <w:rPr>
          <w:rFonts w:hint="eastAsia" w:ascii="宋体" w:hAnsi="宋体" w:cs="宋体"/>
          <w:color w:val="auto"/>
          <w:szCs w:val="21"/>
          <w:highlight w:val="none"/>
        </w:rPr>
        <w:t>采购人可以按照评审报告推荐的成交候选人名单排序，确定下一候选人为成交供应商</w:t>
      </w:r>
      <w:r>
        <w:rPr>
          <w:rFonts w:hint="eastAsia" w:ascii="宋体" w:hAnsi="宋体"/>
          <w:color w:val="auto"/>
          <w:szCs w:val="21"/>
          <w:highlight w:val="none"/>
        </w:rPr>
        <w:t>，也可以重新开展采购活动。拒绝签订政府采购合同的成交供应商不得参加对该项目重新开展的采购活动。</w:t>
      </w:r>
    </w:p>
    <w:p w14:paraId="457F6AD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29.4如签订合同并生效后，供应商无故拒绝或延期，除按照合同条款处理外，列入不良行为记录，并给予通报。</w:t>
      </w:r>
    </w:p>
    <w:p w14:paraId="1ECC2B21">
      <w:pPr>
        <w:adjustRightInd w:val="0"/>
        <w:spacing w:line="360" w:lineRule="auto"/>
        <w:ind w:firstLine="420" w:firstLineChars="200"/>
        <w:rPr>
          <w:rFonts w:ascii="宋体" w:hAnsi="宋体" w:cs="宋体"/>
          <w:color w:val="auto"/>
          <w:kern w:val="0"/>
          <w:sz w:val="24"/>
          <w:szCs w:val="21"/>
          <w:highlight w:val="none"/>
        </w:rPr>
      </w:pPr>
      <w:r>
        <w:rPr>
          <w:rFonts w:hint="eastAsia" w:ascii="宋体" w:hAnsi="宋体" w:cs="仿宋_GB2312"/>
          <w:color w:val="auto"/>
          <w:kern w:val="0"/>
          <w:szCs w:val="21"/>
          <w:highlight w:val="none"/>
        </w:rPr>
        <w:t>29.5采购合同由采购人与成交供应商根据</w:t>
      </w:r>
      <w:r>
        <w:rPr>
          <w:rFonts w:hint="eastAsia" w:ascii="宋体" w:hAnsi="宋体"/>
          <w:color w:val="auto"/>
          <w:kern w:val="0"/>
          <w:szCs w:val="21"/>
          <w:highlight w:val="none"/>
        </w:rPr>
        <w:t>磋商文件</w:t>
      </w:r>
      <w:r>
        <w:rPr>
          <w:rFonts w:hint="eastAsia" w:ascii="宋体" w:hAnsi="宋体" w:cs="仿宋_GB2312"/>
          <w:color w:val="auto"/>
          <w:kern w:val="0"/>
          <w:szCs w:val="21"/>
          <w:highlight w:val="none"/>
        </w:rPr>
        <w:t>、响应文件等内容通过政府采购电子交易平台在线签订，自动备案，在线签订须携带的材料见“供应商须</w:t>
      </w:r>
      <w:r>
        <w:rPr>
          <w:rFonts w:hint="eastAsia" w:ascii="宋体" w:hAnsi="宋体"/>
          <w:color w:val="auto"/>
          <w:kern w:val="0"/>
          <w:szCs w:val="21"/>
          <w:highlight w:val="none"/>
        </w:rPr>
        <w:t>知前附表</w:t>
      </w:r>
      <w:r>
        <w:rPr>
          <w:rFonts w:hint="eastAsia" w:ascii="宋体" w:hAnsi="宋体" w:cs="仿宋_GB2312"/>
          <w:color w:val="auto"/>
          <w:kern w:val="0"/>
          <w:szCs w:val="21"/>
          <w:highlight w:val="none"/>
        </w:rPr>
        <w:t>”。</w:t>
      </w:r>
    </w:p>
    <w:p w14:paraId="3D198E0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30.政府采购合同公告</w:t>
      </w:r>
    </w:p>
    <w:p w14:paraId="34B69CFC">
      <w:pPr>
        <w:spacing w:line="360" w:lineRule="auto"/>
        <w:ind w:firstLine="420" w:firstLineChars="200"/>
        <w:rPr>
          <w:rFonts w:hAnsi="宋体"/>
          <w:color w:val="auto"/>
          <w:highlight w:val="none"/>
        </w:rPr>
      </w:pPr>
      <w:r>
        <w:rPr>
          <w:rFonts w:hint="eastAsia" w:hAnsi="宋体"/>
          <w:color w:val="auto"/>
          <w:highlight w:val="none"/>
        </w:rPr>
        <w:t>采购人或者受托采购代理机构应当自政府采购合同签订之日起2个工作日内，将政府采购合同</w:t>
      </w:r>
      <w:r>
        <w:rPr>
          <w:rFonts w:hint="eastAsia" w:ascii="宋体" w:hAnsi="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hAnsi="宋体"/>
          <w:color w:val="auto"/>
          <w:highlight w:val="none"/>
        </w:rPr>
        <w:t>上公告，</w:t>
      </w:r>
      <w:r>
        <w:rPr>
          <w:rFonts w:hAnsi="宋体"/>
          <w:color w:val="auto"/>
          <w:highlight w:val="none"/>
        </w:rPr>
        <w:t>但政府采购合同中涉及国家秘密、商业秘密的内容除外。</w:t>
      </w:r>
    </w:p>
    <w:p w14:paraId="4B56561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31.询问、质疑和投诉</w:t>
      </w:r>
    </w:p>
    <w:p w14:paraId="241BE41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4719505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Arial"/>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17C90DD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（1）对可以质疑的磋商文件提出质疑的，为收到磋商文件之日或者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36A1BF0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2717252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2B98E55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3D5CCA1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348B946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6F9221B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52D6292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41EF443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0686504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257EDEE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421A055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2756D23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42A10BB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（1）对采购文件提出的质疑，依法通过澄清或者修改可以继续开展采购活动的，澄清或者修改采购文件后继续开展采购活动；否则应当修改采购文件后重新开展采购活动。</w:t>
      </w:r>
    </w:p>
    <w:p w14:paraId="0899715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（2）对采购过程或者成交结果提出的质疑，合格供应商符合法定数量时，可以从合格的成交候选人中另行确定成交供应商的，应当依法另行确定成交供应商；否则应当重新开展采购活动。</w:t>
      </w:r>
    </w:p>
    <w:p w14:paraId="4BED289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64D7A42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5188B3F4">
      <w:pPr>
        <w:keepNext/>
        <w:keepLines/>
        <w:spacing w:line="360" w:lineRule="auto"/>
        <w:ind w:firstLine="315" w:firstLineChars="98"/>
        <w:outlineLvl w:val="2"/>
        <w:rPr>
          <w:rFonts w:ascii="宋体" w:hAnsi="宋体"/>
          <w:bCs/>
          <w:color w:val="auto"/>
          <w:sz w:val="32"/>
          <w:szCs w:val="32"/>
          <w:highlight w:val="none"/>
        </w:rPr>
      </w:pPr>
      <w:bookmarkStart w:id="58" w:name="_Toc213251783"/>
      <w:r>
        <w:rPr>
          <w:rFonts w:hint="eastAsia" w:ascii="宋体" w:hAnsi="宋体"/>
          <w:b/>
          <w:bCs/>
          <w:color w:val="auto"/>
          <w:sz w:val="32"/>
          <w:szCs w:val="32"/>
          <w:highlight w:val="none"/>
        </w:rPr>
        <w:t>六</w:t>
      </w:r>
      <w:r>
        <w:rPr>
          <w:rFonts w:hint="eastAsia" w:ascii="宋体" w:hAnsi="宋体"/>
          <w:bCs/>
          <w:color w:val="auto"/>
          <w:sz w:val="32"/>
          <w:szCs w:val="32"/>
          <w:highlight w:val="none"/>
        </w:rPr>
        <w:t>、验收</w:t>
      </w:r>
      <w:bookmarkEnd w:id="58"/>
    </w:p>
    <w:p w14:paraId="6059B61F">
      <w:pPr>
        <w:tabs>
          <w:tab w:val="left" w:pos="0"/>
        </w:tabs>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32.验收</w:t>
      </w:r>
    </w:p>
    <w:p w14:paraId="0301531A">
      <w:pPr>
        <w:tabs>
          <w:tab w:val="left" w:pos="0"/>
        </w:tabs>
        <w:spacing w:line="360" w:lineRule="auto"/>
        <w:ind w:firstLine="420" w:firstLineChars="200"/>
        <w:rPr>
          <w:rFonts w:ascii="宋体" w:hAnsi="宋体" w:cs="Helvetica"/>
          <w:color w:val="auto"/>
          <w:kern w:val="0"/>
          <w:szCs w:val="21"/>
          <w:highlight w:val="none"/>
        </w:rPr>
      </w:pPr>
      <w:r>
        <w:rPr>
          <w:rFonts w:hint="eastAsia" w:ascii="宋体" w:hAnsi="宋体" w:cs="Helvetica"/>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AF81F6A">
      <w:pPr>
        <w:tabs>
          <w:tab w:val="left" w:pos="0"/>
        </w:tabs>
        <w:spacing w:line="360" w:lineRule="auto"/>
        <w:ind w:firstLine="420" w:firstLineChars="200"/>
        <w:rPr>
          <w:rFonts w:ascii="宋体" w:hAnsi="宋体" w:cs="Helvetica"/>
          <w:color w:val="auto"/>
          <w:kern w:val="0"/>
          <w:szCs w:val="21"/>
          <w:highlight w:val="none"/>
        </w:rPr>
      </w:pPr>
      <w:r>
        <w:rPr>
          <w:rFonts w:hint="eastAsia" w:ascii="宋体" w:hAnsi="宋体" w:cs="Helvetica"/>
          <w:color w:val="auto"/>
          <w:kern w:val="0"/>
          <w:szCs w:val="21"/>
          <w:highlight w:val="none"/>
        </w:rPr>
        <w:t>32.2采购人可以邀请参加本项目的其他供应商或者第三方机构参与验收。参与验收的供应商或者第三方机构的意见作为验收书的参考资料一并存档。</w:t>
      </w:r>
    </w:p>
    <w:p w14:paraId="70CB6ED1">
      <w:pPr>
        <w:tabs>
          <w:tab w:val="left" w:pos="0"/>
        </w:tabs>
        <w:spacing w:line="360" w:lineRule="auto"/>
        <w:ind w:firstLine="420" w:firstLineChars="200"/>
        <w:rPr>
          <w:rFonts w:ascii="宋体" w:hAnsi="宋体" w:cs="Helvetica"/>
          <w:color w:val="auto"/>
          <w:kern w:val="0"/>
          <w:szCs w:val="21"/>
          <w:highlight w:val="none"/>
        </w:rPr>
      </w:pPr>
      <w:r>
        <w:rPr>
          <w:rFonts w:hint="eastAsia" w:ascii="宋体" w:hAnsi="宋体" w:cs="Helvetica"/>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40CB355">
      <w:pPr>
        <w:tabs>
          <w:tab w:val="left" w:pos="0"/>
        </w:tabs>
        <w:spacing w:line="360" w:lineRule="auto"/>
        <w:ind w:firstLine="420" w:firstLineChars="200"/>
        <w:rPr>
          <w:rFonts w:ascii="宋体" w:hAnsi="宋体" w:cs="宋体"/>
          <w:color w:val="auto"/>
          <w:szCs w:val="21"/>
          <w:highlight w:val="none"/>
        </w:rPr>
      </w:pPr>
      <w:r>
        <w:rPr>
          <w:rFonts w:hint="eastAsia" w:ascii="宋体" w:hAnsi="宋体" w:cs="Helvetica"/>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31DA495">
      <w:pPr>
        <w:keepNext/>
        <w:keepLines/>
        <w:spacing w:line="360" w:lineRule="auto"/>
        <w:ind w:firstLine="320" w:firstLineChars="100"/>
        <w:outlineLvl w:val="2"/>
        <w:rPr>
          <w:rFonts w:ascii="宋体" w:hAnsi="宋体"/>
          <w:color w:val="auto"/>
          <w:sz w:val="32"/>
          <w:szCs w:val="32"/>
          <w:highlight w:val="none"/>
        </w:rPr>
      </w:pPr>
      <w:bookmarkStart w:id="59" w:name="_Toc213251784"/>
      <w:r>
        <w:rPr>
          <w:rFonts w:hint="eastAsia" w:ascii="宋体" w:hAnsi="宋体"/>
          <w:color w:val="auto"/>
          <w:sz w:val="32"/>
          <w:szCs w:val="32"/>
          <w:highlight w:val="none"/>
        </w:rPr>
        <w:t>七、其他事项</w:t>
      </w:r>
      <w:bookmarkEnd w:id="59"/>
    </w:p>
    <w:p w14:paraId="71D6528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33.代理服务费</w:t>
      </w:r>
    </w:p>
    <w:p w14:paraId="2DC08B8C">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代理服务收费标准及缴费账户详见“供应商须知前附表”，供应商为联合体的，可以由联合体中的一方或者多方共同交纳代理服务费。</w:t>
      </w:r>
    </w:p>
    <w:p w14:paraId="577E01E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34.需要补充的其他内容</w:t>
      </w:r>
    </w:p>
    <w:p w14:paraId="6A94C74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34</w:t>
      </w:r>
      <w:r>
        <w:rPr>
          <w:rFonts w:ascii="宋体" w:hAnsi="宋体" w:cs="宋体"/>
          <w:color w:val="auto"/>
          <w:szCs w:val="21"/>
          <w:highlight w:val="none"/>
        </w:rPr>
        <w:t>.1</w:t>
      </w:r>
      <w:r>
        <w:rPr>
          <w:rFonts w:hint="eastAsia" w:ascii="宋体" w:hAnsi="宋体" w:cs="宋体"/>
          <w:color w:val="auto"/>
          <w:szCs w:val="21"/>
          <w:highlight w:val="none"/>
        </w:rPr>
        <w:t>本磋商文件解释规则详见“供应商须知前附表”。</w:t>
      </w:r>
    </w:p>
    <w:p w14:paraId="7A2FCD4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 xml:space="preserve"> 其他事项详见“供应商须知前附表”。</w:t>
      </w:r>
    </w:p>
    <w:p w14:paraId="269F66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34</w:t>
      </w:r>
      <w:r>
        <w:rPr>
          <w:rFonts w:ascii="宋体" w:hAnsi="宋体" w:cs="宋体"/>
          <w:color w:val="auto"/>
          <w:szCs w:val="21"/>
          <w:highlight w:val="none"/>
        </w:rPr>
        <w:t>.3</w:t>
      </w:r>
      <w:r>
        <w:rPr>
          <w:rFonts w:hint="eastAsia" w:ascii="宋体" w:hAnsi="宋体" w:cs="宋体"/>
          <w:color w:val="auto"/>
          <w:szCs w:val="21"/>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color w:val="auto"/>
          <w:kern w:val="0"/>
          <w:szCs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cs="宋体"/>
          <w:color w:val="auto"/>
          <w:szCs w:val="21"/>
          <w:highlight w:val="none"/>
        </w:rPr>
        <w:t>，享受本文件规定的中小企业扶持政策。</w:t>
      </w:r>
    </w:p>
    <w:p w14:paraId="28ED17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以联合体形式参加政府采购活动，联合体各方均为中小企业的，联合体视同中小企业。其中，联合体各方均为小微企业的，联合体视同小微企业。</w:t>
      </w:r>
    </w:p>
    <w:p w14:paraId="710301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依据本文件规定享受扶持政策获得政府采购合同的，小微企业不得将合同分包给大中型企业，中型企业不得将合同分包给大型企业。</w:t>
      </w:r>
    </w:p>
    <w:p w14:paraId="2103334E">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35.政采贷相关说明</w:t>
      </w:r>
    </w:p>
    <w:p w14:paraId="3099EA87">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（1）线下渠道：在“南宁市公共资源交易中心”官网（网址：http://www.nnggzy.org.cn）“交易信息-政府采购-政府采购信用融资”中融资银行和南宁市企业融资服务中心专栏信息申请政府采购信用融资。</w:t>
      </w:r>
    </w:p>
    <w:p w14:paraId="3700D166">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线上渠道：登录中征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p>
    <w:p w14:paraId="4682B514">
      <w:pPr>
        <w:spacing w:line="360" w:lineRule="auto"/>
        <w:ind w:firstLine="400" w:firstLineChars="200"/>
        <w:rPr>
          <w:rFonts w:ascii="宋体" w:hAnsi="Courier New"/>
          <w:color w:val="auto"/>
          <w:kern w:val="0"/>
          <w:sz w:val="20"/>
          <w:szCs w:val="21"/>
          <w:highlight w:val="none"/>
        </w:rPr>
      </w:pPr>
      <w:r>
        <w:rPr>
          <w:rFonts w:ascii="宋体" w:hAnsi="宋体"/>
          <w:color w:val="auto"/>
          <w:kern w:val="0"/>
          <w:sz w:val="20"/>
          <w:szCs w:val="21"/>
          <w:highlight w:val="none"/>
        </w:rPr>
        <w:br w:type="page"/>
      </w:r>
    </w:p>
    <w:p w14:paraId="482AFE04">
      <w:pPr>
        <w:keepNext/>
        <w:keepLines/>
        <w:spacing w:line="360" w:lineRule="auto"/>
        <w:jc w:val="center"/>
        <w:outlineLvl w:val="0"/>
        <w:rPr>
          <w:b/>
          <w:bCs/>
          <w:color w:val="auto"/>
          <w:kern w:val="44"/>
          <w:sz w:val="44"/>
          <w:szCs w:val="44"/>
          <w:highlight w:val="none"/>
        </w:rPr>
      </w:pPr>
      <w:bookmarkStart w:id="60" w:name="_Toc213251785"/>
      <w:r>
        <w:rPr>
          <w:rFonts w:hint="eastAsia"/>
          <w:b/>
          <w:bCs/>
          <w:color w:val="auto"/>
          <w:kern w:val="44"/>
          <w:sz w:val="44"/>
          <w:szCs w:val="44"/>
          <w:highlight w:val="none"/>
        </w:rPr>
        <w:t>第四章评审程序、评审方法和评审标准</w:t>
      </w:r>
      <w:bookmarkEnd w:id="60"/>
    </w:p>
    <w:p w14:paraId="482305B8">
      <w:pPr>
        <w:keepNext/>
        <w:keepLines/>
        <w:spacing w:line="360" w:lineRule="auto"/>
        <w:jc w:val="center"/>
        <w:outlineLvl w:val="1"/>
        <w:rPr>
          <w:rFonts w:ascii="宋体" w:hAnsi="宋体"/>
          <w:bCs/>
          <w:color w:val="auto"/>
          <w:sz w:val="32"/>
          <w:szCs w:val="32"/>
          <w:highlight w:val="none"/>
        </w:rPr>
      </w:pPr>
      <w:bookmarkStart w:id="61" w:name="_Toc213251786"/>
      <w:r>
        <w:rPr>
          <w:rFonts w:hint="eastAsia" w:ascii="宋体" w:hAnsi="宋体"/>
          <w:bCs/>
          <w:color w:val="auto"/>
          <w:sz w:val="32"/>
          <w:szCs w:val="32"/>
          <w:highlight w:val="none"/>
        </w:rPr>
        <w:t>第一节 评审程序和评审方法</w:t>
      </w:r>
      <w:bookmarkEnd w:id="61"/>
    </w:p>
    <w:p w14:paraId="25965AB3">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1.确认磋商文件</w:t>
      </w:r>
    </w:p>
    <w:p w14:paraId="4BE6B9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由磋商小组确认磋商文件。</w:t>
      </w:r>
    </w:p>
    <w:p w14:paraId="5A85BB73">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2.资格审查</w:t>
      </w:r>
    </w:p>
    <w:p w14:paraId="264869A9">
      <w:pPr>
        <w:snapToGrid w:val="0"/>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2.1</w:t>
      </w:r>
      <w:r>
        <w:rPr>
          <w:rFonts w:hint="eastAsia" w:ascii="宋体" w:hAnsi="宋体"/>
          <w:color w:val="auto"/>
          <w:szCs w:val="21"/>
          <w:highlight w:val="none"/>
        </w:rPr>
        <w:t>响应文件开启后，磋商小组依法对供应商的资格证明文件进行审查。</w:t>
      </w:r>
    </w:p>
    <w:p w14:paraId="00B0E4D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注：采购人代表或者采购代理机构在资格审查结束前，对供应商进行信用查询。</w:t>
      </w:r>
    </w:p>
    <w:p w14:paraId="45F32B44">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（1）查询渠道：查询渠道：广西政府采购云平台“信用中国”网站(www.creditchina.gov.cn)、中国政府采购网(www.ccgp.gov.cn)链接入口。</w:t>
      </w:r>
    </w:p>
    <w:p w14:paraId="1585FE4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55983B5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14:paraId="344315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、中国政府采购网（www.ccgp.gov.cn）重大税收违法失信主体、政府采购严重违法失信行为记录名单</w:t>
      </w:r>
      <w:r>
        <w:rPr>
          <w:rFonts w:hint="eastAsia" w:ascii="宋体" w:hAnsi="宋体" w:cs="宋体"/>
          <w:color w:val="auto"/>
          <w:szCs w:val="21"/>
          <w:highlight w:val="none"/>
          <w:lang w:eastAsia="zh-CN"/>
        </w:rPr>
        <w:t>、</w:t>
      </w:r>
      <w:r>
        <w:rPr>
          <w:rFonts w:hint="eastAsia" w:ascii="宋体" w:hAnsi="宋体"/>
          <w:color w:val="auto"/>
          <w:szCs w:val="21"/>
          <w:highlight w:val="none"/>
          <w:lang w:eastAsia="zh-CN"/>
        </w:rPr>
        <w:t>中国执行信息公开网</w:t>
      </w:r>
      <w:r>
        <w:rPr>
          <w:rFonts w:hint="eastAsia" w:ascii="宋体" w:hAnsi="宋体"/>
          <w:color w:val="auto"/>
          <w:szCs w:val="21"/>
          <w:highlight w:val="none"/>
        </w:rPr>
        <w:t>被列入失信被执行人</w:t>
      </w:r>
      <w:r>
        <w:rPr>
          <w:rFonts w:hint="eastAsia" w:ascii="宋体" w:hAnsi="宋体" w:cs="宋体"/>
          <w:color w:val="auto"/>
          <w:szCs w:val="21"/>
          <w:highlight w:val="none"/>
        </w:rPr>
        <w:t>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B98E6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624CD6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2.3供应商有下列情形之一的，资格审查不通过，其响应文件按无效响应处理：</w:t>
      </w:r>
    </w:p>
    <w:p w14:paraId="0E0024F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2834E1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0CE802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32AC36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w:t>
      </w:r>
    </w:p>
    <w:p w14:paraId="19460E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28A740B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3.符合性审查</w:t>
      </w:r>
    </w:p>
    <w:p w14:paraId="78E551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的响应文件的响应报价、商务、技术等实质性要求进行符合性审查，以确定其是否满足磋商文件的实质性要求。</w:t>
      </w:r>
    </w:p>
    <w:p w14:paraId="5A29A6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AD1B0D9">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14:paraId="114922A7">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43F23A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1C29E1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10A069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3772BF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7C2B8E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6E3D93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3.5商务技术、报价评审</w:t>
      </w:r>
    </w:p>
    <w:p w14:paraId="44D167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652591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3DEA4D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088E8F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52BBF6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7A1B96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4）商务条款中标“▲”的条款发生负偏离的或者允许负偏离的条款数超过“供应商须知前附表”规定项数的或者标明实质性的要求发生负偏离；</w:t>
      </w:r>
    </w:p>
    <w:p w14:paraId="60C032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5B3707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609E5F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17A11ED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2FA1CC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9）属于“供应商须知正文”第7.5条情形；</w:t>
      </w:r>
    </w:p>
    <w:p w14:paraId="673579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10）技术需求允许负偏离的条款数超过“供应商须知前附表”规定项数；</w:t>
      </w:r>
    </w:p>
    <w:p w14:paraId="603559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40D1B16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12）竞标技术方案不明确，磋商文件未允许</w:t>
      </w:r>
      <w:r>
        <w:rPr>
          <w:rFonts w:hint="eastAsia" w:ascii="宋体" w:hAnsi="宋体"/>
          <w:color w:val="auto"/>
          <w:szCs w:val="21"/>
          <w:highlight w:val="none"/>
        </w:rPr>
        <w:t>但响应文件中</w:t>
      </w:r>
      <w:r>
        <w:rPr>
          <w:rFonts w:hint="eastAsia" w:ascii="宋体" w:hAnsi="宋体" w:cs="宋体"/>
          <w:color w:val="auto"/>
          <w:szCs w:val="21"/>
          <w:highlight w:val="none"/>
        </w:rPr>
        <w:t>存在一个或者一个以上备选（替代）竞标方案；</w:t>
      </w:r>
    </w:p>
    <w:p w14:paraId="15BBE9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13）响应文件标注的项目名称或者项目编号与竞争性磋商文件标注的项目名称或者项目编号不一致的；</w:t>
      </w:r>
    </w:p>
    <w:p w14:paraId="528893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14）未响应磋商文件实质性要求；</w:t>
      </w:r>
    </w:p>
    <w:p w14:paraId="36C78D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15）法律、法规和磋商文件规定的其他无效情形。</w:t>
      </w:r>
    </w:p>
    <w:p w14:paraId="6A97FA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5B248B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1）响应文件未提供“供应商须知前附表” 报价文件中规定的“响应报价表”；</w:t>
      </w:r>
    </w:p>
    <w:p w14:paraId="0C0092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748996E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36A003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55C1EA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417898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响应文件响应的标的数量及单位与竞争性磋商采购文件要求实质性不一致的。</w:t>
      </w:r>
    </w:p>
    <w:p w14:paraId="14536B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579CCC4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3.7非</w:t>
      </w:r>
      <w:r>
        <w:rPr>
          <w:rFonts w:hint="eastAsia" w:ascii="宋体" w:hAnsi="宋体"/>
          <w:color w:val="auto"/>
          <w:szCs w:val="21"/>
          <w:highlight w:val="none"/>
        </w:rPr>
        <w:t>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140D9556">
      <w:pPr>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4.磋商程序</w:t>
      </w:r>
    </w:p>
    <w:p w14:paraId="44CBFAC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4.1磋商小组按照“供应商须知前附表”确定的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0ED93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50F8C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4.3对磋商文件作出的实质性变动是磋商文件的有效组成部分，由磋商小组及时以电子澄清函形式同时通知所有参加磋商的供应商。</w:t>
      </w:r>
    </w:p>
    <w:p w14:paraId="5B1A46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69F947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4.5磋商中，</w:t>
      </w:r>
      <w:r>
        <w:rPr>
          <w:rFonts w:hint="eastAsia" w:ascii="宋体" w:hAnsi="宋体" w:cs="宋体"/>
          <w:color w:val="auto"/>
          <w:spacing w:val="-6"/>
          <w:szCs w:val="21"/>
          <w:highlight w:val="none"/>
        </w:rPr>
        <w:t>磋商的任何一方不得透露与磋商有关的其他供应商的技术资料、价格和其他信息。</w:t>
      </w:r>
    </w:p>
    <w:p w14:paraId="48F60F76">
      <w:pPr>
        <w:widowControl/>
        <w:tabs>
          <w:tab w:val="left" w:pos="540"/>
        </w:tabs>
        <w:spacing w:line="360" w:lineRule="auto"/>
        <w:ind w:firstLine="420" w:firstLineChars="200"/>
        <w:jc w:val="left"/>
        <w:rPr>
          <w:rFonts w:ascii="仿宋" w:hAnsi="仿宋" w:eastAsia="仿宋" w:cs="仿宋_GB2312"/>
          <w:b/>
          <w:color w:val="auto"/>
          <w:highlight w:val="none"/>
        </w:rPr>
      </w:pPr>
      <w:r>
        <w:rPr>
          <w:rFonts w:hint="eastAsia" w:ascii="宋体" w:hAnsi="宋体" w:cs="宋体"/>
          <w:color w:val="auto"/>
          <w:szCs w:val="21"/>
          <w:highlight w:val="none"/>
        </w:rPr>
        <w:t>4.6磋商小组应对磋商过程和重要磋商内容进行记录，作为评标报告一部分，磋商小组在记录上签字确认。</w:t>
      </w:r>
      <w:r>
        <w:rPr>
          <w:rFonts w:hint="eastAsia" w:ascii="仿宋" w:hAnsi="仿宋" w:eastAsia="仿宋" w:cs="仿宋_GB2312"/>
          <w:b/>
          <w:color w:val="auto"/>
          <w:sz w:val="24"/>
          <w:highlight w:val="none"/>
        </w:rPr>
        <w:t>主要内容包括：</w:t>
      </w:r>
    </w:p>
    <w:p w14:paraId="14F15C3A">
      <w:pPr>
        <w:adjustRightInd w:val="0"/>
        <w:spacing w:line="360" w:lineRule="auto"/>
        <w:ind w:firstLine="396"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（1）按照相关规定进行公示的，公示情况说明；</w:t>
      </w:r>
    </w:p>
    <w:p w14:paraId="4A5D5D9B">
      <w:pPr>
        <w:adjustRightInd w:val="0"/>
        <w:spacing w:line="360" w:lineRule="auto"/>
        <w:ind w:firstLine="396"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（2）磋商日期和地点，磋商人员名单；</w:t>
      </w:r>
    </w:p>
    <w:p w14:paraId="73A602DB">
      <w:pPr>
        <w:adjustRightInd w:val="0"/>
        <w:spacing w:line="360" w:lineRule="auto"/>
        <w:ind w:firstLine="396"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（3）合同主要条款及价格商定情况。</w:t>
      </w:r>
    </w:p>
    <w:p w14:paraId="621DC6CD">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4.7磋商过程中重新提交的响应文件，供应商可以在开启前补充、修改。</w:t>
      </w:r>
    </w:p>
    <w:p w14:paraId="230AE3EB">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75B119B0">
      <w:pPr>
        <w:ind w:firstLine="200"/>
        <w:rPr>
          <w:rFonts w:ascii="宋体" w:hAnsi="宋体" w:cs="宋体"/>
          <w:color w:val="auto"/>
          <w:szCs w:val="21"/>
          <w:highlight w:val="none"/>
        </w:rPr>
      </w:pPr>
      <w:r>
        <w:rPr>
          <w:rFonts w:hint="eastAsia" w:ascii="黑体" w:hAnsi="黑体" w:eastAsia="黑体" w:cs="宋体"/>
          <w:b/>
          <w:bCs/>
          <w:color w:val="auto"/>
          <w:sz w:val="24"/>
          <w:highlight w:val="none"/>
        </w:rPr>
        <w:t>5.最后报价</w:t>
      </w:r>
    </w:p>
    <w:p w14:paraId="545932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58FF75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2181DE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5FF807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5.4已经提交响应文件的供应商，在提交最后报价之前，可以根据磋商情况退出磋商，退出磋商的供应商的响应文件按无效响应处理。</w:t>
      </w:r>
    </w:p>
    <w:p w14:paraId="63B7E7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5.5供应商未在规定时间内提交最后报价的，视同退出磋商。</w:t>
      </w:r>
    </w:p>
    <w:p w14:paraId="24536E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5.6磋商小组收齐某一分标最后报价后统一开启，磋商小组对最后报价进行有效性、完整性和响应程度的审查。</w:t>
      </w:r>
    </w:p>
    <w:p w14:paraId="319FA5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5.7最终响应文件的报价出现前后不一致的，按照本章第3.4条的规定修正。 </w:t>
      </w:r>
    </w:p>
    <w:p w14:paraId="584466E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5.8修正后的最终报价出现下列情形的，按无效响应处理：</w:t>
      </w:r>
    </w:p>
    <w:p w14:paraId="6B6731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1871ED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14:paraId="0C9C0F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58736E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5.9经供应商确认修正后的最后报价作为评审及签订合同的依据。</w:t>
      </w:r>
    </w:p>
    <w:p w14:paraId="0A5B76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16805D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5.11最后报价结束后，磋商小组不得再与供应商进行任何形式的商谈。</w:t>
      </w:r>
    </w:p>
    <w:p w14:paraId="7F1CB5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5.12磋商小组在评审中发现下列情形之一的，应当启动异常低价竞标审查程序：</w:t>
      </w:r>
    </w:p>
    <w:p w14:paraId="173086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①报价低于全部通过符合性审查供应商报价平均值 50% 的，即报价＜全部通过符合性审查供应商报价平均值×50%  ； </w:t>
      </w:r>
    </w:p>
    <w:p w14:paraId="126B78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②报价低于通过符合性审查的次低报价供应商报价 50% 的，即报价＜通过符合性审查的次低报价供应商报价×50%  ； </w:t>
      </w:r>
    </w:p>
    <w:p w14:paraId="61D559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③报价低于采购项目最高限价50% 的，即报价＜采购项目最高限价×50% ； </w:t>
      </w:r>
    </w:p>
    <w:p w14:paraId="0BEE190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④磋商小组基于专业判断，认为供应商报价过低，有可能影响产品质量或者不能诚信履约的其他情形。</w:t>
      </w:r>
    </w:p>
    <w:p w14:paraId="7767A0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备注：如本项目按照下浮系数进行报价，报价=1-下浮系数</w:t>
      </w:r>
    </w:p>
    <w:p w14:paraId="561D66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磋商小组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7DA2F2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小组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磋商小组应当将其作为无效磋商处理。</w:t>
      </w:r>
    </w:p>
    <w:p w14:paraId="142347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48406F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异常低价投标审查的启动原因、审查意见和审查结果应当在评审报告中记录，并随供应商提供的相关书面说明及证明材料；如有，以及磋商小组有关互联网浏览、查询历史一并归档。</w:t>
      </w:r>
    </w:p>
    <w:p w14:paraId="4F9F059A">
      <w:pPr>
        <w:ind w:firstLine="200"/>
        <w:rPr>
          <w:rFonts w:ascii="黑体" w:hAnsi="黑体" w:eastAsia="黑体" w:cs="宋体"/>
          <w:b/>
          <w:bCs/>
          <w:color w:val="auto"/>
          <w:sz w:val="24"/>
          <w:highlight w:val="none"/>
        </w:rPr>
      </w:pPr>
      <w:r>
        <w:rPr>
          <w:rFonts w:hint="eastAsia" w:ascii="黑体" w:hAnsi="黑体" w:eastAsia="黑体" w:cs="宋体"/>
          <w:b/>
          <w:bCs/>
          <w:color w:val="auto"/>
          <w:sz w:val="24"/>
          <w:highlight w:val="none"/>
        </w:rPr>
        <w:t>6.比较与评价</w:t>
      </w:r>
    </w:p>
    <w:p w14:paraId="7C32100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6.1评审方法：综合评分法。</w:t>
      </w:r>
    </w:p>
    <w:p w14:paraId="60632E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37620A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6.3评审时，磋商小组各成员应当独立对每个有效响应的文件进行评价、打分，然后汇总每个供应商每项评分因素的得分。</w:t>
      </w:r>
    </w:p>
    <w:p w14:paraId="157344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7D87E4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418C5D3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70B5F082">
      <w:pPr>
        <w:spacing w:line="360" w:lineRule="auto"/>
        <w:ind w:firstLine="420" w:firstLineChars="200"/>
        <w:rPr>
          <w:rFonts w:ascii="宋体" w:hAnsi="宋体"/>
          <w:color w:val="auto"/>
          <w:kern w:val="0"/>
          <w:szCs w:val="21"/>
          <w:highlight w:val="none"/>
        </w:rPr>
      </w:pPr>
      <w:r>
        <w:rPr>
          <w:rFonts w:hint="eastAsia" w:ascii="宋体" w:hAnsi="宋体" w:cs="宋体"/>
          <w:color w:val="auto"/>
          <w:szCs w:val="21"/>
          <w:highlight w:val="none"/>
        </w:rPr>
        <w:t>6.5由磋商小组根据综合评分情况，按照评审得分由高到低顺序推荐3名以上成交候选供应商，并编写评</w:t>
      </w:r>
      <w:r>
        <w:rPr>
          <w:rFonts w:hint="eastAsia" w:ascii="宋体" w:hAnsi="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28358E27">
      <w:pPr>
        <w:spacing w:line="360" w:lineRule="auto"/>
        <w:ind w:firstLine="420" w:firstLineChars="200"/>
        <w:rPr>
          <w:rFonts w:ascii="宋体" w:hAnsi="宋体" w:cs="宋体"/>
          <w:color w:val="auto"/>
          <w:szCs w:val="21"/>
          <w:highlight w:val="none"/>
        </w:rPr>
      </w:pPr>
      <w:r>
        <w:rPr>
          <w:rFonts w:hint="eastAsia" w:ascii="宋体" w:hAnsi="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7F78C15">
      <w:pPr>
        <w:ind w:firstLine="200"/>
        <w:rPr>
          <w:rFonts w:ascii="黑体" w:hAnsi="黑体" w:eastAsia="黑体" w:cs="宋体"/>
          <w:b/>
          <w:bCs/>
          <w:color w:val="auto"/>
          <w:sz w:val="24"/>
          <w:highlight w:val="none"/>
        </w:rPr>
      </w:pPr>
      <w:r>
        <w:rPr>
          <w:rFonts w:hint="eastAsia" w:ascii="黑体" w:hAnsi="黑体" w:eastAsia="黑体" w:cs="宋体"/>
          <w:b/>
          <w:bCs/>
          <w:color w:val="auto"/>
          <w:sz w:val="24"/>
          <w:highlight w:val="none"/>
        </w:rPr>
        <w:t>7.评审标准</w:t>
      </w:r>
    </w:p>
    <w:p w14:paraId="33F6DA30">
      <w:pPr>
        <w:spacing w:line="360" w:lineRule="auto"/>
        <w:ind w:firstLine="422" w:firstLineChars="200"/>
        <w:rPr>
          <w:rFonts w:ascii="宋体" w:hAnsi="宋体"/>
          <w:bCs/>
          <w:color w:val="auto"/>
          <w:szCs w:val="21"/>
          <w:highlight w:val="none"/>
        </w:rPr>
      </w:pPr>
      <w:r>
        <w:rPr>
          <w:rFonts w:hint="eastAsia" w:ascii="宋体" w:hAnsi="宋体"/>
          <w:b/>
          <w:color w:val="auto"/>
          <w:highlight w:val="none"/>
        </w:rPr>
        <w:t>7.</w:t>
      </w:r>
      <w:r>
        <w:rPr>
          <w:rFonts w:hint="eastAsia" w:ascii="宋体" w:hAnsi="宋体"/>
          <w:bCs/>
          <w:color w:val="auto"/>
          <w:szCs w:val="21"/>
          <w:highlight w:val="none"/>
        </w:rPr>
        <w:t>1评审依据：磋商小组将以磋商响应文件为评审依据，对供应商的报价、技术、商务等方面内容按百分制打分。（计分方法按四舍五入取至百分位）</w:t>
      </w:r>
    </w:p>
    <w:p w14:paraId="5B00DD94">
      <w:pPr>
        <w:pStyle w:val="15"/>
        <w:keepNext w:val="0"/>
        <w:keepLines w:val="0"/>
        <w:pageBreakBefore w:val="0"/>
        <w:widowControl w:val="0"/>
        <w:numPr>
          <w:ilvl w:val="0"/>
          <w:numId w:val="0"/>
        </w:numPr>
        <w:kinsoku/>
        <w:wordWrap/>
        <w:overflowPunct/>
        <w:topLinePunct w:val="0"/>
        <w:bidi w:val="0"/>
        <w:spacing w:line="560" w:lineRule="exact"/>
        <w:jc w:val="center"/>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评分细则</w:t>
      </w:r>
    </w:p>
    <w:tbl>
      <w:tblPr>
        <w:tblStyle w:val="10"/>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080"/>
        <w:gridCol w:w="7334"/>
        <w:gridCol w:w="631"/>
      </w:tblGrid>
      <w:tr w14:paraId="20705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14:paraId="681B9C05">
            <w:pPr>
              <w:pStyle w:val="6"/>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1080" w:type="dxa"/>
            <w:noWrap w:val="0"/>
            <w:vAlign w:val="center"/>
          </w:tcPr>
          <w:p w14:paraId="23885717">
            <w:pPr>
              <w:pStyle w:val="6"/>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评分类型</w:t>
            </w:r>
          </w:p>
        </w:tc>
        <w:tc>
          <w:tcPr>
            <w:tcW w:w="7334" w:type="dxa"/>
            <w:noWrap w:val="0"/>
            <w:vAlign w:val="center"/>
          </w:tcPr>
          <w:p w14:paraId="01E55218">
            <w:pPr>
              <w:pStyle w:val="6"/>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评分标准</w:t>
            </w:r>
          </w:p>
        </w:tc>
        <w:tc>
          <w:tcPr>
            <w:tcW w:w="631" w:type="dxa"/>
            <w:noWrap w:val="0"/>
            <w:vAlign w:val="center"/>
          </w:tcPr>
          <w:p w14:paraId="0FD099C0">
            <w:pPr>
              <w:pStyle w:val="6"/>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分值</w:t>
            </w:r>
          </w:p>
        </w:tc>
      </w:tr>
      <w:tr w14:paraId="1A72F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14:paraId="441A726E">
            <w:pPr>
              <w:pStyle w:val="6"/>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080" w:type="dxa"/>
            <w:noWrap w:val="0"/>
            <w:vAlign w:val="center"/>
          </w:tcPr>
          <w:p w14:paraId="0D2BD55C">
            <w:pPr>
              <w:pStyle w:val="6"/>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报价</w:t>
            </w:r>
          </w:p>
        </w:tc>
        <w:tc>
          <w:tcPr>
            <w:tcW w:w="7334" w:type="dxa"/>
            <w:noWrap w:val="0"/>
            <w:vAlign w:val="top"/>
          </w:tcPr>
          <w:p w14:paraId="3D51E85C">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1.本项目为专门面向</w:t>
            </w:r>
            <w:r>
              <w:rPr>
                <w:rFonts w:hint="eastAsia" w:ascii="宋体" w:hAnsi="宋体" w:eastAsia="宋体" w:cs="宋体"/>
                <w:bCs/>
                <w:color w:val="auto"/>
                <w:highlight w:val="none"/>
                <w:lang w:val="en-US" w:eastAsia="zh-CN"/>
              </w:rPr>
              <w:t>中小</w:t>
            </w:r>
            <w:r>
              <w:rPr>
                <w:rFonts w:hint="eastAsia" w:ascii="宋体" w:hAnsi="宋体" w:eastAsia="宋体" w:cs="宋体"/>
                <w:bCs/>
                <w:color w:val="auto"/>
                <w:highlight w:val="none"/>
              </w:rPr>
              <w:t>企业采购项目，不</w:t>
            </w:r>
            <w:r>
              <w:rPr>
                <w:rFonts w:hint="eastAsia" w:ascii="宋体" w:hAnsi="宋体" w:eastAsia="宋体" w:cs="宋体"/>
                <w:bCs/>
                <w:color w:val="auto"/>
                <w:highlight w:val="none"/>
                <w:lang w:val="en-US" w:eastAsia="zh-CN"/>
              </w:rPr>
              <w:t>再</w:t>
            </w:r>
            <w:r>
              <w:rPr>
                <w:rFonts w:hint="eastAsia" w:ascii="宋体" w:hAnsi="宋体" w:eastAsia="宋体" w:cs="宋体"/>
                <w:bCs/>
                <w:color w:val="auto"/>
                <w:highlight w:val="none"/>
              </w:rPr>
              <w:t>执行价格扣除优惠政策，评审报价＝最后报价。</w:t>
            </w:r>
          </w:p>
          <w:p w14:paraId="7F85DC1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按照《财政部、司法部关于政府采购支持监狱企业发展有关问题的通知》（财库〔2014〕68号）的规定，监狱企业视同小型、微型企业。监狱企业参加政府采购活动时，应当提供由省级以上监狱管理局、戒毒管理局(含新疆生产建设兵团)出具的属于监狱企业的证明文件。</w:t>
            </w:r>
          </w:p>
          <w:p w14:paraId="617F66EC">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3.</w:t>
            </w:r>
            <w:r>
              <w:rPr>
                <w:rFonts w:hint="eastAsia" w:ascii="宋体" w:hAnsi="宋体" w:eastAsia="宋体" w:cs="宋体"/>
                <w:bCs/>
                <w:color w:val="auto"/>
                <w:highlight w:val="none"/>
              </w:rPr>
              <w:t>按照《关于促进残疾人就业政府采购政策的通知》（财库〔2017〕141号）的规定，残疾人福利性单位视同小型、微型企业。残疾人福利性单位参加政府采购活动时，应当提供该通知规定的《残疾人福利性单位声明函》，并对声明的真实性负责。</w:t>
            </w:r>
          </w:p>
          <w:p w14:paraId="5F491D06">
            <w:pPr>
              <w:adjustRightInd w:val="0"/>
              <w:snapToGrid w:val="0"/>
              <w:spacing w:line="360" w:lineRule="exact"/>
              <w:ind w:firstLine="420" w:firstLineChars="20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w:t>
            </w: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val="zh-CN"/>
              </w:rPr>
              <w:t>）以进入综合评分环节的最高的磋商下浮系数报价为基准价，</w:t>
            </w:r>
            <w:r>
              <w:rPr>
                <w:rFonts w:hint="default" w:ascii="Times New Roman" w:hAnsi="Times New Roman" w:cs="Times New Roman"/>
                <w:color w:val="auto"/>
                <w:szCs w:val="21"/>
                <w:highlight w:val="none"/>
              </w:rPr>
              <w:t>监测报告</w:t>
            </w:r>
            <w:r>
              <w:rPr>
                <w:rFonts w:hint="default" w:ascii="Times New Roman" w:hAnsi="Times New Roman" w:cs="Times New Roman"/>
                <w:color w:val="auto"/>
                <w:szCs w:val="21"/>
                <w:highlight w:val="none"/>
                <w:lang w:val="zh-CN"/>
              </w:rPr>
              <w:t>基准价报价得分为</w:t>
            </w:r>
            <w:r>
              <w:rPr>
                <w:rFonts w:hint="default" w:ascii="Times New Roman" w:hAnsi="Times New Roman" w:cs="Times New Roman"/>
                <w:color w:val="auto"/>
                <w:szCs w:val="21"/>
                <w:highlight w:val="none"/>
              </w:rPr>
              <w:t>5</w:t>
            </w:r>
            <w:r>
              <w:rPr>
                <w:rFonts w:hint="default" w:ascii="Times New Roman" w:hAnsi="Times New Roman" w:cs="Times New Roman"/>
                <w:color w:val="auto"/>
                <w:szCs w:val="21"/>
                <w:highlight w:val="none"/>
                <w:lang w:val="zh-CN"/>
              </w:rPr>
              <w:t>分，</w:t>
            </w:r>
            <w:r>
              <w:rPr>
                <w:rFonts w:hint="default" w:ascii="Times New Roman" w:hAnsi="Times New Roman" w:cs="Times New Roman"/>
                <w:color w:val="auto"/>
                <w:szCs w:val="21"/>
                <w:highlight w:val="none"/>
              </w:rPr>
              <w:t>监测数据表</w:t>
            </w:r>
            <w:r>
              <w:rPr>
                <w:rFonts w:hint="default" w:ascii="Times New Roman" w:hAnsi="Times New Roman" w:cs="Times New Roman"/>
                <w:color w:val="auto"/>
                <w:szCs w:val="21"/>
                <w:highlight w:val="none"/>
                <w:lang w:val="zh-CN"/>
              </w:rPr>
              <w:t>基准价报价得分为</w:t>
            </w:r>
            <w:r>
              <w:rPr>
                <w:rFonts w:hint="default" w:ascii="Times New Roman" w:hAnsi="Times New Roman" w:cs="Times New Roman"/>
                <w:color w:val="auto"/>
                <w:szCs w:val="21"/>
                <w:highlight w:val="none"/>
              </w:rPr>
              <w:t>5</w:t>
            </w:r>
            <w:r>
              <w:rPr>
                <w:rFonts w:hint="default" w:ascii="Times New Roman" w:hAnsi="Times New Roman" w:cs="Times New Roman"/>
                <w:color w:val="auto"/>
                <w:szCs w:val="21"/>
                <w:highlight w:val="none"/>
                <w:lang w:val="zh-CN"/>
              </w:rPr>
              <w:t>分。</w:t>
            </w:r>
          </w:p>
          <w:p w14:paraId="62D10AD6">
            <w:pPr>
              <w:adjustRightInd w:val="0"/>
              <w:snapToGrid w:val="0"/>
              <w:spacing w:line="360" w:lineRule="exact"/>
              <w:ind w:firstLine="420" w:firstLineChars="20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w:t>
            </w:r>
            <w:r>
              <w:rPr>
                <w:rFonts w:hint="default" w:ascii="Times New Roman" w:hAnsi="Times New Roman" w:cs="Times New Roman"/>
                <w:color w:val="auto"/>
                <w:szCs w:val="21"/>
                <w:highlight w:val="none"/>
              </w:rPr>
              <w:t>2</w:t>
            </w:r>
            <w:r>
              <w:rPr>
                <w:rFonts w:hint="default" w:ascii="Times New Roman" w:hAnsi="Times New Roman" w:cs="Times New Roman"/>
                <w:color w:val="auto"/>
                <w:szCs w:val="21"/>
                <w:highlight w:val="none"/>
                <w:lang w:val="zh-CN"/>
              </w:rPr>
              <w:t>）</w:t>
            </w:r>
            <w:r>
              <w:rPr>
                <w:rFonts w:hint="default" w:ascii="Times New Roman" w:hAnsi="Times New Roman" w:cs="Times New Roman"/>
                <w:color w:val="auto"/>
                <w:szCs w:val="21"/>
                <w:highlight w:val="none"/>
              </w:rPr>
              <w:t>监测报告</w:t>
            </w:r>
            <w:r>
              <w:rPr>
                <w:rFonts w:hint="default" w:ascii="Times New Roman" w:hAnsi="Times New Roman" w:cs="Times New Roman"/>
                <w:color w:val="auto"/>
                <w:szCs w:val="21"/>
                <w:highlight w:val="none"/>
                <w:lang w:val="zh-CN"/>
              </w:rPr>
              <w:t>价格分计算公式：</w:t>
            </w:r>
          </w:p>
          <w:p w14:paraId="5CF87C38">
            <w:pPr>
              <w:pStyle w:val="2"/>
              <w:rPr>
                <w:rFonts w:hint="default"/>
                <w:color w:val="auto"/>
                <w:highlight w:val="none"/>
                <w:lang w:val="zh-CN"/>
              </w:rPr>
            </w:pPr>
          </w:p>
          <w:p w14:paraId="5E7BA50E">
            <w:pPr>
              <w:adjustRightInd w:val="0"/>
              <w:snapToGrid w:val="0"/>
              <w:spacing w:line="360" w:lineRule="exact"/>
              <w:ind w:firstLine="2310" w:firstLineChars="1100"/>
              <w:jc w:val="left"/>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（1-供应商最高磋商基准下浮系数）</w:t>
            </w:r>
          </w:p>
          <w:p w14:paraId="22DB0A00">
            <w:pPr>
              <w:tabs>
                <w:tab w:val="right" w:pos="6165"/>
              </w:tabs>
              <w:adjustRightInd w:val="0"/>
              <w:snapToGrid w:val="0"/>
              <w:spacing w:line="360" w:lineRule="exact"/>
              <w:ind w:firstLine="0" w:firstLineChars="0"/>
              <w:jc w:val="left"/>
              <w:rPr>
                <w:rFonts w:hint="default" w:ascii="Times New Roman" w:hAnsi="Times New Roman" w:cs="Times New Roman"/>
                <w:color w:val="auto"/>
                <w:highlight w:val="none"/>
                <w:lang w:val="en-US"/>
              </w:rPr>
            </w:pPr>
            <w:r>
              <w:rPr>
                <w:rFonts w:hint="default" w:ascii="Times New Roman" w:hAnsi="Times New Roman" w:cs="Times New Roman"/>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1470660</wp:posOffset>
                      </wp:positionH>
                      <wp:positionV relativeFrom="paragraph">
                        <wp:posOffset>81280</wp:posOffset>
                      </wp:positionV>
                      <wp:extent cx="1878965" cy="17145"/>
                      <wp:effectExtent l="0" t="4445" r="6985" b="6985"/>
                      <wp:wrapNone/>
                      <wp:docPr id="12" name="直接箭头连接符 12"/>
                      <wp:cNvGraphicFramePr/>
                      <a:graphic xmlns:a="http://schemas.openxmlformats.org/drawingml/2006/main">
                        <a:graphicData uri="http://schemas.microsoft.com/office/word/2010/wordprocessingShape">
                          <wps:wsp>
                            <wps:cNvCnPr>
                              <a:cxnSpLocks noChangeShapeType="1"/>
                            </wps:cNvCnPr>
                            <wps:spPr bwMode="auto">
                              <a:xfrm flipV="1">
                                <a:off x="0" y="0"/>
                                <a:ext cx="1878965" cy="17145"/>
                              </a:xfrm>
                              <a:prstGeom prst="straightConnector1">
                                <a:avLst/>
                              </a:prstGeom>
                              <a:noFill/>
                              <a:ln w="9525" cmpd="sng">
                                <a:solidFill>
                                  <a:srgbClr val="000000"/>
                                </a:solidFill>
                                <a:round/>
                              </a:ln>
                              <a:effectLst/>
                            </wps:spPr>
                            <wps:bodyPr/>
                          </wps:wsp>
                        </a:graphicData>
                      </a:graphic>
                    </wp:anchor>
                  </w:drawing>
                </mc:Choice>
                <mc:Fallback>
                  <w:pict>
                    <v:shape id="_x0000_s1026" o:spid="_x0000_s1026" o:spt="32" type="#_x0000_t32" style="position:absolute;left:0pt;flip:y;margin-left:115.8pt;margin-top:6.4pt;height:1.35pt;width:147.95pt;z-index:251664384;mso-width-relative:page;mso-height-relative:page;" filled="f" stroked="t" coordsize="21600,21600" o:gfxdata="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iR0pO1wAAAAkBAAAPAAAAAAAAAAEAIAAAACIA&#10;AABkcnMvZG93bnJldi54bWxQSwECFAAUAAAACACHTuJASl6EgAoCAADnAwAADgAAAAAAAAABACAA&#10;AAAmAQAAZHJzL2Uyb0RvYy54bWxQSwUGAAAAAAYABgBZAQAAogUAAAAA&#10;">
                      <v:fill on="f" focussize="0,0"/>
                      <v:stroke color="#000000" joinstyle="round"/>
                      <v:imagedata o:title=""/>
                      <o:lock v:ext="edit" aspectratio="f"/>
                    </v:shape>
                  </w:pict>
                </mc:Fallback>
              </mc:AlternateContent>
            </w:r>
            <w:r>
              <w:rPr>
                <w:rFonts w:hint="default" w:ascii="Times New Roman" w:hAnsi="Times New Roman" w:cs="Times New Roman"/>
                <w:color w:val="auto"/>
                <w:szCs w:val="21"/>
                <w:highlight w:val="none"/>
                <w:lang w:val="zh-CN"/>
              </w:rPr>
              <w:t xml:space="preserve">某磋商供应商报价分 = </w:t>
            </w:r>
            <w:r>
              <w:rPr>
                <w:rFonts w:hint="eastAsia" w:cs="Times New Roman"/>
                <w:color w:val="auto"/>
                <w:szCs w:val="21"/>
                <w:highlight w:val="none"/>
                <w:lang w:val="en-US" w:eastAsia="zh-CN"/>
              </w:rPr>
              <w:t xml:space="preserve">                                 </w:t>
            </w:r>
            <w:r>
              <w:rPr>
                <w:rFonts w:hint="default" w:ascii="Arial" w:hAnsi="Arial" w:cs="Arial"/>
                <w:color w:val="auto"/>
                <w:szCs w:val="21"/>
                <w:highlight w:val="none"/>
                <w:lang w:val="en-US" w:eastAsia="zh-CN"/>
              </w:rPr>
              <w:t>×</w:t>
            </w:r>
            <w:r>
              <w:rPr>
                <w:rFonts w:hint="eastAsia" w:cs="Times New Roman"/>
                <w:color w:val="auto"/>
                <w:szCs w:val="21"/>
                <w:highlight w:val="none"/>
                <w:lang w:val="en-US" w:eastAsia="zh-CN"/>
              </w:rPr>
              <w:t>5分</w:t>
            </w:r>
          </w:p>
          <w:p w14:paraId="7318F9F7">
            <w:pPr>
              <w:pStyle w:val="6"/>
              <w:spacing w:line="400" w:lineRule="exact"/>
              <w:ind w:firstLine="420" w:firstLineChars="200"/>
              <w:jc w:val="left"/>
              <w:rPr>
                <w:rFonts w:hint="default" w:ascii="宋体" w:hAnsi="宋体" w:eastAsia="宋体" w:cs="宋体"/>
                <w:bCs/>
                <w:color w:val="auto"/>
                <w:sz w:val="21"/>
                <w:szCs w:val="21"/>
                <w:highlight w:val="none"/>
                <w:lang w:val="en-US" w:eastAsia="zh-CN"/>
              </w:rPr>
            </w:pPr>
            <w:r>
              <w:rPr>
                <w:rFonts w:hint="eastAsia" w:hAnsi="宋体" w:cs="宋体"/>
                <w:bCs/>
                <w:color w:val="auto"/>
                <w:sz w:val="21"/>
                <w:szCs w:val="21"/>
                <w:highlight w:val="none"/>
                <w:lang w:val="en-US" w:eastAsia="zh-CN"/>
              </w:rPr>
              <w:t xml:space="preserve">                   （1-</w:t>
            </w:r>
            <w:r>
              <w:rPr>
                <w:rFonts w:hint="default" w:ascii="Times New Roman" w:hAnsi="Times New Roman" w:cs="Times New Roman"/>
                <w:color w:val="auto"/>
                <w:szCs w:val="21"/>
                <w:highlight w:val="none"/>
                <w:lang w:val="zh-CN"/>
              </w:rPr>
              <w:t>某供应商磋商下浮系数</w:t>
            </w:r>
            <w:r>
              <w:rPr>
                <w:rFonts w:hint="eastAsia" w:hAnsi="宋体" w:cs="宋体"/>
                <w:bCs/>
                <w:color w:val="auto"/>
                <w:sz w:val="21"/>
                <w:szCs w:val="21"/>
                <w:highlight w:val="none"/>
                <w:lang w:val="en-US" w:eastAsia="zh-CN"/>
              </w:rPr>
              <w:t>）</w:t>
            </w:r>
          </w:p>
          <w:p w14:paraId="5CFC3267">
            <w:pPr>
              <w:pStyle w:val="6"/>
              <w:spacing w:line="400" w:lineRule="exact"/>
              <w:ind w:firstLine="420" w:firstLineChars="200"/>
              <w:jc w:val="left"/>
              <w:rPr>
                <w:rFonts w:hint="default" w:ascii="Times New Roman" w:hAnsi="Times New Roman" w:cs="Times New Roman"/>
                <w:color w:val="auto"/>
                <w:szCs w:val="21"/>
                <w:highlight w:val="none"/>
                <w:lang w:val="zh-CN"/>
              </w:rPr>
            </w:pP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3</w:t>
            </w:r>
            <w:r>
              <w:rPr>
                <w:rFonts w:hint="eastAsia" w:hAnsi="宋体" w:cs="宋体"/>
                <w:bCs/>
                <w:color w:val="auto"/>
                <w:sz w:val="21"/>
                <w:szCs w:val="21"/>
                <w:highlight w:val="none"/>
                <w:lang w:eastAsia="zh-CN"/>
              </w:rPr>
              <w:t>）</w:t>
            </w:r>
            <w:r>
              <w:rPr>
                <w:rFonts w:hint="default" w:ascii="Times New Roman" w:hAnsi="Times New Roman" w:cs="Times New Roman"/>
                <w:color w:val="auto"/>
                <w:szCs w:val="21"/>
                <w:highlight w:val="none"/>
              </w:rPr>
              <w:t>监测数据表</w:t>
            </w:r>
            <w:r>
              <w:rPr>
                <w:rFonts w:hint="default" w:ascii="Times New Roman" w:hAnsi="Times New Roman" w:cs="Times New Roman"/>
                <w:color w:val="auto"/>
                <w:szCs w:val="21"/>
                <w:highlight w:val="none"/>
                <w:lang w:val="zh-CN"/>
              </w:rPr>
              <w:t>价格分计算公式：</w:t>
            </w:r>
          </w:p>
          <w:p w14:paraId="5F6E62C4">
            <w:pPr>
              <w:adjustRightInd w:val="0"/>
              <w:snapToGrid w:val="0"/>
              <w:spacing w:line="360" w:lineRule="exact"/>
              <w:ind w:firstLine="2310" w:firstLineChars="1100"/>
              <w:jc w:val="left"/>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（1-供应商最高磋商基准下浮系数）</w:t>
            </w:r>
          </w:p>
          <w:p w14:paraId="6E736D19">
            <w:pPr>
              <w:tabs>
                <w:tab w:val="right" w:pos="6165"/>
              </w:tabs>
              <w:adjustRightInd w:val="0"/>
              <w:snapToGrid w:val="0"/>
              <w:spacing w:line="360" w:lineRule="exact"/>
              <w:ind w:firstLine="0" w:firstLineChars="0"/>
              <w:jc w:val="left"/>
              <w:rPr>
                <w:rFonts w:hint="default" w:ascii="Times New Roman" w:hAnsi="Times New Roman" w:cs="Times New Roman"/>
                <w:color w:val="auto"/>
                <w:highlight w:val="none"/>
                <w:lang w:val="en-US"/>
              </w:rPr>
            </w:pPr>
            <w:r>
              <w:rPr>
                <w:rFonts w:hint="default" w:ascii="Times New Roman" w:hAnsi="Times New Roman" w:cs="Times New Roman"/>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1470660</wp:posOffset>
                      </wp:positionH>
                      <wp:positionV relativeFrom="paragraph">
                        <wp:posOffset>81280</wp:posOffset>
                      </wp:positionV>
                      <wp:extent cx="1878965" cy="17145"/>
                      <wp:effectExtent l="0" t="4445" r="6985" b="6985"/>
                      <wp:wrapNone/>
                      <wp:docPr id="13" name="直接箭头连接符 13"/>
                      <wp:cNvGraphicFramePr/>
                      <a:graphic xmlns:a="http://schemas.openxmlformats.org/drawingml/2006/main">
                        <a:graphicData uri="http://schemas.microsoft.com/office/word/2010/wordprocessingShape">
                          <wps:wsp>
                            <wps:cNvCnPr>
                              <a:cxnSpLocks noChangeShapeType="1"/>
                            </wps:cNvCnPr>
                            <wps:spPr bwMode="auto">
                              <a:xfrm flipV="1">
                                <a:off x="0" y="0"/>
                                <a:ext cx="1878965" cy="17145"/>
                              </a:xfrm>
                              <a:prstGeom prst="straightConnector1">
                                <a:avLst/>
                              </a:prstGeom>
                              <a:noFill/>
                              <a:ln w="9525" cmpd="sng">
                                <a:solidFill>
                                  <a:srgbClr val="000000"/>
                                </a:solidFill>
                                <a:round/>
                              </a:ln>
                              <a:effectLst/>
                            </wps:spPr>
                            <wps:bodyPr/>
                          </wps:wsp>
                        </a:graphicData>
                      </a:graphic>
                    </wp:anchor>
                  </w:drawing>
                </mc:Choice>
                <mc:Fallback>
                  <w:pict>
                    <v:shape id="_x0000_s1026" o:spid="_x0000_s1026" o:spt="32" type="#_x0000_t32" style="position:absolute;left:0pt;flip:y;margin-left:115.8pt;margin-top:6.4pt;height:1.35pt;width:147.95pt;z-index:251665408;mso-width-relative:page;mso-height-relative:page;" filled="f" stroked="t" coordsize="21600,21600" o:gfxdata="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kdKTtcAAAAJAQAADwAAAAAAAAABACAAAAAi&#10;AAAAZHJzL2Rvd25yZXYueG1sUEsBAhQAFAAAAAgAh07iQONrAoILAgAA5wMAAA4AAAAAAAAAAQAg&#10;AAAAJgEAAGRycy9lMm9Eb2MueG1sUEsFBgAAAAAGAAYAWQEAAKMFAAAAAA==&#10;">
                      <v:fill on="f" focussize="0,0"/>
                      <v:stroke color="#000000" joinstyle="round"/>
                      <v:imagedata o:title=""/>
                      <o:lock v:ext="edit" aspectratio="f"/>
                    </v:shape>
                  </w:pict>
                </mc:Fallback>
              </mc:AlternateContent>
            </w:r>
            <w:r>
              <w:rPr>
                <w:rFonts w:hint="default" w:ascii="Times New Roman" w:hAnsi="Times New Roman" w:cs="Times New Roman"/>
                <w:color w:val="auto"/>
                <w:szCs w:val="21"/>
                <w:highlight w:val="none"/>
                <w:lang w:val="zh-CN"/>
              </w:rPr>
              <w:t xml:space="preserve">某磋商供应商报价分 = </w:t>
            </w:r>
            <w:r>
              <w:rPr>
                <w:rFonts w:hint="eastAsia" w:cs="Times New Roman"/>
                <w:color w:val="auto"/>
                <w:szCs w:val="21"/>
                <w:highlight w:val="none"/>
                <w:lang w:val="en-US" w:eastAsia="zh-CN"/>
              </w:rPr>
              <w:t xml:space="preserve">                                 </w:t>
            </w:r>
            <w:r>
              <w:rPr>
                <w:rFonts w:hint="default" w:ascii="Arial" w:hAnsi="Arial" w:cs="Arial"/>
                <w:color w:val="auto"/>
                <w:szCs w:val="21"/>
                <w:highlight w:val="none"/>
                <w:lang w:val="en-US" w:eastAsia="zh-CN"/>
              </w:rPr>
              <w:t>×</w:t>
            </w:r>
            <w:r>
              <w:rPr>
                <w:rFonts w:hint="eastAsia" w:cs="Times New Roman"/>
                <w:color w:val="auto"/>
                <w:szCs w:val="21"/>
                <w:highlight w:val="none"/>
                <w:lang w:val="en-US" w:eastAsia="zh-CN"/>
              </w:rPr>
              <w:t>5分</w:t>
            </w:r>
          </w:p>
          <w:p w14:paraId="34007B4D">
            <w:pPr>
              <w:pStyle w:val="6"/>
              <w:spacing w:line="400" w:lineRule="exact"/>
              <w:ind w:firstLine="420" w:firstLineChars="200"/>
              <w:jc w:val="left"/>
              <w:rPr>
                <w:rFonts w:hint="default" w:ascii="宋体" w:hAnsi="宋体" w:eastAsia="宋体" w:cs="宋体"/>
                <w:bCs/>
                <w:color w:val="auto"/>
                <w:sz w:val="21"/>
                <w:szCs w:val="21"/>
                <w:highlight w:val="none"/>
                <w:lang w:val="en-US" w:eastAsia="zh-CN"/>
              </w:rPr>
            </w:pPr>
            <w:r>
              <w:rPr>
                <w:rFonts w:hint="eastAsia" w:hAnsi="宋体" w:cs="宋体"/>
                <w:bCs/>
                <w:color w:val="auto"/>
                <w:sz w:val="21"/>
                <w:szCs w:val="21"/>
                <w:highlight w:val="none"/>
                <w:lang w:val="en-US" w:eastAsia="zh-CN"/>
              </w:rPr>
              <w:t xml:space="preserve">                   （1-</w:t>
            </w:r>
            <w:r>
              <w:rPr>
                <w:rFonts w:hint="default" w:ascii="Times New Roman" w:hAnsi="Times New Roman" w:cs="Times New Roman"/>
                <w:color w:val="auto"/>
                <w:szCs w:val="21"/>
                <w:highlight w:val="none"/>
                <w:lang w:val="zh-CN"/>
              </w:rPr>
              <w:t>某供应商磋商下浮系数</w:t>
            </w:r>
            <w:r>
              <w:rPr>
                <w:rFonts w:hint="eastAsia" w:hAnsi="宋体" w:cs="宋体"/>
                <w:bCs/>
                <w:color w:val="auto"/>
                <w:sz w:val="21"/>
                <w:szCs w:val="21"/>
                <w:highlight w:val="none"/>
                <w:lang w:val="en-US" w:eastAsia="zh-CN"/>
              </w:rPr>
              <w:t>）</w:t>
            </w:r>
          </w:p>
          <w:p w14:paraId="1A0747D3">
            <w:pPr>
              <w:pStyle w:val="6"/>
              <w:spacing w:line="400" w:lineRule="exact"/>
              <w:ind w:firstLine="420" w:firstLineChars="200"/>
              <w:jc w:val="left"/>
              <w:rPr>
                <w:rFonts w:hint="eastAsia" w:ascii="Times New Roman" w:hAnsi="Times New Roman" w:cs="Times New Roman"/>
                <w:color w:val="auto"/>
                <w:szCs w:val="21"/>
                <w:highlight w:val="none"/>
                <w:lang w:val="zh-CN" w:eastAsia="zh-CN"/>
              </w:rPr>
            </w:pPr>
          </w:p>
          <w:p w14:paraId="0FB8A1A5">
            <w:pPr>
              <w:pStyle w:val="6"/>
              <w:spacing w:line="400" w:lineRule="exact"/>
              <w:ind w:firstLine="420" w:firstLineChars="200"/>
              <w:jc w:val="left"/>
              <w:rPr>
                <w:rFonts w:hint="eastAsia" w:ascii="宋体" w:hAnsi="宋体" w:eastAsia="宋体" w:cs="宋体"/>
                <w:bCs/>
                <w:color w:val="auto"/>
                <w:sz w:val="21"/>
                <w:szCs w:val="21"/>
                <w:highlight w:val="none"/>
                <w:lang w:val="en-US" w:eastAsia="zh-CN"/>
              </w:rPr>
            </w:pPr>
          </w:p>
        </w:tc>
        <w:tc>
          <w:tcPr>
            <w:tcW w:w="631" w:type="dxa"/>
            <w:noWrap w:val="0"/>
            <w:vAlign w:val="center"/>
          </w:tcPr>
          <w:p w14:paraId="624E987D">
            <w:pPr>
              <w:pStyle w:val="6"/>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w:t>
            </w:r>
          </w:p>
        </w:tc>
      </w:tr>
      <w:tr w14:paraId="7CD10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14:paraId="5D24C804">
            <w:pPr>
              <w:pStyle w:val="6"/>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1080" w:type="dxa"/>
            <w:noWrap w:val="0"/>
            <w:vAlign w:val="center"/>
          </w:tcPr>
          <w:p w14:paraId="64E28E8C">
            <w:pPr>
              <w:pStyle w:val="6"/>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技术</w:t>
            </w:r>
          </w:p>
        </w:tc>
        <w:tc>
          <w:tcPr>
            <w:tcW w:w="7334" w:type="dxa"/>
            <w:noWrap w:val="0"/>
            <w:vAlign w:val="top"/>
          </w:tcPr>
          <w:p w14:paraId="4A6ADF46">
            <w:pPr>
              <w:adjustRightInd w:val="0"/>
              <w:snapToGrid w:val="0"/>
              <w:spacing w:line="360" w:lineRule="exact"/>
              <w:ind w:firstLine="422" w:firstLineChars="200"/>
              <w:rPr>
                <w:rFonts w:hint="default" w:ascii="Times New Roman" w:hAnsi="Times New Roman" w:cs="Times New Roman"/>
                <w:bCs/>
                <w:color w:val="auto"/>
                <w:highlight w:val="none"/>
              </w:rPr>
            </w:pPr>
            <w:r>
              <w:rPr>
                <w:rFonts w:hint="default" w:ascii="Times New Roman" w:hAnsi="Times New Roman" w:cs="Times New Roman"/>
                <w:b/>
                <w:color w:val="auto"/>
                <w:highlight w:val="none"/>
              </w:rPr>
              <w:t>（1）实施方案分（满分15分）</w:t>
            </w:r>
          </w:p>
          <w:p w14:paraId="19E0A56D">
            <w:pPr>
              <w:adjustRightInd w:val="0"/>
              <w:snapToGrid w:val="0"/>
              <w:spacing w:line="360" w:lineRule="exact"/>
              <w:ind w:firstLine="420" w:firstLineChars="200"/>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一档（5分）：对突发环境事件应急监测</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rPr>
              <w:t>环境安全隐患排查整治专项监测</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rPr>
              <w:t>地下水新建监测井维护及监督性监测的理解</w:t>
            </w:r>
            <w:r>
              <w:rPr>
                <w:rFonts w:hint="default" w:ascii="Times New Roman" w:hAnsi="Times New Roman" w:cs="Times New Roman"/>
                <w:bCs/>
                <w:color w:val="auto"/>
                <w:szCs w:val="21"/>
                <w:highlight w:val="none"/>
                <w:lang w:val="en-US" w:eastAsia="zh-CN"/>
              </w:rPr>
              <w:t>简单</w:t>
            </w:r>
            <w:r>
              <w:rPr>
                <w:rFonts w:hint="default" w:ascii="Times New Roman" w:hAnsi="Times New Roman" w:cs="Times New Roman"/>
                <w:bCs/>
                <w:color w:val="auto"/>
                <w:szCs w:val="21"/>
                <w:highlight w:val="none"/>
              </w:rPr>
              <w:t>、表述基本清晰、内容基本完整、逻辑基本严谨，组织架构基本完善、人员分工基本明确、工作流程基本高效、工作措施保障基本有力（有相应的应急措施）、质量控制体系基本完整。</w:t>
            </w:r>
          </w:p>
          <w:p w14:paraId="2A195D13">
            <w:pPr>
              <w:adjustRightInd w:val="0"/>
              <w:snapToGrid w:val="0"/>
              <w:spacing w:line="360" w:lineRule="exact"/>
              <w:ind w:firstLine="420" w:firstLineChars="200"/>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二档（10分）：对突发环境事件应急监测</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rPr>
              <w:t>环境安全隐患排查整治专项监测</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rPr>
              <w:t>地下水新建监测井维护及监督性监测的理解较充分、表述较清晰、内容较完整、逻辑较严谨，组织架构较完善、人员分工较明确、工作流程较高效、工作措施保障较有力（有相应的应急措施）、质量控制体系较完整。</w:t>
            </w:r>
          </w:p>
          <w:p w14:paraId="1CC5B66C">
            <w:pPr>
              <w:adjustRightInd w:val="0"/>
              <w:snapToGrid w:val="0"/>
              <w:spacing w:line="360" w:lineRule="exact"/>
              <w:ind w:firstLine="420" w:firstLineChars="200"/>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三档（15分）：对突发环境事件应急监测</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rPr>
              <w:t>环境安全隐患排查整治专项监测</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rPr>
              <w:t>地下水新建监测井维护及监督性监测的理解充分、表述清晰、内容完整、逻辑严谨，组织架构完善、人员分工明确、工作流程高效、工作措施保障有力（有相应的应急措施）、质量控制体系完整。</w:t>
            </w:r>
          </w:p>
          <w:p w14:paraId="78B79FD0">
            <w:pPr>
              <w:adjustRightInd w:val="0"/>
              <w:snapToGrid w:val="0"/>
              <w:spacing w:line="360" w:lineRule="exact"/>
              <w:ind w:firstLine="422" w:firstLineChars="200"/>
              <w:rPr>
                <w:rFonts w:hint="default" w:ascii="Times New Roman" w:hAnsi="Times New Roman" w:cs="Times New Roman"/>
                <w:b/>
                <w:color w:val="auto"/>
                <w:szCs w:val="21"/>
                <w:highlight w:val="none"/>
                <w:lang w:val="zh-CN"/>
              </w:rPr>
            </w:pPr>
            <w:r>
              <w:rPr>
                <w:rFonts w:hint="default" w:ascii="Times New Roman" w:hAnsi="Times New Roman" w:cs="Times New Roman"/>
                <w:b/>
                <w:color w:val="auto"/>
                <w:szCs w:val="21"/>
                <w:highlight w:val="none"/>
                <w:lang w:val="zh-CN"/>
              </w:rPr>
              <w:t>（2）重点难点分析分（满分</w:t>
            </w:r>
            <w:r>
              <w:rPr>
                <w:rFonts w:hint="default" w:ascii="Times New Roman" w:hAnsi="Times New Roman" w:cs="Times New Roman"/>
                <w:b/>
                <w:color w:val="auto"/>
                <w:szCs w:val="21"/>
                <w:highlight w:val="none"/>
                <w:lang w:val="en-US" w:eastAsia="zh-CN"/>
              </w:rPr>
              <w:t>9</w:t>
            </w:r>
            <w:r>
              <w:rPr>
                <w:rFonts w:hint="default" w:ascii="Times New Roman" w:hAnsi="Times New Roman" w:cs="Times New Roman"/>
                <w:b/>
                <w:color w:val="auto"/>
                <w:szCs w:val="21"/>
                <w:highlight w:val="none"/>
                <w:lang w:val="zh-CN"/>
              </w:rPr>
              <w:t>分）</w:t>
            </w:r>
          </w:p>
          <w:p w14:paraId="57CBB4EA">
            <w:pPr>
              <w:adjustRightInd w:val="0"/>
              <w:snapToGrid w:val="0"/>
              <w:spacing w:line="360" w:lineRule="exact"/>
              <w:ind w:firstLine="420" w:firstLineChars="20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一档（</w:t>
            </w:r>
            <w:r>
              <w:rPr>
                <w:rFonts w:hint="default" w:ascii="Times New Roman" w:hAnsi="Times New Roman" w:cs="Times New Roman"/>
                <w:color w:val="auto"/>
                <w:szCs w:val="21"/>
                <w:highlight w:val="none"/>
              </w:rPr>
              <w:t>3</w:t>
            </w:r>
            <w:r>
              <w:rPr>
                <w:rFonts w:hint="default" w:ascii="Times New Roman" w:hAnsi="Times New Roman" w:cs="Times New Roman"/>
                <w:color w:val="auto"/>
                <w:szCs w:val="21"/>
                <w:highlight w:val="none"/>
                <w:lang w:val="zh-CN"/>
              </w:rPr>
              <w:t>分）：重点难点分析方案完整性、针对性、合理性</w:t>
            </w:r>
            <w:r>
              <w:rPr>
                <w:rFonts w:hint="eastAsia" w:cs="Times New Roman"/>
                <w:color w:val="auto"/>
                <w:szCs w:val="21"/>
                <w:highlight w:val="none"/>
                <w:lang w:val="en-US" w:eastAsia="zh-CN"/>
              </w:rPr>
              <w:t>简单</w:t>
            </w:r>
            <w:r>
              <w:rPr>
                <w:rFonts w:hint="default" w:ascii="Times New Roman" w:hAnsi="Times New Roman" w:cs="Times New Roman"/>
                <w:color w:val="auto"/>
                <w:szCs w:val="21"/>
                <w:highlight w:val="none"/>
                <w:lang w:val="zh-CN"/>
              </w:rPr>
              <w:t>；</w:t>
            </w:r>
          </w:p>
          <w:p w14:paraId="5B209CA1">
            <w:pPr>
              <w:adjustRightInd w:val="0"/>
              <w:snapToGrid w:val="0"/>
              <w:spacing w:line="360" w:lineRule="exact"/>
              <w:ind w:firstLine="420" w:firstLineChars="20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二档（</w:t>
            </w:r>
            <w:r>
              <w:rPr>
                <w:rFonts w:hint="default" w:ascii="Times New Roman" w:hAnsi="Times New Roman" w:cs="Times New Roman"/>
                <w:color w:val="auto"/>
                <w:szCs w:val="21"/>
                <w:highlight w:val="none"/>
                <w:lang w:val="en-US" w:eastAsia="zh-CN"/>
              </w:rPr>
              <w:t>6</w:t>
            </w:r>
            <w:r>
              <w:rPr>
                <w:rFonts w:hint="default" w:ascii="Times New Roman" w:hAnsi="Times New Roman" w:cs="Times New Roman"/>
                <w:color w:val="auto"/>
                <w:szCs w:val="21"/>
                <w:highlight w:val="none"/>
                <w:lang w:val="zh-CN"/>
              </w:rPr>
              <w:t>分）：重点难点分析方案完整性、针对性、合理性</w:t>
            </w:r>
            <w:r>
              <w:rPr>
                <w:rFonts w:hint="eastAsia" w:cs="Times New Roman"/>
                <w:color w:val="auto"/>
                <w:szCs w:val="21"/>
                <w:highlight w:val="none"/>
                <w:lang w:val="en-US" w:eastAsia="zh-CN"/>
              </w:rPr>
              <w:t>不强，仅简单提及项目分析问题内容</w:t>
            </w:r>
            <w:r>
              <w:rPr>
                <w:rFonts w:hint="default" w:ascii="Times New Roman" w:hAnsi="Times New Roman" w:cs="Times New Roman"/>
                <w:color w:val="auto"/>
                <w:szCs w:val="21"/>
                <w:highlight w:val="none"/>
                <w:lang w:val="zh-CN"/>
              </w:rPr>
              <w:t>；</w:t>
            </w:r>
          </w:p>
          <w:p w14:paraId="32B67F2F">
            <w:pPr>
              <w:adjustRightInd w:val="0"/>
              <w:snapToGrid w:val="0"/>
              <w:spacing w:line="360" w:lineRule="exact"/>
              <w:ind w:firstLine="420" w:firstLineChars="20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三档（</w:t>
            </w:r>
            <w:r>
              <w:rPr>
                <w:rFonts w:hint="default" w:ascii="Times New Roman" w:hAnsi="Times New Roman" w:cs="Times New Roman"/>
                <w:color w:val="auto"/>
                <w:szCs w:val="21"/>
                <w:highlight w:val="none"/>
                <w:lang w:val="en-US" w:eastAsia="zh-CN"/>
              </w:rPr>
              <w:t>9</w:t>
            </w:r>
            <w:r>
              <w:rPr>
                <w:rFonts w:hint="default" w:ascii="Times New Roman" w:hAnsi="Times New Roman" w:cs="Times New Roman"/>
                <w:color w:val="auto"/>
                <w:szCs w:val="21"/>
                <w:highlight w:val="none"/>
                <w:lang w:val="zh-CN"/>
              </w:rPr>
              <w:t>分）：重点难点分析方案完整性、针对性、合理性</w:t>
            </w:r>
            <w:r>
              <w:rPr>
                <w:rFonts w:hint="eastAsia" w:cs="Times New Roman"/>
                <w:color w:val="auto"/>
                <w:szCs w:val="21"/>
                <w:highlight w:val="none"/>
                <w:lang w:val="en-US" w:eastAsia="zh-CN"/>
              </w:rPr>
              <w:t>准确</w:t>
            </w:r>
            <w:r>
              <w:rPr>
                <w:rFonts w:hint="default" w:ascii="Times New Roman" w:hAnsi="Times New Roman" w:cs="Times New Roman"/>
                <w:color w:val="auto"/>
                <w:szCs w:val="21"/>
                <w:highlight w:val="none"/>
                <w:lang w:val="zh-CN"/>
              </w:rPr>
              <w:t>；</w:t>
            </w:r>
          </w:p>
          <w:p w14:paraId="6C4F5595">
            <w:pPr>
              <w:adjustRightInd w:val="0"/>
              <w:snapToGrid w:val="0"/>
              <w:spacing w:line="360" w:lineRule="exact"/>
              <w:ind w:firstLine="420" w:firstLineChars="200"/>
              <w:rPr>
                <w:rFonts w:hint="default" w:ascii="Times New Roman" w:hAnsi="Times New Roman" w:cs="Times New Roman"/>
                <w:b/>
                <w:color w:val="auto"/>
                <w:highlight w:val="none"/>
              </w:rPr>
            </w:pPr>
            <w:r>
              <w:rPr>
                <w:rFonts w:hint="default" w:ascii="Times New Roman" w:hAnsi="Times New Roman" w:cs="Times New Roman"/>
                <w:color w:val="auto"/>
                <w:szCs w:val="21"/>
                <w:highlight w:val="none"/>
                <w:lang w:val="zh-CN"/>
              </w:rPr>
              <w:t>由评委根据各供应商提供的重点难点分析内容（该重点难点分析方案内容至少包含对本项目的重点难点认识及分析，工作方案，合理化建议等方面内容）的完整性、针对性、具体性、合理性情况确定各供应商所属档次及相应分值。</w:t>
            </w:r>
          </w:p>
          <w:p w14:paraId="60C40FF4">
            <w:pPr>
              <w:adjustRightInd w:val="0"/>
              <w:snapToGrid w:val="0"/>
              <w:spacing w:line="360" w:lineRule="exact"/>
              <w:ind w:firstLine="422" w:firstLineChars="200"/>
              <w:rPr>
                <w:rFonts w:hint="default" w:ascii="Times New Roman" w:hAnsi="Times New Roman" w:cs="Times New Roman"/>
                <w:b/>
                <w:color w:val="auto"/>
                <w:highlight w:val="none"/>
              </w:rPr>
            </w:pPr>
            <w:r>
              <w:rPr>
                <w:rFonts w:hint="default" w:ascii="Times New Roman" w:hAnsi="Times New Roman" w:cs="Times New Roman"/>
                <w:b/>
                <w:color w:val="auto"/>
                <w:highlight w:val="none"/>
              </w:rPr>
              <w:t>（3）质量控制方案分（满分15分）</w:t>
            </w:r>
          </w:p>
          <w:p w14:paraId="0DD2E6B8">
            <w:pPr>
              <w:adjustRightInd w:val="0"/>
              <w:snapToGrid w:val="0"/>
              <w:spacing w:line="360" w:lineRule="exact"/>
              <w:ind w:firstLine="420" w:firstLineChars="200"/>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一档（</w:t>
            </w:r>
            <w:r>
              <w:rPr>
                <w:rFonts w:hint="default" w:ascii="Times New Roman" w:hAnsi="Times New Roman" w:cs="Times New Roman"/>
                <w:bCs/>
                <w:color w:val="auto"/>
                <w:szCs w:val="21"/>
                <w:highlight w:val="none"/>
              </w:rPr>
              <w:t>5</w:t>
            </w:r>
            <w:r>
              <w:rPr>
                <w:rFonts w:hint="default" w:ascii="Times New Roman" w:hAnsi="Times New Roman" w:cs="Times New Roman"/>
                <w:bCs/>
                <w:color w:val="auto"/>
                <w:highlight w:val="none"/>
              </w:rPr>
              <w:t>分）：具有项目进度控制措施、质量控制措施、安全保证机制、数据安全保密方案等；有具体的违约责任承诺。</w:t>
            </w:r>
          </w:p>
          <w:p w14:paraId="6F20FA2F">
            <w:pPr>
              <w:adjustRightInd w:val="0"/>
              <w:snapToGrid w:val="0"/>
              <w:spacing w:line="360" w:lineRule="exact"/>
              <w:ind w:firstLine="420" w:firstLineChars="200"/>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二档（</w:t>
            </w:r>
            <w:r>
              <w:rPr>
                <w:rFonts w:hint="default" w:ascii="Times New Roman" w:hAnsi="Times New Roman" w:cs="Times New Roman"/>
                <w:bCs/>
                <w:color w:val="auto"/>
                <w:szCs w:val="21"/>
                <w:highlight w:val="none"/>
              </w:rPr>
              <w:t>10</w:t>
            </w:r>
            <w:r>
              <w:rPr>
                <w:rFonts w:hint="default" w:ascii="Times New Roman" w:hAnsi="Times New Roman" w:cs="Times New Roman"/>
                <w:bCs/>
                <w:color w:val="auto"/>
                <w:highlight w:val="none"/>
              </w:rPr>
              <w:t>分）：具有合理的项目进度控制措施、质量控制措施；具有及时的数据检查、质量把控以及反馈纠错措施；具有切实有效</w:t>
            </w:r>
            <w:r>
              <w:rPr>
                <w:rFonts w:hint="default" w:ascii="Times New Roman" w:hAnsi="Times New Roman" w:cs="Times New Roman"/>
                <w:bCs/>
                <w:color w:val="auto"/>
                <w:highlight w:val="none"/>
                <w:lang w:eastAsia="zh-CN"/>
              </w:rPr>
              <w:t>的</w:t>
            </w:r>
            <w:r>
              <w:rPr>
                <w:rFonts w:hint="default" w:ascii="Times New Roman" w:hAnsi="Times New Roman" w:cs="Times New Roman"/>
                <w:bCs/>
                <w:color w:val="auto"/>
                <w:highlight w:val="none"/>
              </w:rPr>
              <w:t>安全保证机制；保证措施基本合理，有具体的违约责任承诺。</w:t>
            </w:r>
          </w:p>
          <w:p w14:paraId="33871513">
            <w:pPr>
              <w:adjustRightInd w:val="0"/>
              <w:snapToGrid w:val="0"/>
              <w:spacing w:line="360" w:lineRule="exact"/>
              <w:ind w:firstLine="420" w:firstLineChars="200"/>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三档（</w:t>
            </w:r>
            <w:r>
              <w:rPr>
                <w:rFonts w:hint="default" w:ascii="Times New Roman" w:hAnsi="Times New Roman" w:cs="Times New Roman"/>
                <w:bCs/>
                <w:color w:val="auto"/>
                <w:szCs w:val="21"/>
                <w:highlight w:val="none"/>
              </w:rPr>
              <w:t>15</w:t>
            </w:r>
            <w:r>
              <w:rPr>
                <w:rFonts w:hint="default" w:ascii="Times New Roman" w:hAnsi="Times New Roman" w:cs="Times New Roman"/>
                <w:bCs/>
                <w:color w:val="auto"/>
                <w:highlight w:val="none"/>
              </w:rPr>
              <w:t>分）：具有项目进度控制措施科学、完善；具有提升样品制备质量的保障机制；具有及时的数据检查、质量控制以及反馈纠错措施；具有切实有效</w:t>
            </w:r>
            <w:r>
              <w:rPr>
                <w:rFonts w:hint="default" w:ascii="Times New Roman" w:hAnsi="Times New Roman" w:cs="Times New Roman"/>
                <w:bCs/>
                <w:color w:val="auto"/>
                <w:highlight w:val="none"/>
                <w:lang w:eastAsia="zh-CN"/>
              </w:rPr>
              <w:t>的</w:t>
            </w:r>
            <w:r>
              <w:rPr>
                <w:rFonts w:hint="default" w:ascii="Times New Roman" w:hAnsi="Times New Roman" w:cs="Times New Roman"/>
                <w:bCs/>
                <w:color w:val="auto"/>
                <w:highlight w:val="none"/>
              </w:rPr>
              <w:t>安全保证机制；保证措施合理且有针对性、有具体的违约责任承诺。</w:t>
            </w:r>
          </w:p>
          <w:p w14:paraId="74356108">
            <w:pPr>
              <w:adjustRightInd w:val="0"/>
              <w:snapToGrid w:val="0"/>
              <w:spacing w:line="360" w:lineRule="exact"/>
              <w:ind w:firstLine="422" w:firstLineChars="200"/>
              <w:rPr>
                <w:rFonts w:hint="default" w:ascii="Times New Roman" w:hAnsi="Times New Roman" w:cs="Times New Roman"/>
                <w:b/>
                <w:color w:val="auto"/>
                <w:highlight w:val="none"/>
              </w:rPr>
            </w:pPr>
            <w:r>
              <w:rPr>
                <w:rFonts w:hint="default" w:ascii="Times New Roman" w:hAnsi="Times New Roman" w:cs="Times New Roman"/>
                <w:b/>
                <w:bCs/>
                <w:color w:val="auto"/>
                <w:highlight w:val="none"/>
              </w:rPr>
              <w:t>（4）</w:t>
            </w:r>
            <w:r>
              <w:rPr>
                <w:rFonts w:hint="default" w:ascii="Times New Roman" w:hAnsi="Times New Roman" w:cs="Times New Roman"/>
                <w:b/>
                <w:color w:val="auto"/>
                <w:highlight w:val="none"/>
              </w:rPr>
              <w:t>拟投入本项目团队分（满分20分）</w:t>
            </w:r>
          </w:p>
          <w:p w14:paraId="0CA65BDC">
            <w:pPr>
              <w:adjustRightInd w:val="0"/>
              <w:snapToGrid w:val="0"/>
              <w:spacing w:line="360" w:lineRule="exact"/>
              <w:ind w:firstLine="420" w:firstLineChars="200"/>
              <w:rPr>
                <w:rFonts w:hint="default" w:ascii="Times New Roman" w:hAnsi="Times New Roman" w:cs="Times New Roman"/>
                <w:b/>
                <w:bCs/>
                <w:color w:val="auto"/>
                <w:highlight w:val="none"/>
              </w:rPr>
            </w:pPr>
            <w:r>
              <w:rPr>
                <w:rFonts w:hint="default" w:ascii="Times New Roman" w:hAnsi="Times New Roman" w:cs="Times New Roman"/>
                <w:bCs/>
                <w:color w:val="auto"/>
                <w:highlight w:val="none"/>
              </w:rPr>
              <w:t>①</w:t>
            </w:r>
            <w:r>
              <w:rPr>
                <w:rFonts w:hint="default" w:ascii="Times New Roman" w:hAnsi="Times New Roman" w:cs="Times New Roman"/>
                <w:color w:val="auto"/>
                <w:szCs w:val="21"/>
                <w:highlight w:val="none"/>
              </w:rPr>
              <w:t>拟投入项目负责人具有环境类相关专业高级专业</w:t>
            </w:r>
            <w:r>
              <w:rPr>
                <w:rFonts w:hint="default" w:ascii="Times New Roman" w:hAnsi="Times New Roman" w:cs="Times New Roman"/>
                <w:color w:val="auto"/>
                <w:szCs w:val="21"/>
                <w:highlight w:val="none"/>
                <w:lang w:eastAsia="zh-CN"/>
              </w:rPr>
              <w:t>技术资格</w:t>
            </w:r>
            <w:r>
              <w:rPr>
                <w:rFonts w:hint="default" w:ascii="Times New Roman" w:hAnsi="Times New Roman" w:cs="Times New Roman"/>
                <w:color w:val="auto"/>
                <w:szCs w:val="21"/>
                <w:highlight w:val="none"/>
              </w:rPr>
              <w:t>，且从事检测工作达5年或以上的，得5分</w:t>
            </w:r>
            <w:r>
              <w:rPr>
                <w:rFonts w:hint="default" w:ascii="Times New Roman" w:hAnsi="Times New Roman" w:cs="Times New Roman"/>
                <w:color w:val="auto"/>
                <w:szCs w:val="21"/>
                <w:highlight w:val="none"/>
                <w:lang w:eastAsia="zh-CN"/>
              </w:rPr>
              <w:t>。</w:t>
            </w:r>
          </w:p>
          <w:p w14:paraId="202723FF">
            <w:pPr>
              <w:adjustRightInd w:val="0"/>
              <w:snapToGrid w:val="0"/>
              <w:spacing w:line="360" w:lineRule="exact"/>
              <w:ind w:firstLine="420" w:firstLineChars="200"/>
              <w:rPr>
                <w:rFonts w:hint="default" w:ascii="Times New Roman" w:hAnsi="Times New Roman" w:cs="Times New Roman"/>
                <w:b/>
                <w:color w:val="auto"/>
                <w:highlight w:val="none"/>
              </w:rPr>
            </w:pPr>
            <w:r>
              <w:rPr>
                <w:rFonts w:hint="default" w:ascii="Times New Roman" w:hAnsi="Times New Roman" w:cs="Times New Roman"/>
                <w:bCs/>
                <w:color w:val="auto"/>
                <w:highlight w:val="none"/>
              </w:rPr>
              <w:t>②项目团队成员（项目团队成员仅限技术人员，项目技术负责人除外）</w:t>
            </w:r>
            <w:r>
              <w:rPr>
                <w:rFonts w:hint="default" w:ascii="Times New Roman" w:hAnsi="Times New Roman" w:cs="Times New Roman"/>
                <w:b/>
                <w:color w:val="auto"/>
                <w:highlight w:val="none"/>
              </w:rPr>
              <w:t>（满分15分）</w:t>
            </w:r>
          </w:p>
          <w:p w14:paraId="3907C6B4">
            <w:pPr>
              <w:adjustRightInd w:val="0"/>
              <w:snapToGrid w:val="0"/>
              <w:spacing w:line="36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1）项目投入技术人员30-35人，得2分；36-40人，得5分；41人及以上</w:t>
            </w:r>
            <w:r>
              <w:rPr>
                <w:rFonts w:hint="default" w:ascii="Times New Roman" w:hAnsi="Times New Roman" w:cs="Times New Roman"/>
                <w:color w:val="auto"/>
                <w:szCs w:val="21"/>
                <w:highlight w:val="none"/>
                <w:lang w:eastAsia="zh-CN"/>
              </w:rPr>
              <w:t>得</w:t>
            </w:r>
            <w:r>
              <w:rPr>
                <w:rFonts w:hint="default" w:ascii="Times New Roman" w:hAnsi="Times New Roman" w:cs="Times New Roman"/>
                <w:b/>
                <w:bCs/>
                <w:color w:val="auto"/>
                <w:szCs w:val="21"/>
                <w:highlight w:val="none"/>
              </w:rPr>
              <w:t>8分。</w:t>
            </w:r>
          </w:p>
          <w:p w14:paraId="2F226648">
            <w:pPr>
              <w:adjustRightInd w:val="0"/>
              <w:snapToGrid w:val="0"/>
              <w:spacing w:line="360" w:lineRule="exact"/>
              <w:ind w:firstLine="420" w:firstLineChars="200"/>
              <w:rPr>
                <w:rFonts w:hint="default" w:ascii="Times New Roman" w:hAnsi="Times New Roman" w:cs="Times New Roman"/>
                <w:bCs/>
                <w:color w:val="auto"/>
                <w:highlight w:val="none"/>
              </w:rPr>
            </w:pPr>
            <w:r>
              <w:rPr>
                <w:rFonts w:hint="default" w:ascii="Times New Roman" w:hAnsi="Times New Roman" w:cs="Times New Roman"/>
                <w:color w:val="auto"/>
                <w:szCs w:val="21"/>
                <w:highlight w:val="none"/>
              </w:rPr>
              <w:t>2）项目投入技术人员</w:t>
            </w:r>
            <w:r>
              <w:rPr>
                <w:rFonts w:hint="default" w:ascii="Times New Roman" w:hAnsi="Times New Roman" w:cs="Times New Roman"/>
                <w:color w:val="auto"/>
                <w:szCs w:val="21"/>
                <w:highlight w:val="none"/>
                <w:lang w:eastAsia="zh-CN"/>
              </w:rPr>
              <w:t>中具有</w:t>
            </w:r>
            <w:r>
              <w:rPr>
                <w:rFonts w:hint="default" w:ascii="Times New Roman" w:hAnsi="Times New Roman" w:cs="Times New Roman"/>
                <w:color w:val="auto"/>
                <w:szCs w:val="21"/>
                <w:highlight w:val="none"/>
              </w:rPr>
              <w:t>环境类</w:t>
            </w:r>
            <w:r>
              <w:rPr>
                <w:rFonts w:hint="eastAsia" w:cs="Times New Roman"/>
                <w:color w:val="auto"/>
                <w:szCs w:val="21"/>
                <w:highlight w:val="none"/>
                <w:lang w:val="en-US" w:eastAsia="zh-CN"/>
              </w:rPr>
              <w:t>或</w:t>
            </w:r>
            <w:r>
              <w:rPr>
                <w:rFonts w:hint="default" w:ascii="Times New Roman" w:hAnsi="Times New Roman" w:cs="Times New Roman"/>
                <w:color w:val="auto"/>
                <w:szCs w:val="21"/>
                <w:highlight w:val="none"/>
              </w:rPr>
              <w:t>化学类相关专业</w:t>
            </w:r>
            <w:r>
              <w:rPr>
                <w:rFonts w:hint="default" w:ascii="Times New Roman" w:hAnsi="Times New Roman" w:cs="Times New Roman"/>
                <w:bCs/>
                <w:color w:val="auto"/>
                <w:highlight w:val="none"/>
              </w:rPr>
              <w:t>中级及以上职称</w:t>
            </w:r>
            <w:r>
              <w:rPr>
                <w:rFonts w:hint="default" w:ascii="Times New Roman" w:hAnsi="Times New Roman" w:cs="Times New Roman"/>
                <w:bCs/>
                <w:color w:val="auto"/>
                <w:highlight w:val="none"/>
                <w:lang w:eastAsia="zh-CN"/>
              </w:rPr>
              <w:t>的至少</w:t>
            </w:r>
            <w:r>
              <w:rPr>
                <w:rFonts w:hint="default" w:ascii="Times New Roman" w:hAnsi="Times New Roman" w:cs="Times New Roman"/>
                <w:bCs/>
                <w:color w:val="auto"/>
                <w:highlight w:val="none"/>
              </w:rPr>
              <w:t>5人，</w:t>
            </w:r>
            <w:r>
              <w:rPr>
                <w:rFonts w:hint="default" w:ascii="Times New Roman" w:hAnsi="Times New Roman" w:cs="Times New Roman"/>
                <w:color w:val="auto"/>
                <w:highlight w:val="none"/>
                <w:lang w:val="en-US" w:eastAsia="zh-CN"/>
              </w:rPr>
              <w:t>5人（含5人）以内的不得分；</w:t>
            </w:r>
            <w:r>
              <w:rPr>
                <w:rFonts w:hint="default" w:ascii="Times New Roman" w:hAnsi="Times New Roman" w:cs="Times New Roman"/>
                <w:bCs/>
                <w:color w:val="auto"/>
                <w:highlight w:val="none"/>
              </w:rPr>
              <w:t>达到5人的，每增加一名中级职称得1分，每增加一名高级职称得2分，</w:t>
            </w:r>
            <w:r>
              <w:rPr>
                <w:rFonts w:hint="default" w:ascii="Times New Roman" w:hAnsi="Times New Roman" w:cs="Times New Roman"/>
                <w:b/>
                <w:color w:val="auto"/>
                <w:highlight w:val="none"/>
              </w:rPr>
              <w:t>满分7分。</w:t>
            </w:r>
            <w:r>
              <w:rPr>
                <w:rFonts w:hint="eastAsia" w:ascii="宋体" w:hAnsi="宋体"/>
                <w:b w:val="0"/>
                <w:bCs w:val="0"/>
                <w:color w:val="auto"/>
                <w:szCs w:val="21"/>
                <w:highlight w:val="none"/>
                <w:lang w:val="en-US" w:eastAsia="zh-CN"/>
              </w:rPr>
              <w:t>每人仅计1次，</w:t>
            </w:r>
            <w:r>
              <w:rPr>
                <w:rFonts w:hint="eastAsia" w:ascii="宋体" w:hAnsi="宋体"/>
                <w:b w:val="0"/>
                <w:bCs w:val="0"/>
                <w:color w:val="auto"/>
                <w:szCs w:val="21"/>
                <w:highlight w:val="none"/>
                <w:lang w:eastAsia="zh-CN"/>
              </w:rPr>
              <w:t>若一</w:t>
            </w:r>
            <w:r>
              <w:rPr>
                <w:rFonts w:hint="eastAsia" w:ascii="宋体" w:hAnsi="宋体" w:eastAsia="宋体" w:cs="Times New Roman"/>
                <w:b w:val="0"/>
                <w:bCs w:val="0"/>
                <w:color w:val="auto"/>
                <w:szCs w:val="21"/>
                <w:highlight w:val="none"/>
                <w:lang w:eastAsia="zh-CN"/>
              </w:rPr>
              <w:t>人有多个职称/专业，</w:t>
            </w:r>
            <w:r>
              <w:rPr>
                <w:rFonts w:hint="eastAsia" w:ascii="宋体" w:hAnsi="宋体" w:eastAsia="宋体" w:cs="Times New Roman"/>
                <w:b w:val="0"/>
                <w:bCs w:val="0"/>
                <w:color w:val="auto"/>
                <w:szCs w:val="21"/>
                <w:highlight w:val="none"/>
                <w:lang w:val="en-US" w:eastAsia="zh-CN"/>
              </w:rPr>
              <w:t>仅</w:t>
            </w:r>
            <w:r>
              <w:rPr>
                <w:rFonts w:hint="eastAsia" w:ascii="宋体" w:hAnsi="宋体" w:eastAsia="宋体" w:cs="Times New Roman"/>
                <w:b w:val="0"/>
                <w:bCs w:val="0"/>
                <w:color w:val="auto"/>
                <w:szCs w:val="21"/>
                <w:highlight w:val="none"/>
                <w:lang w:eastAsia="zh-CN"/>
              </w:rPr>
              <w:t>提交最高</w:t>
            </w:r>
            <w:r>
              <w:rPr>
                <w:rFonts w:hint="eastAsia" w:ascii="宋体" w:hAnsi="宋体" w:eastAsia="宋体" w:cs="Times New Roman"/>
                <w:b w:val="0"/>
                <w:bCs w:val="0"/>
                <w:color w:val="auto"/>
                <w:szCs w:val="21"/>
                <w:highlight w:val="none"/>
                <w:lang w:val="en-US" w:eastAsia="zh-CN"/>
              </w:rPr>
              <w:t>职称</w:t>
            </w:r>
            <w:r>
              <w:rPr>
                <w:rFonts w:hint="eastAsia" w:ascii="宋体" w:hAnsi="宋体" w:eastAsia="宋体" w:cs="Times New Roman"/>
                <w:b w:val="0"/>
                <w:bCs w:val="0"/>
                <w:color w:val="auto"/>
                <w:szCs w:val="21"/>
                <w:highlight w:val="none"/>
                <w:lang w:eastAsia="zh-CN"/>
              </w:rPr>
              <w:t>的证书</w:t>
            </w:r>
            <w:r>
              <w:rPr>
                <w:rFonts w:hint="eastAsia" w:ascii="宋体" w:hAnsi="宋体" w:eastAsia="宋体" w:cs="Times New Roman"/>
                <w:b w:val="0"/>
                <w:bCs w:val="0"/>
                <w:color w:val="auto"/>
                <w:szCs w:val="21"/>
                <w:highlight w:val="none"/>
                <w:lang w:val="en-US" w:eastAsia="zh-CN"/>
              </w:rPr>
              <w:t>即可</w:t>
            </w:r>
            <w:r>
              <w:rPr>
                <w:rFonts w:hint="eastAsia" w:ascii="宋体" w:hAnsi="宋体" w:eastAsia="宋体" w:cs="Times New Roman"/>
                <w:b w:val="0"/>
                <w:bCs w:val="0"/>
                <w:color w:val="auto"/>
                <w:szCs w:val="21"/>
                <w:highlight w:val="none"/>
                <w:lang w:eastAsia="zh-CN"/>
              </w:rPr>
              <w:t>，不重复计分。</w:t>
            </w:r>
          </w:p>
          <w:p w14:paraId="595294C6">
            <w:pPr>
              <w:adjustRightInd w:val="0"/>
              <w:snapToGrid w:val="0"/>
              <w:spacing w:line="360" w:lineRule="exact"/>
              <w:ind w:firstLine="420" w:firstLineChars="200"/>
              <w:rPr>
                <w:rFonts w:hint="default" w:ascii="Times New Roman" w:hAnsi="Times New Roman" w:cs="Times New Roman"/>
                <w:iCs/>
                <w:color w:val="auto"/>
                <w:szCs w:val="21"/>
                <w:highlight w:val="none"/>
              </w:rPr>
            </w:pPr>
            <w:r>
              <w:rPr>
                <w:rFonts w:hint="default" w:ascii="Times New Roman" w:hAnsi="Times New Roman" w:cs="Times New Roman"/>
                <w:bCs/>
                <w:color w:val="auto"/>
                <w:highlight w:val="none"/>
              </w:rPr>
              <w:t>以上①②得分要求：响应文件提供项目负责人及团队成员</w:t>
            </w:r>
            <w:r>
              <w:rPr>
                <w:rFonts w:hint="default" w:ascii="Times New Roman" w:hAnsi="Times New Roman" w:cs="Times New Roman"/>
                <w:iCs/>
                <w:color w:val="auto"/>
                <w:szCs w:val="21"/>
                <w:highlight w:val="none"/>
              </w:rPr>
              <w:t>相关</w:t>
            </w:r>
            <w:r>
              <w:rPr>
                <w:rFonts w:hint="default" w:ascii="Times New Roman" w:hAnsi="Times New Roman" w:cs="Times New Roman"/>
                <w:iCs/>
                <w:color w:val="auto"/>
                <w:szCs w:val="21"/>
                <w:highlight w:val="none"/>
                <w:lang w:val="en-US" w:eastAsia="zh-CN"/>
              </w:rPr>
              <w:t>职称</w:t>
            </w:r>
            <w:r>
              <w:rPr>
                <w:rFonts w:hint="default" w:ascii="Times New Roman" w:hAnsi="Times New Roman" w:cs="Times New Roman"/>
                <w:iCs/>
                <w:color w:val="auto"/>
                <w:szCs w:val="21"/>
                <w:highlight w:val="none"/>
              </w:rPr>
              <w:t>证书及截标前近半年内连续三个月社保缴纳证明</w:t>
            </w:r>
            <w:r>
              <w:rPr>
                <w:rFonts w:hint="eastAsia"/>
                <w:color w:val="auto"/>
                <w:sz w:val="21"/>
                <w:szCs w:val="21"/>
                <w:highlight w:val="none"/>
                <w:lang w:val="en-US" w:eastAsia="zh-CN"/>
              </w:rPr>
              <w:t>扫描件或劳动合同或工资支付记录</w:t>
            </w:r>
            <w:r>
              <w:rPr>
                <w:rFonts w:hint="default" w:ascii="Times New Roman" w:hAnsi="Times New Roman" w:cs="Times New Roman"/>
                <w:iCs/>
                <w:color w:val="auto"/>
                <w:szCs w:val="21"/>
                <w:highlight w:val="none"/>
              </w:rPr>
              <w:t>。</w:t>
            </w:r>
          </w:p>
          <w:p w14:paraId="25C71253">
            <w:pPr>
              <w:adjustRightInd w:val="0"/>
              <w:snapToGrid w:val="0"/>
              <w:spacing w:line="360" w:lineRule="exact"/>
              <w:ind w:firstLine="422" w:firstLineChars="200"/>
              <w:rPr>
                <w:rFonts w:hint="default" w:ascii="Times New Roman" w:hAnsi="Times New Roman" w:cs="Times New Roman"/>
                <w:b/>
                <w:color w:val="auto"/>
                <w:highlight w:val="none"/>
              </w:rPr>
            </w:pPr>
            <w:r>
              <w:rPr>
                <w:rFonts w:hint="default" w:ascii="Times New Roman" w:hAnsi="Times New Roman" w:cs="Times New Roman"/>
                <w:b/>
                <w:color w:val="auto"/>
                <w:highlight w:val="none"/>
              </w:rPr>
              <w:t>（5）车辆及仪器设备（满分</w:t>
            </w:r>
            <w:r>
              <w:rPr>
                <w:rFonts w:hint="default" w:ascii="Times New Roman" w:hAnsi="Times New Roman" w:cs="Times New Roman"/>
                <w:b/>
                <w:bCs/>
                <w:color w:val="auto"/>
                <w:szCs w:val="21"/>
                <w:highlight w:val="none"/>
              </w:rPr>
              <w:t xml:space="preserve"> 15</w:t>
            </w:r>
            <w:r>
              <w:rPr>
                <w:rFonts w:hint="default" w:ascii="Times New Roman" w:hAnsi="Times New Roman" w:cs="Times New Roman"/>
                <w:b/>
                <w:bCs/>
                <w:color w:val="auto"/>
                <w:szCs w:val="21"/>
                <w:highlight w:val="none"/>
                <w:lang w:eastAsia="zh-CN"/>
              </w:rPr>
              <w:t xml:space="preserve"> 分</w:t>
            </w:r>
            <w:r>
              <w:rPr>
                <w:rFonts w:hint="default" w:ascii="Times New Roman" w:hAnsi="Times New Roman" w:cs="Times New Roman"/>
                <w:b/>
                <w:color w:val="auto"/>
                <w:highlight w:val="none"/>
              </w:rPr>
              <w:t>）</w:t>
            </w:r>
          </w:p>
          <w:p w14:paraId="559D696A">
            <w:pPr>
              <w:adjustRightInd w:val="0"/>
              <w:snapToGrid w:val="0"/>
              <w:spacing w:line="360" w:lineRule="exact"/>
              <w:ind w:firstLine="420" w:firstLineChars="200"/>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①仪器设备（满分10分）</w:t>
            </w:r>
          </w:p>
          <w:tbl>
            <w:tblPr>
              <w:tblStyle w:val="10"/>
              <w:tblW w:w="6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205"/>
              <w:gridCol w:w="2094"/>
              <w:gridCol w:w="678"/>
              <w:gridCol w:w="2019"/>
              <w:gridCol w:w="861"/>
            </w:tblGrid>
            <w:tr w14:paraId="58ACE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93" w:hRule="atLeast"/>
                <w:jc w:val="center"/>
              </w:trPr>
              <w:tc>
                <w:tcPr>
                  <w:tcW w:w="1205" w:type="dxa"/>
                  <w:shd w:val="clear" w:color="auto" w:fill="FFFFFF"/>
                  <w:noWrap w:val="0"/>
                  <w:vAlign w:val="center"/>
                </w:tcPr>
                <w:p w14:paraId="456AF14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b/>
                      <w:bCs/>
                      <w:color w:val="auto"/>
                      <w:kern w:val="0"/>
                      <w:sz w:val="18"/>
                      <w:szCs w:val="18"/>
                      <w:highlight w:val="none"/>
                    </w:rPr>
                  </w:pPr>
                  <w:r>
                    <w:rPr>
                      <w:rFonts w:hint="default" w:ascii="Times New Roman" w:hAnsi="Times New Roman" w:cs="Times New Roman"/>
                      <w:b/>
                      <w:bCs/>
                      <w:color w:val="auto"/>
                      <w:kern w:val="0"/>
                      <w:sz w:val="18"/>
                      <w:szCs w:val="18"/>
                      <w:highlight w:val="none"/>
                    </w:rPr>
                    <w:t>仪器类型</w:t>
                  </w:r>
                </w:p>
              </w:tc>
              <w:tc>
                <w:tcPr>
                  <w:tcW w:w="2094" w:type="dxa"/>
                  <w:shd w:val="clear" w:color="auto" w:fill="FFFFFF"/>
                  <w:noWrap w:val="0"/>
                  <w:vAlign w:val="center"/>
                </w:tcPr>
                <w:p w14:paraId="518F413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b/>
                      <w:bCs/>
                      <w:color w:val="auto"/>
                      <w:kern w:val="0"/>
                      <w:sz w:val="18"/>
                      <w:szCs w:val="18"/>
                      <w:highlight w:val="none"/>
                    </w:rPr>
                  </w:pPr>
                  <w:r>
                    <w:rPr>
                      <w:rFonts w:hint="default" w:ascii="Times New Roman" w:hAnsi="Times New Roman" w:cs="Times New Roman"/>
                      <w:b/>
                      <w:bCs/>
                      <w:color w:val="auto"/>
                      <w:kern w:val="0"/>
                      <w:sz w:val="18"/>
                      <w:szCs w:val="18"/>
                      <w:highlight w:val="none"/>
                    </w:rPr>
                    <w:t>仪器名称</w:t>
                  </w:r>
                </w:p>
              </w:tc>
              <w:tc>
                <w:tcPr>
                  <w:tcW w:w="678" w:type="dxa"/>
                  <w:shd w:val="clear" w:color="auto" w:fill="FFFFFF"/>
                  <w:noWrap w:val="0"/>
                  <w:vAlign w:val="center"/>
                </w:tcPr>
                <w:p w14:paraId="05C6B9E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b/>
                      <w:bCs/>
                      <w:color w:val="auto"/>
                      <w:kern w:val="0"/>
                      <w:sz w:val="18"/>
                      <w:szCs w:val="18"/>
                      <w:highlight w:val="none"/>
                    </w:rPr>
                  </w:pPr>
                  <w:r>
                    <w:rPr>
                      <w:rFonts w:hint="default" w:ascii="Times New Roman" w:hAnsi="Times New Roman" w:cs="Times New Roman"/>
                      <w:b/>
                      <w:bCs/>
                      <w:color w:val="auto"/>
                      <w:kern w:val="0"/>
                      <w:sz w:val="18"/>
                      <w:szCs w:val="18"/>
                      <w:highlight w:val="none"/>
                    </w:rPr>
                    <w:t>数量</w:t>
                  </w:r>
                </w:p>
                <w:p w14:paraId="6DE4FE99">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default" w:ascii="Times New Roman" w:hAnsi="Times New Roman" w:cs="Times New Roman"/>
                      <w:b/>
                      <w:bCs/>
                      <w:color w:val="auto"/>
                      <w:kern w:val="0"/>
                      <w:sz w:val="18"/>
                      <w:szCs w:val="18"/>
                      <w:highlight w:val="none"/>
                    </w:rPr>
                  </w:pPr>
                  <w:r>
                    <w:rPr>
                      <w:rFonts w:hint="default" w:ascii="Times New Roman" w:hAnsi="Times New Roman" w:cs="Times New Roman"/>
                      <w:b/>
                      <w:bCs/>
                      <w:color w:val="auto"/>
                      <w:kern w:val="0"/>
                      <w:sz w:val="18"/>
                      <w:szCs w:val="18"/>
                      <w:highlight w:val="none"/>
                    </w:rPr>
                    <w:t>（台套）</w:t>
                  </w:r>
                </w:p>
              </w:tc>
              <w:tc>
                <w:tcPr>
                  <w:tcW w:w="2019" w:type="dxa"/>
                  <w:shd w:val="clear" w:color="auto" w:fill="FFFFFF"/>
                  <w:noWrap w:val="0"/>
                  <w:vAlign w:val="center"/>
                </w:tcPr>
                <w:p w14:paraId="18D3D1A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b/>
                      <w:bCs/>
                      <w:color w:val="auto"/>
                      <w:kern w:val="0"/>
                      <w:sz w:val="18"/>
                      <w:szCs w:val="18"/>
                      <w:highlight w:val="none"/>
                    </w:rPr>
                  </w:pPr>
                  <w:r>
                    <w:rPr>
                      <w:rFonts w:hint="default" w:ascii="Times New Roman" w:hAnsi="Times New Roman" w:cs="Times New Roman"/>
                      <w:b/>
                      <w:bCs/>
                      <w:color w:val="auto"/>
                      <w:kern w:val="0"/>
                      <w:sz w:val="18"/>
                      <w:szCs w:val="18"/>
                      <w:highlight w:val="none"/>
                    </w:rPr>
                    <w:t>可使用等效方法的仪器</w:t>
                  </w:r>
                </w:p>
              </w:tc>
              <w:tc>
                <w:tcPr>
                  <w:tcW w:w="861" w:type="dxa"/>
                  <w:shd w:val="clear" w:color="auto" w:fill="FFFFFF"/>
                  <w:noWrap w:val="0"/>
                  <w:vAlign w:val="center"/>
                </w:tcPr>
                <w:p w14:paraId="3D8F6C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b/>
                      <w:bCs/>
                      <w:color w:val="auto"/>
                      <w:kern w:val="0"/>
                      <w:sz w:val="18"/>
                      <w:szCs w:val="18"/>
                      <w:highlight w:val="none"/>
                    </w:rPr>
                  </w:pPr>
                  <w:r>
                    <w:rPr>
                      <w:rFonts w:hint="default" w:ascii="Times New Roman" w:hAnsi="Times New Roman" w:cs="Times New Roman"/>
                      <w:b/>
                      <w:bCs/>
                      <w:color w:val="auto"/>
                      <w:kern w:val="0"/>
                      <w:sz w:val="18"/>
                      <w:szCs w:val="18"/>
                      <w:highlight w:val="none"/>
                    </w:rPr>
                    <w:t>备注</w:t>
                  </w:r>
                </w:p>
              </w:tc>
            </w:tr>
            <w:tr w14:paraId="0E8F8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71" w:hRule="atLeast"/>
                <w:jc w:val="center"/>
              </w:trPr>
              <w:tc>
                <w:tcPr>
                  <w:tcW w:w="1205" w:type="dxa"/>
                  <w:vMerge w:val="restart"/>
                  <w:shd w:val="clear" w:color="auto" w:fill="FFFFFF"/>
                  <w:noWrap w:val="0"/>
                  <w:vAlign w:val="center"/>
                </w:tcPr>
                <w:p w14:paraId="3ECF2C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现场监测仪器</w:t>
                  </w:r>
                </w:p>
              </w:tc>
              <w:tc>
                <w:tcPr>
                  <w:tcW w:w="2094" w:type="dxa"/>
                  <w:shd w:val="clear" w:color="auto" w:fill="FFFFFF"/>
                  <w:noWrap w:val="0"/>
                  <w:vAlign w:val="center"/>
                </w:tcPr>
                <w:p w14:paraId="14E3F3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多参数水质分析仪</w:t>
                  </w:r>
                </w:p>
              </w:tc>
              <w:tc>
                <w:tcPr>
                  <w:tcW w:w="678" w:type="dxa"/>
                  <w:shd w:val="clear" w:color="auto" w:fill="FFFFFF"/>
                  <w:noWrap w:val="0"/>
                  <w:vAlign w:val="center"/>
                </w:tcPr>
                <w:p w14:paraId="7E716B2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color w:val="auto"/>
                      <w:kern w:val="0"/>
                      <w:sz w:val="18"/>
                      <w:szCs w:val="18"/>
                      <w:highlight w:val="none"/>
                      <w:lang w:val="en-US" w:eastAsia="zh-CN"/>
                    </w:rPr>
                    <w:t>1</w:t>
                  </w:r>
                </w:p>
              </w:tc>
              <w:tc>
                <w:tcPr>
                  <w:tcW w:w="2019" w:type="dxa"/>
                  <w:shd w:val="clear" w:color="auto" w:fill="FFFFFF"/>
                  <w:noWrap w:val="0"/>
                  <w:vAlign w:val="center"/>
                </w:tcPr>
                <w:p w14:paraId="4835EA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满足水温、pH值、溶解氧现场分析设备</w:t>
                  </w:r>
                </w:p>
              </w:tc>
              <w:tc>
                <w:tcPr>
                  <w:tcW w:w="861" w:type="dxa"/>
                  <w:shd w:val="clear" w:color="auto" w:fill="FFFFFF"/>
                  <w:noWrap w:val="0"/>
                  <w:vAlign w:val="center"/>
                </w:tcPr>
                <w:p w14:paraId="1AEAEF5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w:t>
                  </w:r>
                </w:p>
              </w:tc>
            </w:tr>
            <w:tr w14:paraId="3495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50" w:hRule="atLeast"/>
                <w:jc w:val="center"/>
              </w:trPr>
              <w:tc>
                <w:tcPr>
                  <w:tcW w:w="1205" w:type="dxa"/>
                  <w:vMerge w:val="continue"/>
                  <w:shd w:val="clear" w:color="auto" w:fill="FFFFFF"/>
                  <w:noWrap w:val="0"/>
                  <w:vAlign w:val="center"/>
                </w:tcPr>
                <w:p w14:paraId="24D9267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kern w:val="0"/>
                      <w:sz w:val="18"/>
                      <w:szCs w:val="18"/>
                      <w:highlight w:val="none"/>
                    </w:rPr>
                  </w:pPr>
                </w:p>
              </w:tc>
              <w:tc>
                <w:tcPr>
                  <w:tcW w:w="2094" w:type="dxa"/>
                  <w:shd w:val="clear" w:color="auto" w:fill="FFFFFF"/>
                  <w:noWrap w:val="0"/>
                  <w:vAlign w:val="center"/>
                </w:tcPr>
                <w:p w14:paraId="3493C6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0"/>
                      <w:sz w:val="18"/>
                      <w:szCs w:val="18"/>
                      <w:highlight w:val="none"/>
                    </w:rPr>
                  </w:pPr>
                  <w:r>
                    <w:rPr>
                      <w:rFonts w:hint="default" w:ascii="Times New Roman" w:hAnsi="Times New Roman" w:eastAsia="宋体" w:cs="Times New Roman"/>
                      <w:color w:val="auto"/>
                      <w:kern w:val="0"/>
                      <w:sz w:val="18"/>
                      <w:szCs w:val="18"/>
                      <w:highlight w:val="none"/>
                    </w:rPr>
                    <w:t>便携式浊度计</w:t>
                  </w:r>
                </w:p>
              </w:tc>
              <w:tc>
                <w:tcPr>
                  <w:tcW w:w="678" w:type="dxa"/>
                  <w:shd w:val="clear" w:color="auto" w:fill="FFFFFF"/>
                  <w:noWrap w:val="0"/>
                  <w:vAlign w:val="center"/>
                </w:tcPr>
                <w:p w14:paraId="3858FC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eastAsiaTheme="minorEastAsia"/>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1</w:t>
                  </w:r>
                </w:p>
              </w:tc>
              <w:tc>
                <w:tcPr>
                  <w:tcW w:w="2019" w:type="dxa"/>
                  <w:shd w:val="clear" w:color="auto" w:fill="FFFFFF"/>
                  <w:noWrap w:val="0"/>
                  <w:vAlign w:val="center"/>
                </w:tcPr>
                <w:p w14:paraId="65D879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满足浊度现场分析设备</w:t>
                  </w:r>
                </w:p>
              </w:tc>
              <w:tc>
                <w:tcPr>
                  <w:tcW w:w="861" w:type="dxa"/>
                  <w:shd w:val="clear" w:color="auto" w:fill="FFFFFF"/>
                  <w:noWrap w:val="0"/>
                  <w:vAlign w:val="center"/>
                </w:tcPr>
                <w:p w14:paraId="17D08C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kern w:val="0"/>
                      <w:sz w:val="18"/>
                      <w:szCs w:val="18"/>
                      <w:highlight w:val="none"/>
                    </w:rPr>
                  </w:pPr>
                </w:p>
              </w:tc>
            </w:tr>
            <w:tr w14:paraId="2CC1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48" w:hRule="atLeast"/>
                <w:jc w:val="center"/>
              </w:trPr>
              <w:tc>
                <w:tcPr>
                  <w:tcW w:w="1205" w:type="dxa"/>
                  <w:vMerge w:val="continue"/>
                  <w:shd w:val="clear" w:color="auto" w:fill="FFFFFF"/>
                  <w:noWrap w:val="0"/>
                  <w:vAlign w:val="center"/>
                </w:tcPr>
                <w:p w14:paraId="3C74827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kern w:val="0"/>
                      <w:sz w:val="18"/>
                      <w:szCs w:val="18"/>
                      <w:highlight w:val="none"/>
                    </w:rPr>
                  </w:pPr>
                </w:p>
              </w:tc>
              <w:tc>
                <w:tcPr>
                  <w:tcW w:w="2094" w:type="dxa"/>
                  <w:shd w:val="clear" w:color="auto" w:fill="FFFFFF"/>
                  <w:noWrap w:val="0"/>
                  <w:vAlign w:val="center"/>
                </w:tcPr>
                <w:p w14:paraId="594438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智能中流量大气采样器</w:t>
                  </w:r>
                </w:p>
              </w:tc>
              <w:tc>
                <w:tcPr>
                  <w:tcW w:w="678" w:type="dxa"/>
                  <w:shd w:val="clear" w:color="auto" w:fill="FFFFFF"/>
                  <w:noWrap w:val="0"/>
                  <w:vAlign w:val="center"/>
                </w:tcPr>
                <w:p w14:paraId="48FC6E9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4</w:t>
                  </w:r>
                </w:p>
              </w:tc>
              <w:tc>
                <w:tcPr>
                  <w:tcW w:w="2019" w:type="dxa"/>
                  <w:shd w:val="clear" w:color="auto" w:fill="FFFFFF"/>
                  <w:noWrap w:val="0"/>
                  <w:vAlign w:val="center"/>
                </w:tcPr>
                <w:p w14:paraId="5F2E894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满足无组织排放废气中颗粒物、</w:t>
                  </w:r>
                  <w:r>
                    <w:rPr>
                      <w:rFonts w:hint="default" w:ascii="Times New Roman" w:hAnsi="Times New Roman" w:cs="Times New Roman"/>
                      <w:color w:val="auto"/>
                      <w:kern w:val="0"/>
                      <w:sz w:val="18"/>
                      <w:szCs w:val="18"/>
                      <w:highlight w:val="none"/>
                      <w:lang w:val="en-US" w:eastAsia="zh-CN"/>
                    </w:rPr>
                    <w:t>铅</w:t>
                  </w:r>
                  <w:r>
                    <w:rPr>
                      <w:rFonts w:hint="default" w:ascii="Times New Roman" w:hAnsi="Times New Roman" w:cs="Times New Roman"/>
                      <w:color w:val="auto"/>
                      <w:kern w:val="0"/>
                      <w:sz w:val="18"/>
                      <w:szCs w:val="18"/>
                      <w:highlight w:val="none"/>
                    </w:rPr>
                    <w:t>等项目现场监测设备</w:t>
                  </w:r>
                </w:p>
              </w:tc>
              <w:tc>
                <w:tcPr>
                  <w:tcW w:w="861" w:type="dxa"/>
                  <w:shd w:val="clear" w:color="auto" w:fill="FFFFFF"/>
                  <w:noWrap w:val="0"/>
                  <w:vAlign w:val="center"/>
                </w:tcPr>
                <w:p w14:paraId="4DB5A410">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配套满足气象参数现场监测设备</w:t>
                  </w:r>
                </w:p>
              </w:tc>
            </w:tr>
            <w:tr w14:paraId="79FD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205" w:type="dxa"/>
                  <w:vMerge w:val="continue"/>
                  <w:shd w:val="clear" w:color="auto" w:fill="FFFFFF"/>
                  <w:noWrap w:val="0"/>
                  <w:vAlign w:val="center"/>
                </w:tcPr>
                <w:p w14:paraId="6A3A9C0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kern w:val="0"/>
                      <w:sz w:val="18"/>
                      <w:szCs w:val="18"/>
                      <w:highlight w:val="none"/>
                    </w:rPr>
                  </w:pPr>
                </w:p>
              </w:tc>
              <w:tc>
                <w:tcPr>
                  <w:tcW w:w="2094" w:type="dxa"/>
                  <w:shd w:val="clear" w:color="auto" w:fill="FFFFFF"/>
                  <w:noWrap w:val="0"/>
                  <w:vAlign w:val="center"/>
                </w:tcPr>
                <w:p w14:paraId="6B22ED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自动烟尘（气）测试仪</w:t>
                  </w:r>
                </w:p>
              </w:tc>
              <w:tc>
                <w:tcPr>
                  <w:tcW w:w="678" w:type="dxa"/>
                  <w:shd w:val="clear" w:color="auto" w:fill="FFFFFF"/>
                  <w:noWrap w:val="0"/>
                  <w:vAlign w:val="center"/>
                </w:tcPr>
                <w:p w14:paraId="02E37A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2</w:t>
                  </w:r>
                </w:p>
              </w:tc>
              <w:tc>
                <w:tcPr>
                  <w:tcW w:w="2019" w:type="dxa"/>
                  <w:shd w:val="clear" w:color="auto" w:fill="FFFFFF"/>
                  <w:noWrap w:val="0"/>
                  <w:vAlign w:val="center"/>
                </w:tcPr>
                <w:p w14:paraId="6AB985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满足废气颗粒物、烟温、流速</w:t>
                  </w:r>
                  <w:r>
                    <w:rPr>
                      <w:rFonts w:hint="default" w:ascii="Times New Roman" w:hAnsi="Times New Roman" w:cs="Times New Roman"/>
                      <w:color w:val="auto"/>
                      <w:kern w:val="0"/>
                      <w:sz w:val="18"/>
                      <w:szCs w:val="18"/>
                      <w:highlight w:val="none"/>
                      <w:lang w:eastAsia="zh-CN"/>
                    </w:rPr>
                    <w:t>、</w:t>
                  </w:r>
                  <w:r>
                    <w:rPr>
                      <w:rFonts w:hint="default" w:ascii="Times New Roman" w:hAnsi="Times New Roman" w:cs="Times New Roman"/>
                      <w:color w:val="auto"/>
                      <w:kern w:val="0"/>
                      <w:sz w:val="18"/>
                      <w:szCs w:val="18"/>
                      <w:highlight w:val="none"/>
                      <w:lang w:val="en-US" w:eastAsia="zh-CN"/>
                    </w:rPr>
                    <w:t>汞及其化合物</w:t>
                  </w:r>
                  <w:r>
                    <w:rPr>
                      <w:rFonts w:hint="default" w:ascii="Times New Roman" w:hAnsi="Times New Roman" w:cs="Times New Roman"/>
                      <w:color w:val="auto"/>
                      <w:kern w:val="0"/>
                      <w:sz w:val="18"/>
                      <w:szCs w:val="18"/>
                      <w:highlight w:val="none"/>
                    </w:rPr>
                    <w:t>等项目现场监测设备</w:t>
                  </w:r>
                </w:p>
              </w:tc>
              <w:tc>
                <w:tcPr>
                  <w:tcW w:w="861" w:type="dxa"/>
                  <w:shd w:val="clear" w:color="auto" w:fill="FFFFFF"/>
                  <w:noWrap w:val="0"/>
                  <w:vAlign w:val="center"/>
                </w:tcPr>
                <w:p w14:paraId="3AE71A7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strike/>
                      <w:color w:val="auto"/>
                      <w:kern w:val="0"/>
                      <w:sz w:val="18"/>
                      <w:szCs w:val="18"/>
                      <w:highlight w:val="none"/>
                    </w:rPr>
                  </w:pPr>
                  <w:r>
                    <w:rPr>
                      <w:rFonts w:hint="default" w:ascii="Times New Roman" w:hAnsi="Times New Roman" w:cs="Times New Roman"/>
                      <w:color w:val="auto"/>
                      <w:kern w:val="0"/>
                      <w:sz w:val="18"/>
                      <w:szCs w:val="18"/>
                      <w:highlight w:val="none"/>
                    </w:rPr>
                    <w:t>/</w:t>
                  </w:r>
                </w:p>
              </w:tc>
            </w:tr>
            <w:tr w14:paraId="77AD7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93" w:hRule="atLeast"/>
                <w:jc w:val="center"/>
              </w:trPr>
              <w:tc>
                <w:tcPr>
                  <w:tcW w:w="1205" w:type="dxa"/>
                  <w:vMerge w:val="continue"/>
                  <w:shd w:val="clear" w:color="auto" w:fill="FFFFFF"/>
                  <w:noWrap w:val="0"/>
                  <w:vAlign w:val="center"/>
                </w:tcPr>
                <w:p w14:paraId="4D3DBA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kern w:val="0"/>
                      <w:sz w:val="18"/>
                      <w:szCs w:val="18"/>
                      <w:highlight w:val="none"/>
                    </w:rPr>
                  </w:pPr>
                </w:p>
              </w:tc>
              <w:tc>
                <w:tcPr>
                  <w:tcW w:w="2094" w:type="dxa"/>
                  <w:shd w:val="clear" w:color="auto" w:fill="FFFFFF"/>
                  <w:noWrap w:val="0"/>
                  <w:vAlign w:val="center"/>
                </w:tcPr>
                <w:p w14:paraId="5A7DE35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便携式烟气分析仪</w:t>
                  </w:r>
                </w:p>
              </w:tc>
              <w:tc>
                <w:tcPr>
                  <w:tcW w:w="678" w:type="dxa"/>
                  <w:shd w:val="clear" w:color="auto" w:fill="FFFFFF"/>
                  <w:noWrap w:val="0"/>
                  <w:vAlign w:val="center"/>
                </w:tcPr>
                <w:p w14:paraId="2836DE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2</w:t>
                  </w:r>
                </w:p>
              </w:tc>
              <w:tc>
                <w:tcPr>
                  <w:tcW w:w="2019" w:type="dxa"/>
                  <w:shd w:val="clear" w:color="auto" w:fill="FFFFFF"/>
                  <w:noWrap w:val="0"/>
                  <w:vAlign w:val="center"/>
                </w:tcPr>
                <w:p w14:paraId="0D5A5E9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满足废气O</w:t>
                  </w:r>
                  <w:r>
                    <w:rPr>
                      <w:rFonts w:hint="default" w:ascii="Times New Roman" w:hAnsi="Times New Roman" w:cs="Times New Roman"/>
                      <w:color w:val="auto"/>
                      <w:kern w:val="0"/>
                      <w:sz w:val="18"/>
                      <w:szCs w:val="18"/>
                      <w:highlight w:val="none"/>
                      <w:vertAlign w:val="subscript"/>
                    </w:rPr>
                    <w:t>2</w:t>
                  </w:r>
                  <w:r>
                    <w:rPr>
                      <w:rFonts w:hint="default" w:ascii="Times New Roman" w:hAnsi="Times New Roman" w:cs="Times New Roman"/>
                      <w:color w:val="auto"/>
                      <w:kern w:val="0"/>
                      <w:sz w:val="18"/>
                      <w:szCs w:val="18"/>
                      <w:highlight w:val="none"/>
                    </w:rPr>
                    <w:t>、SO</w:t>
                  </w:r>
                  <w:r>
                    <w:rPr>
                      <w:rFonts w:hint="default" w:ascii="Times New Roman" w:hAnsi="Times New Roman" w:cs="Times New Roman"/>
                      <w:color w:val="auto"/>
                      <w:kern w:val="0"/>
                      <w:sz w:val="18"/>
                      <w:szCs w:val="18"/>
                      <w:highlight w:val="none"/>
                      <w:vertAlign w:val="subscript"/>
                    </w:rPr>
                    <w:t>2</w:t>
                  </w:r>
                  <w:r>
                    <w:rPr>
                      <w:rFonts w:hint="default" w:ascii="Times New Roman" w:hAnsi="Times New Roman" w:cs="Times New Roman"/>
                      <w:color w:val="auto"/>
                      <w:kern w:val="0"/>
                      <w:sz w:val="18"/>
                      <w:szCs w:val="18"/>
                      <w:highlight w:val="none"/>
                    </w:rPr>
                    <w:t>、NO、NO</w:t>
                  </w:r>
                  <w:r>
                    <w:rPr>
                      <w:rFonts w:hint="default" w:ascii="Times New Roman" w:hAnsi="Times New Roman" w:cs="Times New Roman"/>
                      <w:color w:val="auto"/>
                      <w:kern w:val="0"/>
                      <w:sz w:val="18"/>
                      <w:szCs w:val="18"/>
                      <w:highlight w:val="none"/>
                      <w:vertAlign w:val="subscript"/>
                    </w:rPr>
                    <w:t>2</w:t>
                  </w:r>
                  <w:r>
                    <w:rPr>
                      <w:rFonts w:hint="default" w:ascii="Times New Roman" w:hAnsi="Times New Roman" w:cs="Times New Roman"/>
                      <w:color w:val="auto"/>
                      <w:kern w:val="0"/>
                      <w:sz w:val="18"/>
                      <w:szCs w:val="18"/>
                      <w:highlight w:val="none"/>
                    </w:rPr>
                    <w:t>、CO等项目现场分析设备</w:t>
                  </w:r>
                </w:p>
              </w:tc>
              <w:tc>
                <w:tcPr>
                  <w:tcW w:w="861" w:type="dxa"/>
                  <w:shd w:val="clear" w:color="auto" w:fill="FFFFFF"/>
                  <w:noWrap w:val="0"/>
                  <w:vAlign w:val="center"/>
                </w:tcPr>
                <w:p w14:paraId="6510C244">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w:t>
                  </w:r>
                </w:p>
              </w:tc>
            </w:tr>
            <w:tr w14:paraId="2FCB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71" w:hRule="atLeast"/>
                <w:jc w:val="center"/>
              </w:trPr>
              <w:tc>
                <w:tcPr>
                  <w:tcW w:w="1205" w:type="dxa"/>
                  <w:vMerge w:val="continue"/>
                  <w:shd w:val="clear" w:color="auto" w:fill="FFFFFF"/>
                  <w:noWrap w:val="0"/>
                  <w:vAlign w:val="center"/>
                </w:tcPr>
                <w:p w14:paraId="0305FAD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kern w:val="0"/>
                      <w:sz w:val="18"/>
                      <w:szCs w:val="18"/>
                      <w:highlight w:val="none"/>
                    </w:rPr>
                  </w:pPr>
                </w:p>
              </w:tc>
              <w:tc>
                <w:tcPr>
                  <w:tcW w:w="2094" w:type="dxa"/>
                  <w:shd w:val="clear" w:color="auto" w:fill="FFFFFF"/>
                  <w:noWrap w:val="0"/>
                  <w:vAlign w:val="center"/>
                </w:tcPr>
                <w:p w14:paraId="47BB475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智能双路烟气采样器</w:t>
                  </w:r>
                </w:p>
              </w:tc>
              <w:tc>
                <w:tcPr>
                  <w:tcW w:w="678" w:type="dxa"/>
                  <w:shd w:val="clear" w:color="auto" w:fill="FFFFFF"/>
                  <w:noWrap w:val="0"/>
                  <w:vAlign w:val="center"/>
                </w:tcPr>
                <w:p w14:paraId="072CF8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2</w:t>
                  </w:r>
                </w:p>
              </w:tc>
              <w:tc>
                <w:tcPr>
                  <w:tcW w:w="2019" w:type="dxa"/>
                  <w:shd w:val="clear" w:color="auto" w:fill="FFFFFF"/>
                  <w:noWrap w:val="0"/>
                  <w:vAlign w:val="center"/>
                </w:tcPr>
                <w:p w14:paraId="729F0D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满足</w:t>
                  </w:r>
                  <w:r>
                    <w:rPr>
                      <w:rFonts w:hint="default" w:ascii="Times New Roman" w:hAnsi="Times New Roman" w:cs="Times New Roman"/>
                      <w:color w:val="auto"/>
                      <w:kern w:val="0"/>
                      <w:sz w:val="18"/>
                      <w:szCs w:val="18"/>
                      <w:highlight w:val="none"/>
                      <w:lang w:val="en-US" w:eastAsia="zh-CN"/>
                    </w:rPr>
                    <w:t>汞、氯化氢等</w:t>
                  </w:r>
                  <w:r>
                    <w:rPr>
                      <w:rFonts w:hint="default" w:ascii="Times New Roman" w:hAnsi="Times New Roman" w:cs="Times New Roman"/>
                      <w:color w:val="auto"/>
                      <w:kern w:val="0"/>
                      <w:sz w:val="18"/>
                      <w:szCs w:val="18"/>
                      <w:highlight w:val="none"/>
                    </w:rPr>
                    <w:t>气体吸收液采样设备</w:t>
                  </w:r>
                </w:p>
              </w:tc>
              <w:tc>
                <w:tcPr>
                  <w:tcW w:w="861" w:type="dxa"/>
                  <w:shd w:val="clear" w:color="auto" w:fill="FFFFFF"/>
                  <w:noWrap w:val="0"/>
                  <w:vAlign w:val="center"/>
                </w:tcPr>
                <w:p w14:paraId="45F1DA4D">
                  <w:pPr>
                    <w:keepNext w:val="0"/>
                    <w:keepLines w:val="0"/>
                    <w:pageBreakBefore w:val="0"/>
                    <w:kinsoku/>
                    <w:wordWrap/>
                    <w:overflowPunct/>
                    <w:topLinePunct w:val="0"/>
                    <w:autoSpaceDE/>
                    <w:autoSpaceDN/>
                    <w:bidi w:val="0"/>
                    <w:adjustRightInd/>
                    <w:snapToGrid/>
                    <w:spacing w:line="240" w:lineRule="auto"/>
                    <w:ind w:firstLine="0" w:firstLineChars="0"/>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w:t>
                  </w:r>
                </w:p>
              </w:tc>
            </w:tr>
            <w:tr w14:paraId="0F8E5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05" w:type="dxa"/>
                  <w:vMerge w:val="continue"/>
                  <w:shd w:val="clear" w:color="auto" w:fill="FFFFFF"/>
                  <w:noWrap w:val="0"/>
                  <w:vAlign w:val="center"/>
                </w:tcPr>
                <w:p w14:paraId="6808AB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kern w:val="0"/>
                      <w:sz w:val="18"/>
                      <w:szCs w:val="18"/>
                      <w:highlight w:val="none"/>
                    </w:rPr>
                  </w:pPr>
                </w:p>
              </w:tc>
              <w:tc>
                <w:tcPr>
                  <w:tcW w:w="2094" w:type="dxa"/>
                  <w:shd w:val="clear" w:color="auto" w:fill="FFFFFF"/>
                  <w:noWrap w:val="0"/>
                  <w:vAlign w:val="center"/>
                </w:tcPr>
                <w:p w14:paraId="79724FE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便携式金属抽滤器</w:t>
                  </w:r>
                </w:p>
              </w:tc>
              <w:tc>
                <w:tcPr>
                  <w:tcW w:w="678" w:type="dxa"/>
                  <w:shd w:val="clear" w:color="auto" w:fill="FFFFFF"/>
                  <w:noWrap w:val="0"/>
                  <w:vAlign w:val="center"/>
                </w:tcPr>
                <w:p w14:paraId="7ADE6E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2</w:t>
                  </w:r>
                </w:p>
              </w:tc>
              <w:tc>
                <w:tcPr>
                  <w:tcW w:w="2019" w:type="dxa"/>
                  <w:shd w:val="clear" w:color="auto" w:fill="FFFFFF"/>
                  <w:noWrap w:val="0"/>
                  <w:vAlign w:val="center"/>
                </w:tcPr>
                <w:p w14:paraId="4A1EB3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满足可溶态金属抽滤设备</w:t>
                  </w:r>
                </w:p>
              </w:tc>
              <w:tc>
                <w:tcPr>
                  <w:tcW w:w="861" w:type="dxa"/>
                  <w:shd w:val="clear" w:color="auto" w:fill="FFFFFF"/>
                  <w:noWrap w:val="0"/>
                  <w:vAlign w:val="center"/>
                </w:tcPr>
                <w:p w14:paraId="0E19981C">
                  <w:pPr>
                    <w:keepNext w:val="0"/>
                    <w:keepLines w:val="0"/>
                    <w:pageBreakBefore w:val="0"/>
                    <w:kinsoku/>
                    <w:wordWrap/>
                    <w:overflowPunct/>
                    <w:topLinePunct w:val="0"/>
                    <w:autoSpaceDE/>
                    <w:autoSpaceDN/>
                    <w:bidi w:val="0"/>
                    <w:adjustRightInd/>
                    <w:snapToGrid/>
                    <w:spacing w:line="240" w:lineRule="auto"/>
                    <w:ind w:firstLine="0" w:firstLineChars="0"/>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w:t>
                  </w:r>
                </w:p>
              </w:tc>
            </w:tr>
            <w:tr w14:paraId="17B6E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65" w:hRule="atLeast"/>
                <w:jc w:val="center"/>
              </w:trPr>
              <w:tc>
                <w:tcPr>
                  <w:tcW w:w="1205" w:type="dxa"/>
                  <w:vMerge w:val="restart"/>
                  <w:shd w:val="clear" w:color="auto" w:fill="FFFFFF"/>
                  <w:noWrap w:val="0"/>
                  <w:vAlign w:val="center"/>
                </w:tcPr>
                <w:p w14:paraId="5D91B02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实验室分析仪器</w:t>
                  </w:r>
                </w:p>
              </w:tc>
              <w:tc>
                <w:tcPr>
                  <w:tcW w:w="2094" w:type="dxa"/>
                  <w:shd w:val="clear" w:color="auto" w:fill="FFFFFF"/>
                  <w:noWrap w:val="0"/>
                  <w:vAlign w:val="center"/>
                </w:tcPr>
                <w:p w14:paraId="0BC32F4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sym w:font="Wingdings" w:char="F075"/>
                  </w:r>
                  <w:r>
                    <w:rPr>
                      <w:rFonts w:hint="default" w:ascii="Times New Roman" w:hAnsi="Times New Roman" w:cs="Times New Roman"/>
                      <w:color w:val="auto"/>
                      <w:kern w:val="0"/>
                      <w:sz w:val="18"/>
                      <w:szCs w:val="18"/>
                      <w:highlight w:val="none"/>
                    </w:rPr>
                    <w:t>电感耦合等离子体质谱仪</w:t>
                  </w:r>
                </w:p>
              </w:tc>
              <w:tc>
                <w:tcPr>
                  <w:tcW w:w="678" w:type="dxa"/>
                  <w:shd w:val="clear" w:color="auto" w:fill="FFFFFF"/>
                  <w:noWrap w:val="0"/>
                  <w:vAlign w:val="center"/>
                </w:tcPr>
                <w:p w14:paraId="602218B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1</w:t>
                  </w:r>
                </w:p>
              </w:tc>
              <w:tc>
                <w:tcPr>
                  <w:tcW w:w="2019" w:type="dxa"/>
                  <w:shd w:val="clear" w:color="auto" w:fill="FFFFFF"/>
                  <w:noWrap w:val="0"/>
                  <w:vAlign w:val="center"/>
                </w:tcPr>
                <w:p w14:paraId="6EBDE83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strike/>
                      <w:color w:val="auto"/>
                      <w:kern w:val="0"/>
                      <w:sz w:val="18"/>
                      <w:szCs w:val="18"/>
                      <w:highlight w:val="none"/>
                    </w:rPr>
                  </w:pPr>
                  <w:r>
                    <w:rPr>
                      <w:rFonts w:hint="default" w:ascii="Times New Roman" w:hAnsi="Times New Roman" w:cs="Times New Roman"/>
                      <w:color w:val="auto"/>
                      <w:kern w:val="0"/>
                      <w:sz w:val="18"/>
                      <w:szCs w:val="18"/>
                      <w:highlight w:val="none"/>
                    </w:rPr>
                    <w:t>/</w:t>
                  </w:r>
                </w:p>
              </w:tc>
              <w:tc>
                <w:tcPr>
                  <w:tcW w:w="861" w:type="dxa"/>
                  <w:shd w:val="clear" w:color="auto" w:fill="FFFFFF"/>
                  <w:noWrap w:val="0"/>
                  <w:vAlign w:val="center"/>
                </w:tcPr>
                <w:p w14:paraId="09460A7A">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w:t>
                  </w:r>
                </w:p>
              </w:tc>
            </w:tr>
            <w:tr w14:paraId="7B49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65" w:hRule="atLeast"/>
                <w:jc w:val="center"/>
              </w:trPr>
              <w:tc>
                <w:tcPr>
                  <w:tcW w:w="1205" w:type="dxa"/>
                  <w:vMerge w:val="continue"/>
                  <w:shd w:val="clear" w:color="auto" w:fill="FFFFFF"/>
                  <w:noWrap w:val="0"/>
                  <w:vAlign w:val="center"/>
                </w:tcPr>
                <w:p w14:paraId="44613D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kern w:val="0"/>
                      <w:sz w:val="18"/>
                      <w:szCs w:val="18"/>
                      <w:highlight w:val="none"/>
                    </w:rPr>
                  </w:pPr>
                </w:p>
              </w:tc>
              <w:tc>
                <w:tcPr>
                  <w:tcW w:w="2094" w:type="dxa"/>
                  <w:shd w:val="clear" w:color="auto" w:fill="FFFFFF"/>
                  <w:noWrap w:val="0"/>
                  <w:vAlign w:val="center"/>
                </w:tcPr>
                <w:p w14:paraId="565B101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sym w:font="Wingdings" w:char="F075"/>
                  </w:r>
                  <w:r>
                    <w:rPr>
                      <w:rFonts w:hint="default" w:ascii="Times New Roman" w:hAnsi="Times New Roman" w:cs="Times New Roman"/>
                      <w:color w:val="auto"/>
                      <w:kern w:val="0"/>
                      <w:sz w:val="18"/>
                      <w:szCs w:val="18"/>
                      <w:highlight w:val="none"/>
                    </w:rPr>
                    <w:t>电感耦合等离子体光谱仪</w:t>
                  </w:r>
                </w:p>
              </w:tc>
              <w:tc>
                <w:tcPr>
                  <w:tcW w:w="678" w:type="dxa"/>
                  <w:shd w:val="clear" w:color="auto" w:fill="FFFFFF"/>
                  <w:noWrap w:val="0"/>
                  <w:vAlign w:val="center"/>
                </w:tcPr>
                <w:p w14:paraId="27A3A32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1</w:t>
                  </w:r>
                </w:p>
              </w:tc>
              <w:tc>
                <w:tcPr>
                  <w:tcW w:w="2019" w:type="dxa"/>
                  <w:shd w:val="clear" w:color="auto" w:fill="FFFFFF"/>
                  <w:noWrap w:val="0"/>
                  <w:vAlign w:val="center"/>
                </w:tcPr>
                <w:p w14:paraId="104D0A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w:t>
                  </w:r>
                </w:p>
              </w:tc>
              <w:tc>
                <w:tcPr>
                  <w:tcW w:w="861" w:type="dxa"/>
                  <w:shd w:val="clear" w:color="auto" w:fill="FFFFFF"/>
                  <w:noWrap w:val="0"/>
                  <w:vAlign w:val="center"/>
                </w:tcPr>
                <w:p w14:paraId="0DD915BE">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w:t>
                  </w:r>
                </w:p>
              </w:tc>
            </w:tr>
            <w:tr w14:paraId="559B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50" w:hRule="atLeast"/>
                <w:jc w:val="center"/>
              </w:trPr>
              <w:tc>
                <w:tcPr>
                  <w:tcW w:w="1205" w:type="dxa"/>
                  <w:vMerge w:val="continue"/>
                  <w:shd w:val="clear" w:color="auto" w:fill="FFFFFF"/>
                  <w:noWrap w:val="0"/>
                  <w:vAlign w:val="center"/>
                </w:tcPr>
                <w:p w14:paraId="2B4DC71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kern w:val="0"/>
                      <w:sz w:val="18"/>
                      <w:szCs w:val="18"/>
                      <w:highlight w:val="none"/>
                    </w:rPr>
                  </w:pPr>
                </w:p>
              </w:tc>
              <w:tc>
                <w:tcPr>
                  <w:tcW w:w="2094" w:type="dxa"/>
                  <w:shd w:val="clear" w:color="auto" w:fill="FFFFFF"/>
                  <w:noWrap w:val="0"/>
                  <w:vAlign w:val="center"/>
                </w:tcPr>
                <w:p w14:paraId="1AC027F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sym w:font="Wingdings" w:char="F075"/>
                  </w:r>
                  <w:r>
                    <w:rPr>
                      <w:rFonts w:hint="default" w:ascii="Times New Roman" w:hAnsi="Times New Roman" w:cs="Times New Roman"/>
                      <w:color w:val="auto"/>
                      <w:kern w:val="0"/>
                      <w:sz w:val="18"/>
                      <w:szCs w:val="18"/>
                      <w:highlight w:val="none"/>
                    </w:rPr>
                    <w:t>原子荧光光谱仪</w:t>
                  </w:r>
                </w:p>
              </w:tc>
              <w:tc>
                <w:tcPr>
                  <w:tcW w:w="678" w:type="dxa"/>
                  <w:shd w:val="clear" w:color="auto" w:fill="FFFFFF"/>
                  <w:noWrap w:val="0"/>
                  <w:vAlign w:val="center"/>
                </w:tcPr>
                <w:p w14:paraId="1E7803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1</w:t>
                  </w:r>
                </w:p>
              </w:tc>
              <w:tc>
                <w:tcPr>
                  <w:tcW w:w="2019" w:type="dxa"/>
                  <w:shd w:val="clear" w:color="auto" w:fill="FFFFFF"/>
                  <w:noWrap w:val="0"/>
                  <w:vAlign w:val="center"/>
                </w:tcPr>
                <w:p w14:paraId="6FA1009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w:t>
                  </w:r>
                </w:p>
              </w:tc>
              <w:tc>
                <w:tcPr>
                  <w:tcW w:w="861" w:type="dxa"/>
                  <w:shd w:val="clear" w:color="auto" w:fill="FFFFFF"/>
                  <w:noWrap w:val="0"/>
                  <w:vAlign w:val="center"/>
                </w:tcPr>
                <w:p w14:paraId="51511F66">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w:t>
                  </w:r>
                </w:p>
              </w:tc>
            </w:tr>
            <w:tr w14:paraId="427A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50" w:hRule="atLeast"/>
                <w:jc w:val="center"/>
              </w:trPr>
              <w:tc>
                <w:tcPr>
                  <w:tcW w:w="1205" w:type="dxa"/>
                  <w:vMerge w:val="continue"/>
                  <w:shd w:val="clear" w:color="auto" w:fill="FFFFFF"/>
                  <w:noWrap w:val="0"/>
                  <w:vAlign w:val="center"/>
                </w:tcPr>
                <w:p w14:paraId="15A3A5B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kern w:val="0"/>
                      <w:sz w:val="18"/>
                      <w:szCs w:val="18"/>
                      <w:highlight w:val="none"/>
                    </w:rPr>
                  </w:pPr>
                </w:p>
              </w:tc>
              <w:tc>
                <w:tcPr>
                  <w:tcW w:w="2094" w:type="dxa"/>
                  <w:shd w:val="clear" w:color="auto" w:fill="FFFFFF"/>
                  <w:noWrap w:val="0"/>
                  <w:vAlign w:val="center"/>
                </w:tcPr>
                <w:p w14:paraId="11E4AA9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sym w:font="Wingdings" w:char="F075"/>
                  </w:r>
                  <w:r>
                    <w:rPr>
                      <w:rFonts w:hint="default" w:ascii="Times New Roman" w:hAnsi="Times New Roman" w:cs="Times New Roman"/>
                      <w:color w:val="auto"/>
                      <w:kern w:val="0"/>
                      <w:sz w:val="18"/>
                      <w:szCs w:val="18"/>
                      <w:highlight w:val="none"/>
                    </w:rPr>
                    <w:t>气相色谱仪</w:t>
                  </w:r>
                </w:p>
              </w:tc>
              <w:tc>
                <w:tcPr>
                  <w:tcW w:w="678" w:type="dxa"/>
                  <w:shd w:val="clear" w:color="auto" w:fill="FFFFFF"/>
                  <w:noWrap w:val="0"/>
                  <w:vAlign w:val="center"/>
                </w:tcPr>
                <w:p w14:paraId="2BEDB95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1</w:t>
                  </w:r>
                </w:p>
              </w:tc>
              <w:tc>
                <w:tcPr>
                  <w:tcW w:w="2019" w:type="dxa"/>
                  <w:shd w:val="clear" w:color="auto" w:fill="FFFFFF"/>
                  <w:noWrap w:val="0"/>
                  <w:vAlign w:val="center"/>
                </w:tcPr>
                <w:p w14:paraId="7AC2D6F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w:t>
                  </w:r>
                </w:p>
              </w:tc>
              <w:tc>
                <w:tcPr>
                  <w:tcW w:w="861" w:type="dxa"/>
                  <w:shd w:val="clear" w:color="auto" w:fill="FFFFFF"/>
                  <w:noWrap w:val="0"/>
                  <w:vAlign w:val="center"/>
                </w:tcPr>
                <w:p w14:paraId="62193A96">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w:t>
                  </w:r>
                </w:p>
              </w:tc>
            </w:tr>
            <w:tr w14:paraId="225F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50" w:hRule="atLeast"/>
                <w:jc w:val="center"/>
              </w:trPr>
              <w:tc>
                <w:tcPr>
                  <w:tcW w:w="1205" w:type="dxa"/>
                  <w:vMerge w:val="continue"/>
                  <w:shd w:val="clear" w:color="auto" w:fill="FFFFFF"/>
                  <w:noWrap w:val="0"/>
                  <w:vAlign w:val="center"/>
                </w:tcPr>
                <w:p w14:paraId="31397FA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kern w:val="0"/>
                      <w:sz w:val="18"/>
                      <w:szCs w:val="18"/>
                      <w:highlight w:val="none"/>
                    </w:rPr>
                  </w:pPr>
                </w:p>
              </w:tc>
              <w:tc>
                <w:tcPr>
                  <w:tcW w:w="2094" w:type="dxa"/>
                  <w:shd w:val="clear" w:color="auto" w:fill="FFFFFF"/>
                  <w:noWrap w:val="0"/>
                  <w:vAlign w:val="center"/>
                </w:tcPr>
                <w:p w14:paraId="02CA72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sym w:font="Wingdings" w:char="F075"/>
                  </w:r>
                  <w:r>
                    <w:rPr>
                      <w:rFonts w:hint="default" w:ascii="Times New Roman" w:hAnsi="Times New Roman" w:cs="Times New Roman"/>
                      <w:color w:val="auto"/>
                      <w:kern w:val="0"/>
                      <w:sz w:val="18"/>
                      <w:szCs w:val="18"/>
                      <w:highlight w:val="none"/>
                    </w:rPr>
                    <w:t>气相色谱质谱联用仪</w:t>
                  </w:r>
                </w:p>
              </w:tc>
              <w:tc>
                <w:tcPr>
                  <w:tcW w:w="678" w:type="dxa"/>
                  <w:shd w:val="clear" w:color="auto" w:fill="FFFFFF"/>
                  <w:noWrap w:val="0"/>
                  <w:vAlign w:val="center"/>
                </w:tcPr>
                <w:p w14:paraId="7E6802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1</w:t>
                  </w:r>
                </w:p>
              </w:tc>
              <w:tc>
                <w:tcPr>
                  <w:tcW w:w="2019" w:type="dxa"/>
                  <w:shd w:val="clear" w:color="auto" w:fill="FFFFFF"/>
                  <w:noWrap w:val="0"/>
                  <w:vAlign w:val="center"/>
                </w:tcPr>
                <w:p w14:paraId="3E0AD9B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w:t>
                  </w:r>
                </w:p>
              </w:tc>
              <w:tc>
                <w:tcPr>
                  <w:tcW w:w="861" w:type="dxa"/>
                  <w:shd w:val="clear" w:color="auto" w:fill="FFFFFF"/>
                  <w:noWrap w:val="0"/>
                  <w:vAlign w:val="center"/>
                </w:tcPr>
                <w:p w14:paraId="7F248B7A">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w:t>
                  </w:r>
                </w:p>
              </w:tc>
            </w:tr>
            <w:tr w14:paraId="45D1C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91" w:hRule="atLeast"/>
                <w:jc w:val="center"/>
              </w:trPr>
              <w:tc>
                <w:tcPr>
                  <w:tcW w:w="1205" w:type="dxa"/>
                  <w:vMerge w:val="continue"/>
                  <w:shd w:val="clear" w:color="auto" w:fill="FFFFFF"/>
                  <w:noWrap w:val="0"/>
                  <w:vAlign w:val="center"/>
                </w:tcPr>
                <w:p w14:paraId="4E1370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kern w:val="0"/>
                      <w:sz w:val="18"/>
                      <w:szCs w:val="18"/>
                      <w:highlight w:val="none"/>
                    </w:rPr>
                  </w:pPr>
                </w:p>
              </w:tc>
              <w:tc>
                <w:tcPr>
                  <w:tcW w:w="2094" w:type="dxa"/>
                  <w:shd w:val="clear" w:color="auto" w:fill="FFFFFF"/>
                  <w:noWrap w:val="0"/>
                  <w:vAlign w:val="center"/>
                </w:tcPr>
                <w:p w14:paraId="468AFB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紫外可见分光光度计</w:t>
                  </w:r>
                </w:p>
                <w:p w14:paraId="35BBDCA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（多波长）</w:t>
                  </w:r>
                </w:p>
              </w:tc>
              <w:tc>
                <w:tcPr>
                  <w:tcW w:w="678" w:type="dxa"/>
                  <w:shd w:val="clear" w:color="auto" w:fill="FFFFFF"/>
                  <w:noWrap w:val="0"/>
                  <w:vAlign w:val="center"/>
                </w:tcPr>
                <w:p w14:paraId="7495228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1</w:t>
                  </w:r>
                </w:p>
              </w:tc>
              <w:tc>
                <w:tcPr>
                  <w:tcW w:w="2019" w:type="dxa"/>
                  <w:shd w:val="clear" w:color="auto" w:fill="FFFFFF"/>
                  <w:noWrap w:val="0"/>
                  <w:vAlign w:val="center"/>
                </w:tcPr>
                <w:p w14:paraId="3C3F707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w:t>
                  </w:r>
                </w:p>
              </w:tc>
              <w:tc>
                <w:tcPr>
                  <w:tcW w:w="861" w:type="dxa"/>
                  <w:shd w:val="clear" w:color="auto" w:fill="FFFFFF"/>
                  <w:noWrap w:val="0"/>
                  <w:vAlign w:val="center"/>
                </w:tcPr>
                <w:p w14:paraId="3B9B712D">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w:t>
                  </w:r>
                </w:p>
              </w:tc>
            </w:tr>
          </w:tbl>
          <w:p w14:paraId="1B77B66B">
            <w:pPr>
              <w:adjustRightInd w:val="0"/>
              <w:snapToGrid w:val="0"/>
              <w:spacing w:line="480" w:lineRule="exact"/>
              <w:ind w:firstLine="420" w:firstLineChars="200"/>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供应商提供与本项目相关的仪器设备</w:t>
            </w:r>
            <w:r>
              <w:rPr>
                <w:rFonts w:hint="default" w:ascii="Times New Roman" w:hAnsi="Times New Roman" w:cs="Times New Roman"/>
                <w:color w:val="auto"/>
                <w:szCs w:val="21"/>
                <w:highlight w:val="none"/>
              </w:rPr>
              <w:t>（满足表内所列条件得2分）</w:t>
            </w:r>
            <w:r>
              <w:rPr>
                <w:rFonts w:hint="default" w:ascii="Times New Roman" w:hAnsi="Times New Roman" w:cs="Times New Roman"/>
                <w:bCs/>
                <w:color w:val="auto"/>
                <w:highlight w:val="none"/>
              </w:rPr>
              <w:t>；每增加投入1</w:t>
            </w:r>
            <w:r>
              <w:rPr>
                <w:rFonts w:hint="default" w:ascii="Times New Roman" w:hAnsi="Times New Roman" w:cs="Times New Roman"/>
                <w:bCs/>
                <w:color w:val="auto"/>
                <w:highlight w:val="none"/>
                <w:lang w:eastAsia="zh-CN"/>
              </w:rPr>
              <w:t>台标有</w:t>
            </w:r>
            <w:r>
              <w:rPr>
                <w:rFonts w:hint="default" w:ascii="Times New Roman" w:hAnsi="Times New Roman" w:cs="Times New Roman"/>
                <w:bCs/>
                <w:color w:val="auto"/>
                <w:highlight w:val="none"/>
              </w:rPr>
              <w:t>“</w:t>
            </w:r>
            <w:r>
              <w:rPr>
                <w:rFonts w:hint="default" w:ascii="Times New Roman" w:hAnsi="Times New Roman" w:cs="Times New Roman"/>
                <w:color w:val="auto"/>
                <w:kern w:val="0"/>
                <w:sz w:val="16"/>
                <w:szCs w:val="16"/>
                <w:highlight w:val="none"/>
              </w:rPr>
              <w:sym w:font="Wingdings" w:char="F075"/>
            </w:r>
            <w:r>
              <w:rPr>
                <w:rFonts w:hint="default" w:ascii="Times New Roman" w:hAnsi="Times New Roman" w:cs="Times New Roman"/>
                <w:bCs/>
                <w:color w:val="auto"/>
                <w:highlight w:val="none"/>
              </w:rPr>
              <w:t>”</w:t>
            </w:r>
            <w:r>
              <w:rPr>
                <w:rFonts w:hint="default" w:ascii="Times New Roman" w:hAnsi="Times New Roman" w:cs="Times New Roman"/>
                <w:bCs/>
                <w:color w:val="auto"/>
                <w:highlight w:val="none"/>
                <w:lang w:eastAsia="zh-CN"/>
              </w:rPr>
              <w:t>的仪器</w:t>
            </w:r>
            <w:r>
              <w:rPr>
                <w:rFonts w:hint="default" w:ascii="Times New Roman" w:hAnsi="Times New Roman" w:cs="Times New Roman"/>
                <w:bCs/>
                <w:color w:val="auto"/>
                <w:highlight w:val="none"/>
              </w:rPr>
              <w:t>加2分，其余每台加0.5分，满分10分。</w:t>
            </w:r>
            <w:r>
              <w:rPr>
                <w:rFonts w:hint="default" w:ascii="Times New Roman" w:hAnsi="Times New Roman" w:cs="Times New Roman"/>
                <w:bCs/>
                <w:color w:val="auto"/>
                <w:szCs w:val="21"/>
                <w:highlight w:val="none"/>
              </w:rPr>
              <w:t>（竞标时提供仪器设备清单、出厂编号及采购发票或检定证书复印件</w:t>
            </w:r>
            <w:r>
              <w:rPr>
                <w:rFonts w:hint="default" w:ascii="Times New Roman" w:hAnsi="Times New Roman" w:cs="Times New Roman"/>
                <w:bCs/>
                <w:color w:val="auto"/>
                <w:szCs w:val="21"/>
                <w:highlight w:val="none"/>
                <w:lang w:eastAsia="zh-CN"/>
              </w:rPr>
              <w:t>、</w:t>
            </w:r>
            <w:r>
              <w:rPr>
                <w:rFonts w:hint="default" w:ascii="Times New Roman" w:hAnsi="Times New Roman" w:cs="Times New Roman"/>
                <w:color w:val="auto"/>
                <w:highlight w:val="none"/>
                <w:lang w:val="en-US" w:eastAsia="zh-CN"/>
              </w:rPr>
              <w:t>车辆行驶证复印件</w:t>
            </w:r>
            <w:r>
              <w:rPr>
                <w:rFonts w:hint="default" w:ascii="Times New Roman" w:hAnsi="Times New Roman" w:cs="Times New Roman"/>
                <w:bCs/>
                <w:color w:val="auto"/>
                <w:szCs w:val="21"/>
                <w:highlight w:val="none"/>
              </w:rPr>
              <w:t>。）</w:t>
            </w:r>
          </w:p>
          <w:p w14:paraId="625D9F52">
            <w:pPr>
              <w:adjustRightInd w:val="0"/>
              <w:snapToGrid w:val="0"/>
              <w:spacing w:line="480" w:lineRule="exact"/>
              <w:ind w:firstLine="420" w:firstLineChars="200"/>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②采样车辆投入情况（满分5分）</w:t>
            </w:r>
          </w:p>
          <w:p w14:paraId="6E2C6BDF">
            <w:pPr>
              <w:adjustRightInd w:val="0"/>
              <w:snapToGrid w:val="0"/>
              <w:spacing w:line="480" w:lineRule="exact"/>
              <w:ind w:firstLine="420" w:firstLineChars="200"/>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项目投入车辆（5座及以上）</w:t>
            </w:r>
            <w:r>
              <w:rPr>
                <w:rFonts w:hint="default" w:ascii="Times New Roman" w:hAnsi="Times New Roman" w:cs="Times New Roman"/>
                <w:bCs/>
                <w:color w:val="auto"/>
                <w:highlight w:val="none"/>
                <w:lang w:eastAsia="zh-CN"/>
              </w:rPr>
              <w:t>需</w:t>
            </w:r>
            <w:r>
              <w:rPr>
                <w:rFonts w:hint="default" w:ascii="Times New Roman" w:hAnsi="Times New Roman" w:cs="Times New Roman"/>
                <w:bCs/>
                <w:color w:val="auto"/>
                <w:highlight w:val="none"/>
              </w:rPr>
              <w:t>大于等于3辆，</w:t>
            </w:r>
            <w:r>
              <w:rPr>
                <w:rFonts w:hint="default" w:ascii="Times New Roman" w:hAnsi="Times New Roman" w:cs="Times New Roman"/>
                <w:bCs/>
                <w:color w:val="auto"/>
                <w:highlight w:val="none"/>
                <w:lang w:eastAsia="zh-CN"/>
              </w:rPr>
              <w:t>有</w:t>
            </w:r>
            <w:r>
              <w:rPr>
                <w:rFonts w:hint="default" w:ascii="Times New Roman" w:hAnsi="Times New Roman" w:cs="Times New Roman"/>
                <w:bCs/>
                <w:color w:val="auto"/>
                <w:szCs w:val="21"/>
                <w:highlight w:val="none"/>
              </w:rPr>
              <w:t>3辆得2分，每增加一辆得1分，满分5分</w:t>
            </w:r>
            <w:r>
              <w:rPr>
                <w:rFonts w:hint="default" w:ascii="Times New Roman" w:hAnsi="Times New Roman" w:cs="Times New Roman"/>
                <w:bCs/>
                <w:color w:val="auto"/>
                <w:highlight w:val="none"/>
              </w:rPr>
              <w:t>。（</w:t>
            </w:r>
            <w:r>
              <w:rPr>
                <w:rFonts w:hint="default" w:ascii="Times New Roman" w:hAnsi="Times New Roman" w:cs="Times New Roman"/>
                <w:bCs/>
                <w:color w:val="auto"/>
                <w:szCs w:val="21"/>
                <w:highlight w:val="none"/>
              </w:rPr>
              <w:t>竞标时</w:t>
            </w:r>
            <w:r>
              <w:rPr>
                <w:rFonts w:hint="default" w:ascii="Times New Roman" w:hAnsi="Times New Roman" w:cs="Times New Roman"/>
                <w:bCs/>
                <w:color w:val="auto"/>
                <w:highlight w:val="none"/>
              </w:rPr>
              <w:t>须提供车辆归属证明，或车辆租赁合同书。）</w:t>
            </w:r>
          </w:p>
          <w:p w14:paraId="5F50F78B">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rPr>
            </w:pPr>
          </w:p>
        </w:tc>
        <w:tc>
          <w:tcPr>
            <w:tcW w:w="631" w:type="dxa"/>
            <w:noWrap w:val="0"/>
            <w:vAlign w:val="center"/>
          </w:tcPr>
          <w:p w14:paraId="6D92CDC1">
            <w:pPr>
              <w:spacing w:line="360" w:lineRule="auto"/>
              <w:jc w:val="center"/>
              <w:rPr>
                <w:rFonts w:hint="default" w:ascii="宋体" w:hAnsi="宋体" w:eastAsia="宋体" w:cs="宋体"/>
                <w:color w:val="auto"/>
                <w:sz w:val="21"/>
                <w:szCs w:val="21"/>
                <w:highlight w:val="none"/>
                <w:lang w:val="en-US"/>
              </w:rPr>
            </w:pPr>
            <w:r>
              <w:rPr>
                <w:rFonts w:hint="eastAsia" w:hAnsi="宋体" w:cs="宋体"/>
                <w:color w:val="auto"/>
                <w:sz w:val="21"/>
                <w:szCs w:val="21"/>
                <w:highlight w:val="none"/>
                <w:lang w:val="en-US" w:eastAsia="zh-CN"/>
              </w:rPr>
              <w:t>74</w:t>
            </w:r>
          </w:p>
        </w:tc>
      </w:tr>
      <w:tr w14:paraId="59796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14:paraId="6AC7401B">
            <w:pPr>
              <w:pStyle w:val="6"/>
              <w:spacing w:line="360" w:lineRule="auto"/>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p>
        </w:tc>
        <w:tc>
          <w:tcPr>
            <w:tcW w:w="1080" w:type="dxa"/>
            <w:noWrap w:val="0"/>
            <w:vAlign w:val="center"/>
          </w:tcPr>
          <w:p w14:paraId="3F9F734A">
            <w:pPr>
              <w:pStyle w:val="6"/>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商务资信</w:t>
            </w:r>
          </w:p>
        </w:tc>
        <w:tc>
          <w:tcPr>
            <w:tcW w:w="7334" w:type="dxa"/>
            <w:noWrap w:val="0"/>
            <w:vAlign w:val="top"/>
          </w:tcPr>
          <w:p w14:paraId="232EDC5D">
            <w:pPr>
              <w:adjustRightInd w:val="0"/>
              <w:snapToGrid w:val="0"/>
              <w:spacing w:line="480" w:lineRule="exact"/>
              <w:ind w:firstLine="422" w:firstLineChars="200"/>
              <w:rPr>
                <w:rFonts w:hint="default" w:ascii="Times New Roman" w:hAnsi="Times New Roman" w:cs="Times New Roman"/>
                <w:color w:val="auto"/>
                <w:szCs w:val="21"/>
                <w:highlight w:val="none"/>
              </w:rPr>
            </w:pPr>
            <w:r>
              <w:rPr>
                <w:rFonts w:hint="default" w:ascii="Times New Roman" w:hAnsi="Times New Roman" w:cs="Times New Roman"/>
                <w:b/>
                <w:color w:val="auto"/>
                <w:highlight w:val="none"/>
              </w:rPr>
              <w:t>（1）供应商检验检测机构综合能力分</w:t>
            </w:r>
            <w:r>
              <w:rPr>
                <w:rFonts w:hint="default" w:ascii="Times New Roman" w:hAnsi="Times New Roman" w:cs="Times New Roman"/>
                <w:b/>
                <w:color w:val="auto"/>
                <w:szCs w:val="21"/>
                <w:highlight w:val="none"/>
              </w:rPr>
              <w:t>（满分5分</w:t>
            </w:r>
            <w:r>
              <w:rPr>
                <w:rFonts w:hint="default" w:ascii="Times New Roman" w:hAnsi="Times New Roman" w:cs="Times New Roman"/>
                <w:b/>
                <w:color w:val="auto"/>
                <w:szCs w:val="21"/>
                <w:highlight w:val="none"/>
                <w:lang w:eastAsia="zh-CN"/>
              </w:rPr>
              <w:t>）</w:t>
            </w:r>
          </w:p>
          <w:p w14:paraId="0001C01D">
            <w:pPr>
              <w:adjustRightInd w:val="0"/>
              <w:snapToGrid w:val="0"/>
              <w:spacing w:line="480" w:lineRule="exact"/>
              <w:ind w:firstLine="420" w:firstLineChars="200"/>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rPr>
              <w:t>2022年1月1日以来（以证书获得时间为准），参与</w:t>
            </w:r>
            <w:r>
              <w:rPr>
                <w:rFonts w:hint="default" w:ascii="Times New Roman" w:hAnsi="Times New Roman" w:cs="Times New Roman"/>
                <w:color w:val="auto"/>
                <w:szCs w:val="21"/>
                <w:highlight w:val="none"/>
                <w:lang w:val="en-US" w:eastAsia="zh-CN"/>
              </w:rPr>
              <w:t>国家环境监测网实验室能力考核、广西生态环境监测实验室能力考核、全区检验检测能力验证等</w:t>
            </w:r>
            <w:r>
              <w:rPr>
                <w:rFonts w:hint="default" w:ascii="Times New Roman" w:hAnsi="Times New Roman" w:cs="Times New Roman"/>
                <w:color w:val="auto"/>
                <w:szCs w:val="21"/>
                <w:highlight w:val="none"/>
              </w:rPr>
              <w:t>国家、省（自治区）级生态环境监测类能力考核、能力验证</w:t>
            </w:r>
            <w:r>
              <w:rPr>
                <w:rFonts w:hint="default" w:ascii="Times New Roman" w:hAnsi="Times New Roman" w:cs="Times New Roman"/>
                <w:color w:val="auto"/>
                <w:szCs w:val="21"/>
                <w:highlight w:val="none"/>
                <w:lang w:eastAsia="zh-CN"/>
              </w:rPr>
              <w:t>，并达到满意要求。</w:t>
            </w:r>
            <w:r>
              <w:rPr>
                <w:rFonts w:hint="default" w:ascii="Times New Roman" w:hAnsi="Times New Roman" w:cs="Times New Roman"/>
                <w:color w:val="auto"/>
                <w:szCs w:val="21"/>
                <w:highlight w:val="none"/>
              </w:rPr>
              <w:t>获得满意</w:t>
            </w:r>
            <w:r>
              <w:rPr>
                <w:rFonts w:hint="default" w:ascii="Times New Roman" w:hAnsi="Times New Roman" w:cs="Times New Roman"/>
                <w:color w:val="auto"/>
                <w:szCs w:val="21"/>
                <w:highlight w:val="none"/>
                <w:lang w:eastAsia="zh-CN"/>
              </w:rPr>
              <w:t>结果的6</w:t>
            </w:r>
            <w:r>
              <w:rPr>
                <w:rFonts w:hint="default" w:ascii="Times New Roman" w:hAnsi="Times New Roman" w:cs="Times New Roman"/>
                <w:color w:val="auto"/>
                <w:szCs w:val="21"/>
                <w:highlight w:val="none"/>
              </w:rPr>
              <w:t>-10项次得1分，11-15项次得3分，16项次及以上得5分（</w:t>
            </w:r>
            <w:r>
              <w:rPr>
                <w:rFonts w:hint="default" w:ascii="Times New Roman" w:hAnsi="Times New Roman" w:cs="Times New Roman"/>
                <w:bCs/>
                <w:color w:val="auto"/>
                <w:szCs w:val="21"/>
                <w:highlight w:val="none"/>
              </w:rPr>
              <w:t>竞标时</w:t>
            </w:r>
            <w:r>
              <w:rPr>
                <w:rFonts w:hint="default" w:ascii="Times New Roman" w:hAnsi="Times New Roman" w:cs="Times New Roman"/>
                <w:color w:val="auto"/>
                <w:szCs w:val="21"/>
                <w:highlight w:val="none"/>
              </w:rPr>
              <w:t>需提供证书复印件</w:t>
            </w:r>
            <w:r>
              <w:rPr>
                <w:rFonts w:hint="default" w:ascii="Times New Roman" w:hAnsi="Times New Roman" w:cs="Times New Roman"/>
                <w:color w:val="auto"/>
                <w:szCs w:val="21"/>
                <w:highlight w:val="none"/>
                <w:lang w:eastAsia="zh-CN"/>
              </w:rPr>
              <w:t>并加盖</w:t>
            </w:r>
            <w:r>
              <w:rPr>
                <w:rFonts w:hint="default" w:ascii="Times New Roman" w:hAnsi="Times New Roman" w:cs="Times New Roman"/>
                <w:color w:val="auto"/>
                <w:szCs w:val="21"/>
                <w:highlight w:val="none"/>
              </w:rPr>
              <w:t>单位公章）。</w:t>
            </w:r>
          </w:p>
          <w:p w14:paraId="202E16B2">
            <w:pPr>
              <w:adjustRightInd w:val="0"/>
              <w:snapToGrid w:val="0"/>
              <w:spacing w:line="480" w:lineRule="exact"/>
              <w:ind w:firstLine="422" w:firstLineChars="200"/>
              <w:rPr>
                <w:rFonts w:hint="default" w:ascii="Times New Roman" w:hAnsi="Times New Roman" w:cs="Times New Roman"/>
                <w:color w:val="auto"/>
                <w:szCs w:val="21"/>
                <w:highlight w:val="none"/>
              </w:rPr>
            </w:pPr>
            <w:r>
              <w:rPr>
                <w:rFonts w:hint="default" w:ascii="Times New Roman" w:hAnsi="Times New Roman" w:cs="Times New Roman"/>
                <w:b/>
                <w:color w:val="auto"/>
                <w:highlight w:val="none"/>
              </w:rPr>
              <w:t>（2）供应商业绩分（满分</w:t>
            </w:r>
            <w:r>
              <w:rPr>
                <w:rFonts w:hint="default" w:ascii="Times New Roman" w:hAnsi="Times New Roman" w:cs="Times New Roman"/>
                <w:b/>
                <w:color w:val="auto"/>
                <w:highlight w:val="none"/>
                <w:lang w:val="en-US" w:eastAsia="zh-CN"/>
              </w:rPr>
              <w:t>6</w:t>
            </w:r>
            <w:r>
              <w:rPr>
                <w:rFonts w:hint="default" w:ascii="Times New Roman" w:hAnsi="Times New Roman" w:cs="Times New Roman"/>
                <w:b/>
                <w:color w:val="auto"/>
                <w:highlight w:val="none"/>
              </w:rPr>
              <w:t>分</w:t>
            </w:r>
            <w:r>
              <w:rPr>
                <w:rFonts w:hint="default" w:ascii="Times New Roman" w:hAnsi="Times New Roman" w:cs="Times New Roman"/>
                <w:b/>
                <w:color w:val="auto"/>
                <w:highlight w:val="none"/>
                <w:lang w:eastAsia="zh-CN"/>
              </w:rPr>
              <w:t>）。</w:t>
            </w:r>
          </w:p>
          <w:p w14:paraId="0E9A3993">
            <w:pPr>
              <w:adjustRightInd w:val="0"/>
              <w:snapToGrid w:val="0"/>
              <w:spacing w:line="480" w:lineRule="exact"/>
              <w:ind w:firstLine="420" w:firstLineChars="200"/>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供应商</w:t>
            </w:r>
            <w:r>
              <w:rPr>
                <w:rFonts w:hint="default" w:ascii="Times New Roman" w:hAnsi="Times New Roman" w:cs="Times New Roman"/>
                <w:bCs/>
                <w:color w:val="auto"/>
                <w:highlight w:val="none"/>
                <w:lang w:eastAsia="zh-CN"/>
              </w:rPr>
              <w:t>自2022</w:t>
            </w:r>
            <w:r>
              <w:rPr>
                <w:rFonts w:hint="default" w:ascii="Times New Roman" w:hAnsi="Times New Roman" w:cs="Times New Roman"/>
                <w:bCs/>
                <w:color w:val="auto"/>
                <w:highlight w:val="none"/>
              </w:rPr>
              <w:t>年1月1日</w:t>
            </w:r>
            <w:r>
              <w:rPr>
                <w:rFonts w:hint="eastAsia" w:ascii="宋体" w:hAnsi="宋体" w:cs="宋体"/>
                <w:color w:val="auto"/>
                <w:szCs w:val="21"/>
                <w:highlight w:val="none"/>
              </w:rPr>
              <w:t>以来承接同类项目的业绩</w:t>
            </w:r>
            <w:r>
              <w:rPr>
                <w:rFonts w:hint="default" w:ascii="Times New Roman" w:hAnsi="Times New Roman" w:cs="Times New Roman"/>
                <w:bCs/>
                <w:color w:val="auto"/>
                <w:highlight w:val="none"/>
              </w:rPr>
              <w:t>，每项业绩得1分，满分</w:t>
            </w:r>
            <w:r>
              <w:rPr>
                <w:rFonts w:hint="default" w:ascii="Times New Roman" w:hAnsi="Times New Roman" w:cs="Times New Roman"/>
                <w:bCs/>
                <w:color w:val="auto"/>
                <w:highlight w:val="none"/>
                <w:lang w:val="en-US" w:eastAsia="zh-CN"/>
              </w:rPr>
              <w:t>6</w:t>
            </w:r>
            <w:r>
              <w:rPr>
                <w:rFonts w:hint="default" w:ascii="Times New Roman" w:hAnsi="Times New Roman" w:cs="Times New Roman"/>
                <w:bCs/>
                <w:color w:val="auto"/>
                <w:highlight w:val="none"/>
              </w:rPr>
              <w:t>分。</w:t>
            </w:r>
            <w:r>
              <w:rPr>
                <w:rFonts w:hint="eastAsia" w:ascii="Times New Roman" w:hAnsi="Times New Roman" w:cs="Times New Roman"/>
                <w:bCs/>
                <w:color w:val="auto"/>
                <w:highlight w:val="none"/>
                <w:lang w:val="en-US" w:eastAsia="zh-CN"/>
              </w:rPr>
              <w:t>竞标时</w:t>
            </w:r>
            <w:r>
              <w:rPr>
                <w:rFonts w:hint="default" w:ascii="Times New Roman" w:hAnsi="Times New Roman" w:cs="Times New Roman"/>
                <w:bCs/>
                <w:color w:val="auto"/>
                <w:highlight w:val="none"/>
              </w:rPr>
              <w:t>提供以下证明材料，否则不计分。证明材料包括但不限于（以下文件提供复印件）：合同复印件</w:t>
            </w:r>
            <w:r>
              <w:rPr>
                <w:rFonts w:hint="default" w:ascii="Times New Roman" w:hAnsi="Times New Roman" w:cs="Times New Roman"/>
                <w:bCs/>
                <w:color w:val="auto"/>
                <w:highlight w:val="none"/>
                <w:lang w:eastAsia="zh-CN"/>
              </w:rPr>
              <w:t>，</w:t>
            </w:r>
            <w:r>
              <w:rPr>
                <w:rFonts w:hint="default" w:ascii="Times New Roman" w:hAnsi="Times New Roman" w:cs="Times New Roman"/>
                <w:bCs/>
                <w:color w:val="auto"/>
                <w:highlight w:val="none"/>
              </w:rPr>
              <w:t>含合同金额、买卖双方名称及盖章。</w:t>
            </w:r>
          </w:p>
          <w:p w14:paraId="58CAAC64">
            <w:pPr>
              <w:widowControl/>
              <w:adjustRightInd w:val="0"/>
              <w:snapToGrid w:val="0"/>
              <w:spacing w:line="480" w:lineRule="exact"/>
              <w:ind w:firstLine="422" w:firstLineChars="20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（3）资质能力分（5分</w:t>
            </w:r>
            <w:r>
              <w:rPr>
                <w:rFonts w:hint="default" w:ascii="Times New Roman" w:hAnsi="Times New Roman" w:cs="Times New Roman"/>
                <w:b/>
                <w:bCs/>
                <w:color w:val="auto"/>
                <w:highlight w:val="none"/>
                <w:lang w:eastAsia="zh-CN"/>
              </w:rPr>
              <w:t>）。</w:t>
            </w:r>
          </w:p>
          <w:p w14:paraId="5D8D95C9">
            <w:pPr>
              <w:widowControl/>
              <w:spacing w:line="480" w:lineRule="exact"/>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①供应商检验检测机构资质认定合格证书</w:t>
            </w:r>
            <w:r>
              <w:rPr>
                <w:rFonts w:hint="default" w:ascii="Times New Roman" w:hAnsi="Times New Roman" w:cs="Times New Roman"/>
                <w:color w:val="auto"/>
                <w:kern w:val="0"/>
                <w:szCs w:val="21"/>
                <w:highlight w:val="none"/>
                <w:lang w:eastAsia="zh-CN"/>
              </w:rPr>
              <w:t>所列环境</w:t>
            </w:r>
            <w:r>
              <w:rPr>
                <w:rFonts w:hint="default" w:ascii="Times New Roman" w:hAnsi="Times New Roman" w:cs="Times New Roman"/>
                <w:color w:val="auto"/>
                <w:kern w:val="0"/>
                <w:szCs w:val="21"/>
                <w:highlight w:val="none"/>
              </w:rPr>
              <w:t>类检测项目</w:t>
            </w:r>
            <w:r>
              <w:rPr>
                <w:rFonts w:hint="default" w:ascii="Times New Roman" w:hAnsi="Times New Roman" w:cs="Times New Roman"/>
                <w:color w:val="auto"/>
                <w:kern w:val="0"/>
                <w:szCs w:val="21"/>
                <w:highlight w:val="none"/>
                <w:lang w:eastAsia="zh-CN"/>
              </w:rPr>
              <w:t>（</w:t>
            </w:r>
            <w:r>
              <w:rPr>
                <w:rFonts w:hint="default" w:ascii="Times New Roman" w:hAnsi="Times New Roman" w:cs="Times New Roman"/>
                <w:color w:val="auto"/>
                <w:kern w:val="0"/>
                <w:szCs w:val="21"/>
                <w:highlight w:val="none"/>
                <w:lang w:val="en-US" w:eastAsia="zh-CN"/>
              </w:rPr>
              <w:t>含金属类（浸出毒性、水平振荡法）、</w:t>
            </w:r>
            <w:r>
              <w:rPr>
                <w:rFonts w:hint="default" w:ascii="Times New Roman" w:hAnsi="Times New Roman" w:eastAsia="宋体" w:cs="Times New Roman"/>
                <w:color w:val="auto"/>
                <w:kern w:val="0"/>
                <w:szCs w:val="21"/>
                <w:highlight w:val="none"/>
                <w:lang w:val="en-US" w:eastAsia="zh-CN"/>
              </w:rPr>
              <w:t>地下水类</w:t>
            </w:r>
            <w:r>
              <w:rPr>
                <w:rFonts w:hint="default" w:ascii="Times New Roman" w:hAnsi="Times New Roman" w:cs="Times New Roman"/>
                <w:color w:val="auto"/>
                <w:kern w:val="0"/>
                <w:szCs w:val="21"/>
                <w:highlight w:val="none"/>
                <w:lang w:val="en-US" w:eastAsia="zh-CN"/>
              </w:rPr>
              <w:t>检测项目</w:t>
            </w:r>
            <w:r>
              <w:rPr>
                <w:rFonts w:hint="default" w:ascii="Times New Roman" w:hAnsi="Times New Roman" w:cs="Times New Roman"/>
                <w:color w:val="auto"/>
                <w:kern w:val="0"/>
                <w:szCs w:val="21"/>
                <w:highlight w:val="none"/>
                <w:lang w:eastAsia="zh-CN"/>
              </w:rPr>
              <w:t>）</w:t>
            </w:r>
            <w:r>
              <w:rPr>
                <w:rFonts w:hint="default" w:ascii="Times New Roman" w:hAnsi="Times New Roman" w:cs="Times New Roman"/>
                <w:color w:val="auto"/>
                <w:kern w:val="0"/>
                <w:szCs w:val="21"/>
                <w:highlight w:val="none"/>
              </w:rPr>
              <w:t>达到</w:t>
            </w:r>
            <w:r>
              <w:rPr>
                <w:rFonts w:hint="default" w:ascii="Times New Roman" w:hAnsi="Times New Roman" w:cs="Times New Roman"/>
                <w:color w:val="auto"/>
                <w:kern w:val="0"/>
                <w:szCs w:val="21"/>
                <w:highlight w:val="none"/>
                <w:lang w:val="en-US" w:eastAsia="zh-CN"/>
              </w:rPr>
              <w:t>500</w:t>
            </w:r>
            <w:r>
              <w:rPr>
                <w:rFonts w:hint="default" w:ascii="Times New Roman" w:hAnsi="Times New Roman" w:cs="Times New Roman"/>
                <w:color w:val="auto"/>
                <w:kern w:val="0"/>
                <w:szCs w:val="21"/>
                <w:highlight w:val="none"/>
              </w:rPr>
              <w:t>项，得2分；</w:t>
            </w:r>
          </w:p>
          <w:p w14:paraId="5FAFBD1C">
            <w:pPr>
              <w:widowControl/>
              <w:spacing w:line="480" w:lineRule="exact"/>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②供应商检验检测机构资质认定合格证书</w:t>
            </w:r>
            <w:r>
              <w:rPr>
                <w:rFonts w:hint="default" w:ascii="Times New Roman" w:hAnsi="Times New Roman" w:cs="Times New Roman"/>
                <w:color w:val="auto"/>
                <w:kern w:val="0"/>
                <w:szCs w:val="21"/>
                <w:highlight w:val="none"/>
                <w:lang w:eastAsia="zh-CN"/>
              </w:rPr>
              <w:t>所列环境</w:t>
            </w:r>
            <w:r>
              <w:rPr>
                <w:rFonts w:hint="default" w:ascii="Times New Roman" w:hAnsi="Times New Roman" w:cs="Times New Roman"/>
                <w:color w:val="auto"/>
                <w:kern w:val="0"/>
                <w:szCs w:val="21"/>
                <w:highlight w:val="none"/>
              </w:rPr>
              <w:t>类检测项目</w:t>
            </w:r>
            <w:r>
              <w:rPr>
                <w:rFonts w:hint="default" w:ascii="Times New Roman" w:hAnsi="Times New Roman" w:cs="Times New Roman"/>
                <w:color w:val="auto"/>
                <w:kern w:val="0"/>
                <w:szCs w:val="21"/>
                <w:highlight w:val="none"/>
                <w:lang w:eastAsia="zh-CN"/>
              </w:rPr>
              <w:t>（</w:t>
            </w:r>
            <w:r>
              <w:rPr>
                <w:rFonts w:hint="default" w:ascii="Times New Roman" w:hAnsi="Times New Roman" w:cs="Times New Roman"/>
                <w:color w:val="auto"/>
                <w:kern w:val="0"/>
                <w:szCs w:val="21"/>
                <w:highlight w:val="none"/>
                <w:lang w:val="en-US" w:eastAsia="zh-CN"/>
              </w:rPr>
              <w:t>含金属类（浸出毒性、水平振荡法）、</w:t>
            </w:r>
            <w:r>
              <w:rPr>
                <w:rFonts w:hint="default" w:ascii="Times New Roman" w:hAnsi="Times New Roman" w:eastAsia="宋体" w:cs="Times New Roman"/>
                <w:color w:val="auto"/>
                <w:kern w:val="0"/>
                <w:szCs w:val="21"/>
                <w:highlight w:val="none"/>
                <w:lang w:val="en-US" w:eastAsia="zh-CN"/>
              </w:rPr>
              <w:t>地下水类</w:t>
            </w:r>
            <w:r>
              <w:rPr>
                <w:rFonts w:hint="default" w:ascii="Times New Roman" w:hAnsi="Times New Roman" w:cs="Times New Roman"/>
                <w:color w:val="auto"/>
                <w:kern w:val="0"/>
                <w:szCs w:val="21"/>
                <w:highlight w:val="none"/>
                <w:lang w:val="en-US" w:eastAsia="zh-CN"/>
              </w:rPr>
              <w:t>检测项目</w:t>
            </w:r>
            <w:r>
              <w:rPr>
                <w:rFonts w:hint="default" w:ascii="Times New Roman" w:hAnsi="Times New Roman" w:cs="Times New Roman"/>
                <w:color w:val="auto"/>
                <w:kern w:val="0"/>
                <w:szCs w:val="21"/>
                <w:highlight w:val="none"/>
                <w:lang w:eastAsia="zh-CN"/>
              </w:rPr>
              <w:t>）</w:t>
            </w:r>
            <w:r>
              <w:rPr>
                <w:rFonts w:hint="default" w:ascii="Times New Roman" w:hAnsi="Times New Roman" w:cs="Times New Roman"/>
                <w:color w:val="auto"/>
                <w:kern w:val="0"/>
                <w:szCs w:val="21"/>
                <w:highlight w:val="none"/>
              </w:rPr>
              <w:t>达到</w:t>
            </w:r>
            <w:r>
              <w:rPr>
                <w:rFonts w:hint="default" w:ascii="Times New Roman" w:hAnsi="Times New Roman" w:cs="Times New Roman"/>
                <w:color w:val="auto"/>
                <w:kern w:val="0"/>
                <w:szCs w:val="21"/>
                <w:highlight w:val="none"/>
                <w:lang w:val="en-US" w:eastAsia="zh-CN"/>
              </w:rPr>
              <w:t>500-800</w:t>
            </w:r>
            <w:r>
              <w:rPr>
                <w:rFonts w:hint="default" w:ascii="Times New Roman" w:hAnsi="Times New Roman" w:cs="Times New Roman"/>
                <w:color w:val="auto"/>
                <w:kern w:val="0"/>
                <w:szCs w:val="21"/>
                <w:highlight w:val="none"/>
              </w:rPr>
              <w:t>项以上的，得3分；</w:t>
            </w:r>
          </w:p>
          <w:p w14:paraId="3BBF96A5">
            <w:pPr>
              <w:widowControl/>
              <w:spacing w:line="480" w:lineRule="exact"/>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③供应商检验检测机构资质认定合格证书</w:t>
            </w:r>
            <w:r>
              <w:rPr>
                <w:rFonts w:hint="default" w:ascii="Times New Roman" w:hAnsi="Times New Roman" w:cs="Times New Roman"/>
                <w:color w:val="auto"/>
                <w:kern w:val="0"/>
                <w:szCs w:val="21"/>
                <w:highlight w:val="none"/>
                <w:lang w:eastAsia="zh-CN"/>
              </w:rPr>
              <w:t>所列环境</w:t>
            </w:r>
            <w:r>
              <w:rPr>
                <w:rFonts w:hint="default" w:ascii="Times New Roman" w:hAnsi="Times New Roman" w:cs="Times New Roman"/>
                <w:color w:val="auto"/>
                <w:kern w:val="0"/>
                <w:szCs w:val="21"/>
                <w:highlight w:val="none"/>
              </w:rPr>
              <w:t>类检测项目</w:t>
            </w:r>
            <w:r>
              <w:rPr>
                <w:rFonts w:hint="default" w:ascii="Times New Roman" w:hAnsi="Times New Roman" w:cs="Times New Roman"/>
                <w:color w:val="auto"/>
                <w:kern w:val="0"/>
                <w:szCs w:val="21"/>
                <w:highlight w:val="none"/>
                <w:lang w:eastAsia="zh-CN"/>
              </w:rPr>
              <w:t>（</w:t>
            </w:r>
            <w:r>
              <w:rPr>
                <w:rFonts w:hint="default" w:ascii="Times New Roman" w:hAnsi="Times New Roman" w:cs="Times New Roman"/>
                <w:color w:val="auto"/>
                <w:kern w:val="0"/>
                <w:szCs w:val="21"/>
                <w:highlight w:val="none"/>
                <w:lang w:val="en-US" w:eastAsia="zh-CN"/>
              </w:rPr>
              <w:t>含金属类（浸出毒性、水平振荡法）、</w:t>
            </w:r>
            <w:r>
              <w:rPr>
                <w:rFonts w:hint="default" w:ascii="Times New Roman" w:hAnsi="Times New Roman" w:eastAsia="宋体" w:cs="Times New Roman"/>
                <w:color w:val="auto"/>
                <w:kern w:val="0"/>
                <w:szCs w:val="21"/>
                <w:highlight w:val="none"/>
                <w:lang w:val="en-US" w:eastAsia="zh-CN"/>
              </w:rPr>
              <w:t>地下水类</w:t>
            </w:r>
            <w:r>
              <w:rPr>
                <w:rFonts w:hint="default" w:ascii="Times New Roman" w:hAnsi="Times New Roman" w:cs="Times New Roman"/>
                <w:color w:val="auto"/>
                <w:kern w:val="0"/>
                <w:szCs w:val="21"/>
                <w:highlight w:val="none"/>
                <w:lang w:val="en-US" w:eastAsia="zh-CN"/>
              </w:rPr>
              <w:t>检测项目</w:t>
            </w:r>
            <w:r>
              <w:rPr>
                <w:rFonts w:hint="default" w:ascii="Times New Roman" w:hAnsi="Times New Roman" w:cs="Times New Roman"/>
                <w:color w:val="auto"/>
                <w:kern w:val="0"/>
                <w:szCs w:val="21"/>
                <w:highlight w:val="none"/>
                <w:lang w:eastAsia="zh-CN"/>
              </w:rPr>
              <w:t>）</w:t>
            </w:r>
            <w:r>
              <w:rPr>
                <w:rFonts w:hint="default" w:ascii="Times New Roman" w:hAnsi="Times New Roman" w:cs="Times New Roman"/>
                <w:color w:val="auto"/>
                <w:kern w:val="0"/>
                <w:szCs w:val="21"/>
                <w:highlight w:val="none"/>
              </w:rPr>
              <w:t>达到1000项以上，得5分。</w:t>
            </w:r>
          </w:p>
          <w:p w14:paraId="05F2D521">
            <w:pPr>
              <w:widowControl/>
              <w:spacing w:line="480" w:lineRule="exact"/>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w:t>
            </w:r>
            <w:r>
              <w:rPr>
                <w:rFonts w:hint="eastAsia" w:ascii="Times New Roman" w:hAnsi="Times New Roman" w:cs="Times New Roman"/>
                <w:color w:val="auto"/>
                <w:kern w:val="0"/>
                <w:szCs w:val="21"/>
                <w:highlight w:val="none"/>
                <w:lang w:val="en-US" w:eastAsia="zh-CN"/>
              </w:rPr>
              <w:t>竞标时</w:t>
            </w:r>
            <w:r>
              <w:rPr>
                <w:rFonts w:hint="default" w:ascii="Times New Roman" w:hAnsi="Times New Roman" w:cs="Times New Roman"/>
                <w:color w:val="auto"/>
                <w:kern w:val="0"/>
                <w:szCs w:val="21"/>
                <w:highlight w:val="none"/>
              </w:rPr>
              <w:t>需提供检验检测机构资质认定合格证书附表复印件）</w:t>
            </w:r>
          </w:p>
          <w:p w14:paraId="1EB831C2">
            <w:pPr>
              <w:adjustRightInd w:val="0"/>
              <w:snapToGrid w:val="0"/>
              <w:spacing w:line="480" w:lineRule="exact"/>
              <w:ind w:firstLine="422" w:firstLineChars="200"/>
              <w:rPr>
                <w:rFonts w:hint="default" w:ascii="Times New Roman" w:hAnsi="Times New Roman" w:cs="Times New Roman"/>
                <w:color w:val="auto"/>
                <w:szCs w:val="21"/>
                <w:highlight w:val="none"/>
                <w:lang w:val="zh-CN"/>
              </w:rPr>
            </w:pPr>
            <w:r>
              <w:rPr>
                <w:rFonts w:hint="default" w:ascii="Times New Roman" w:hAnsi="Times New Roman" w:cs="Times New Roman"/>
                <w:b/>
                <w:color w:val="auto"/>
                <w:highlight w:val="none"/>
              </w:rPr>
              <w:t>注：以上评分中出现无证明资料、提供资料不完整或专家无法凭所提供资料判断是否得分的情况，一律作不得分处理。</w:t>
            </w:r>
          </w:p>
          <w:p w14:paraId="2D8F83BD">
            <w:pPr>
              <w:keepNext w:val="0"/>
              <w:keepLines w:val="0"/>
              <w:pageBreakBefore w:val="0"/>
              <w:widowControl w:val="0"/>
              <w:kinsoku/>
              <w:wordWrap/>
              <w:overflowPunct/>
              <w:topLinePunct w:val="0"/>
              <w:bidi w:val="0"/>
              <w:adjustRightInd w:val="0"/>
              <w:snapToGrid w:val="0"/>
              <w:spacing w:line="360" w:lineRule="auto"/>
              <w:ind w:firstLine="420" w:firstLineChars="0"/>
              <w:jc w:val="left"/>
              <w:textAlignment w:val="auto"/>
              <w:rPr>
                <w:rFonts w:hint="eastAsia" w:ascii="宋体" w:hAnsi="宋体" w:eastAsia="宋体" w:cs="宋体"/>
                <w:bCs/>
                <w:color w:val="auto"/>
                <w:sz w:val="21"/>
                <w:szCs w:val="21"/>
                <w:highlight w:val="none"/>
                <w:vertAlign w:val="baseline"/>
                <w:lang w:eastAsia="zh-CN"/>
              </w:rPr>
            </w:pPr>
          </w:p>
        </w:tc>
        <w:tc>
          <w:tcPr>
            <w:tcW w:w="631" w:type="dxa"/>
            <w:noWrap w:val="0"/>
            <w:vAlign w:val="center"/>
          </w:tcPr>
          <w:p w14:paraId="00D8FE42">
            <w:pPr>
              <w:pStyle w:val="6"/>
              <w:spacing w:line="360" w:lineRule="auto"/>
              <w:jc w:val="center"/>
              <w:rPr>
                <w:rFonts w:hint="default" w:ascii="宋体" w:hAnsi="宋体" w:eastAsia="宋体" w:cs="宋体"/>
                <w:bCs/>
                <w:color w:val="auto"/>
                <w:sz w:val="21"/>
                <w:szCs w:val="21"/>
                <w:highlight w:val="none"/>
                <w:lang w:val="en-US" w:eastAsia="zh-CN"/>
              </w:rPr>
            </w:pPr>
            <w:r>
              <w:rPr>
                <w:rFonts w:hint="eastAsia" w:hAnsi="宋体" w:cs="宋体"/>
                <w:bCs/>
                <w:color w:val="auto"/>
                <w:sz w:val="21"/>
                <w:szCs w:val="21"/>
                <w:highlight w:val="none"/>
                <w:lang w:val="en-US" w:eastAsia="zh-CN"/>
              </w:rPr>
              <w:t>16</w:t>
            </w:r>
          </w:p>
        </w:tc>
      </w:tr>
      <w:tr w14:paraId="2D7A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14:paraId="7002FBA5">
            <w:pPr>
              <w:pStyle w:val="6"/>
              <w:spacing w:line="360" w:lineRule="auto"/>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4</w:t>
            </w:r>
          </w:p>
        </w:tc>
        <w:tc>
          <w:tcPr>
            <w:tcW w:w="1080" w:type="dxa"/>
            <w:noWrap w:val="0"/>
            <w:vAlign w:val="center"/>
          </w:tcPr>
          <w:p w14:paraId="5BFE45D8">
            <w:pPr>
              <w:pStyle w:val="6"/>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诚信分</w:t>
            </w:r>
          </w:p>
        </w:tc>
        <w:tc>
          <w:tcPr>
            <w:tcW w:w="7334" w:type="dxa"/>
            <w:noWrap w:val="0"/>
            <w:vAlign w:val="top"/>
          </w:tcPr>
          <w:p w14:paraId="525B01C5">
            <w:pPr>
              <w:spacing w:line="360" w:lineRule="auto"/>
              <w:rPr>
                <w:rFonts w:hint="eastAsia" w:ascii="宋体" w:hAnsi="宋体" w:eastAsia="宋体" w:cs="宋体"/>
                <w:bCs/>
                <w:color w:val="auto"/>
                <w:sz w:val="21"/>
                <w:szCs w:val="21"/>
                <w:highlight w:val="none"/>
                <w:vertAlign w:val="baseline"/>
                <w:lang w:eastAsia="zh-CN"/>
              </w:rPr>
            </w:pPr>
            <w:r>
              <w:rPr>
                <w:rFonts w:hint="eastAsia" w:ascii="宋体" w:hAnsi="宋体" w:eastAsia="宋体" w:cs="宋体"/>
                <w:bCs/>
                <w:color w:val="auto"/>
                <w:sz w:val="21"/>
                <w:szCs w:val="21"/>
                <w:highlight w:val="none"/>
                <w:vertAlign w:val="baseline"/>
                <w:lang w:eastAsia="zh-CN"/>
              </w:rPr>
              <w:t>投标人在截标日前1年内在政府采购活动中存在违约违规情形的（以财政部门出具的书面材料为评分依据），每次扣除3分，最高扣分6分。</w:t>
            </w:r>
          </w:p>
        </w:tc>
        <w:tc>
          <w:tcPr>
            <w:tcW w:w="631" w:type="dxa"/>
            <w:noWrap w:val="0"/>
            <w:vAlign w:val="center"/>
          </w:tcPr>
          <w:p w14:paraId="1A9A9152">
            <w:pPr>
              <w:pStyle w:val="6"/>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w:t>
            </w:r>
          </w:p>
        </w:tc>
      </w:tr>
      <w:tr w14:paraId="03A33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457" w:type="dxa"/>
            <w:noWrap w:val="0"/>
            <w:vAlign w:val="center"/>
          </w:tcPr>
          <w:p w14:paraId="6505673A">
            <w:pPr>
              <w:pStyle w:val="6"/>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w:t>
            </w:r>
          </w:p>
        </w:tc>
        <w:tc>
          <w:tcPr>
            <w:tcW w:w="9045" w:type="dxa"/>
            <w:gridSpan w:val="3"/>
            <w:noWrap w:val="0"/>
            <w:vAlign w:val="center"/>
          </w:tcPr>
          <w:p w14:paraId="2263DA02">
            <w:pPr>
              <w:pStyle w:val="6"/>
              <w:spacing w:line="360" w:lineRule="auto"/>
              <w:jc w:val="center"/>
              <w:rPr>
                <w:rFonts w:hint="eastAsia" w:ascii="宋体" w:hAnsi="宋体" w:eastAsia="宋体" w:cs="宋体"/>
                <w:bCs/>
                <w:color w:val="auto"/>
                <w:sz w:val="21"/>
                <w:szCs w:val="21"/>
                <w:highlight w:val="none"/>
                <w:lang w:eastAsia="zh-CN"/>
              </w:rPr>
            </w:pPr>
          </w:p>
          <w:p w14:paraId="027573BB">
            <w:pPr>
              <w:pStyle w:val="6"/>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总得分＝</w:t>
            </w:r>
            <w:r>
              <w:rPr>
                <w:rFonts w:hint="eastAsia" w:ascii="宋体" w:hAnsi="宋体" w:eastAsia="宋体" w:cs="宋体"/>
                <w:color w:val="auto"/>
                <w:sz w:val="21"/>
                <w:szCs w:val="21"/>
                <w:highlight w:val="none"/>
                <w:lang w:val="en-US" w:eastAsia="zh-CN"/>
              </w:rPr>
              <w:t>1+2+3+4</w:t>
            </w:r>
          </w:p>
        </w:tc>
      </w:tr>
    </w:tbl>
    <w:p w14:paraId="20C1D44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7.2.终止竞争性磋商采购活动</w:t>
      </w:r>
    </w:p>
    <w:p w14:paraId="7C55BB4E">
      <w:pPr>
        <w:spacing w:line="360" w:lineRule="auto"/>
        <w:ind w:firstLine="420" w:firstLineChars="200"/>
        <w:rPr>
          <w:rFonts w:ascii="宋体" w:hAnsi="宋体"/>
          <w:color w:val="auto"/>
          <w:highlight w:val="none"/>
        </w:rPr>
      </w:pPr>
      <w:r>
        <w:rPr>
          <w:rFonts w:hint="eastAsia" w:ascii="宋体" w:hAnsi="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r>
        <w:rPr>
          <w:rFonts w:hint="eastAsia" w:ascii="宋体" w:hAnsi="宋体"/>
          <w:color w:val="auto"/>
          <w:highlight w:val="none"/>
        </w:rPr>
        <w:br w:type="page"/>
      </w:r>
    </w:p>
    <w:p w14:paraId="43951D5A">
      <w:pPr>
        <w:keepNext/>
        <w:keepLines/>
        <w:spacing w:line="360" w:lineRule="auto"/>
        <w:ind w:firstLine="640" w:firstLineChars="200"/>
        <w:jc w:val="center"/>
        <w:outlineLvl w:val="1"/>
        <w:rPr>
          <w:rFonts w:ascii="宋体" w:hAnsi="宋体"/>
          <w:bCs/>
          <w:color w:val="auto"/>
          <w:sz w:val="32"/>
          <w:szCs w:val="32"/>
          <w:highlight w:val="none"/>
        </w:rPr>
      </w:pPr>
      <w:bookmarkStart w:id="62" w:name="_Toc213251787"/>
      <w:r>
        <w:rPr>
          <w:rFonts w:hint="eastAsia" w:ascii="宋体" w:hAnsi="宋体"/>
          <w:bCs/>
          <w:color w:val="auto"/>
          <w:sz w:val="32"/>
          <w:szCs w:val="32"/>
          <w:highlight w:val="none"/>
        </w:rPr>
        <w:t>第二节 评标报告</w:t>
      </w:r>
      <w:bookmarkEnd w:id="62"/>
    </w:p>
    <w:p w14:paraId="7E6A3327">
      <w:pPr>
        <w:spacing w:line="360" w:lineRule="auto"/>
        <w:ind w:firstLine="480" w:firstLineChars="200"/>
        <w:rPr>
          <w:rFonts w:ascii="黑体" w:hAnsi="黑体" w:eastAsia="黑体" w:cs="宋体"/>
          <w:color w:val="auto"/>
          <w:sz w:val="24"/>
          <w:szCs w:val="32"/>
          <w:highlight w:val="none"/>
        </w:rPr>
      </w:pPr>
      <w:r>
        <w:rPr>
          <w:rFonts w:hint="eastAsia" w:ascii="黑体" w:hAnsi="黑体" w:eastAsia="黑体" w:cs="宋体"/>
          <w:color w:val="auto"/>
          <w:sz w:val="24"/>
          <w:szCs w:val="32"/>
          <w:highlight w:val="none"/>
        </w:rPr>
        <w:t>1.成交标准</w:t>
      </w:r>
    </w:p>
    <w:p w14:paraId="0BF3131F">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由磋商小组根据综合评分情况，按照评审得分由高到低顺序推荐3名以上成交候选供应商，并在线编写电子评审报告。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商务得分由高到低排序）。评审得分、最后报价（不计算价格折扣）、技术得分、商务得分均相同的，由磋商小组随机抽取推荐。</w:t>
      </w:r>
    </w:p>
    <w:p w14:paraId="1C5F3F5A">
      <w:pPr>
        <w:spacing w:line="360" w:lineRule="auto"/>
        <w:ind w:firstLine="480" w:firstLineChars="200"/>
        <w:rPr>
          <w:rFonts w:ascii="黑体" w:hAnsi="黑体" w:eastAsia="黑体" w:cs="宋体"/>
          <w:color w:val="auto"/>
          <w:sz w:val="24"/>
          <w:szCs w:val="32"/>
          <w:highlight w:val="none"/>
        </w:rPr>
      </w:pPr>
      <w:r>
        <w:rPr>
          <w:rFonts w:hint="eastAsia" w:ascii="黑体" w:hAnsi="黑体" w:eastAsia="黑体" w:cs="宋体"/>
          <w:color w:val="auto"/>
          <w:sz w:val="24"/>
          <w:szCs w:val="32"/>
          <w:highlight w:val="none"/>
        </w:rPr>
        <w:t>2.评标争议事项处理</w:t>
      </w:r>
    </w:p>
    <w:p w14:paraId="7D201AC1">
      <w:pPr>
        <w:adjustRightIn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4E0DDAC7">
      <w:pPr>
        <w:adjustRightInd w:val="0"/>
        <w:spacing w:line="360" w:lineRule="auto"/>
        <w:ind w:firstLine="420" w:firstLineChars="200"/>
        <w:rPr>
          <w:rFonts w:ascii="宋体" w:hAnsi="宋体" w:cs="宋体"/>
          <w:color w:val="auto"/>
          <w:highlight w:val="none"/>
        </w:rPr>
      </w:pPr>
    </w:p>
    <w:p w14:paraId="1D68A8FC">
      <w:pPr>
        <w:keepNext/>
        <w:keepLines/>
        <w:spacing w:line="360" w:lineRule="auto"/>
        <w:ind w:firstLine="640" w:firstLineChars="200"/>
        <w:jc w:val="center"/>
        <w:outlineLvl w:val="1"/>
        <w:rPr>
          <w:rFonts w:ascii="宋体" w:hAnsi="宋体"/>
          <w:bCs/>
          <w:color w:val="auto"/>
          <w:sz w:val="32"/>
          <w:szCs w:val="32"/>
          <w:highlight w:val="none"/>
        </w:rPr>
      </w:pPr>
      <w:bookmarkStart w:id="63" w:name="_Toc213251788"/>
      <w:r>
        <w:rPr>
          <w:rFonts w:hint="eastAsia" w:ascii="宋体" w:hAnsi="宋体"/>
          <w:bCs/>
          <w:color w:val="auto"/>
          <w:sz w:val="32"/>
          <w:szCs w:val="32"/>
          <w:highlight w:val="none"/>
        </w:rPr>
        <w:t>第三节 评审过程的保密与录像</w:t>
      </w:r>
      <w:bookmarkEnd w:id="63"/>
    </w:p>
    <w:p w14:paraId="755983F7">
      <w:pPr>
        <w:spacing w:line="360" w:lineRule="auto"/>
        <w:ind w:firstLine="480" w:firstLineChars="200"/>
        <w:rPr>
          <w:rFonts w:ascii="黑体" w:hAnsi="黑体" w:eastAsia="黑体" w:cs="宋体"/>
          <w:color w:val="auto"/>
          <w:sz w:val="24"/>
          <w:szCs w:val="32"/>
          <w:highlight w:val="none"/>
        </w:rPr>
      </w:pPr>
      <w:r>
        <w:rPr>
          <w:rFonts w:hint="eastAsia" w:ascii="黑体" w:hAnsi="黑体" w:eastAsia="黑体" w:cs="宋体"/>
          <w:color w:val="auto"/>
          <w:sz w:val="24"/>
          <w:szCs w:val="32"/>
          <w:highlight w:val="none"/>
        </w:rPr>
        <w:t>1.保密。</w:t>
      </w:r>
    </w:p>
    <w:p w14:paraId="4BE7C87C">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033445F0">
      <w:pPr>
        <w:widowControl/>
        <w:spacing w:line="360" w:lineRule="auto"/>
        <w:ind w:firstLine="480" w:firstLineChars="200"/>
        <w:rPr>
          <w:rFonts w:ascii="黑体" w:hAnsi="黑体" w:eastAsia="黑体" w:cs="宋体"/>
          <w:color w:val="auto"/>
          <w:sz w:val="24"/>
          <w:szCs w:val="32"/>
          <w:highlight w:val="none"/>
        </w:rPr>
      </w:pPr>
      <w:r>
        <w:rPr>
          <w:rFonts w:hint="eastAsia" w:ascii="黑体" w:hAnsi="黑体" w:eastAsia="黑体" w:cs="宋体"/>
          <w:color w:val="auto"/>
          <w:sz w:val="24"/>
          <w:szCs w:val="32"/>
          <w:highlight w:val="none"/>
        </w:rPr>
        <w:t>2.录音录像。</w:t>
      </w:r>
    </w:p>
    <w:p w14:paraId="0AC053E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采购代理机构对评审工作现场及操作屏幕进行全过程录音录像，录音录像资料作为采购项目文件随其他文件一并存档。</w:t>
      </w:r>
    </w:p>
    <w:p w14:paraId="761833F1">
      <w:pPr>
        <w:spacing w:line="400" w:lineRule="exact"/>
        <w:ind w:firstLine="420" w:firstLineChars="200"/>
        <w:rPr>
          <w:rFonts w:ascii="宋体" w:hAnsi="宋体" w:cs="宋体"/>
          <w:color w:val="auto"/>
          <w:highlight w:val="none"/>
        </w:rPr>
      </w:pPr>
    </w:p>
    <w:p w14:paraId="6C36DE40">
      <w:pPr>
        <w:keepNext/>
        <w:keepLines/>
        <w:spacing w:before="260" w:after="260" w:line="415" w:lineRule="auto"/>
        <w:jc w:val="center"/>
        <w:outlineLvl w:val="1"/>
        <w:rPr>
          <w:rFonts w:ascii="Cambria" w:hAnsi="Cambria"/>
          <w:b/>
          <w:bCs/>
          <w:color w:val="auto"/>
          <w:sz w:val="32"/>
          <w:szCs w:val="32"/>
          <w:highlight w:val="none"/>
        </w:rPr>
      </w:pPr>
      <w:r>
        <w:rPr>
          <w:rFonts w:ascii="Cambria" w:hAnsi="Cambria"/>
          <w:b/>
          <w:bCs/>
          <w:color w:val="auto"/>
          <w:sz w:val="32"/>
          <w:szCs w:val="32"/>
          <w:highlight w:val="none"/>
        </w:rPr>
        <w:br w:type="page"/>
      </w:r>
    </w:p>
    <w:p w14:paraId="2EAE2ED8">
      <w:pPr>
        <w:keepNext/>
        <w:keepLines/>
        <w:spacing w:before="260" w:after="260" w:line="415" w:lineRule="auto"/>
        <w:jc w:val="center"/>
        <w:outlineLvl w:val="1"/>
        <w:rPr>
          <w:rFonts w:ascii="Cambria" w:hAnsi="Cambria"/>
          <w:b/>
          <w:bCs/>
          <w:color w:val="auto"/>
          <w:sz w:val="32"/>
          <w:szCs w:val="32"/>
          <w:highlight w:val="none"/>
        </w:rPr>
      </w:pPr>
    </w:p>
    <w:p w14:paraId="4BC298C6">
      <w:pPr>
        <w:keepNext/>
        <w:keepLines/>
        <w:spacing w:before="260" w:after="260" w:line="415" w:lineRule="auto"/>
        <w:jc w:val="center"/>
        <w:outlineLvl w:val="1"/>
        <w:rPr>
          <w:rFonts w:ascii="Cambria" w:hAnsi="Cambria"/>
          <w:b/>
          <w:bCs/>
          <w:color w:val="auto"/>
          <w:sz w:val="32"/>
          <w:szCs w:val="32"/>
          <w:highlight w:val="none"/>
        </w:rPr>
      </w:pPr>
    </w:p>
    <w:p w14:paraId="35A0C646">
      <w:pPr>
        <w:keepNext/>
        <w:keepLines/>
        <w:spacing w:before="260" w:after="260" w:line="415" w:lineRule="auto"/>
        <w:jc w:val="center"/>
        <w:outlineLvl w:val="1"/>
        <w:rPr>
          <w:rFonts w:ascii="Cambria" w:hAnsi="Cambria"/>
          <w:b/>
          <w:bCs/>
          <w:color w:val="auto"/>
          <w:sz w:val="32"/>
          <w:szCs w:val="32"/>
          <w:highlight w:val="none"/>
        </w:rPr>
      </w:pPr>
    </w:p>
    <w:p w14:paraId="09C455B6">
      <w:pPr>
        <w:keepNext/>
        <w:keepLines/>
        <w:spacing w:before="260" w:after="260" w:line="415" w:lineRule="auto"/>
        <w:jc w:val="center"/>
        <w:outlineLvl w:val="1"/>
        <w:rPr>
          <w:rFonts w:ascii="Cambria" w:hAnsi="Cambria"/>
          <w:b/>
          <w:bCs/>
          <w:color w:val="auto"/>
          <w:sz w:val="32"/>
          <w:szCs w:val="32"/>
          <w:highlight w:val="none"/>
        </w:rPr>
      </w:pPr>
    </w:p>
    <w:p w14:paraId="3D517204">
      <w:pPr>
        <w:keepNext/>
        <w:keepLines/>
        <w:spacing w:before="260" w:after="260" w:line="415" w:lineRule="auto"/>
        <w:jc w:val="center"/>
        <w:outlineLvl w:val="1"/>
        <w:rPr>
          <w:rFonts w:ascii="Cambria" w:hAnsi="Cambria"/>
          <w:b/>
          <w:bCs/>
          <w:color w:val="auto"/>
          <w:sz w:val="32"/>
          <w:szCs w:val="32"/>
          <w:highlight w:val="none"/>
        </w:rPr>
      </w:pPr>
    </w:p>
    <w:p w14:paraId="6DAD4A63">
      <w:pPr>
        <w:keepNext/>
        <w:keepLines/>
        <w:spacing w:before="340" w:after="330" w:line="578" w:lineRule="auto"/>
        <w:jc w:val="center"/>
        <w:outlineLvl w:val="0"/>
        <w:rPr>
          <w:b/>
          <w:bCs/>
          <w:color w:val="auto"/>
          <w:kern w:val="44"/>
          <w:sz w:val="44"/>
          <w:szCs w:val="44"/>
          <w:highlight w:val="none"/>
        </w:rPr>
        <w:sectPr>
          <w:footerReference r:id="rId13" w:type="first"/>
          <w:footerReference r:id="rId12" w:type="default"/>
          <w:pgSz w:w="11910" w:h="16840"/>
          <w:pgMar w:top="1338" w:right="1503" w:bottom="1134" w:left="1678" w:header="720" w:footer="720" w:gutter="0"/>
          <w:cols w:space="720" w:num="1"/>
          <w:docGrid w:linePitch="285" w:charSpace="0"/>
        </w:sectPr>
      </w:pPr>
      <w:bookmarkStart w:id="64" w:name="_Toc213251789"/>
      <w:r>
        <w:rPr>
          <w:rFonts w:hint="eastAsia"/>
          <w:b/>
          <w:bCs/>
          <w:color w:val="auto"/>
          <w:kern w:val="44"/>
          <w:sz w:val="44"/>
          <w:szCs w:val="44"/>
          <w:highlight w:val="none"/>
        </w:rPr>
        <w:t>第五章响应文件格式</w:t>
      </w:r>
      <w:bookmarkEnd w:id="64"/>
    </w:p>
    <w:p w14:paraId="55B50C7D">
      <w:pPr>
        <w:keepNext/>
        <w:keepLines/>
        <w:spacing w:before="260" w:after="260" w:line="415" w:lineRule="auto"/>
        <w:jc w:val="center"/>
        <w:outlineLvl w:val="1"/>
        <w:rPr>
          <w:rFonts w:ascii="宋体" w:hAnsi="宋体"/>
          <w:bCs/>
          <w:color w:val="auto"/>
          <w:sz w:val="32"/>
          <w:szCs w:val="32"/>
          <w:highlight w:val="none"/>
        </w:rPr>
      </w:pPr>
      <w:bookmarkStart w:id="65" w:name="_Toc213251790"/>
      <w:r>
        <w:rPr>
          <w:rFonts w:hint="eastAsia" w:ascii="宋体" w:hAnsi="宋体"/>
          <w:bCs/>
          <w:color w:val="auto"/>
          <w:sz w:val="32"/>
          <w:szCs w:val="32"/>
          <w:highlight w:val="none"/>
        </w:rPr>
        <w:t>第一节 封面格式</w:t>
      </w:r>
      <w:bookmarkEnd w:id="65"/>
    </w:p>
    <w:p w14:paraId="2777DADC">
      <w:pPr>
        <w:rPr>
          <w:rFonts w:ascii="宋体" w:hAnsi="宋体"/>
          <w:b/>
          <w:bCs/>
          <w:color w:val="auto"/>
          <w:sz w:val="32"/>
          <w:szCs w:val="32"/>
          <w:highlight w:val="none"/>
        </w:rPr>
      </w:pPr>
      <w:r>
        <w:rPr>
          <w:rFonts w:hint="eastAsia" w:ascii="宋体" w:hAnsi="宋体"/>
          <w:b/>
          <w:color w:val="auto"/>
          <w:sz w:val="32"/>
          <w:szCs w:val="32"/>
          <w:highlight w:val="none"/>
        </w:rPr>
        <w:t>（</w:t>
      </w:r>
      <w:r>
        <w:rPr>
          <w:rFonts w:hint="eastAsia" w:ascii="宋体" w:hAnsi="宋体"/>
          <w:b/>
          <w:bCs/>
          <w:color w:val="auto"/>
          <w:sz w:val="32"/>
          <w:szCs w:val="32"/>
          <w:highlight w:val="none"/>
        </w:rPr>
        <w:t>响应文件外层包装封面格式</w:t>
      </w:r>
      <w:r>
        <w:rPr>
          <w:rFonts w:hint="eastAsia" w:ascii="宋体" w:hAnsi="宋体"/>
          <w:b/>
          <w:color w:val="auto"/>
          <w:sz w:val="32"/>
          <w:szCs w:val="32"/>
          <w:highlight w:val="none"/>
        </w:rPr>
        <w:t xml:space="preserve"> ）</w:t>
      </w:r>
    </w:p>
    <w:p w14:paraId="3FB19207">
      <w:pPr>
        <w:snapToGrid w:val="0"/>
        <w:spacing w:before="120" w:beforeLines="50" w:after="50"/>
        <w:rPr>
          <w:rFonts w:ascii="宋体" w:hAnsi="宋体"/>
          <w:color w:val="auto"/>
          <w:sz w:val="24"/>
          <w:szCs w:val="20"/>
          <w:highlight w:val="none"/>
        </w:rPr>
      </w:pPr>
    </w:p>
    <w:p w14:paraId="0FEB5200">
      <w:pPr>
        <w:snapToGrid w:val="0"/>
        <w:spacing w:before="120" w:beforeLines="50" w:after="50"/>
        <w:jc w:val="center"/>
        <w:rPr>
          <w:rFonts w:ascii="宋体" w:hAnsi="宋体"/>
          <w:bCs/>
          <w:color w:val="auto"/>
          <w:sz w:val="24"/>
          <w:szCs w:val="20"/>
          <w:highlight w:val="none"/>
        </w:rPr>
      </w:pPr>
    </w:p>
    <w:p w14:paraId="12BEE346">
      <w:pPr>
        <w:snapToGrid w:val="0"/>
        <w:spacing w:before="120"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响  应  文  件</w:t>
      </w:r>
    </w:p>
    <w:p w14:paraId="6C5459A2">
      <w:pPr>
        <w:snapToGrid w:val="0"/>
        <w:spacing w:before="120" w:beforeLines="50" w:after="50"/>
        <w:rPr>
          <w:rFonts w:ascii="宋体" w:hAnsi="宋体"/>
          <w:bCs/>
          <w:color w:val="auto"/>
          <w:sz w:val="24"/>
          <w:szCs w:val="20"/>
          <w:highlight w:val="none"/>
        </w:rPr>
      </w:pPr>
    </w:p>
    <w:p w14:paraId="232A4C7E">
      <w:pPr>
        <w:snapToGrid w:val="0"/>
        <w:spacing w:before="120" w:beforeLines="50" w:after="50"/>
        <w:rPr>
          <w:rFonts w:ascii="宋体" w:hAnsi="宋体"/>
          <w:bCs/>
          <w:color w:val="auto"/>
          <w:sz w:val="24"/>
          <w:szCs w:val="20"/>
          <w:highlight w:val="none"/>
        </w:rPr>
      </w:pPr>
    </w:p>
    <w:p w14:paraId="4E07B55C">
      <w:pPr>
        <w:snapToGrid w:val="0"/>
        <w:spacing w:before="120" w:beforeLines="50" w:after="50"/>
        <w:rPr>
          <w:rFonts w:ascii="仿宋_GB2312" w:hAnsi="仿宋_GB2312" w:eastAsia="仿宋_GB2312" w:cs="仿宋_GB2312"/>
          <w:bCs/>
          <w:color w:val="auto"/>
          <w:sz w:val="32"/>
          <w:szCs w:val="32"/>
          <w:highlight w:val="none"/>
        </w:rPr>
      </w:pPr>
    </w:p>
    <w:p w14:paraId="6DED8005">
      <w:pPr>
        <w:snapToGrid w:val="0"/>
        <w:spacing w:before="120"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3ECDCB96">
      <w:pPr>
        <w:snapToGrid w:val="0"/>
        <w:spacing w:before="120" w:beforeLines="50" w:after="50"/>
        <w:ind w:firstLine="480" w:firstLineChars="150"/>
        <w:rPr>
          <w:rFonts w:ascii="宋体" w:hAnsi="宋体" w:cs="仿宋_GB2312"/>
          <w:bCs/>
          <w:color w:val="auto"/>
          <w:sz w:val="32"/>
          <w:szCs w:val="32"/>
          <w:highlight w:val="none"/>
        </w:rPr>
      </w:pPr>
    </w:p>
    <w:p w14:paraId="0109FB4D">
      <w:pPr>
        <w:snapToGrid w:val="0"/>
        <w:spacing w:before="120"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55E53884">
      <w:pPr>
        <w:snapToGrid w:val="0"/>
        <w:spacing w:before="120" w:beforeLines="50" w:after="50"/>
        <w:ind w:firstLine="480" w:firstLineChars="150"/>
        <w:rPr>
          <w:rFonts w:ascii="宋体" w:hAnsi="宋体" w:cs="仿宋_GB2312"/>
          <w:bCs/>
          <w:color w:val="auto"/>
          <w:sz w:val="32"/>
          <w:szCs w:val="32"/>
          <w:highlight w:val="none"/>
        </w:rPr>
      </w:pPr>
    </w:p>
    <w:p w14:paraId="31B3B88A">
      <w:pPr>
        <w:snapToGrid w:val="0"/>
        <w:spacing w:before="120"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3BAFC626">
      <w:pPr>
        <w:snapToGrid w:val="0"/>
        <w:spacing w:before="120" w:beforeLines="50" w:after="50"/>
        <w:rPr>
          <w:rFonts w:ascii="宋体" w:hAnsi="宋体" w:cs="仿宋_GB2312"/>
          <w:bCs/>
          <w:color w:val="auto"/>
          <w:sz w:val="32"/>
          <w:szCs w:val="32"/>
          <w:highlight w:val="none"/>
        </w:rPr>
      </w:pPr>
    </w:p>
    <w:p w14:paraId="5766FDA4">
      <w:pPr>
        <w:snapToGrid w:val="0"/>
        <w:spacing w:before="120"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01E9E5B9">
      <w:pPr>
        <w:snapToGrid w:val="0"/>
        <w:spacing w:before="120" w:beforeLines="50" w:after="50"/>
        <w:rPr>
          <w:rFonts w:ascii="宋体" w:hAnsi="宋体" w:cs="仿宋_GB2312"/>
          <w:bCs/>
          <w:color w:val="auto"/>
          <w:sz w:val="32"/>
          <w:szCs w:val="32"/>
          <w:highlight w:val="none"/>
        </w:rPr>
      </w:pPr>
    </w:p>
    <w:p w14:paraId="3F15A841">
      <w:pPr>
        <w:snapToGrid w:val="0"/>
        <w:spacing w:before="120" w:beforeLines="50" w:after="50"/>
        <w:ind w:firstLine="480" w:firstLineChars="150"/>
        <w:jc w:val="center"/>
        <w:rPr>
          <w:rFonts w:ascii="宋体" w:hAnsi="宋体" w:cs="仿宋_GB2312"/>
          <w:bCs/>
          <w:color w:val="auto"/>
          <w:sz w:val="32"/>
          <w:szCs w:val="32"/>
          <w:highlight w:val="none"/>
        </w:rPr>
      </w:pPr>
      <w:r>
        <w:rPr>
          <w:rFonts w:hint="eastAsia" w:ascii="宋体" w:hAnsi="宋体" w:cs="仿宋_GB2312"/>
          <w:bCs/>
          <w:color w:val="auto"/>
          <w:sz w:val="32"/>
          <w:szCs w:val="32"/>
          <w:highlight w:val="none"/>
        </w:rPr>
        <w:t>首次响应文件提交截止时间前不得解密</w:t>
      </w:r>
    </w:p>
    <w:p w14:paraId="2985AD7F">
      <w:pPr>
        <w:snapToGrid w:val="0"/>
        <w:spacing w:before="120" w:beforeLines="50" w:after="50"/>
        <w:ind w:firstLine="5440" w:firstLineChars="1700"/>
        <w:jc w:val="center"/>
        <w:rPr>
          <w:rFonts w:ascii="宋体" w:hAnsi="宋体" w:cs="仿宋_GB2312"/>
          <w:bCs/>
          <w:color w:val="auto"/>
          <w:sz w:val="32"/>
          <w:szCs w:val="32"/>
          <w:highlight w:val="none"/>
        </w:rPr>
      </w:pPr>
    </w:p>
    <w:p w14:paraId="6DD2321B">
      <w:pPr>
        <w:snapToGrid w:val="0"/>
        <w:spacing w:before="120" w:beforeLines="50" w:after="50"/>
        <w:ind w:firstLine="645"/>
        <w:jc w:val="center"/>
        <w:rPr>
          <w:rFonts w:ascii="宋体" w:hAnsi="宋体" w:cs="仿宋_GB2312"/>
          <w:bCs/>
          <w:color w:val="auto"/>
          <w:sz w:val="32"/>
          <w:szCs w:val="32"/>
          <w:highlight w:val="none"/>
        </w:rPr>
      </w:pPr>
      <w:r>
        <w:rPr>
          <w:rFonts w:hint="eastAsia" w:ascii="宋体" w:hAnsi="宋体" w:cs="仿宋_GB2312"/>
          <w:bCs/>
          <w:color w:val="auto"/>
          <w:sz w:val="32"/>
          <w:szCs w:val="32"/>
          <w:highlight w:val="none"/>
        </w:rPr>
        <w:t>年    月    日</w:t>
      </w:r>
    </w:p>
    <w:p w14:paraId="1BCC978E">
      <w:pPr>
        <w:rPr>
          <w:color w:val="auto"/>
          <w:highlight w:val="none"/>
        </w:rPr>
        <w:sectPr>
          <w:pgSz w:w="11910" w:h="16840"/>
          <w:pgMar w:top="1340" w:right="1500" w:bottom="280" w:left="1680" w:header="720" w:footer="720" w:gutter="0"/>
          <w:cols w:space="720" w:num="1"/>
          <w:docGrid w:linePitch="285" w:charSpace="0"/>
        </w:sectPr>
      </w:pPr>
    </w:p>
    <w:p w14:paraId="24331C16">
      <w:pPr>
        <w:keepNext/>
        <w:keepLines/>
        <w:spacing w:before="260" w:after="260" w:line="415" w:lineRule="auto"/>
        <w:jc w:val="center"/>
        <w:outlineLvl w:val="1"/>
        <w:rPr>
          <w:rFonts w:ascii="宋体" w:hAnsi="宋体"/>
          <w:b/>
          <w:color w:val="auto"/>
          <w:sz w:val="32"/>
          <w:szCs w:val="32"/>
          <w:highlight w:val="none"/>
        </w:rPr>
      </w:pPr>
      <w:bookmarkStart w:id="66" w:name="_Toc213251791"/>
      <w:r>
        <w:rPr>
          <w:rFonts w:hint="eastAsia" w:ascii="宋体" w:hAnsi="宋体"/>
          <w:b/>
          <w:color w:val="auto"/>
          <w:sz w:val="32"/>
          <w:szCs w:val="32"/>
          <w:highlight w:val="none"/>
        </w:rPr>
        <w:t>第二节 资格证明文件格式</w:t>
      </w:r>
      <w:bookmarkEnd w:id="66"/>
    </w:p>
    <w:p w14:paraId="41753172">
      <w:pPr>
        <w:snapToGrid w:val="0"/>
        <w:spacing w:before="165" w:beforeLines="50" w:after="50"/>
        <w:rPr>
          <w:rFonts w:ascii="宋体" w:hAnsi="宋体"/>
          <w:bCs/>
          <w:color w:val="auto"/>
          <w:sz w:val="32"/>
          <w:szCs w:val="20"/>
          <w:highlight w:val="none"/>
        </w:rPr>
      </w:pPr>
      <w:r>
        <w:rPr>
          <w:rFonts w:hint="eastAsia" w:ascii="宋体" w:hAnsi="宋体"/>
          <w:bCs/>
          <w:color w:val="auto"/>
          <w:highlight w:val="none"/>
        </w:rPr>
        <w:t>全流程电子文件</w:t>
      </w:r>
    </w:p>
    <w:p w14:paraId="30FF9956">
      <w:pPr>
        <w:snapToGrid w:val="0"/>
        <w:spacing w:before="165" w:beforeLines="50" w:after="50"/>
        <w:rPr>
          <w:rFonts w:ascii="宋体" w:hAnsi="宋体"/>
          <w:color w:val="auto"/>
          <w:sz w:val="24"/>
          <w:szCs w:val="20"/>
          <w:highlight w:val="none"/>
        </w:rPr>
      </w:pPr>
    </w:p>
    <w:p w14:paraId="464D86A0">
      <w:pPr>
        <w:snapToGrid w:val="0"/>
        <w:spacing w:before="165" w:beforeLines="50" w:after="50"/>
        <w:rPr>
          <w:rFonts w:ascii="宋体" w:hAnsi="宋体"/>
          <w:color w:val="auto"/>
          <w:sz w:val="24"/>
          <w:szCs w:val="20"/>
          <w:highlight w:val="none"/>
        </w:rPr>
      </w:pPr>
    </w:p>
    <w:p w14:paraId="237E7E8D">
      <w:pPr>
        <w:snapToGrid w:val="0"/>
        <w:spacing w:before="165"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件（封面）</w:t>
      </w:r>
    </w:p>
    <w:p w14:paraId="0E4414BD">
      <w:pPr>
        <w:snapToGrid w:val="0"/>
        <w:spacing w:before="165" w:beforeLines="50" w:after="50"/>
        <w:rPr>
          <w:rFonts w:ascii="宋体" w:hAnsi="宋体"/>
          <w:bCs/>
          <w:color w:val="auto"/>
          <w:sz w:val="24"/>
          <w:szCs w:val="20"/>
          <w:highlight w:val="none"/>
        </w:rPr>
      </w:pPr>
    </w:p>
    <w:p w14:paraId="18A3F437">
      <w:pPr>
        <w:snapToGrid w:val="0"/>
        <w:spacing w:before="165" w:beforeLines="50" w:after="50"/>
        <w:rPr>
          <w:rFonts w:ascii="宋体" w:hAnsi="宋体"/>
          <w:bCs/>
          <w:color w:val="auto"/>
          <w:sz w:val="24"/>
          <w:szCs w:val="20"/>
          <w:highlight w:val="none"/>
        </w:rPr>
      </w:pPr>
    </w:p>
    <w:p w14:paraId="032BE409">
      <w:pPr>
        <w:snapToGrid w:val="0"/>
        <w:spacing w:before="165" w:beforeLines="50" w:after="50"/>
        <w:rPr>
          <w:rFonts w:ascii="宋体" w:hAnsi="宋体"/>
          <w:bCs/>
          <w:color w:val="auto"/>
          <w:sz w:val="24"/>
          <w:szCs w:val="20"/>
          <w:highlight w:val="none"/>
        </w:rPr>
      </w:pPr>
    </w:p>
    <w:p w14:paraId="5F6DCB80">
      <w:pPr>
        <w:snapToGrid w:val="0"/>
        <w:spacing w:before="165" w:beforeLines="50" w:after="50"/>
        <w:rPr>
          <w:rFonts w:ascii="宋体" w:hAnsi="宋体"/>
          <w:bCs/>
          <w:color w:val="auto"/>
          <w:sz w:val="24"/>
          <w:szCs w:val="20"/>
          <w:highlight w:val="none"/>
        </w:rPr>
      </w:pPr>
    </w:p>
    <w:p w14:paraId="1B6C8C9C">
      <w:pPr>
        <w:snapToGrid w:val="0"/>
        <w:spacing w:before="165" w:beforeLines="50" w:after="50"/>
        <w:rPr>
          <w:rFonts w:ascii="宋体" w:hAnsi="宋体"/>
          <w:bCs/>
          <w:color w:val="auto"/>
          <w:sz w:val="24"/>
          <w:szCs w:val="20"/>
          <w:highlight w:val="none"/>
        </w:rPr>
      </w:pPr>
    </w:p>
    <w:p w14:paraId="015D1EDC">
      <w:pPr>
        <w:snapToGrid w:val="0"/>
        <w:spacing w:before="165"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03D2A391">
      <w:pPr>
        <w:snapToGrid w:val="0"/>
        <w:spacing w:before="165" w:beforeLines="50" w:after="50"/>
        <w:ind w:firstLine="720" w:firstLineChars="225"/>
        <w:rPr>
          <w:rFonts w:ascii="宋体" w:hAnsi="宋体" w:cs="仿宋_GB2312"/>
          <w:bCs/>
          <w:color w:val="auto"/>
          <w:sz w:val="32"/>
          <w:szCs w:val="32"/>
          <w:highlight w:val="none"/>
        </w:rPr>
      </w:pPr>
    </w:p>
    <w:p w14:paraId="494065C6">
      <w:pPr>
        <w:snapToGrid w:val="0"/>
        <w:spacing w:before="165"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0911BA86">
      <w:pPr>
        <w:snapToGrid w:val="0"/>
        <w:spacing w:before="165" w:beforeLines="50" w:after="50"/>
        <w:ind w:firstLine="720" w:firstLineChars="225"/>
        <w:rPr>
          <w:rFonts w:ascii="宋体" w:hAnsi="宋体" w:cs="仿宋_GB2312"/>
          <w:bCs/>
          <w:color w:val="auto"/>
          <w:sz w:val="32"/>
          <w:szCs w:val="32"/>
          <w:highlight w:val="none"/>
        </w:rPr>
      </w:pPr>
    </w:p>
    <w:p w14:paraId="34D0E9A5">
      <w:pPr>
        <w:snapToGrid w:val="0"/>
        <w:spacing w:before="165"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232E93B9">
      <w:pPr>
        <w:snapToGrid w:val="0"/>
        <w:spacing w:before="165" w:beforeLines="50" w:after="50"/>
        <w:ind w:firstLine="720" w:firstLineChars="225"/>
        <w:rPr>
          <w:rFonts w:ascii="宋体" w:hAnsi="宋体" w:cs="仿宋_GB2312"/>
          <w:bCs/>
          <w:color w:val="auto"/>
          <w:sz w:val="32"/>
          <w:szCs w:val="32"/>
          <w:highlight w:val="none"/>
        </w:rPr>
      </w:pPr>
    </w:p>
    <w:p w14:paraId="2E901063">
      <w:pPr>
        <w:snapToGrid w:val="0"/>
        <w:spacing w:before="50" w:after="12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5DC6D2BF">
      <w:pPr>
        <w:snapToGrid w:val="0"/>
        <w:spacing w:before="50" w:after="120"/>
        <w:ind w:firstLine="720" w:firstLineChars="225"/>
        <w:rPr>
          <w:rFonts w:ascii="宋体" w:hAnsi="宋体" w:cs="仿宋_GB2312"/>
          <w:bCs/>
          <w:color w:val="auto"/>
          <w:sz w:val="32"/>
          <w:szCs w:val="32"/>
          <w:highlight w:val="none"/>
        </w:rPr>
      </w:pPr>
    </w:p>
    <w:p w14:paraId="2C1DB5D1">
      <w:pPr>
        <w:snapToGrid w:val="0"/>
        <w:spacing w:before="50" w:after="120"/>
        <w:ind w:firstLine="720" w:firstLineChars="225"/>
        <w:rPr>
          <w:rFonts w:ascii="宋体" w:hAnsi="宋体" w:cs="仿宋_GB2312"/>
          <w:bCs/>
          <w:color w:val="auto"/>
          <w:sz w:val="32"/>
          <w:szCs w:val="32"/>
          <w:highlight w:val="none"/>
        </w:rPr>
      </w:pPr>
    </w:p>
    <w:p w14:paraId="7E182376">
      <w:pPr>
        <w:snapToGrid w:val="0"/>
        <w:spacing w:before="50" w:after="120"/>
        <w:ind w:firstLine="720" w:firstLineChars="225"/>
        <w:rPr>
          <w:rFonts w:ascii="宋体" w:hAnsi="宋体" w:cs="仿宋_GB2312"/>
          <w:bCs/>
          <w:color w:val="auto"/>
          <w:sz w:val="32"/>
          <w:szCs w:val="32"/>
          <w:highlight w:val="none"/>
        </w:rPr>
      </w:pPr>
    </w:p>
    <w:p w14:paraId="4B7DCF92">
      <w:pPr>
        <w:snapToGrid w:val="0"/>
        <w:spacing w:before="50" w:after="120"/>
        <w:ind w:firstLine="1280" w:firstLineChars="400"/>
        <w:rPr>
          <w:rFonts w:ascii="宋体" w:hAnsi="宋体" w:cs="仿宋_GB2312"/>
          <w:bCs/>
          <w:color w:val="auto"/>
          <w:sz w:val="32"/>
          <w:szCs w:val="32"/>
          <w:highlight w:val="none"/>
        </w:rPr>
      </w:pPr>
    </w:p>
    <w:p w14:paraId="32A2D7C8">
      <w:pPr>
        <w:snapToGrid w:val="0"/>
        <w:spacing w:before="165"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5EE3E6DA">
      <w:pPr>
        <w:snapToGrid w:val="0"/>
        <w:spacing w:before="165" w:beforeLines="50" w:after="50" w:line="360" w:lineRule="auto"/>
        <w:jc w:val="left"/>
        <w:rPr>
          <w:rFonts w:ascii="宋体" w:hAnsi="宋体"/>
          <w:b/>
          <w:bCs/>
          <w:color w:val="auto"/>
          <w:sz w:val="32"/>
          <w:szCs w:val="32"/>
          <w:highlight w:val="none"/>
        </w:rPr>
      </w:pPr>
      <w:r>
        <w:rPr>
          <w:rFonts w:hint="eastAsia" w:ascii="宋体" w:hAnsi="宋体"/>
          <w:color w:val="auto"/>
          <w:sz w:val="24"/>
          <w:highlight w:val="none"/>
        </w:rPr>
        <w:br w:type="page"/>
      </w:r>
    </w:p>
    <w:p w14:paraId="7D3209EC">
      <w:pPr>
        <w:jc w:val="center"/>
        <w:rPr>
          <w:rFonts w:ascii="仿宋_GB2312" w:hAnsi="仿宋" w:eastAsia="仿宋_GB2312" w:cs="仿宋_GB2312"/>
          <w:b/>
          <w:color w:val="auto"/>
          <w:kern w:val="0"/>
          <w:sz w:val="36"/>
          <w:szCs w:val="36"/>
          <w:highlight w:val="none"/>
        </w:rPr>
      </w:pPr>
      <w:r>
        <w:rPr>
          <w:rFonts w:hint="eastAsia" w:ascii="仿宋_GB2312" w:hAnsi="仿宋" w:eastAsia="仿宋_GB2312" w:cs="仿宋_GB2312"/>
          <w:b/>
          <w:color w:val="auto"/>
          <w:kern w:val="0"/>
          <w:sz w:val="36"/>
          <w:szCs w:val="36"/>
          <w:highlight w:val="none"/>
        </w:rPr>
        <w:t>资格证明文件目录</w:t>
      </w:r>
    </w:p>
    <w:p w14:paraId="0361F739">
      <w:pPr>
        <w:snapToGrid w:val="0"/>
        <w:spacing w:line="360" w:lineRule="auto"/>
        <w:rPr>
          <w:rFonts w:ascii="仿宋_GB2312" w:hAnsi="仿宋" w:eastAsia="仿宋_GB2312" w:cs="仿宋_GB2312"/>
          <w:color w:val="auto"/>
          <w:kern w:val="0"/>
          <w:sz w:val="24"/>
          <w:highlight w:val="none"/>
        </w:rPr>
      </w:pPr>
    </w:p>
    <w:p w14:paraId="62F24875">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营业执照（或事业法人登记证或其他工商等登记证明材料）复印件（供应商为自然人的，须提供</w:t>
      </w:r>
      <w:r>
        <w:rPr>
          <w:rFonts w:hint="eastAsia" w:ascii="仿宋_GB2312" w:hAnsi="仿宋" w:eastAsia="仿宋_GB2312" w:cs="Helvetica"/>
          <w:color w:val="auto"/>
          <w:kern w:val="0"/>
          <w:sz w:val="24"/>
          <w:highlight w:val="none"/>
        </w:rPr>
        <w:t>自然人的身份证明</w:t>
      </w:r>
      <w:r>
        <w:rPr>
          <w:rFonts w:hint="eastAsia" w:ascii="仿宋_GB2312" w:hAnsi="仿宋" w:eastAsia="仿宋_GB2312"/>
          <w:color w:val="auto"/>
          <w:sz w:val="24"/>
          <w:highlight w:val="none"/>
        </w:rPr>
        <w:t>）</w:t>
      </w:r>
      <w:r>
        <w:rPr>
          <w:rFonts w:hint="eastAsia" w:ascii="仿宋_GB2312" w:hAnsi="仿宋" w:eastAsia="仿宋_GB2312" w:cs="仿宋_GB2312"/>
          <w:color w:val="auto"/>
          <w:kern w:val="0"/>
          <w:sz w:val="24"/>
          <w:highlight w:val="none"/>
        </w:rPr>
        <w:t>…………………………………………（页码）</w:t>
      </w:r>
    </w:p>
    <w:p w14:paraId="689E58CD">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二、符合参与政府采购活动的资格条件依法缴纳税收、社会保障资金等方面的材料…………………………………………………………………………………（页码）</w:t>
      </w:r>
    </w:p>
    <w:p w14:paraId="76E065A9">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三、财务状况报表方面的材料…………………………………………………（页码）</w:t>
      </w:r>
    </w:p>
    <w:p w14:paraId="2311BBC7">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四、供应商直接控股股东信息</w:t>
      </w:r>
      <w:r>
        <w:rPr>
          <w:rFonts w:hint="eastAsia" w:ascii="仿宋_GB2312" w:hAnsi="仿宋" w:eastAsia="仿宋_GB2312" w:cs="仿宋_GB2312"/>
          <w:color w:val="auto"/>
          <w:kern w:val="0"/>
          <w:sz w:val="24"/>
          <w:highlight w:val="none"/>
        </w:rPr>
        <w:t>…………………………………………………（页码）</w:t>
      </w:r>
    </w:p>
    <w:p w14:paraId="380050C9">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五、供应商直接管理关系信息表</w:t>
      </w:r>
      <w:r>
        <w:rPr>
          <w:rFonts w:hint="eastAsia" w:ascii="仿宋_GB2312" w:hAnsi="仿宋" w:eastAsia="仿宋_GB2312" w:cs="仿宋_GB2312"/>
          <w:color w:val="auto"/>
          <w:kern w:val="0"/>
          <w:sz w:val="24"/>
          <w:highlight w:val="none"/>
        </w:rPr>
        <w:t>………………………………………………（页码）</w:t>
      </w:r>
    </w:p>
    <w:p w14:paraId="3EC576D3">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六、资格声明函…………………………………………………………………（页码）</w:t>
      </w:r>
    </w:p>
    <w:p w14:paraId="534B7AB1">
      <w:pPr>
        <w:pStyle w:val="2"/>
        <w:rPr>
          <w:rFonts w:hint="eastAsia" w:eastAsia="仿宋_GB2312"/>
          <w:color w:val="auto"/>
          <w:highlight w:val="none"/>
          <w:lang w:val="en-US" w:eastAsia="zh-CN"/>
        </w:rPr>
      </w:pPr>
      <w:r>
        <w:rPr>
          <w:rFonts w:hint="eastAsia" w:ascii="仿宋_GB2312" w:hAnsi="仿宋" w:eastAsia="仿宋_GB2312" w:cs="仿宋_GB2312"/>
          <w:color w:val="auto"/>
          <w:kern w:val="0"/>
          <w:sz w:val="24"/>
          <w:highlight w:val="none"/>
          <w:lang w:val="en-US" w:eastAsia="zh-CN"/>
        </w:rPr>
        <w:t>七、属于中小企业的提供《中小企业声明函》，属于残疾人福利性单位的《提供残疾人福利性单位声明函》，属于监狱企业的提供省级以上监狱管理局、戒毒管理局（含新疆生产建设兵团）出具的属于监狱企业的证明文件（《中小企业声明函》及《提供残疾人福利性单位声明函》格式后附，监狱企业证明材料自行提供）；</w:t>
      </w:r>
      <w:r>
        <w:rPr>
          <w:rFonts w:hint="eastAsia" w:ascii="仿宋_GB2312" w:hAnsi="仿宋" w:eastAsia="仿宋_GB2312" w:cs="仿宋_GB2312"/>
          <w:color w:val="auto"/>
          <w:kern w:val="0"/>
          <w:sz w:val="24"/>
          <w:highlight w:val="none"/>
        </w:rPr>
        <w:t>…………………………（页码）</w:t>
      </w:r>
    </w:p>
    <w:p w14:paraId="3C018860">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en-US" w:eastAsia="zh-CN"/>
        </w:rPr>
        <w:t>八</w:t>
      </w:r>
      <w:r>
        <w:rPr>
          <w:rFonts w:hint="eastAsia" w:ascii="仿宋_GB2312" w:hAnsi="仿宋" w:eastAsia="仿宋_GB2312" w:cs="仿宋_GB2312"/>
          <w:color w:val="auto"/>
          <w:kern w:val="0"/>
          <w:sz w:val="24"/>
          <w:highlight w:val="none"/>
        </w:rPr>
        <w:t>、联合体协议书（</w:t>
      </w:r>
      <w:r>
        <w:rPr>
          <w:rFonts w:hint="eastAsia" w:ascii="仿宋_GB2312" w:hAnsi="仿宋" w:eastAsia="仿宋_GB2312" w:cs="仿宋_GB2312"/>
          <w:color w:val="auto"/>
          <w:sz w:val="24"/>
          <w:highlight w:val="none"/>
        </w:rPr>
        <w:t>以联合体形式投标的，提供联合体协议；本项目不接受联合体投标或者供应商不以联合体形式投标的，则不需要提供</w:t>
      </w:r>
      <w:r>
        <w:rPr>
          <w:rFonts w:hint="eastAsia" w:ascii="仿宋_GB2312" w:hAnsi="仿宋" w:eastAsia="仿宋_GB2312" w:cs="仿宋_GB2312"/>
          <w:color w:val="auto"/>
          <w:kern w:val="0"/>
          <w:sz w:val="24"/>
          <w:highlight w:val="none"/>
        </w:rPr>
        <w:t>）……………………………………（页码）</w:t>
      </w:r>
    </w:p>
    <w:p w14:paraId="21C030F4">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lang w:val="en-US" w:eastAsia="zh-CN"/>
        </w:rPr>
        <w:t>九</w:t>
      </w:r>
      <w:r>
        <w:rPr>
          <w:rFonts w:hint="eastAsia" w:ascii="仿宋_GB2312" w:hAnsi="仿宋" w:eastAsia="仿宋_GB2312" w:cs="仿宋_GB2312"/>
          <w:color w:val="auto"/>
          <w:sz w:val="24"/>
          <w:highlight w:val="none"/>
        </w:rPr>
        <w:t>、符合特定资格条件（如有）的有关证明材料（复印件）</w:t>
      </w:r>
      <w:r>
        <w:rPr>
          <w:rFonts w:hint="eastAsia" w:ascii="仿宋_GB2312" w:hAnsi="仿宋" w:eastAsia="仿宋_GB2312" w:cs="仿宋_GB2312"/>
          <w:color w:val="auto"/>
          <w:kern w:val="0"/>
          <w:sz w:val="24"/>
          <w:highlight w:val="none"/>
        </w:rPr>
        <w:t>………………………（页码）</w:t>
      </w:r>
    </w:p>
    <w:p w14:paraId="466BDF34">
      <w:pPr>
        <w:spacing w:line="360" w:lineRule="auto"/>
        <w:rPr>
          <w:rFonts w:ascii="宋体" w:hAnsi="宋体"/>
          <w:color w:val="auto"/>
          <w:sz w:val="30"/>
          <w:szCs w:val="20"/>
          <w:highlight w:val="none"/>
        </w:rPr>
        <w:sectPr>
          <w:pgSz w:w="11906" w:h="16838"/>
          <w:pgMar w:top="1134" w:right="1134" w:bottom="1134" w:left="1134" w:header="720" w:footer="720" w:gutter="0"/>
          <w:cols w:space="720" w:num="1"/>
          <w:docGrid w:type="lines" w:linePitch="331" w:charSpace="0"/>
        </w:sectPr>
      </w:pPr>
      <w:r>
        <w:rPr>
          <w:rFonts w:hint="eastAsia" w:ascii="仿宋_GB2312" w:hAnsi="仿宋" w:eastAsia="仿宋_GB2312" w:cs="仿宋_GB2312"/>
          <w:b/>
          <w:bCs/>
          <w:color w:val="auto"/>
          <w:sz w:val="24"/>
          <w:highlight w:val="none"/>
        </w:rPr>
        <w:t>注：以上目录是基本格式要求，各供应商可根据自身情况进一步向下增加内容或细化</w:t>
      </w:r>
    </w:p>
    <w:p w14:paraId="52101DC3">
      <w:pPr>
        <w:spacing w:line="360" w:lineRule="auto"/>
        <w:rPr>
          <w:rFonts w:ascii="宋体" w:hAnsi="宋体"/>
          <w:color w:val="auto"/>
          <w:kern w:val="0"/>
          <w:sz w:val="20"/>
          <w:szCs w:val="21"/>
          <w:highlight w:val="none"/>
        </w:rPr>
      </w:pPr>
    </w:p>
    <w:p w14:paraId="6FCA3032">
      <w:pPr>
        <w:spacing w:line="360" w:lineRule="auto"/>
        <w:ind w:firstLine="400" w:firstLineChars="200"/>
        <w:rPr>
          <w:rFonts w:ascii="宋体" w:hAnsi="宋体"/>
          <w:color w:val="auto"/>
          <w:kern w:val="0"/>
          <w:sz w:val="20"/>
          <w:szCs w:val="21"/>
          <w:highlight w:val="none"/>
        </w:rPr>
      </w:pPr>
    </w:p>
    <w:p w14:paraId="5C63292B">
      <w:pPr>
        <w:spacing w:line="360" w:lineRule="auto"/>
        <w:ind w:firstLine="602" w:firstLineChars="200"/>
        <w:rPr>
          <w:rFonts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一、营业执照（或事业法人登记证或其他工商等登记证明材料）复印件（供应商为自然人的，提供自然人的身份证明）</w:t>
      </w:r>
    </w:p>
    <w:p w14:paraId="5F88FFD4">
      <w:pPr>
        <w:spacing w:line="360" w:lineRule="auto"/>
        <w:ind w:firstLine="602" w:firstLineChars="200"/>
        <w:rPr>
          <w:rFonts w:ascii="仿宋" w:hAnsi="仿宋" w:eastAsia="仿宋" w:cs="仿宋_GB2312"/>
          <w:b/>
          <w:color w:val="auto"/>
          <w:kern w:val="0"/>
          <w:sz w:val="30"/>
          <w:szCs w:val="30"/>
          <w:highlight w:val="none"/>
        </w:rPr>
      </w:pPr>
    </w:p>
    <w:p w14:paraId="43C25C22">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2194008D">
      <w:pPr>
        <w:autoSpaceDE w:val="0"/>
        <w:autoSpaceDN w:val="0"/>
        <w:spacing w:line="360" w:lineRule="auto"/>
        <w:ind w:firstLine="6120" w:firstLineChars="2550"/>
        <w:rPr>
          <w:rFonts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37CE4048">
      <w:pPr>
        <w:snapToGrid w:val="0"/>
        <w:spacing w:before="120" w:beforeLines="50" w:after="50"/>
        <w:rPr>
          <w:rFonts w:ascii="宋体" w:hAnsi="宋体"/>
          <w:color w:val="auto"/>
          <w:sz w:val="24"/>
          <w:szCs w:val="20"/>
          <w:highlight w:val="none"/>
        </w:rPr>
      </w:pPr>
    </w:p>
    <w:p w14:paraId="2983B9B5">
      <w:pPr>
        <w:spacing w:line="360" w:lineRule="auto"/>
        <w:ind w:firstLine="602" w:firstLineChars="200"/>
        <w:rPr>
          <w:rFonts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二、符合参与政府采购活动的资格条件依法缴纳税收、社会保障资金等方面的材料</w:t>
      </w:r>
    </w:p>
    <w:p w14:paraId="70038528">
      <w:pPr>
        <w:spacing w:line="300" w:lineRule="auto"/>
        <w:rPr>
          <w:rFonts w:ascii="宋体" w:hAnsi="宋体"/>
          <w:color w:val="auto"/>
          <w:szCs w:val="21"/>
          <w:highlight w:val="none"/>
        </w:rPr>
      </w:pPr>
    </w:p>
    <w:p w14:paraId="5F90C04A">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3C44EA17">
      <w:pPr>
        <w:autoSpaceDE w:val="0"/>
        <w:autoSpaceDN w:val="0"/>
        <w:spacing w:line="360" w:lineRule="auto"/>
        <w:ind w:firstLine="6120" w:firstLineChars="2550"/>
        <w:rPr>
          <w:rFonts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050EC85C">
      <w:pPr>
        <w:spacing w:line="300" w:lineRule="auto"/>
        <w:rPr>
          <w:rFonts w:ascii="宋体" w:hAnsi="宋体"/>
          <w:color w:val="auto"/>
          <w:szCs w:val="21"/>
          <w:highlight w:val="none"/>
        </w:rPr>
      </w:pPr>
    </w:p>
    <w:p w14:paraId="088C5BFA">
      <w:pPr>
        <w:spacing w:line="300" w:lineRule="auto"/>
        <w:ind w:firstLine="596" w:firstLineChars="198"/>
        <w:rPr>
          <w:rFonts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三、财务状况报表方面的材料</w:t>
      </w:r>
    </w:p>
    <w:p w14:paraId="1B10378E">
      <w:pPr>
        <w:spacing w:line="300" w:lineRule="auto"/>
        <w:rPr>
          <w:rFonts w:ascii="宋体" w:hAnsi="宋体"/>
          <w:color w:val="auto"/>
          <w:szCs w:val="21"/>
          <w:highlight w:val="none"/>
        </w:rPr>
      </w:pPr>
    </w:p>
    <w:p w14:paraId="52561B87">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362F7CE5">
      <w:pPr>
        <w:autoSpaceDE w:val="0"/>
        <w:autoSpaceDN w:val="0"/>
        <w:spacing w:line="360" w:lineRule="auto"/>
        <w:ind w:firstLine="6120" w:firstLineChars="2550"/>
        <w:rPr>
          <w:rFonts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3D71A7FD">
      <w:pPr>
        <w:spacing w:line="320" w:lineRule="exact"/>
        <w:jc w:val="left"/>
        <w:rPr>
          <w:rFonts w:ascii="宋体" w:hAnsi="宋体"/>
          <w:color w:val="auto"/>
          <w:szCs w:val="21"/>
          <w:highlight w:val="none"/>
        </w:rPr>
      </w:pPr>
    </w:p>
    <w:p w14:paraId="11A21FF2">
      <w:pPr>
        <w:snapToGrid w:val="0"/>
        <w:spacing w:before="120" w:beforeLines="50" w:after="50" w:line="360" w:lineRule="auto"/>
        <w:jc w:val="center"/>
        <w:rPr>
          <w:rFonts w:ascii="宋体" w:hAnsi="宋体"/>
          <w:b/>
          <w:color w:val="auto"/>
          <w:sz w:val="24"/>
          <w:highlight w:val="none"/>
        </w:rPr>
      </w:pPr>
    </w:p>
    <w:p w14:paraId="4DCA99D9">
      <w:pPr>
        <w:spacing w:line="360" w:lineRule="auto"/>
        <w:ind w:firstLine="596" w:firstLineChars="198"/>
        <w:contextualSpacing/>
        <w:rPr>
          <w:rFonts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四、供应商直接控股股东信息</w:t>
      </w:r>
    </w:p>
    <w:p w14:paraId="0F6BC9EC">
      <w:pPr>
        <w:spacing w:line="360" w:lineRule="auto"/>
        <w:contextualSpacing/>
        <w:jc w:val="center"/>
        <w:rPr>
          <w:rFonts w:ascii="宋体" w:hAnsi="宋体"/>
          <w:b/>
          <w:color w:val="auto"/>
          <w:sz w:val="24"/>
          <w:highlight w:val="none"/>
        </w:rPr>
      </w:pPr>
    </w:p>
    <w:tbl>
      <w:tblPr>
        <w:tblStyle w:val="10"/>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D8E8F0B">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258622F">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795BE67">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E7D52C2">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1224DDF">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F695E66">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616667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380D56A">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7D47759">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C1406FF">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F71356D">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5FEB7A6">
            <w:pPr>
              <w:widowControl/>
              <w:spacing w:line="360" w:lineRule="auto"/>
              <w:contextualSpacing/>
              <w:jc w:val="center"/>
              <w:rPr>
                <w:rFonts w:ascii="宋体" w:hAnsi="宋体" w:cs="宋体"/>
                <w:color w:val="auto"/>
                <w:kern w:val="0"/>
                <w:sz w:val="24"/>
                <w:highlight w:val="none"/>
              </w:rPr>
            </w:pPr>
          </w:p>
        </w:tc>
      </w:tr>
      <w:tr w14:paraId="3FD06A4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D70F97D">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6BDF97F">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84A808E">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5859110">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7D447AB">
            <w:pPr>
              <w:widowControl/>
              <w:spacing w:line="360" w:lineRule="auto"/>
              <w:contextualSpacing/>
              <w:jc w:val="center"/>
              <w:rPr>
                <w:rFonts w:ascii="宋体" w:hAnsi="宋体" w:cs="宋体"/>
                <w:color w:val="auto"/>
                <w:kern w:val="0"/>
                <w:sz w:val="24"/>
                <w:highlight w:val="none"/>
              </w:rPr>
            </w:pPr>
          </w:p>
        </w:tc>
      </w:tr>
      <w:tr w14:paraId="0BBC957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1566EBE">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D0B85DA">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8717844">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A695644">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C344807">
            <w:pPr>
              <w:widowControl/>
              <w:spacing w:line="360" w:lineRule="auto"/>
              <w:contextualSpacing/>
              <w:jc w:val="center"/>
              <w:rPr>
                <w:rFonts w:ascii="宋体" w:hAnsi="宋体" w:cs="宋体"/>
                <w:color w:val="auto"/>
                <w:kern w:val="0"/>
                <w:sz w:val="24"/>
                <w:highlight w:val="none"/>
              </w:rPr>
            </w:pPr>
          </w:p>
        </w:tc>
      </w:tr>
      <w:tr w14:paraId="2255EF6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D3D51EC">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BDB4419">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A7FEAB4">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A0BA18D">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54DE754">
            <w:pPr>
              <w:widowControl/>
              <w:spacing w:line="360" w:lineRule="auto"/>
              <w:contextualSpacing/>
              <w:jc w:val="center"/>
              <w:rPr>
                <w:rFonts w:ascii="宋体" w:hAnsi="宋体" w:cs="宋体"/>
                <w:color w:val="auto"/>
                <w:kern w:val="0"/>
                <w:sz w:val="24"/>
                <w:highlight w:val="none"/>
              </w:rPr>
            </w:pPr>
          </w:p>
        </w:tc>
      </w:tr>
    </w:tbl>
    <w:p w14:paraId="6696D738">
      <w:pPr>
        <w:spacing w:line="360" w:lineRule="auto"/>
        <w:contextualSpacing/>
        <w:jc w:val="left"/>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注：</w:t>
      </w:r>
    </w:p>
    <w:p w14:paraId="513D6B9F">
      <w:pPr>
        <w:spacing w:line="360" w:lineRule="auto"/>
        <w:ind w:firstLine="480" w:firstLineChars="200"/>
        <w:contextualSpacing/>
        <w:jc w:val="left"/>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E633E3B">
      <w:pPr>
        <w:spacing w:line="360" w:lineRule="auto"/>
        <w:ind w:firstLine="480" w:firstLineChars="200"/>
        <w:contextualSpacing/>
        <w:jc w:val="left"/>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2.本表所指的控股关系仅限于直接控股关系，不包括间接的控股关系。公司实际控制人与公司之间的关系不属于本表所指的直接控股关系。</w:t>
      </w:r>
    </w:p>
    <w:p w14:paraId="1FE1323C">
      <w:pPr>
        <w:spacing w:line="360" w:lineRule="auto"/>
        <w:ind w:firstLine="480" w:firstLineChars="200"/>
        <w:contextualSpacing/>
        <w:jc w:val="left"/>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3.供应商不存在直接控股股东的，则填“无”。</w:t>
      </w:r>
    </w:p>
    <w:p w14:paraId="6A189445">
      <w:pPr>
        <w:snapToGrid w:val="0"/>
        <w:spacing w:line="360" w:lineRule="auto"/>
        <w:jc w:val="left"/>
        <w:rPr>
          <w:rFonts w:ascii="宋体" w:hAnsi="宋体" w:cs="宋体"/>
          <w:color w:val="auto"/>
          <w:sz w:val="24"/>
          <w:highlight w:val="none"/>
        </w:rPr>
      </w:pPr>
    </w:p>
    <w:p w14:paraId="5A5076E2">
      <w:pPr>
        <w:snapToGrid w:val="0"/>
        <w:spacing w:line="360" w:lineRule="auto"/>
        <w:jc w:val="left"/>
        <w:rPr>
          <w:rFonts w:ascii="宋体" w:hAnsi="宋体" w:cs="宋体"/>
          <w:color w:val="auto"/>
          <w:sz w:val="24"/>
          <w:highlight w:val="none"/>
        </w:rPr>
      </w:pPr>
    </w:p>
    <w:p w14:paraId="224813B5">
      <w:pPr>
        <w:snapToGrid w:val="0"/>
        <w:spacing w:line="360" w:lineRule="auto"/>
        <w:jc w:val="left"/>
        <w:rPr>
          <w:rFonts w:ascii="宋体" w:hAnsi="宋体" w:cs="宋体"/>
          <w:color w:val="auto"/>
          <w:sz w:val="24"/>
          <w:highlight w:val="none"/>
        </w:rPr>
      </w:pPr>
    </w:p>
    <w:p w14:paraId="7A9EBDC7">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26B35B37">
      <w:pPr>
        <w:autoSpaceDE w:val="0"/>
        <w:autoSpaceDN w:val="0"/>
        <w:spacing w:line="360" w:lineRule="auto"/>
        <w:ind w:firstLine="6120" w:firstLineChars="2550"/>
        <w:rPr>
          <w:rFonts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131A8BC5">
      <w:pPr>
        <w:snapToGrid w:val="0"/>
        <w:rPr>
          <w:rFonts w:ascii="仿宋" w:hAnsi="仿宋" w:eastAsia="仿宋" w:cs="仿宋_GB2312"/>
          <w:b/>
          <w:color w:val="auto"/>
          <w:kern w:val="0"/>
          <w:sz w:val="30"/>
          <w:szCs w:val="30"/>
          <w:highlight w:val="none"/>
        </w:rPr>
      </w:pPr>
    </w:p>
    <w:p w14:paraId="05FFD780">
      <w:pPr>
        <w:snapToGrid w:val="0"/>
        <w:ind w:firstLine="596" w:firstLineChars="198"/>
        <w:rPr>
          <w:rFonts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五、供应商直接管理关系信息表</w:t>
      </w:r>
    </w:p>
    <w:p w14:paraId="4A1A0601">
      <w:pPr>
        <w:snapToGrid w:val="0"/>
        <w:spacing w:line="360" w:lineRule="auto"/>
        <w:jc w:val="center"/>
        <w:rPr>
          <w:rFonts w:ascii="宋体" w:hAnsi="宋体"/>
          <w:b/>
          <w:color w:val="auto"/>
          <w:sz w:val="24"/>
          <w:highlight w:val="none"/>
        </w:rPr>
      </w:pPr>
    </w:p>
    <w:tbl>
      <w:tblPr>
        <w:tblStyle w:val="10"/>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3DC1668D">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BCBA353">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B475CEF">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0BFB988">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9EB4F24">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4711F0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551EF65">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CDF88E0">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AF24EA6">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E89785E">
            <w:pPr>
              <w:widowControl/>
              <w:spacing w:line="360" w:lineRule="auto"/>
              <w:contextualSpacing/>
              <w:jc w:val="center"/>
              <w:rPr>
                <w:rFonts w:ascii="宋体" w:hAnsi="宋体" w:cs="宋体"/>
                <w:color w:val="auto"/>
                <w:kern w:val="0"/>
                <w:sz w:val="24"/>
                <w:highlight w:val="none"/>
              </w:rPr>
            </w:pPr>
          </w:p>
        </w:tc>
      </w:tr>
      <w:tr w14:paraId="3F87A27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6E5C6D4">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CD1E31F">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6EC84F5">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0457E79">
            <w:pPr>
              <w:widowControl/>
              <w:spacing w:line="360" w:lineRule="auto"/>
              <w:contextualSpacing/>
              <w:jc w:val="center"/>
              <w:rPr>
                <w:rFonts w:ascii="宋体" w:hAnsi="宋体" w:cs="宋体"/>
                <w:color w:val="auto"/>
                <w:kern w:val="0"/>
                <w:sz w:val="24"/>
                <w:highlight w:val="none"/>
              </w:rPr>
            </w:pPr>
          </w:p>
        </w:tc>
      </w:tr>
      <w:tr w14:paraId="1A841FE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6295E17">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0B21436">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64DBD43">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FEAA691">
            <w:pPr>
              <w:widowControl/>
              <w:spacing w:line="360" w:lineRule="auto"/>
              <w:contextualSpacing/>
              <w:jc w:val="center"/>
              <w:rPr>
                <w:rFonts w:ascii="宋体" w:hAnsi="宋体" w:cs="宋体"/>
                <w:color w:val="auto"/>
                <w:kern w:val="0"/>
                <w:sz w:val="24"/>
                <w:highlight w:val="none"/>
              </w:rPr>
            </w:pPr>
          </w:p>
        </w:tc>
      </w:tr>
      <w:tr w14:paraId="30DBFCF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DB71A62">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C7EB1C1">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9E303AF">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855D1A4">
            <w:pPr>
              <w:widowControl/>
              <w:spacing w:line="360" w:lineRule="auto"/>
              <w:contextualSpacing/>
              <w:jc w:val="center"/>
              <w:rPr>
                <w:rFonts w:ascii="宋体" w:hAnsi="宋体" w:cs="宋体"/>
                <w:color w:val="auto"/>
                <w:kern w:val="0"/>
                <w:sz w:val="24"/>
                <w:highlight w:val="none"/>
              </w:rPr>
            </w:pPr>
          </w:p>
        </w:tc>
      </w:tr>
    </w:tbl>
    <w:p w14:paraId="70E218E1">
      <w:pPr>
        <w:spacing w:line="360" w:lineRule="auto"/>
        <w:ind w:firstLine="480" w:firstLineChars="200"/>
        <w:contextualSpacing/>
        <w:jc w:val="left"/>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注：</w:t>
      </w:r>
    </w:p>
    <w:p w14:paraId="6F9AE4B7">
      <w:pPr>
        <w:spacing w:line="360" w:lineRule="auto"/>
        <w:ind w:firstLine="480" w:firstLineChars="200"/>
        <w:contextualSpacing/>
        <w:jc w:val="left"/>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1.管理关系：是指不具有出资持股关系的其他单位之间存在的管理与被管理关系，如一些上下级关系的事业单位和团体组织。</w:t>
      </w:r>
    </w:p>
    <w:p w14:paraId="718C9FA4">
      <w:pPr>
        <w:spacing w:line="360" w:lineRule="auto"/>
        <w:ind w:firstLine="480" w:firstLineChars="200"/>
        <w:contextualSpacing/>
        <w:jc w:val="left"/>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2.本表所指的管理关系仅限于直接管理关系，不包括间接的管理关系。</w:t>
      </w:r>
    </w:p>
    <w:p w14:paraId="32EB7F32">
      <w:pPr>
        <w:spacing w:line="360" w:lineRule="auto"/>
        <w:ind w:firstLine="480" w:firstLineChars="200"/>
        <w:contextualSpacing/>
        <w:jc w:val="left"/>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3.供应商不存在直接管理关系的，则填“无”。</w:t>
      </w:r>
    </w:p>
    <w:p w14:paraId="0CCF6720">
      <w:pPr>
        <w:spacing w:line="360" w:lineRule="auto"/>
        <w:contextualSpacing/>
        <w:jc w:val="left"/>
        <w:rPr>
          <w:color w:val="auto"/>
          <w:sz w:val="24"/>
          <w:highlight w:val="none"/>
        </w:rPr>
      </w:pPr>
    </w:p>
    <w:p w14:paraId="6B476D40">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58524540">
      <w:pPr>
        <w:autoSpaceDE w:val="0"/>
        <w:autoSpaceDN w:val="0"/>
        <w:spacing w:line="360" w:lineRule="auto"/>
        <w:ind w:firstLine="6120" w:firstLineChars="2550"/>
        <w:rPr>
          <w:rFonts w:ascii="宋体" w:hAnsi="宋体"/>
          <w:color w:val="auto"/>
          <w:sz w:val="28"/>
          <w:szCs w:val="28"/>
          <w:highlight w:val="none"/>
        </w:rPr>
      </w:pPr>
      <w:r>
        <w:rPr>
          <w:rFonts w:hint="eastAsia" w:ascii="仿宋_GB2312" w:hAnsi="仿宋" w:eastAsia="仿宋_GB2312" w:cs="仿宋_GB2312"/>
          <w:color w:val="auto"/>
          <w:kern w:val="0"/>
          <w:sz w:val="24"/>
          <w:highlight w:val="none"/>
          <w:lang w:val="zh-CN"/>
        </w:rPr>
        <w:t>日期：  年  月   日</w:t>
      </w:r>
    </w:p>
    <w:p w14:paraId="33A4287D">
      <w:pPr>
        <w:spacing w:line="320" w:lineRule="exact"/>
        <w:ind w:firstLine="560" w:firstLineChars="200"/>
        <w:jc w:val="left"/>
        <w:rPr>
          <w:rFonts w:ascii="宋体" w:hAnsi="宋体"/>
          <w:color w:val="auto"/>
          <w:sz w:val="28"/>
          <w:szCs w:val="28"/>
          <w:highlight w:val="none"/>
        </w:rPr>
      </w:pPr>
      <w:r>
        <w:rPr>
          <w:rFonts w:hint="eastAsia" w:ascii="宋体" w:hAnsi="宋体"/>
          <w:color w:val="auto"/>
          <w:sz w:val="28"/>
          <w:szCs w:val="28"/>
          <w:highlight w:val="none"/>
        </w:rPr>
        <w:br w:type="page"/>
      </w:r>
      <w:r>
        <w:rPr>
          <w:rFonts w:hint="eastAsia" w:ascii="仿宋" w:hAnsi="仿宋" w:eastAsia="仿宋" w:cs="仿宋_GB2312"/>
          <w:b/>
          <w:color w:val="auto"/>
          <w:kern w:val="0"/>
          <w:sz w:val="30"/>
          <w:szCs w:val="30"/>
          <w:highlight w:val="none"/>
        </w:rPr>
        <w:t>六、资格声明函</w:t>
      </w:r>
    </w:p>
    <w:p w14:paraId="344AF710">
      <w:pPr>
        <w:spacing w:line="320" w:lineRule="exact"/>
        <w:jc w:val="center"/>
        <w:rPr>
          <w:rFonts w:ascii="宋体" w:hAnsi="宋体"/>
          <w:b/>
          <w:color w:val="auto"/>
          <w:sz w:val="32"/>
          <w:szCs w:val="32"/>
          <w:highlight w:val="none"/>
        </w:rPr>
      </w:pPr>
    </w:p>
    <w:p w14:paraId="02C7C2B1">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资格声明函</w:t>
      </w:r>
    </w:p>
    <w:p w14:paraId="1573EC60">
      <w:pPr>
        <w:spacing w:line="320" w:lineRule="exact"/>
        <w:jc w:val="center"/>
        <w:rPr>
          <w:rFonts w:ascii="宋体" w:hAnsi="宋体"/>
          <w:color w:val="auto"/>
          <w:sz w:val="24"/>
          <w:szCs w:val="20"/>
          <w:highlight w:val="none"/>
        </w:rPr>
      </w:pPr>
    </w:p>
    <w:p w14:paraId="5167E96A">
      <w:pPr>
        <w:spacing w:line="360" w:lineRule="auto"/>
        <w:contextualSpacing/>
        <w:rPr>
          <w:rFonts w:ascii="仿宋_GB2312" w:hAnsi="宋体" w:eastAsia="仿宋_GB2312" w:cs="宋体"/>
          <w:color w:val="auto"/>
          <w:sz w:val="24"/>
          <w:highlight w:val="none"/>
          <w:u w:val="single"/>
        </w:rPr>
      </w:pPr>
      <w:r>
        <w:rPr>
          <w:rFonts w:hint="eastAsia" w:ascii="仿宋_GB2312" w:hAnsi="宋体" w:eastAsia="仿宋_GB2312" w:cs="宋体"/>
          <w:color w:val="auto"/>
          <w:sz w:val="24"/>
          <w:highlight w:val="none"/>
        </w:rPr>
        <w:t>致：</w:t>
      </w:r>
      <w:r>
        <w:rPr>
          <w:rFonts w:hint="eastAsia" w:ascii="仿宋_GB2312" w:hAnsi="宋体" w:eastAsia="仿宋_GB2312" w:cs="宋体"/>
          <w:color w:val="auto"/>
          <w:sz w:val="24"/>
          <w:highlight w:val="none"/>
          <w:u w:val="single"/>
        </w:rPr>
        <w:t>（采购代理机构名称）：</w:t>
      </w:r>
    </w:p>
    <w:p w14:paraId="3355BBAE">
      <w:pPr>
        <w:spacing w:line="360" w:lineRule="auto"/>
        <w:ind w:firstLine="480" w:firstLineChars="200"/>
        <w:contextualSpacing/>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u w:val="single"/>
        </w:rPr>
        <w:t>（供应商名称）</w:t>
      </w:r>
      <w:r>
        <w:rPr>
          <w:rFonts w:hint="eastAsia" w:ascii="仿宋_GB2312" w:hAnsi="宋体" w:eastAsia="仿宋_GB2312" w:cs="宋体"/>
          <w:color w:val="auto"/>
          <w:sz w:val="24"/>
          <w:highlight w:val="none"/>
        </w:rPr>
        <w:t>系中华人民共和国合法供应商，经营地址   。</w:t>
      </w:r>
    </w:p>
    <w:p w14:paraId="0D2FDDB4">
      <w:pPr>
        <w:spacing w:line="360" w:lineRule="auto"/>
        <w:ind w:firstLine="480" w:firstLineChars="200"/>
        <w:contextualSpacing/>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我方愿意参加贵方组织的</w:t>
      </w:r>
      <w:r>
        <w:rPr>
          <w:rFonts w:hint="eastAsia" w:ascii="仿宋_GB2312" w:hAnsi="宋体" w:eastAsia="仿宋_GB2312" w:cs="宋体"/>
          <w:color w:val="auto"/>
          <w:sz w:val="24"/>
          <w:highlight w:val="none"/>
          <w:u w:val="single"/>
        </w:rPr>
        <w:t>（项目名称）</w:t>
      </w:r>
      <w:r>
        <w:rPr>
          <w:rFonts w:hint="eastAsia" w:ascii="仿宋_GB2312" w:hAnsi="宋体" w:eastAsia="仿宋_GB2312" w:cs="宋体"/>
          <w:color w:val="auto"/>
          <w:sz w:val="24"/>
          <w:highlight w:val="none"/>
        </w:rPr>
        <w:t>项目的竞标，为便于贵方公正、择优地确定成交供应商及其竞标产品和服务，我方就本次竞标有关事项郑重声明如下：</w:t>
      </w:r>
    </w:p>
    <w:p w14:paraId="4DA6D937">
      <w:pPr>
        <w:spacing w:line="360" w:lineRule="auto"/>
        <w:ind w:firstLine="480" w:firstLineChars="200"/>
        <w:contextualSpacing/>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1.我方向贵方提交的所有响应文件、资料都是准确的和真实的。</w:t>
      </w:r>
    </w:p>
    <w:p w14:paraId="263E82B8">
      <w:pPr>
        <w:spacing w:line="360" w:lineRule="auto"/>
        <w:ind w:firstLine="480" w:firstLineChars="200"/>
        <w:contextualSpacing/>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2.我方不是为本次采购项目提供整体设计、规范编制或者项目管理、监理、检测等服务的供应商；在获知本项目采购信息后，与采购人聘请的为此项目提供咨询服务的公司及其附属机构没有任何联系。</w:t>
      </w:r>
    </w:p>
    <w:p w14:paraId="4AB8323A">
      <w:pPr>
        <w:spacing w:line="360" w:lineRule="auto"/>
        <w:ind w:firstLine="480" w:firstLineChars="200"/>
        <w:contextualSpacing/>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3.在此，我方宣布同意如下：</w:t>
      </w:r>
    </w:p>
    <w:p w14:paraId="09FE0CB8">
      <w:pPr>
        <w:spacing w:line="360" w:lineRule="auto"/>
        <w:ind w:firstLine="480" w:firstLineChars="200"/>
        <w:contextualSpacing/>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（1）将按磋商文件的约定履行合同责任和义务；</w:t>
      </w:r>
    </w:p>
    <w:p w14:paraId="2E3FB18A">
      <w:pPr>
        <w:spacing w:line="360" w:lineRule="auto"/>
        <w:ind w:firstLine="480" w:firstLineChars="200"/>
        <w:contextualSpacing/>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（2）已详细审查全部磋商文件，包括澄清或者更正公告（如有）；</w:t>
      </w:r>
    </w:p>
    <w:p w14:paraId="0D442679">
      <w:pPr>
        <w:spacing w:line="360" w:lineRule="auto"/>
        <w:ind w:firstLine="480" w:firstLineChars="200"/>
        <w:contextualSpacing/>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（3）同意提供按照贵方可能要求的与谈判有关的一切数据或者资料；</w:t>
      </w:r>
    </w:p>
    <w:p w14:paraId="20F305B9">
      <w:pPr>
        <w:spacing w:line="360" w:lineRule="auto"/>
        <w:ind w:firstLine="480" w:firstLineChars="200"/>
        <w:contextualSpacing/>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（4）响应磋商文件规定的竞标有效期。</w:t>
      </w:r>
    </w:p>
    <w:p w14:paraId="54D189C0">
      <w:pPr>
        <w:spacing w:line="360" w:lineRule="auto"/>
        <w:ind w:firstLine="480" w:firstLineChars="200"/>
        <w:contextualSpacing/>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4.我方承诺已经具备《中华人民共和国政府采购法》第二十二条规定的参加政府采购活动的供应商应当具备的条件并按本项目采购文件《第三章》第二节供应商须知前附表中“资格证明文件组成”完整提供证明材料：</w:t>
      </w:r>
    </w:p>
    <w:p w14:paraId="711426D2">
      <w:pPr>
        <w:spacing w:line="360" w:lineRule="auto"/>
        <w:ind w:firstLine="480" w:firstLineChars="200"/>
        <w:contextualSpacing/>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（1）具有独立承担民事责任的能力；</w:t>
      </w:r>
    </w:p>
    <w:p w14:paraId="48EF8681">
      <w:pPr>
        <w:spacing w:line="360" w:lineRule="auto"/>
        <w:ind w:firstLine="480" w:firstLineChars="200"/>
        <w:contextualSpacing/>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（2）具有良好的商业信誉和健全的财务会计制度；</w:t>
      </w:r>
    </w:p>
    <w:p w14:paraId="13074E03">
      <w:pPr>
        <w:spacing w:line="360" w:lineRule="auto"/>
        <w:ind w:firstLine="480" w:firstLineChars="200"/>
        <w:contextualSpacing/>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（3）具有履行合同所必需的设备和专业技术能力；</w:t>
      </w:r>
    </w:p>
    <w:p w14:paraId="5350EC25">
      <w:pPr>
        <w:spacing w:line="360" w:lineRule="auto"/>
        <w:ind w:firstLine="480" w:firstLineChars="200"/>
        <w:contextualSpacing/>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（4）有依法缴纳税收和社会保障资金的良好记录；</w:t>
      </w:r>
    </w:p>
    <w:p w14:paraId="47BD6D3B">
      <w:pPr>
        <w:spacing w:line="360" w:lineRule="auto"/>
        <w:ind w:firstLine="480" w:firstLineChars="200"/>
        <w:contextualSpacing/>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（5）参加政府采购活动前三年内，在经营活动中没有重大违法记录；</w:t>
      </w:r>
    </w:p>
    <w:p w14:paraId="419299D7">
      <w:pPr>
        <w:spacing w:line="360" w:lineRule="auto"/>
        <w:ind w:firstLine="480" w:firstLineChars="200"/>
        <w:contextualSpacing/>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（6）法律、行政法规规定的其他条件。</w:t>
      </w:r>
    </w:p>
    <w:p w14:paraId="0FF37DEE">
      <w:pPr>
        <w:spacing w:line="360" w:lineRule="auto"/>
        <w:ind w:firstLine="480" w:firstLineChars="200"/>
        <w:contextualSpacing/>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0433E48">
      <w:pPr>
        <w:spacing w:line="360" w:lineRule="auto"/>
        <w:ind w:firstLine="480" w:firstLineChars="200"/>
        <w:contextualSpacing/>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679A5B8">
      <w:pPr>
        <w:spacing w:line="360" w:lineRule="auto"/>
        <w:ind w:firstLine="480" w:firstLineChars="200"/>
        <w:contextualSpacing/>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□我方本次响应文件</w:t>
      </w:r>
      <w:r>
        <w:rPr>
          <w:rFonts w:hint="eastAsia" w:ascii="仿宋_GB2312" w:hAnsi="宋体" w:eastAsia="仿宋_GB2312" w:cs="宋体"/>
          <w:color w:val="auto"/>
          <w:kern w:val="0"/>
          <w:sz w:val="24"/>
          <w:highlight w:val="none"/>
        </w:rPr>
        <w:t>内容中</w:t>
      </w:r>
      <w:r>
        <w:rPr>
          <w:rFonts w:hint="eastAsia" w:ascii="仿宋_GB2312" w:hAnsi="宋体" w:eastAsia="仿宋_GB2312" w:cs="宋体"/>
          <w:color w:val="auto"/>
          <w:sz w:val="24"/>
          <w:highlight w:val="none"/>
        </w:rPr>
        <w:t>未</w:t>
      </w:r>
      <w:r>
        <w:rPr>
          <w:rFonts w:hint="eastAsia" w:ascii="仿宋_GB2312" w:hAnsi="宋体" w:eastAsia="仿宋_GB2312" w:cs="宋体"/>
          <w:color w:val="auto"/>
          <w:kern w:val="0"/>
          <w:sz w:val="24"/>
          <w:highlight w:val="none"/>
        </w:rPr>
        <w:t>涉及商业秘密；</w:t>
      </w:r>
    </w:p>
    <w:p w14:paraId="6F7ABC27">
      <w:pPr>
        <w:spacing w:line="360" w:lineRule="auto"/>
        <w:ind w:firstLine="480" w:firstLineChars="200"/>
        <w:contextualSpacing/>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□我方本次响应文件</w:t>
      </w:r>
      <w:r>
        <w:rPr>
          <w:rFonts w:hint="eastAsia" w:ascii="仿宋_GB2312" w:hAnsi="宋体" w:eastAsia="仿宋_GB2312" w:cs="宋体"/>
          <w:color w:val="auto"/>
          <w:kern w:val="0"/>
          <w:sz w:val="24"/>
          <w:highlight w:val="none"/>
        </w:rPr>
        <w:t>涉及商业秘密的内容有：                         ；</w:t>
      </w:r>
    </w:p>
    <w:p w14:paraId="2DA34360">
      <w:pPr>
        <w:spacing w:line="360" w:lineRule="auto"/>
        <w:ind w:firstLine="480" w:firstLineChars="200"/>
        <w:contextualSpacing/>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 xml:space="preserve">7.与本磋商有关的一切正式往来信函请寄：                  邮政编号：        </w:t>
      </w:r>
    </w:p>
    <w:p w14:paraId="7DD1503A">
      <w:pPr>
        <w:spacing w:line="360" w:lineRule="auto"/>
        <w:ind w:firstLine="480" w:firstLineChars="200"/>
        <w:contextualSpacing/>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 xml:space="preserve">电话/传真：                         电子函件：                                </w:t>
      </w:r>
    </w:p>
    <w:p w14:paraId="755A55F8">
      <w:pPr>
        <w:tabs>
          <w:tab w:val="left" w:pos="939"/>
        </w:tabs>
        <w:spacing w:line="360" w:lineRule="auto"/>
        <w:ind w:left="141" w:leftChars="67" w:firstLine="360" w:firstLineChars="150"/>
        <w:contextualSpacing/>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 xml:space="preserve">开户银行：                           账号：                               </w:t>
      </w:r>
    </w:p>
    <w:p w14:paraId="43E9DF85">
      <w:pPr>
        <w:tabs>
          <w:tab w:val="left" w:pos="939"/>
        </w:tabs>
        <w:spacing w:line="360" w:lineRule="auto"/>
        <w:ind w:firstLine="480" w:firstLineChars="200"/>
        <w:contextualSpacing/>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8.以上事项如有虚假或者隐瞒，我方愿意承担一切后果，并不再寻求任何旨在减轻或者免除法律责任的辩解。</w:t>
      </w:r>
    </w:p>
    <w:p w14:paraId="5465FA37">
      <w:pPr>
        <w:tabs>
          <w:tab w:val="left" w:pos="939"/>
        </w:tabs>
        <w:spacing w:line="360" w:lineRule="auto"/>
        <w:ind w:left="141" w:leftChars="67" w:firstLine="360" w:firstLineChars="150"/>
        <w:contextualSpacing/>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特此承诺。</w:t>
      </w:r>
    </w:p>
    <w:p w14:paraId="3CB43AC8">
      <w:pPr>
        <w:tabs>
          <w:tab w:val="left" w:pos="939"/>
        </w:tabs>
        <w:spacing w:line="360" w:lineRule="auto"/>
        <w:ind w:firstLine="482" w:firstLineChars="200"/>
        <w:contextualSpacing/>
        <w:rPr>
          <w:rFonts w:ascii="宋体" w:hAnsi="宋体" w:cs="宋体"/>
          <w:b/>
          <w:color w:val="auto"/>
          <w:sz w:val="24"/>
          <w:highlight w:val="none"/>
        </w:rPr>
      </w:pPr>
      <w:r>
        <w:rPr>
          <w:rFonts w:hint="eastAsia" w:ascii="仿宋_GB2312" w:hAnsi="宋体" w:eastAsia="仿宋_GB2312" w:cs="宋体"/>
          <w:b/>
          <w:color w:val="auto"/>
          <w:sz w:val="24"/>
          <w:highlight w:val="none"/>
        </w:rPr>
        <w:t>注：如为联合体竞标，盖章处须加盖联合体各方公章并由联合体各方法定代表人签署，否则其响应文件按无效响应处理。</w:t>
      </w:r>
    </w:p>
    <w:p w14:paraId="07E406A9">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71A584F4">
      <w:pPr>
        <w:autoSpaceDE w:val="0"/>
        <w:autoSpaceDN w:val="0"/>
        <w:spacing w:line="360" w:lineRule="auto"/>
        <w:ind w:firstLine="6120" w:firstLineChars="2550"/>
        <w:rPr>
          <w:rFonts w:ascii="仿宋_GB2312" w:hAnsi="仿宋" w:eastAsia="仿宋_GB2312" w:cs="仿宋_GB2312"/>
          <w:color w:val="auto"/>
          <w:kern w:val="0"/>
          <w:sz w:val="24"/>
          <w:highlight w:val="none"/>
          <w:lang w:val="zh-CN"/>
        </w:rPr>
        <w:sectPr>
          <w:pgSz w:w="11910" w:h="16840"/>
          <w:pgMar w:top="1340" w:right="1500" w:bottom="280" w:left="1680" w:header="720" w:footer="720" w:gutter="0"/>
          <w:cols w:space="720" w:num="1"/>
          <w:docGrid w:linePitch="285" w:charSpace="0"/>
        </w:sectPr>
      </w:pPr>
      <w:r>
        <w:rPr>
          <w:rFonts w:hint="eastAsia" w:ascii="仿宋_GB2312" w:hAnsi="仿宋" w:eastAsia="仿宋_GB2312" w:cs="仿宋_GB2312"/>
          <w:color w:val="auto"/>
          <w:kern w:val="0"/>
          <w:sz w:val="24"/>
          <w:highlight w:val="none"/>
          <w:lang w:val="zh-CN"/>
        </w:rPr>
        <w:t>日期：  年  月   日</w:t>
      </w:r>
    </w:p>
    <w:p w14:paraId="16CE73AB">
      <w:pPr>
        <w:autoSpaceDE/>
        <w:autoSpaceDN/>
        <w:spacing w:line="600" w:lineRule="exact"/>
        <w:ind w:firstLine="0" w:firstLineChars="0"/>
        <w:jc w:val="center"/>
        <w:rPr>
          <w:rFonts w:hint="eastAsia" w:ascii="Times New Roman" w:hAnsi="Times New Roman" w:eastAsia="宋体" w:cs="Times New Roman"/>
          <w:b/>
          <w:bCs/>
          <w:color w:val="auto"/>
          <w:kern w:val="0"/>
          <w:sz w:val="30"/>
          <w:szCs w:val="30"/>
          <w:highlight w:val="none"/>
          <w:lang w:val="zh-CN"/>
        </w:rPr>
      </w:pPr>
      <w:r>
        <w:rPr>
          <w:rFonts w:hint="eastAsia" w:ascii="Times New Roman" w:hAnsi="Times New Roman" w:eastAsia="宋体" w:cs="Times New Roman"/>
          <w:b/>
          <w:bCs/>
          <w:color w:val="auto"/>
          <w:kern w:val="0"/>
          <w:sz w:val="30"/>
          <w:szCs w:val="30"/>
          <w:highlight w:val="none"/>
          <w:lang w:val="en-US" w:eastAsia="zh-CN"/>
        </w:rPr>
        <w:t>七、</w:t>
      </w:r>
      <w:r>
        <w:rPr>
          <w:rFonts w:hint="eastAsia" w:ascii="Times New Roman" w:hAnsi="Times New Roman" w:eastAsia="宋体" w:cs="Times New Roman"/>
          <w:b/>
          <w:bCs/>
          <w:color w:val="auto"/>
          <w:kern w:val="0"/>
          <w:sz w:val="30"/>
          <w:szCs w:val="30"/>
          <w:highlight w:val="none"/>
          <w:lang w:val="en-US" w:eastAsia="zh-CN" w:bidi="ar"/>
        </w:rPr>
        <w:t>属于中小企业的提供《中小企业声明函》，属于残疾人福利性单位的《提供残疾人福利性单位声明函》，属于监狱企业的提供省级以上监狱管理局、戒毒管理局（含新疆生产建设兵团）出具的属于监狱企业的证明文件（《中小企业声明函》及《提供残疾人福利性单位声明函》格式后附，监狱企业证明材料自行提供）</w:t>
      </w:r>
    </w:p>
    <w:p w14:paraId="267EC624">
      <w:pPr>
        <w:autoSpaceDE w:val="0"/>
        <w:autoSpaceDN w:val="0"/>
        <w:spacing w:line="360" w:lineRule="auto"/>
        <w:ind w:firstLine="6120" w:firstLineChars="2550"/>
        <w:rPr>
          <w:rFonts w:ascii="仿宋_GB2312" w:hAnsi="仿宋" w:eastAsia="仿宋_GB2312" w:cs="仿宋_GB2312"/>
          <w:color w:val="auto"/>
          <w:kern w:val="0"/>
          <w:sz w:val="24"/>
          <w:highlight w:val="none"/>
          <w:lang w:val="zh-CN"/>
        </w:rPr>
      </w:pPr>
    </w:p>
    <w:p w14:paraId="6B063226">
      <w:pPr>
        <w:spacing w:line="600" w:lineRule="exact"/>
        <w:jc w:val="center"/>
        <w:rPr>
          <w:rFonts w:hint="default"/>
          <w:b/>
          <w:bCs/>
          <w:color w:val="auto"/>
          <w:kern w:val="0"/>
          <w:sz w:val="30"/>
          <w:szCs w:val="30"/>
          <w:highlight w:val="none"/>
          <w:lang w:val="en-US"/>
        </w:rPr>
      </w:pPr>
    </w:p>
    <w:p w14:paraId="77776D63">
      <w:pPr>
        <w:spacing w:line="600" w:lineRule="exact"/>
        <w:jc w:val="center"/>
        <w:rPr>
          <w:rFonts w:hint="default"/>
          <w:b/>
          <w:bCs/>
          <w:color w:val="auto"/>
          <w:kern w:val="0"/>
          <w:sz w:val="30"/>
          <w:szCs w:val="30"/>
          <w:highlight w:val="none"/>
          <w:lang w:val="en-US"/>
        </w:rPr>
      </w:pPr>
    </w:p>
    <w:p w14:paraId="3E93A39F">
      <w:pPr>
        <w:spacing w:line="600" w:lineRule="exact"/>
        <w:jc w:val="center"/>
        <w:rPr>
          <w:rFonts w:hint="default"/>
          <w:b/>
          <w:bCs/>
          <w:color w:val="auto"/>
          <w:kern w:val="0"/>
          <w:sz w:val="30"/>
          <w:szCs w:val="30"/>
          <w:highlight w:val="none"/>
          <w:lang w:val="en-US"/>
        </w:rPr>
      </w:pPr>
    </w:p>
    <w:p w14:paraId="6F7E52D9">
      <w:pPr>
        <w:spacing w:line="600" w:lineRule="exact"/>
        <w:jc w:val="center"/>
        <w:rPr>
          <w:rFonts w:hint="default"/>
          <w:b/>
          <w:bCs/>
          <w:color w:val="auto"/>
          <w:kern w:val="0"/>
          <w:sz w:val="30"/>
          <w:szCs w:val="30"/>
          <w:highlight w:val="none"/>
          <w:lang w:val="en-US"/>
        </w:rPr>
      </w:pPr>
    </w:p>
    <w:p w14:paraId="675DF553">
      <w:pPr>
        <w:spacing w:line="600" w:lineRule="exact"/>
        <w:jc w:val="center"/>
        <w:rPr>
          <w:rFonts w:hint="default"/>
          <w:b/>
          <w:bCs/>
          <w:color w:val="auto"/>
          <w:kern w:val="0"/>
          <w:sz w:val="30"/>
          <w:szCs w:val="30"/>
          <w:highlight w:val="none"/>
          <w:lang w:val="en-US"/>
        </w:rPr>
      </w:pPr>
    </w:p>
    <w:p w14:paraId="53906698">
      <w:pPr>
        <w:spacing w:line="600" w:lineRule="exact"/>
        <w:jc w:val="center"/>
        <w:rPr>
          <w:rFonts w:hint="default"/>
          <w:b/>
          <w:bCs/>
          <w:color w:val="auto"/>
          <w:kern w:val="0"/>
          <w:sz w:val="30"/>
          <w:szCs w:val="30"/>
          <w:highlight w:val="none"/>
          <w:lang w:val="en-US"/>
        </w:rPr>
      </w:pPr>
    </w:p>
    <w:p w14:paraId="443E1AA7">
      <w:pPr>
        <w:spacing w:line="600" w:lineRule="exact"/>
        <w:jc w:val="center"/>
        <w:rPr>
          <w:rFonts w:hint="default"/>
          <w:b/>
          <w:bCs/>
          <w:color w:val="auto"/>
          <w:kern w:val="0"/>
          <w:sz w:val="30"/>
          <w:szCs w:val="30"/>
          <w:highlight w:val="none"/>
          <w:lang w:val="en-US"/>
        </w:rPr>
      </w:pPr>
    </w:p>
    <w:p w14:paraId="7CD91615">
      <w:pPr>
        <w:spacing w:line="600" w:lineRule="exact"/>
        <w:jc w:val="center"/>
        <w:rPr>
          <w:rFonts w:hint="default"/>
          <w:b/>
          <w:bCs/>
          <w:color w:val="auto"/>
          <w:kern w:val="0"/>
          <w:sz w:val="30"/>
          <w:szCs w:val="30"/>
          <w:highlight w:val="none"/>
          <w:lang w:val="en-US"/>
        </w:rPr>
      </w:pPr>
    </w:p>
    <w:p w14:paraId="68710FB6">
      <w:pPr>
        <w:spacing w:line="600" w:lineRule="exact"/>
        <w:jc w:val="center"/>
        <w:rPr>
          <w:rFonts w:hint="default"/>
          <w:b/>
          <w:bCs/>
          <w:color w:val="auto"/>
          <w:kern w:val="0"/>
          <w:sz w:val="30"/>
          <w:szCs w:val="30"/>
          <w:highlight w:val="none"/>
          <w:lang w:val="en-US"/>
        </w:rPr>
      </w:pPr>
    </w:p>
    <w:p w14:paraId="1E43114A">
      <w:pPr>
        <w:spacing w:line="600" w:lineRule="exact"/>
        <w:jc w:val="center"/>
        <w:rPr>
          <w:rFonts w:hint="default"/>
          <w:b/>
          <w:bCs/>
          <w:color w:val="auto"/>
          <w:kern w:val="0"/>
          <w:sz w:val="30"/>
          <w:szCs w:val="30"/>
          <w:highlight w:val="none"/>
          <w:lang w:val="en-US"/>
        </w:rPr>
      </w:pPr>
    </w:p>
    <w:p w14:paraId="6BFC29DF">
      <w:pPr>
        <w:spacing w:line="600" w:lineRule="exact"/>
        <w:jc w:val="center"/>
        <w:rPr>
          <w:rFonts w:hint="default"/>
          <w:b/>
          <w:bCs/>
          <w:color w:val="auto"/>
          <w:kern w:val="0"/>
          <w:sz w:val="30"/>
          <w:szCs w:val="30"/>
          <w:highlight w:val="none"/>
          <w:lang w:val="en-US"/>
        </w:rPr>
      </w:pPr>
    </w:p>
    <w:p w14:paraId="585FC820">
      <w:pPr>
        <w:spacing w:line="600" w:lineRule="exact"/>
        <w:jc w:val="center"/>
        <w:rPr>
          <w:rFonts w:hint="default"/>
          <w:b/>
          <w:bCs/>
          <w:color w:val="auto"/>
          <w:kern w:val="0"/>
          <w:sz w:val="30"/>
          <w:szCs w:val="30"/>
          <w:highlight w:val="none"/>
          <w:lang w:val="en-US"/>
        </w:rPr>
      </w:pPr>
    </w:p>
    <w:p w14:paraId="5CB1FBD6">
      <w:pPr>
        <w:spacing w:line="600" w:lineRule="exact"/>
        <w:jc w:val="center"/>
        <w:rPr>
          <w:rFonts w:hint="default"/>
          <w:b/>
          <w:bCs/>
          <w:color w:val="auto"/>
          <w:kern w:val="0"/>
          <w:sz w:val="30"/>
          <w:szCs w:val="30"/>
          <w:highlight w:val="none"/>
          <w:lang w:val="en-US"/>
        </w:rPr>
      </w:pPr>
    </w:p>
    <w:p w14:paraId="65982E04">
      <w:pPr>
        <w:spacing w:line="600" w:lineRule="exact"/>
        <w:jc w:val="center"/>
        <w:rPr>
          <w:rFonts w:hint="default"/>
          <w:b/>
          <w:bCs/>
          <w:color w:val="auto"/>
          <w:kern w:val="0"/>
          <w:sz w:val="30"/>
          <w:szCs w:val="30"/>
          <w:highlight w:val="none"/>
          <w:lang w:val="en-US"/>
        </w:rPr>
      </w:pPr>
    </w:p>
    <w:p w14:paraId="39C2716D">
      <w:pPr>
        <w:spacing w:line="600" w:lineRule="exact"/>
        <w:jc w:val="center"/>
        <w:rPr>
          <w:rFonts w:hint="default"/>
          <w:b/>
          <w:bCs/>
          <w:color w:val="auto"/>
          <w:kern w:val="0"/>
          <w:sz w:val="30"/>
          <w:szCs w:val="30"/>
          <w:highlight w:val="none"/>
          <w:lang w:val="en-US"/>
        </w:rPr>
      </w:pPr>
    </w:p>
    <w:p w14:paraId="72D45022">
      <w:pPr>
        <w:spacing w:line="600" w:lineRule="exact"/>
        <w:jc w:val="center"/>
        <w:rPr>
          <w:rFonts w:hint="default"/>
          <w:b/>
          <w:bCs/>
          <w:color w:val="auto"/>
          <w:kern w:val="0"/>
          <w:sz w:val="30"/>
          <w:szCs w:val="30"/>
          <w:highlight w:val="none"/>
          <w:lang w:val="en-US"/>
        </w:rPr>
      </w:pPr>
    </w:p>
    <w:p w14:paraId="7D1DB7B5">
      <w:pPr>
        <w:spacing w:line="600" w:lineRule="exact"/>
        <w:jc w:val="center"/>
        <w:rPr>
          <w:rFonts w:hint="default"/>
          <w:b/>
          <w:bCs/>
          <w:color w:val="auto"/>
          <w:kern w:val="0"/>
          <w:sz w:val="30"/>
          <w:szCs w:val="30"/>
          <w:highlight w:val="none"/>
          <w:lang w:val="en-US"/>
        </w:rPr>
      </w:pPr>
    </w:p>
    <w:p w14:paraId="395A67E4">
      <w:pPr>
        <w:spacing w:line="600" w:lineRule="exact"/>
        <w:jc w:val="center"/>
        <w:rPr>
          <w:rFonts w:hint="default"/>
          <w:b/>
          <w:bCs/>
          <w:color w:val="auto"/>
          <w:kern w:val="0"/>
          <w:sz w:val="30"/>
          <w:szCs w:val="30"/>
          <w:highlight w:val="none"/>
          <w:lang w:val="en-US"/>
        </w:rPr>
      </w:pPr>
    </w:p>
    <w:p w14:paraId="5ECDD1CD">
      <w:pPr>
        <w:spacing w:line="600" w:lineRule="exact"/>
        <w:jc w:val="center"/>
        <w:rPr>
          <w:color w:val="auto"/>
          <w:kern w:val="0"/>
          <w:sz w:val="20"/>
          <w:szCs w:val="21"/>
          <w:highlight w:val="none"/>
        </w:rPr>
      </w:pPr>
      <w:r>
        <w:rPr>
          <w:rFonts w:hint="eastAsia"/>
          <w:b/>
          <w:bCs/>
          <w:color w:val="auto"/>
          <w:kern w:val="0"/>
          <w:sz w:val="30"/>
          <w:szCs w:val="30"/>
          <w:highlight w:val="none"/>
          <w:lang w:val="en-US" w:eastAsia="zh-CN"/>
        </w:rPr>
        <w:t>八</w:t>
      </w:r>
      <w:r>
        <w:rPr>
          <w:rFonts w:hint="eastAsia"/>
          <w:b/>
          <w:bCs/>
          <w:color w:val="auto"/>
          <w:kern w:val="0"/>
          <w:sz w:val="30"/>
          <w:szCs w:val="30"/>
          <w:highlight w:val="none"/>
        </w:rPr>
        <w:t>、联合体协议书</w:t>
      </w:r>
    </w:p>
    <w:p w14:paraId="619EFFA9">
      <w:pPr>
        <w:autoSpaceDE w:val="0"/>
        <w:autoSpaceDN w:val="0"/>
        <w:adjustRightInd w:val="0"/>
        <w:spacing w:line="360" w:lineRule="auto"/>
        <w:jc w:val="left"/>
        <w:rPr>
          <w:rFonts w:ascii="宋体" w:cs="宋体"/>
          <w:color w:val="auto"/>
          <w:kern w:val="0"/>
          <w:szCs w:val="21"/>
          <w:highlight w:val="none"/>
          <w:u w:val="single"/>
        </w:rPr>
      </w:pPr>
    </w:p>
    <w:p w14:paraId="382C9EAC">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（所有成员单位名称）自愿组成联合体，共同参加</w:t>
      </w:r>
      <w:bookmarkStart w:id="67" w:name="PO_3000001867_PM031_6"/>
      <w:r>
        <w:rPr>
          <w:rFonts w:hint="eastAsia" w:ascii="宋体" w:cs="宋体"/>
          <w:color w:val="auto"/>
          <w:kern w:val="0"/>
          <w:szCs w:val="21"/>
          <w:highlight w:val="none"/>
          <w:u w:val="single"/>
        </w:rPr>
        <w:t>[项目采购-采购组织机构_]</w:t>
      </w:r>
      <w:bookmarkEnd w:id="67"/>
      <w:r>
        <w:rPr>
          <w:rFonts w:hint="eastAsia" w:ascii="宋体" w:cs="宋体"/>
          <w:color w:val="auto"/>
          <w:kern w:val="0"/>
          <w:szCs w:val="21"/>
          <w:highlight w:val="none"/>
        </w:rPr>
        <w:t>组织的</w:t>
      </w:r>
      <w:bookmarkStart w:id="68" w:name="PO_3000001867_PM002_4"/>
      <w:r>
        <w:rPr>
          <w:rFonts w:hint="eastAsia" w:ascii="宋体" w:cs="宋体"/>
          <w:color w:val="auto"/>
          <w:kern w:val="0"/>
          <w:szCs w:val="21"/>
          <w:highlight w:val="none"/>
          <w:u w:val="single"/>
        </w:rPr>
        <w:t>[项目采购-项目名称_]</w:t>
      </w:r>
      <w:bookmarkEnd w:id="68"/>
      <w:r>
        <w:rPr>
          <w:rFonts w:hint="eastAsia" w:ascii="宋体" w:cs="宋体"/>
          <w:color w:val="auto"/>
          <w:kern w:val="0"/>
          <w:szCs w:val="21"/>
          <w:highlight w:val="none"/>
        </w:rPr>
        <w:t>（项目编号：</w:t>
      </w:r>
      <w:bookmarkStart w:id="69" w:name="PO_3000001867_PM001_4"/>
      <w:r>
        <w:rPr>
          <w:rFonts w:hint="eastAsia" w:ascii="宋体" w:cs="宋体"/>
          <w:color w:val="auto"/>
          <w:kern w:val="0"/>
          <w:szCs w:val="21"/>
          <w:highlight w:val="none"/>
          <w:u w:val="single"/>
        </w:rPr>
        <w:t>[项目采购-项目编号_]</w:t>
      </w:r>
      <w:bookmarkEnd w:id="69"/>
      <w:r>
        <w:rPr>
          <w:rFonts w:hint="eastAsia" w:ascii="宋体" w:cs="宋体"/>
          <w:color w:val="auto"/>
          <w:kern w:val="0"/>
          <w:szCs w:val="21"/>
          <w:highlight w:val="none"/>
        </w:rPr>
        <w:t>）投标。现就联合体投标事宜订立如下协议：</w:t>
      </w:r>
    </w:p>
    <w:p w14:paraId="438CD857">
      <w:pP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TimesNewRomanPSMT"/>
          <w:color w:val="auto"/>
          <w:kern w:val="0"/>
          <w:szCs w:val="21"/>
          <w:highlight w:val="none"/>
        </w:rPr>
        <w:t>1</w:t>
      </w:r>
      <w:r>
        <w:rPr>
          <w:rFonts w:hint="eastAsia" w:ascii="宋体" w:hAnsi="宋体" w:cs="宋体"/>
          <w:color w:val="auto"/>
          <w:kern w:val="0"/>
          <w:szCs w:val="21"/>
          <w:highlight w:val="none"/>
        </w:rPr>
        <w:t>、</w:t>
      </w:r>
      <w:r>
        <w:rPr>
          <w:color w:val="auto"/>
          <w:highlight w:val="none"/>
        </w:rPr>
        <w:t>________________________</w:t>
      </w:r>
      <w:r>
        <w:rPr>
          <w:rFonts w:hint="eastAsia" w:ascii="宋体" w:hAnsi="宋体" w:cs="宋体"/>
          <w:color w:val="auto"/>
          <w:kern w:val="0"/>
          <w:szCs w:val="21"/>
          <w:highlight w:val="none"/>
        </w:rPr>
        <w:t>（某成员单位名称）为联合体名称牵头人。</w:t>
      </w:r>
    </w:p>
    <w:p w14:paraId="0B2EF7B8">
      <w:pP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TimesNewRomanPSMT"/>
          <w:color w:val="auto"/>
          <w:kern w:val="0"/>
          <w:szCs w:val="21"/>
          <w:highlight w:val="none"/>
        </w:rPr>
        <w:t>2</w:t>
      </w:r>
      <w:r>
        <w:rPr>
          <w:rFonts w:hint="eastAsia" w:ascii="宋体" w:hAnsi="宋体" w:cs="宋体"/>
          <w:color w:val="auto"/>
          <w:kern w:val="0"/>
          <w:szCs w:val="21"/>
          <w:highlight w:val="none"/>
        </w:rPr>
        <w:t>、联合体牵头人合法代表联合体各成员负责本采购项目投标文件编制和合同谈判活动，并代表联合体提交和接收相关的资料、信息及指示，并处理与之有关的一切事务，负责合同实施阶段的主办、组织和协调工作。</w:t>
      </w:r>
    </w:p>
    <w:p w14:paraId="543C1B2A">
      <w:pP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1B90BD6B">
      <w:pP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TimesNewRomanPSMT"/>
          <w:color w:val="auto"/>
          <w:kern w:val="0"/>
          <w:szCs w:val="21"/>
          <w:highlight w:val="none"/>
        </w:rPr>
        <w:t>4</w:t>
      </w:r>
      <w:r>
        <w:rPr>
          <w:rFonts w:hint="eastAsia" w:ascii="宋体" w:hAnsi="宋体" w:cs="宋体"/>
          <w:color w:val="auto"/>
          <w:kern w:val="0"/>
          <w:szCs w:val="21"/>
          <w:highlight w:val="none"/>
        </w:rPr>
        <w:t>、联合体各成员单位内部的职责分工如下</w:t>
      </w:r>
      <w:r>
        <w:rPr>
          <w:rFonts w:hint="eastAsia" w:ascii="宋体" w:hAnsi="宋体" w:cs="宋体"/>
          <w:color w:val="auto"/>
          <w:kern w:val="0"/>
          <w:szCs w:val="21"/>
          <w:highlight w:val="none"/>
          <w:u w:val="single"/>
        </w:rPr>
        <w:t>：</w:t>
      </w:r>
      <w:r>
        <w:rPr>
          <w:color w:val="auto"/>
          <w:szCs w:val="21"/>
          <w:highlight w:val="none"/>
          <w:u w:val="single"/>
        </w:rPr>
        <w:t>________________________________________________</w:t>
      </w:r>
      <w:r>
        <w:rPr>
          <w:rFonts w:hint="eastAsia" w:ascii="宋体" w:hAnsi="宋体" w:cs="宋体"/>
          <w:color w:val="auto"/>
          <w:kern w:val="0"/>
          <w:szCs w:val="21"/>
          <w:highlight w:val="none"/>
        </w:rPr>
        <w:t>。</w:t>
      </w:r>
    </w:p>
    <w:p w14:paraId="5F27964F">
      <w:pPr>
        <w:spacing w:line="360" w:lineRule="auto"/>
        <w:ind w:firstLine="400" w:firstLineChars="200"/>
        <w:rPr>
          <w:color w:val="auto"/>
          <w:kern w:val="0"/>
          <w:sz w:val="20"/>
          <w:szCs w:val="21"/>
          <w:highlight w:val="none"/>
        </w:rPr>
      </w:pPr>
      <w:r>
        <w:rPr>
          <w:rFonts w:hint="eastAsia" w:ascii="宋体" w:hAnsi="宋体" w:cs="宋体"/>
          <w:color w:val="auto"/>
          <w:kern w:val="0"/>
          <w:sz w:val="20"/>
          <w:szCs w:val="21"/>
          <w:highlight w:val="none"/>
        </w:rPr>
        <w:t>5、本联合体中</w:t>
      </w:r>
      <w:r>
        <w:rPr>
          <w:rFonts w:hint="eastAsia" w:ascii="宋体" w:hAnsi="宋体" w:cs="宋体"/>
          <w:color w:val="auto"/>
          <w:kern w:val="0"/>
          <w:sz w:val="20"/>
          <w:szCs w:val="21"/>
          <w:highlight w:val="none"/>
          <w:u w:val="single"/>
        </w:rPr>
        <w:t>，</w:t>
      </w:r>
      <w:r>
        <w:rPr>
          <w:rFonts w:hint="eastAsia" w:ascii="宋体" w:hAnsi="Courier New"/>
          <w:color w:val="auto"/>
          <w:kern w:val="0"/>
          <w:sz w:val="20"/>
          <w:szCs w:val="21"/>
          <w:highlight w:val="none"/>
          <w:u w:val="single"/>
        </w:rPr>
        <w:t>________________________</w:t>
      </w:r>
      <w:r>
        <w:rPr>
          <w:rFonts w:hint="eastAsia" w:ascii="宋体" w:hAnsi="宋体" w:cs="宋体"/>
          <w:color w:val="auto"/>
          <w:kern w:val="0"/>
          <w:sz w:val="20"/>
          <w:szCs w:val="21"/>
          <w:highlight w:val="none"/>
          <w:u w:val="single"/>
        </w:rPr>
        <w:t>（某成员单位名称）为</w:t>
      </w:r>
      <w:r>
        <w:rPr>
          <w:rFonts w:hint="eastAsia" w:ascii="宋体" w:hAnsi="Courier New"/>
          <w:color w:val="auto"/>
          <w:kern w:val="0"/>
          <w:sz w:val="20"/>
          <w:szCs w:val="21"/>
          <w:highlight w:val="none"/>
          <w:u w:val="single"/>
        </w:rPr>
        <w:t>______</w:t>
      </w:r>
      <w:r>
        <w:rPr>
          <w:rFonts w:hint="eastAsia" w:ascii="宋体" w:hAnsi="Courier New"/>
          <w:color w:val="auto"/>
          <w:kern w:val="0"/>
          <w:sz w:val="20"/>
          <w:szCs w:val="21"/>
          <w:highlight w:val="none"/>
        </w:rPr>
        <w:t>（请填写：中型、小型、微型）企业，其协议合同金额占联合体协议合同总金额的</w:t>
      </w:r>
      <w:r>
        <w:rPr>
          <w:rFonts w:hint="eastAsia" w:ascii="宋体" w:hAnsi="Courier New"/>
          <w:color w:val="auto"/>
          <w:kern w:val="0"/>
          <w:sz w:val="20"/>
          <w:szCs w:val="21"/>
          <w:highlight w:val="none"/>
          <w:u w:val="single"/>
        </w:rPr>
        <w:t>______</w:t>
      </w:r>
      <w:r>
        <w:rPr>
          <w:rFonts w:hint="eastAsia" w:ascii="宋体" w:hAnsi="Courier New"/>
          <w:color w:val="auto"/>
          <w:kern w:val="0"/>
          <w:sz w:val="20"/>
          <w:szCs w:val="21"/>
          <w:highlight w:val="none"/>
        </w:rPr>
        <w:t>%。【如联合体成员中有小型、微型企业的，请填写此条，否则无需填写；如联合体成员中有多个小型、微型企业的，请逐一列出。】</w:t>
      </w:r>
    </w:p>
    <w:p w14:paraId="388CFEF3">
      <w:pP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TimesNewRomanPSMT"/>
          <w:color w:val="auto"/>
          <w:kern w:val="0"/>
          <w:szCs w:val="21"/>
          <w:highlight w:val="none"/>
        </w:rPr>
        <w:t>6</w:t>
      </w:r>
      <w:r>
        <w:rPr>
          <w:rFonts w:hint="eastAsia" w:ascii="宋体" w:hAnsi="宋体" w:cs="宋体"/>
          <w:color w:val="auto"/>
          <w:kern w:val="0"/>
          <w:szCs w:val="21"/>
          <w:highlight w:val="none"/>
        </w:rPr>
        <w:t>、本协议书自签署之日起生效，合同履行完毕后自动失效。</w:t>
      </w:r>
    </w:p>
    <w:p w14:paraId="7016866E">
      <w:pP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TimesNewRomanPSMT"/>
          <w:color w:val="auto"/>
          <w:kern w:val="0"/>
          <w:szCs w:val="21"/>
          <w:highlight w:val="none"/>
        </w:rPr>
        <w:t>7</w:t>
      </w:r>
      <w:r>
        <w:rPr>
          <w:rFonts w:hint="eastAsia" w:ascii="宋体" w:hAnsi="宋体" w:cs="宋体"/>
          <w:color w:val="auto"/>
          <w:kern w:val="0"/>
          <w:szCs w:val="21"/>
          <w:highlight w:val="none"/>
        </w:rPr>
        <w:t>、本协议书一式份，联合体成员和采购代理机构各执一份。</w:t>
      </w:r>
    </w:p>
    <w:p w14:paraId="17C6BC29">
      <w:pPr>
        <w:autoSpaceDE w:val="0"/>
        <w:autoSpaceDN w:val="0"/>
        <w:adjustRightInd w:val="0"/>
        <w:spacing w:line="360" w:lineRule="auto"/>
        <w:ind w:firstLine="420"/>
        <w:jc w:val="left"/>
        <w:rPr>
          <w:rFonts w:ascii="宋体" w:cs="宋体"/>
          <w:color w:val="auto"/>
          <w:kern w:val="0"/>
          <w:szCs w:val="21"/>
          <w:highlight w:val="none"/>
        </w:rPr>
      </w:pPr>
      <w:r>
        <w:rPr>
          <w:rFonts w:hint="eastAsia" w:ascii="宋体" w:cs="宋体"/>
          <w:color w:val="auto"/>
          <w:kern w:val="0"/>
          <w:szCs w:val="21"/>
          <w:highlight w:val="none"/>
        </w:rPr>
        <w:t>注：本协议书由法定代表人签字的，应附法定代表人身份证明；本协议书由委托代理人签字的，应附法定代表人授权委托书。</w:t>
      </w:r>
    </w:p>
    <w:p w14:paraId="1FE83A00">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牵头人名称：（公章/电子签章）</w:t>
      </w:r>
    </w:p>
    <w:p w14:paraId="512C060C">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法定代表人或其委托代理人：（手写签名/电子签名）</w:t>
      </w:r>
    </w:p>
    <w:p w14:paraId="67B588DD">
      <w:pPr>
        <w:autoSpaceDE w:val="0"/>
        <w:autoSpaceDN w:val="0"/>
        <w:adjustRightInd w:val="0"/>
        <w:spacing w:line="360" w:lineRule="auto"/>
        <w:jc w:val="left"/>
        <w:rPr>
          <w:rFonts w:ascii="宋体" w:cs="宋体"/>
          <w:color w:val="auto"/>
          <w:kern w:val="0"/>
          <w:szCs w:val="21"/>
          <w:highlight w:val="none"/>
        </w:rPr>
      </w:pPr>
    </w:p>
    <w:p w14:paraId="1C3430BD">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成员一名称：（公章/电子签章）</w:t>
      </w:r>
    </w:p>
    <w:p w14:paraId="23AD33B2">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法定代表人或其委托代理人：（手写签名/电子签名）</w:t>
      </w:r>
    </w:p>
    <w:p w14:paraId="26701024">
      <w:pPr>
        <w:autoSpaceDE w:val="0"/>
        <w:autoSpaceDN w:val="0"/>
        <w:adjustRightInd w:val="0"/>
        <w:spacing w:line="360" w:lineRule="auto"/>
        <w:jc w:val="left"/>
        <w:rPr>
          <w:rFonts w:ascii="宋体" w:cs="宋体"/>
          <w:color w:val="auto"/>
          <w:kern w:val="0"/>
          <w:szCs w:val="21"/>
          <w:highlight w:val="none"/>
        </w:rPr>
      </w:pPr>
    </w:p>
    <w:p w14:paraId="4255D9A5">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成员二名称：（公章/电子签章）</w:t>
      </w:r>
    </w:p>
    <w:p w14:paraId="60FD62AC">
      <w:pPr>
        <w:spacing w:line="600" w:lineRule="exact"/>
        <w:jc w:val="center"/>
        <w:rPr>
          <w:rFonts w:ascii="宋体" w:hAnsi="Courier New" w:cs="宋体"/>
          <w:color w:val="auto"/>
          <w:kern w:val="0"/>
          <w:sz w:val="20"/>
          <w:szCs w:val="21"/>
          <w:highlight w:val="none"/>
        </w:rPr>
      </w:pPr>
      <w:r>
        <w:rPr>
          <w:rFonts w:hint="eastAsia" w:ascii="宋体" w:hAnsi="Courier New" w:cs="宋体"/>
          <w:color w:val="auto"/>
          <w:kern w:val="0"/>
          <w:sz w:val="20"/>
          <w:szCs w:val="21"/>
          <w:highlight w:val="none"/>
        </w:rPr>
        <w:t>法定代表人或其委托代理人：（</w:t>
      </w:r>
      <w:r>
        <w:rPr>
          <w:rFonts w:hint="eastAsia" w:ascii="宋体" w:cs="宋体"/>
          <w:color w:val="auto"/>
          <w:kern w:val="0"/>
          <w:sz w:val="20"/>
          <w:szCs w:val="21"/>
          <w:highlight w:val="none"/>
        </w:rPr>
        <w:t>手写签名</w:t>
      </w:r>
      <w:r>
        <w:rPr>
          <w:rFonts w:hint="eastAsia" w:ascii="宋体" w:hAnsi="Courier New" w:cs="宋体"/>
          <w:color w:val="auto"/>
          <w:kern w:val="0"/>
          <w:sz w:val="20"/>
          <w:szCs w:val="21"/>
          <w:highlight w:val="none"/>
        </w:rPr>
        <w:t>/</w:t>
      </w:r>
      <w:r>
        <w:rPr>
          <w:rFonts w:hint="eastAsia" w:ascii="宋体" w:cs="宋体"/>
          <w:color w:val="auto"/>
          <w:kern w:val="0"/>
          <w:sz w:val="20"/>
          <w:szCs w:val="21"/>
          <w:highlight w:val="none"/>
        </w:rPr>
        <w:t>电子签名</w:t>
      </w:r>
      <w:r>
        <w:rPr>
          <w:rFonts w:hint="eastAsia" w:ascii="宋体" w:hAnsi="Courier New" w:cs="宋体"/>
          <w:color w:val="auto"/>
          <w:kern w:val="0"/>
          <w:sz w:val="20"/>
          <w:szCs w:val="21"/>
          <w:highlight w:val="none"/>
        </w:rPr>
        <w:t>）</w:t>
      </w:r>
    </w:p>
    <w:p w14:paraId="0DFE2A58">
      <w:pPr>
        <w:snapToGrid w:val="0"/>
        <w:spacing w:line="360" w:lineRule="auto"/>
        <w:ind w:firstLine="602" w:firstLineChars="200"/>
        <w:rPr>
          <w:rFonts w:ascii="仿宋" w:hAnsi="仿宋" w:eastAsia="仿宋" w:cs="仿宋_GB2312"/>
          <w:b/>
          <w:color w:val="auto"/>
          <w:sz w:val="30"/>
          <w:szCs w:val="30"/>
          <w:highlight w:val="none"/>
        </w:rPr>
      </w:pPr>
    </w:p>
    <w:p w14:paraId="2BD4105C">
      <w:pPr>
        <w:snapToGrid w:val="0"/>
        <w:spacing w:line="360" w:lineRule="auto"/>
        <w:ind w:firstLine="602" w:firstLineChars="200"/>
        <w:rPr>
          <w:rFonts w:ascii="仿宋" w:hAnsi="仿宋" w:eastAsia="仿宋" w:cs="仿宋_GB2312"/>
          <w:b/>
          <w:color w:val="auto"/>
          <w:sz w:val="30"/>
          <w:szCs w:val="30"/>
          <w:highlight w:val="none"/>
        </w:rPr>
      </w:pPr>
    </w:p>
    <w:p w14:paraId="1027ED69">
      <w:pPr>
        <w:snapToGrid w:val="0"/>
        <w:spacing w:line="360" w:lineRule="auto"/>
        <w:ind w:firstLine="602" w:firstLineChars="200"/>
        <w:rPr>
          <w:rFonts w:ascii="仿宋" w:hAnsi="仿宋" w:eastAsia="仿宋" w:cs="仿宋_GB2312"/>
          <w:b/>
          <w:color w:val="auto"/>
          <w:sz w:val="30"/>
          <w:szCs w:val="30"/>
          <w:highlight w:val="none"/>
        </w:rPr>
      </w:pPr>
    </w:p>
    <w:p w14:paraId="3ACC3256">
      <w:pPr>
        <w:snapToGrid w:val="0"/>
        <w:spacing w:line="360" w:lineRule="auto"/>
        <w:ind w:firstLine="602" w:firstLineChars="200"/>
        <w:rPr>
          <w:rFonts w:hint="default" w:ascii="仿宋" w:hAnsi="仿宋" w:eastAsia="仿宋" w:cs="仿宋_GB2312"/>
          <w:b/>
          <w:color w:val="auto"/>
          <w:sz w:val="30"/>
          <w:szCs w:val="30"/>
          <w:highlight w:val="none"/>
          <w:lang w:val="en-US"/>
        </w:rPr>
      </w:pPr>
    </w:p>
    <w:p w14:paraId="5CCE7F4E">
      <w:pPr>
        <w:snapToGrid w:val="0"/>
        <w:spacing w:line="360" w:lineRule="auto"/>
        <w:ind w:firstLine="602" w:firstLineChars="200"/>
        <w:rPr>
          <w:rFonts w:hint="default" w:ascii="仿宋" w:hAnsi="仿宋" w:eastAsia="仿宋" w:cs="仿宋_GB2312"/>
          <w:b/>
          <w:color w:val="auto"/>
          <w:sz w:val="30"/>
          <w:szCs w:val="30"/>
          <w:highlight w:val="none"/>
          <w:lang w:val="en-US"/>
        </w:rPr>
      </w:pPr>
    </w:p>
    <w:p w14:paraId="1096F3A6">
      <w:pPr>
        <w:snapToGrid w:val="0"/>
        <w:spacing w:line="360" w:lineRule="auto"/>
        <w:ind w:firstLine="602" w:firstLineChars="200"/>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lang w:val="en-US" w:eastAsia="zh-CN"/>
        </w:rPr>
        <w:t>十</w:t>
      </w:r>
      <w:r>
        <w:rPr>
          <w:rFonts w:hint="eastAsia" w:ascii="仿宋" w:hAnsi="仿宋" w:eastAsia="仿宋" w:cs="仿宋_GB2312"/>
          <w:b/>
          <w:color w:val="auto"/>
          <w:sz w:val="30"/>
          <w:szCs w:val="30"/>
          <w:highlight w:val="none"/>
        </w:rPr>
        <w:t>、符合特定资格条件（如项目要求）的有关证明材料（复印件）</w:t>
      </w:r>
    </w:p>
    <w:p w14:paraId="5FB10BBB">
      <w:pPr>
        <w:snapToGrid w:val="0"/>
        <w:spacing w:line="360" w:lineRule="auto"/>
        <w:ind w:firstLine="602" w:firstLineChars="200"/>
        <w:rPr>
          <w:rFonts w:ascii="仿宋" w:hAnsi="仿宋" w:eastAsia="仿宋" w:cs="仿宋_GB2312"/>
          <w:b/>
          <w:color w:val="auto"/>
          <w:sz w:val="30"/>
          <w:szCs w:val="30"/>
          <w:highlight w:val="none"/>
        </w:rPr>
      </w:pPr>
    </w:p>
    <w:p w14:paraId="5D347372">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6E6F2029">
      <w:pPr>
        <w:autoSpaceDE w:val="0"/>
        <w:autoSpaceDN w:val="0"/>
        <w:spacing w:line="360" w:lineRule="auto"/>
        <w:ind w:firstLine="6480" w:firstLineChars="270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12FFD1BA">
      <w:pPr>
        <w:autoSpaceDE w:val="0"/>
        <w:autoSpaceDN w:val="0"/>
        <w:spacing w:line="360" w:lineRule="auto"/>
        <w:ind w:firstLine="6480" w:firstLineChars="2700"/>
        <w:rPr>
          <w:rFonts w:ascii="仿宋_GB2312" w:hAnsi="仿宋" w:eastAsia="仿宋_GB2312" w:cs="仿宋_GB2312"/>
          <w:color w:val="auto"/>
          <w:kern w:val="0"/>
          <w:sz w:val="24"/>
          <w:highlight w:val="none"/>
          <w:lang w:val="zh-CN"/>
        </w:rPr>
      </w:pPr>
    </w:p>
    <w:p w14:paraId="681E5EAE">
      <w:pPr>
        <w:autoSpaceDE w:val="0"/>
        <w:autoSpaceDN w:val="0"/>
        <w:spacing w:line="360" w:lineRule="auto"/>
        <w:ind w:firstLine="6480" w:firstLineChars="2700"/>
        <w:rPr>
          <w:rFonts w:ascii="仿宋_GB2312" w:hAnsi="仿宋" w:eastAsia="仿宋_GB2312" w:cs="仿宋_GB2312"/>
          <w:color w:val="auto"/>
          <w:kern w:val="0"/>
          <w:sz w:val="24"/>
          <w:highlight w:val="none"/>
          <w:lang w:val="zh-CN"/>
        </w:rPr>
      </w:pPr>
    </w:p>
    <w:p w14:paraId="762E24ED">
      <w:pPr>
        <w:autoSpaceDE w:val="0"/>
        <w:autoSpaceDN w:val="0"/>
        <w:spacing w:line="360" w:lineRule="auto"/>
        <w:ind w:firstLine="6480" w:firstLineChars="2700"/>
        <w:rPr>
          <w:rFonts w:ascii="仿宋_GB2312" w:hAnsi="仿宋" w:eastAsia="仿宋_GB2312" w:cs="仿宋_GB2312"/>
          <w:color w:val="auto"/>
          <w:kern w:val="0"/>
          <w:sz w:val="24"/>
          <w:highlight w:val="none"/>
          <w:lang w:val="zh-CN"/>
        </w:rPr>
      </w:pPr>
    </w:p>
    <w:p w14:paraId="7B56756F">
      <w:pPr>
        <w:autoSpaceDE w:val="0"/>
        <w:autoSpaceDN w:val="0"/>
        <w:spacing w:line="360" w:lineRule="auto"/>
        <w:ind w:firstLine="6480" w:firstLineChars="2700"/>
        <w:rPr>
          <w:rFonts w:ascii="仿宋_GB2312" w:hAnsi="仿宋" w:eastAsia="仿宋_GB2312" w:cs="仿宋_GB2312"/>
          <w:color w:val="auto"/>
          <w:kern w:val="0"/>
          <w:sz w:val="24"/>
          <w:highlight w:val="none"/>
          <w:lang w:val="zh-CN"/>
        </w:rPr>
      </w:pPr>
    </w:p>
    <w:p w14:paraId="4BA7B8F7">
      <w:pPr>
        <w:autoSpaceDE w:val="0"/>
        <w:autoSpaceDN w:val="0"/>
        <w:spacing w:line="360" w:lineRule="auto"/>
        <w:ind w:firstLine="6480" w:firstLineChars="2700"/>
        <w:rPr>
          <w:rFonts w:ascii="仿宋_GB2312" w:hAnsi="仿宋" w:eastAsia="仿宋_GB2312" w:cs="仿宋_GB2312"/>
          <w:color w:val="auto"/>
          <w:kern w:val="0"/>
          <w:sz w:val="24"/>
          <w:highlight w:val="none"/>
          <w:lang w:val="zh-CN"/>
        </w:rPr>
        <w:sectPr>
          <w:pgSz w:w="11910" w:h="16840"/>
          <w:pgMar w:top="1340" w:right="1500" w:bottom="280" w:left="1680" w:header="720" w:footer="720" w:gutter="0"/>
          <w:cols w:space="720" w:num="1"/>
          <w:docGrid w:linePitch="285" w:charSpace="0"/>
        </w:sectPr>
      </w:pPr>
    </w:p>
    <w:p w14:paraId="099EB6BC">
      <w:pPr>
        <w:keepNext/>
        <w:keepLines/>
        <w:spacing w:before="260" w:after="260" w:line="415" w:lineRule="auto"/>
        <w:jc w:val="center"/>
        <w:outlineLvl w:val="1"/>
        <w:rPr>
          <w:rFonts w:ascii="宋体" w:hAnsi="宋体"/>
          <w:bCs/>
          <w:color w:val="auto"/>
          <w:sz w:val="32"/>
          <w:szCs w:val="32"/>
          <w:highlight w:val="none"/>
        </w:rPr>
      </w:pPr>
      <w:bookmarkStart w:id="70" w:name="_Toc213251792"/>
      <w:r>
        <w:rPr>
          <w:rFonts w:hint="eastAsia" w:ascii="宋体" w:hAnsi="宋体"/>
          <w:color w:val="auto"/>
          <w:sz w:val="32"/>
          <w:szCs w:val="32"/>
          <w:highlight w:val="none"/>
        </w:rPr>
        <w:t xml:space="preserve">第三节 </w:t>
      </w:r>
      <w:r>
        <w:rPr>
          <w:rFonts w:hint="eastAsia" w:ascii="宋体" w:hAnsi="宋体"/>
          <w:bCs/>
          <w:color w:val="auto"/>
          <w:sz w:val="32"/>
          <w:szCs w:val="32"/>
          <w:highlight w:val="none"/>
        </w:rPr>
        <w:t>商务技术文件格式</w:t>
      </w:r>
      <w:bookmarkEnd w:id="70"/>
    </w:p>
    <w:p w14:paraId="2705FA4C">
      <w:pPr>
        <w:snapToGrid w:val="0"/>
        <w:spacing w:before="120" w:beforeLines="50" w:after="50"/>
        <w:rPr>
          <w:rFonts w:ascii="宋体" w:hAnsi="宋体"/>
          <w:bCs/>
          <w:color w:val="auto"/>
          <w:sz w:val="32"/>
          <w:szCs w:val="20"/>
          <w:highlight w:val="none"/>
        </w:rPr>
      </w:pPr>
      <w:r>
        <w:rPr>
          <w:rFonts w:hint="eastAsia" w:ascii="宋体" w:hAnsi="宋体"/>
          <w:bCs/>
          <w:color w:val="auto"/>
          <w:highlight w:val="none"/>
        </w:rPr>
        <w:t>全流程电子文件</w:t>
      </w:r>
    </w:p>
    <w:p w14:paraId="58654890">
      <w:pPr>
        <w:snapToGrid w:val="0"/>
        <w:spacing w:before="120" w:beforeLines="50" w:after="50"/>
        <w:rPr>
          <w:rFonts w:ascii="宋体" w:hAnsi="宋体"/>
          <w:color w:val="auto"/>
          <w:sz w:val="24"/>
          <w:szCs w:val="20"/>
          <w:highlight w:val="none"/>
        </w:rPr>
      </w:pPr>
    </w:p>
    <w:p w14:paraId="7EF4C114">
      <w:pPr>
        <w:snapToGrid w:val="0"/>
        <w:spacing w:before="120" w:beforeLines="50" w:after="50"/>
        <w:rPr>
          <w:rFonts w:ascii="宋体" w:hAnsi="宋体"/>
          <w:color w:val="auto"/>
          <w:sz w:val="24"/>
          <w:szCs w:val="20"/>
          <w:highlight w:val="none"/>
        </w:rPr>
      </w:pPr>
    </w:p>
    <w:p w14:paraId="1CFC7A6A">
      <w:pPr>
        <w:snapToGrid w:val="0"/>
        <w:spacing w:before="120" w:beforeLines="50" w:after="50"/>
        <w:rPr>
          <w:rFonts w:ascii="宋体" w:hAnsi="宋体"/>
          <w:color w:val="auto"/>
          <w:sz w:val="24"/>
          <w:szCs w:val="20"/>
          <w:highlight w:val="none"/>
        </w:rPr>
      </w:pPr>
    </w:p>
    <w:p w14:paraId="651B7E5B">
      <w:pPr>
        <w:snapToGrid w:val="0"/>
        <w:spacing w:before="120"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件（封面）</w:t>
      </w:r>
    </w:p>
    <w:p w14:paraId="4FC7C9EC">
      <w:pPr>
        <w:snapToGrid w:val="0"/>
        <w:spacing w:before="120" w:beforeLines="50" w:after="50"/>
        <w:rPr>
          <w:rFonts w:ascii="宋体" w:hAnsi="宋体"/>
          <w:bCs/>
          <w:color w:val="auto"/>
          <w:sz w:val="24"/>
          <w:szCs w:val="20"/>
          <w:highlight w:val="none"/>
        </w:rPr>
      </w:pPr>
    </w:p>
    <w:p w14:paraId="6BF27145">
      <w:pPr>
        <w:snapToGrid w:val="0"/>
        <w:spacing w:before="120" w:beforeLines="50" w:after="50"/>
        <w:rPr>
          <w:rFonts w:ascii="宋体" w:hAnsi="宋体"/>
          <w:bCs/>
          <w:color w:val="auto"/>
          <w:sz w:val="24"/>
          <w:szCs w:val="20"/>
          <w:highlight w:val="none"/>
        </w:rPr>
      </w:pPr>
    </w:p>
    <w:p w14:paraId="134530CF">
      <w:pPr>
        <w:snapToGrid w:val="0"/>
        <w:spacing w:before="120" w:beforeLines="50" w:after="50"/>
        <w:rPr>
          <w:rFonts w:ascii="宋体" w:hAnsi="宋体"/>
          <w:bCs/>
          <w:color w:val="auto"/>
          <w:sz w:val="24"/>
          <w:szCs w:val="20"/>
          <w:highlight w:val="none"/>
        </w:rPr>
      </w:pPr>
    </w:p>
    <w:p w14:paraId="2648D11D">
      <w:pPr>
        <w:snapToGrid w:val="0"/>
        <w:spacing w:before="120" w:beforeLines="50" w:after="50"/>
        <w:rPr>
          <w:rFonts w:ascii="宋体" w:hAnsi="宋体"/>
          <w:bCs/>
          <w:color w:val="auto"/>
          <w:sz w:val="24"/>
          <w:szCs w:val="20"/>
          <w:highlight w:val="none"/>
        </w:rPr>
      </w:pPr>
    </w:p>
    <w:p w14:paraId="2C41E694">
      <w:pPr>
        <w:snapToGrid w:val="0"/>
        <w:spacing w:before="120" w:beforeLines="50" w:after="50"/>
        <w:rPr>
          <w:rFonts w:ascii="宋体" w:hAnsi="宋体"/>
          <w:bCs/>
          <w:color w:val="auto"/>
          <w:sz w:val="24"/>
          <w:szCs w:val="20"/>
          <w:highlight w:val="none"/>
        </w:rPr>
      </w:pPr>
    </w:p>
    <w:p w14:paraId="4E89627F">
      <w:pPr>
        <w:snapToGrid w:val="0"/>
        <w:spacing w:before="120"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6C3FE83E">
      <w:pPr>
        <w:snapToGrid w:val="0"/>
        <w:spacing w:before="120" w:beforeLines="50" w:after="50"/>
        <w:ind w:firstLine="720" w:firstLineChars="225"/>
        <w:rPr>
          <w:rFonts w:ascii="宋体" w:hAnsi="宋体" w:cs="仿宋_GB2312"/>
          <w:bCs/>
          <w:color w:val="auto"/>
          <w:sz w:val="32"/>
          <w:szCs w:val="32"/>
          <w:highlight w:val="none"/>
        </w:rPr>
      </w:pPr>
    </w:p>
    <w:p w14:paraId="1F555BAF">
      <w:pPr>
        <w:snapToGrid w:val="0"/>
        <w:spacing w:before="120"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3FB77760">
      <w:pPr>
        <w:snapToGrid w:val="0"/>
        <w:spacing w:before="120" w:beforeLines="50" w:after="50"/>
        <w:ind w:firstLine="720" w:firstLineChars="225"/>
        <w:rPr>
          <w:rFonts w:ascii="宋体" w:hAnsi="宋体" w:cs="仿宋_GB2312"/>
          <w:bCs/>
          <w:color w:val="auto"/>
          <w:sz w:val="32"/>
          <w:szCs w:val="32"/>
          <w:highlight w:val="none"/>
        </w:rPr>
      </w:pPr>
    </w:p>
    <w:p w14:paraId="65EF50B4">
      <w:pPr>
        <w:snapToGrid w:val="0"/>
        <w:spacing w:before="120"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2B81AE55">
      <w:pPr>
        <w:snapToGrid w:val="0"/>
        <w:spacing w:before="120" w:beforeLines="50" w:after="50"/>
        <w:ind w:firstLine="720" w:firstLineChars="225"/>
        <w:rPr>
          <w:rFonts w:ascii="宋体" w:hAnsi="宋体" w:cs="仿宋_GB2312"/>
          <w:bCs/>
          <w:color w:val="auto"/>
          <w:sz w:val="32"/>
          <w:szCs w:val="32"/>
          <w:highlight w:val="none"/>
        </w:rPr>
      </w:pPr>
    </w:p>
    <w:p w14:paraId="11E57FE4">
      <w:pPr>
        <w:snapToGrid w:val="0"/>
        <w:spacing w:before="50" w:after="12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552FCFD">
      <w:pPr>
        <w:snapToGrid w:val="0"/>
        <w:spacing w:before="50" w:after="120"/>
        <w:ind w:firstLine="720" w:firstLineChars="225"/>
        <w:rPr>
          <w:rFonts w:ascii="宋体" w:hAnsi="宋体" w:cs="仿宋_GB2312"/>
          <w:bCs/>
          <w:color w:val="auto"/>
          <w:sz w:val="32"/>
          <w:szCs w:val="32"/>
          <w:highlight w:val="none"/>
        </w:rPr>
      </w:pPr>
    </w:p>
    <w:p w14:paraId="6F140662">
      <w:pPr>
        <w:snapToGrid w:val="0"/>
        <w:spacing w:before="50" w:after="120"/>
        <w:ind w:firstLine="720" w:firstLineChars="225"/>
        <w:rPr>
          <w:rFonts w:ascii="宋体" w:hAnsi="宋体" w:cs="仿宋_GB2312"/>
          <w:bCs/>
          <w:color w:val="auto"/>
          <w:sz w:val="32"/>
          <w:szCs w:val="32"/>
          <w:highlight w:val="none"/>
        </w:rPr>
      </w:pPr>
    </w:p>
    <w:p w14:paraId="324F511C">
      <w:pPr>
        <w:snapToGrid w:val="0"/>
        <w:spacing w:before="50" w:after="120"/>
        <w:ind w:firstLine="1280" w:firstLineChars="400"/>
        <w:rPr>
          <w:rFonts w:ascii="宋体" w:hAnsi="宋体" w:cs="仿宋_GB2312"/>
          <w:bCs/>
          <w:color w:val="auto"/>
          <w:sz w:val="32"/>
          <w:szCs w:val="32"/>
          <w:highlight w:val="none"/>
        </w:rPr>
      </w:pPr>
    </w:p>
    <w:p w14:paraId="02F1D5F0">
      <w:pPr>
        <w:snapToGrid w:val="0"/>
        <w:spacing w:before="120"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7F2168E4">
      <w:pPr>
        <w:snapToGrid w:val="0"/>
        <w:spacing w:before="120" w:beforeLines="50" w:after="50" w:line="360" w:lineRule="auto"/>
        <w:ind w:left="142" w:firstLine="643" w:firstLineChars="200"/>
        <w:jc w:val="left"/>
        <w:rPr>
          <w:rFonts w:ascii="宋体" w:hAnsi="宋体"/>
          <w:b/>
          <w:bCs/>
          <w:color w:val="auto"/>
          <w:sz w:val="32"/>
          <w:szCs w:val="32"/>
          <w:highlight w:val="none"/>
        </w:rPr>
        <w:sectPr>
          <w:pgSz w:w="11910" w:h="16840"/>
          <w:pgMar w:top="1340" w:right="1500" w:bottom="280" w:left="1680" w:header="720" w:footer="720" w:gutter="0"/>
          <w:cols w:space="720" w:num="1"/>
          <w:docGrid w:linePitch="285" w:charSpace="0"/>
        </w:sectPr>
      </w:pPr>
    </w:p>
    <w:p w14:paraId="527DA5F4">
      <w:pPr>
        <w:jc w:val="center"/>
        <w:rPr>
          <w:rFonts w:ascii="仿宋_GB2312" w:hAnsi="仿宋" w:eastAsia="仿宋_GB2312" w:cs="仿宋_GB2312"/>
          <w:b/>
          <w:color w:val="auto"/>
          <w:kern w:val="0"/>
          <w:sz w:val="28"/>
          <w:szCs w:val="28"/>
          <w:highlight w:val="none"/>
        </w:rPr>
      </w:pPr>
      <w:r>
        <w:rPr>
          <w:rFonts w:hint="eastAsia" w:ascii="仿宋_GB2312" w:hAnsi="仿宋" w:eastAsia="仿宋_GB2312" w:cs="仿宋_GB2312"/>
          <w:b/>
          <w:color w:val="auto"/>
          <w:kern w:val="0"/>
          <w:sz w:val="28"/>
          <w:szCs w:val="28"/>
          <w:highlight w:val="none"/>
        </w:rPr>
        <w:t>商务技术文件目录</w:t>
      </w:r>
    </w:p>
    <w:p w14:paraId="7FD8CF20">
      <w:pPr>
        <w:jc w:val="center"/>
        <w:rPr>
          <w:rFonts w:ascii="仿宋_GB2312" w:hAnsi="仿宋" w:eastAsia="仿宋_GB2312" w:cs="仿宋_GB2312"/>
          <w:b/>
          <w:color w:val="auto"/>
          <w:kern w:val="0"/>
          <w:sz w:val="28"/>
          <w:szCs w:val="28"/>
          <w:highlight w:val="none"/>
        </w:rPr>
      </w:pPr>
    </w:p>
    <w:p w14:paraId="6CC7E2D0">
      <w:pPr>
        <w:adjustRightInd w:val="0"/>
        <w:spacing w:line="360" w:lineRule="auto"/>
        <w:ind w:left="2"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一、无串标行为承诺函………………………………………………………（页码）</w:t>
      </w:r>
    </w:p>
    <w:p w14:paraId="0623C570">
      <w:pPr>
        <w:adjustRightInd w:val="0"/>
        <w:spacing w:line="360" w:lineRule="auto"/>
        <w:ind w:left="2"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二、法定代表人身份证明及法定代表人有效身份证正反面复印件………（页码）</w:t>
      </w:r>
    </w:p>
    <w:p w14:paraId="58638AB6">
      <w:pPr>
        <w:adjustRightInd w:val="0"/>
        <w:spacing w:line="360" w:lineRule="auto"/>
        <w:ind w:left="2"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三、法定代表人授权委托书（如有委托时）………………………………（页码）</w:t>
      </w:r>
    </w:p>
    <w:p w14:paraId="57326580">
      <w:pPr>
        <w:adjustRightInd w:val="0"/>
        <w:spacing w:line="360" w:lineRule="auto"/>
        <w:ind w:left="2"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四、</w:t>
      </w:r>
      <w:r>
        <w:rPr>
          <w:rFonts w:hint="eastAsia" w:ascii="仿宋_GB2312" w:hAnsi="仿宋" w:eastAsia="仿宋_GB2312" w:cs="仿宋_GB2312"/>
          <w:color w:val="auto"/>
          <w:sz w:val="24"/>
          <w:highlight w:val="none"/>
          <w:lang w:val="zh-CN"/>
        </w:rPr>
        <w:t>商务条款偏离表………………………………</w:t>
      </w:r>
      <w:r>
        <w:rPr>
          <w:rFonts w:hint="eastAsia" w:ascii="仿宋_GB2312" w:hAnsi="仿宋" w:eastAsia="仿宋_GB2312" w:cs="仿宋_GB2312"/>
          <w:color w:val="auto"/>
          <w:sz w:val="24"/>
          <w:highlight w:val="none"/>
        </w:rPr>
        <w:t>…………………………（页码）</w:t>
      </w:r>
    </w:p>
    <w:p w14:paraId="4AB9A851">
      <w:pPr>
        <w:adjustRightInd w:val="0"/>
        <w:spacing w:line="360" w:lineRule="auto"/>
        <w:ind w:left="2"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五、竞标人情况介绍</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7E4A07E2">
      <w:pPr>
        <w:adjustRightInd w:val="0"/>
        <w:spacing w:line="360" w:lineRule="auto"/>
        <w:ind w:left="2"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六、供应商类似业绩的证明文件（如有要求）</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7F8F426E">
      <w:pPr>
        <w:adjustRightInd w:val="0"/>
        <w:spacing w:line="360" w:lineRule="auto"/>
        <w:ind w:left="2"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七、服务需求偏离表…………………………………………………………（页码）</w:t>
      </w:r>
    </w:p>
    <w:p w14:paraId="77F484A3">
      <w:pPr>
        <w:adjustRightInd w:val="0"/>
        <w:spacing w:line="360" w:lineRule="auto"/>
        <w:ind w:left="2"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八、服务方案…………………………………………………………………（页码）</w:t>
      </w:r>
    </w:p>
    <w:p w14:paraId="41F77B14">
      <w:pPr>
        <w:adjustRightInd w:val="0"/>
        <w:spacing w:line="360" w:lineRule="auto"/>
        <w:ind w:left="2"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九、售后服务方案………………………………</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6A893E7E">
      <w:pPr>
        <w:adjustRightInd w:val="0"/>
        <w:spacing w:line="360" w:lineRule="auto"/>
        <w:ind w:left="2"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十、</w:t>
      </w:r>
      <w:r>
        <w:rPr>
          <w:rFonts w:hint="eastAsia" w:ascii="仿宋_GB2312" w:hAnsi="仿宋" w:eastAsia="仿宋_GB2312" w:cs="仿宋_GB2312"/>
          <w:color w:val="auto"/>
          <w:sz w:val="24"/>
          <w:highlight w:val="none"/>
          <w:lang w:val="zh-CN"/>
        </w:rPr>
        <w:t>项目实施人员一览表………………………………</w:t>
      </w:r>
      <w:r>
        <w:rPr>
          <w:rFonts w:hint="eastAsia" w:ascii="仿宋_GB2312" w:hAnsi="仿宋" w:eastAsia="仿宋_GB2312" w:cs="仿宋_GB2312"/>
          <w:color w:val="auto"/>
          <w:sz w:val="24"/>
          <w:highlight w:val="none"/>
        </w:rPr>
        <w:t>……………………（页码）</w:t>
      </w:r>
    </w:p>
    <w:p w14:paraId="160FA36E">
      <w:pPr>
        <w:adjustRightInd w:val="0"/>
        <w:spacing w:line="360" w:lineRule="auto"/>
        <w:ind w:left="2"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十一、服务需求、商务条款要求提供的其他材料</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3D82DCA9">
      <w:pPr>
        <w:spacing w:line="360" w:lineRule="auto"/>
        <w:rPr>
          <w:rFonts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注：以上目录是基本格式要求，各供应商可根据自身情况进一步向下增加内容或细化。</w:t>
      </w:r>
    </w:p>
    <w:p w14:paraId="4F81D7BE">
      <w:pPr>
        <w:spacing w:line="400" w:lineRule="exact"/>
        <w:rPr>
          <w:rFonts w:ascii="仿宋_GB2312" w:hAnsi="仿宋_GB2312" w:eastAsia="仿宋_GB2312" w:cs="仿宋_GB2312"/>
          <w:color w:val="auto"/>
          <w:sz w:val="32"/>
          <w:szCs w:val="32"/>
          <w:highlight w:val="none"/>
        </w:rPr>
      </w:pPr>
    </w:p>
    <w:p w14:paraId="7834CBA4">
      <w:pPr>
        <w:spacing w:line="520" w:lineRule="exact"/>
        <w:ind w:firstLine="880" w:firstLineChars="200"/>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仿宋" w:hAnsi="仿宋" w:eastAsia="仿宋" w:cs="仿宋_GB2312"/>
          <w:b/>
          <w:color w:val="auto"/>
          <w:sz w:val="30"/>
          <w:szCs w:val="30"/>
          <w:highlight w:val="none"/>
        </w:rPr>
        <w:t>一、无串标行为承诺函</w:t>
      </w:r>
    </w:p>
    <w:p w14:paraId="6A157828">
      <w:pPr>
        <w:spacing w:line="520" w:lineRule="exact"/>
        <w:jc w:val="center"/>
        <w:rPr>
          <w:rFonts w:ascii="方正小标宋简体" w:hAnsi="方正小标宋简体" w:eastAsia="方正小标宋简体" w:cs="方正小标宋简体"/>
          <w:color w:val="auto"/>
          <w:sz w:val="44"/>
          <w:szCs w:val="44"/>
          <w:highlight w:val="none"/>
        </w:rPr>
      </w:pPr>
    </w:p>
    <w:p w14:paraId="19BEA956">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无串通竞标行为的承诺函</w:t>
      </w:r>
    </w:p>
    <w:p w14:paraId="550763D3">
      <w:pPr>
        <w:spacing w:line="520" w:lineRule="exact"/>
        <w:ind w:firstLine="640" w:firstLineChars="200"/>
        <w:rPr>
          <w:rFonts w:ascii="仿宋_GB2312" w:hAnsi="仿宋_GB2312" w:eastAsia="仿宋_GB2312" w:cs="仿宋_GB2312"/>
          <w:color w:val="auto"/>
          <w:sz w:val="32"/>
          <w:szCs w:val="32"/>
          <w:highlight w:val="none"/>
        </w:rPr>
      </w:pPr>
    </w:p>
    <w:p w14:paraId="39DD4ABC">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63B6E1C6">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58B357AB">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60C84899">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6D876DDA">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同供应商的响应文件异常一致或者响应报价呈规律性差异；</w:t>
      </w:r>
    </w:p>
    <w:p w14:paraId="7CFD8AA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1366E22F">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0F64D02C">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55EF28D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1DE50216">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323C5F6E">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76B27308">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4FBE33A4">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41298688">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16E0FF58">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4C0DB034">
      <w:pPr>
        <w:spacing w:line="360" w:lineRule="auto"/>
        <w:ind w:firstLine="480" w:firstLineChars="200"/>
        <w:contextualSpacing/>
        <w:rPr>
          <w:rFonts w:ascii="宋体" w:hAnsi="宋体" w:cs="仿宋_GB2312"/>
          <w:color w:val="auto"/>
          <w:sz w:val="24"/>
          <w:highlight w:val="none"/>
        </w:rPr>
      </w:pPr>
    </w:p>
    <w:p w14:paraId="2D74BF00">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644CBB05">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6CC21316">
      <w:pPr>
        <w:spacing w:line="520" w:lineRule="exact"/>
        <w:ind w:left="239" w:leftChars="114" w:firstLine="6120" w:firstLineChars="2550"/>
        <w:jc w:val="left"/>
        <w:rPr>
          <w:rFonts w:ascii="方正小标宋简体" w:hAnsi="方正小标宋简体" w:eastAsia="方正小标宋简体" w:cs="方正小标宋简体"/>
          <w:bCs/>
          <w:color w:val="auto"/>
          <w:sz w:val="44"/>
          <w:szCs w:val="44"/>
          <w:highlight w:val="none"/>
        </w:rPr>
      </w:pPr>
      <w:r>
        <w:rPr>
          <w:rFonts w:hint="eastAsia" w:ascii="仿宋_GB2312" w:hAnsi="仿宋" w:eastAsia="仿宋_GB2312" w:cs="仿宋_GB2312"/>
          <w:color w:val="auto"/>
          <w:kern w:val="0"/>
          <w:sz w:val="24"/>
          <w:highlight w:val="none"/>
          <w:lang w:val="zh-CN"/>
        </w:rPr>
        <w:t xml:space="preserve">日期：  年  月   日   </w:t>
      </w:r>
      <w:r>
        <w:rPr>
          <w:rFonts w:hint="eastAsia" w:ascii="宋体" w:hAnsi="宋体"/>
          <w:b/>
          <w:bCs/>
          <w:color w:val="auto"/>
          <w:sz w:val="32"/>
          <w:szCs w:val="32"/>
          <w:highlight w:val="none"/>
        </w:rPr>
        <w:br w:type="page"/>
      </w:r>
      <w:r>
        <w:rPr>
          <w:rFonts w:hint="eastAsia" w:ascii="仿宋" w:hAnsi="仿宋" w:eastAsia="仿宋" w:cs="仿宋_GB2312"/>
          <w:b/>
          <w:color w:val="auto"/>
          <w:sz w:val="30"/>
          <w:szCs w:val="30"/>
          <w:highlight w:val="none"/>
        </w:rPr>
        <w:t>二、法定代表人身份证明及法定代表人有效身份证正反面复印件</w:t>
      </w:r>
    </w:p>
    <w:p w14:paraId="27551C44">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法定代表人证明书</w:t>
      </w:r>
    </w:p>
    <w:p w14:paraId="5981F700">
      <w:pPr>
        <w:spacing w:line="360" w:lineRule="auto"/>
        <w:ind w:left="540"/>
        <w:contextualSpacing/>
        <w:rPr>
          <w:rFonts w:ascii="仿宋_GB2312" w:hAnsi="仿宋_GB2312" w:eastAsia="仿宋_GB2312" w:cs="仿宋_GB2312"/>
          <w:color w:val="auto"/>
          <w:sz w:val="32"/>
          <w:szCs w:val="32"/>
          <w:highlight w:val="none"/>
        </w:rPr>
      </w:pPr>
    </w:p>
    <w:p w14:paraId="183A7A3A">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                                                        </w:t>
      </w:r>
    </w:p>
    <w:p w14:paraId="53A36CD4">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 xml:space="preserve">地    址：                                                        </w:t>
      </w:r>
    </w:p>
    <w:p w14:paraId="49C1BD60">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 xml:space="preserve">姓    名：                性     别：                </w:t>
      </w:r>
    </w:p>
    <w:p w14:paraId="16C0379B">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 xml:space="preserve">年    龄：                职     务：                </w:t>
      </w:r>
    </w:p>
    <w:p w14:paraId="164C0C0F">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 xml:space="preserve">身份证号码：                                        </w:t>
      </w:r>
    </w:p>
    <w:p w14:paraId="69CB2AA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系（供应商名称）的法定代表人。</w:t>
      </w:r>
    </w:p>
    <w:p w14:paraId="02068C86">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特此证明。</w:t>
      </w:r>
    </w:p>
    <w:p w14:paraId="5C06ED44">
      <w:pPr>
        <w:spacing w:line="360" w:lineRule="auto"/>
        <w:ind w:left="540"/>
        <w:contextualSpacing/>
        <w:rPr>
          <w:rFonts w:ascii="宋体" w:hAnsi="宋体" w:cs="仿宋_GB2312"/>
          <w:color w:val="auto"/>
          <w:sz w:val="24"/>
          <w:highlight w:val="none"/>
        </w:rPr>
      </w:pPr>
    </w:p>
    <w:p w14:paraId="616E46F9">
      <w:pPr>
        <w:spacing w:line="360" w:lineRule="auto"/>
        <w:ind w:left="540"/>
        <w:contextualSpacing/>
        <w:rPr>
          <w:rFonts w:ascii="宋体" w:hAnsi="宋体" w:cs="仿宋_GB2312"/>
          <w:color w:val="auto"/>
          <w:sz w:val="24"/>
          <w:highlight w:val="none"/>
        </w:rPr>
      </w:pPr>
    </w:p>
    <w:p w14:paraId="11C517FB">
      <w:pPr>
        <w:spacing w:line="360" w:lineRule="auto"/>
        <w:ind w:left="540"/>
        <w:contextualSpacing/>
        <w:rPr>
          <w:rFonts w:ascii="宋体" w:hAnsi="宋体" w:cs="仿宋_GB2312"/>
          <w:color w:val="auto"/>
          <w:sz w:val="24"/>
          <w:highlight w:val="none"/>
        </w:rPr>
      </w:pPr>
    </w:p>
    <w:p w14:paraId="42FBD5A6">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1A43D66E">
      <w:pPr>
        <w:spacing w:line="360" w:lineRule="auto"/>
        <w:ind w:left="540"/>
        <w:contextualSpacing/>
        <w:rPr>
          <w:rFonts w:ascii="宋体" w:hAnsi="宋体" w:cs="仿宋_GB2312"/>
          <w:color w:val="auto"/>
          <w:sz w:val="24"/>
          <w:highlight w:val="none"/>
        </w:rPr>
      </w:pPr>
    </w:p>
    <w:p w14:paraId="6946C3DD">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5BC200BD">
      <w:pPr>
        <w:spacing w:line="360" w:lineRule="auto"/>
        <w:contextualSpacing/>
        <w:jc w:val="center"/>
        <w:rPr>
          <w:rFonts w:ascii="宋体" w:hAnsi="宋体" w:cs="仿宋_GB2312"/>
          <w:b/>
          <w:color w:val="auto"/>
          <w:sz w:val="24"/>
          <w:highlight w:val="none"/>
        </w:rPr>
      </w:pPr>
      <w:r>
        <w:rPr>
          <w:rFonts w:hint="eastAsia" w:ascii="仿宋_GB2312" w:hAnsi="仿宋" w:eastAsia="仿宋_GB2312" w:cs="仿宋_GB2312"/>
          <w:color w:val="auto"/>
          <w:kern w:val="0"/>
          <w:sz w:val="24"/>
          <w:highlight w:val="none"/>
          <w:lang w:val="zh-CN"/>
        </w:rPr>
        <w:t xml:space="preserve">                                                   日期：  年  月   日</w:t>
      </w:r>
    </w:p>
    <w:p w14:paraId="72A52578">
      <w:pPr>
        <w:spacing w:line="360" w:lineRule="auto"/>
        <w:contextualSpacing/>
        <w:jc w:val="left"/>
        <w:rPr>
          <w:rFonts w:ascii="宋体" w:hAnsi="宋体" w:cs="仿宋_GB2312"/>
          <w:color w:val="auto"/>
          <w:sz w:val="24"/>
          <w:highlight w:val="none"/>
        </w:rPr>
      </w:pPr>
    </w:p>
    <w:p w14:paraId="0B3C3CFD">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注：1.自然人竞标的无需提供，联合体竞标的只需牵头人出具。</w:t>
      </w:r>
    </w:p>
    <w:p w14:paraId="79732478">
      <w:pPr>
        <w:spacing w:line="360" w:lineRule="auto"/>
        <w:ind w:firstLine="480" w:firstLineChars="200"/>
        <w:contextualSpacing/>
        <w:jc w:val="left"/>
        <w:rPr>
          <w:rFonts w:ascii="宋体" w:hAnsi="宋体" w:cs="仿宋_GB2312"/>
          <w:color w:val="auto"/>
          <w:sz w:val="24"/>
          <w:highlight w:val="none"/>
        </w:rPr>
        <w:sectPr>
          <w:pgSz w:w="11910" w:h="16840"/>
          <w:pgMar w:top="1340" w:right="1500" w:bottom="280" w:left="1680" w:header="720" w:footer="720" w:gutter="0"/>
          <w:cols w:space="720" w:num="1"/>
          <w:docGrid w:linePitch="285" w:charSpace="0"/>
        </w:sectPr>
      </w:pPr>
      <w:r>
        <w:rPr>
          <w:rFonts w:hint="eastAsia" w:ascii="宋体" w:hAnsi="宋体" w:cs="仿宋_GB2312"/>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10"/>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77D04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val="0"/>
            <w:vAlign w:val="top"/>
          </w:tcPr>
          <w:p w14:paraId="58BDB1FF">
            <w:pPr>
              <w:spacing w:line="360" w:lineRule="auto"/>
              <w:rPr>
                <w:rFonts w:ascii="宋体"/>
                <w:b/>
                <w:color w:val="auto"/>
                <w:sz w:val="24"/>
                <w:highlight w:val="none"/>
              </w:rPr>
            </w:pPr>
          </w:p>
          <w:p w14:paraId="662C4ADF">
            <w:pPr>
              <w:spacing w:line="360" w:lineRule="auto"/>
              <w:rPr>
                <w:rFonts w:ascii="宋体"/>
                <w:b/>
                <w:color w:val="auto"/>
                <w:sz w:val="24"/>
                <w:highlight w:val="none"/>
              </w:rPr>
            </w:pPr>
            <w:r>
              <w:rPr>
                <w:rFonts w:hint="eastAsia" w:ascii="宋体"/>
                <w:b/>
                <w:color w:val="auto"/>
                <w:sz w:val="24"/>
                <w:highlight w:val="none"/>
              </w:rPr>
              <w:t>法定代表身份证复印件粘贴处（正、反面）</w:t>
            </w:r>
          </w:p>
        </w:tc>
      </w:tr>
    </w:tbl>
    <w:p w14:paraId="6F15ECC6">
      <w:pPr>
        <w:spacing w:line="360" w:lineRule="auto"/>
        <w:ind w:firstLine="482" w:firstLineChars="200"/>
        <w:contextualSpacing/>
        <w:jc w:val="left"/>
        <w:rPr>
          <w:rFonts w:ascii="仿宋_GB2312" w:hAnsi="仿宋_GB2312" w:eastAsia="仿宋_GB2312" w:cs="仿宋_GB2312"/>
          <w:b/>
          <w:color w:val="auto"/>
          <w:sz w:val="32"/>
          <w:szCs w:val="32"/>
          <w:highlight w:val="none"/>
        </w:rPr>
      </w:pPr>
      <w:r>
        <w:rPr>
          <w:rFonts w:hint="eastAsia" w:hAnsi="宋体"/>
          <w:b/>
          <w:color w:val="auto"/>
          <w:sz w:val="24"/>
          <w:highlight w:val="none"/>
        </w:rPr>
        <w:t>附件：</w:t>
      </w:r>
    </w:p>
    <w:p w14:paraId="663C06DF">
      <w:pPr>
        <w:adjustRightInd w:val="0"/>
        <w:snapToGrid w:val="0"/>
        <w:spacing w:line="300" w:lineRule="auto"/>
        <w:jc w:val="left"/>
        <w:rPr>
          <w:rFonts w:ascii="宋体" w:hAnsi="宋体"/>
          <w:b/>
          <w:color w:val="auto"/>
          <w:szCs w:val="21"/>
          <w:highlight w:val="none"/>
        </w:rPr>
      </w:pPr>
    </w:p>
    <w:p w14:paraId="61F3C040">
      <w:pPr>
        <w:spacing w:line="520" w:lineRule="exact"/>
        <w:ind w:firstLine="880"/>
        <w:jc w:val="left"/>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仿宋" w:hAnsi="仿宋" w:eastAsia="仿宋" w:cs="仿宋_GB2312"/>
          <w:b/>
          <w:color w:val="auto"/>
          <w:sz w:val="30"/>
          <w:szCs w:val="30"/>
          <w:highlight w:val="none"/>
        </w:rPr>
        <w:t>三、法定代表人授权委托书</w:t>
      </w:r>
    </w:p>
    <w:p w14:paraId="61DFA497">
      <w:pPr>
        <w:spacing w:line="500" w:lineRule="exact"/>
        <w:jc w:val="center"/>
        <w:rPr>
          <w:rFonts w:ascii="方正小标宋简体" w:hAnsi="方正小标宋简体" w:eastAsia="方正小标宋简体" w:cs="方正小标宋简体"/>
          <w:color w:val="auto"/>
          <w:sz w:val="44"/>
          <w:szCs w:val="44"/>
          <w:highlight w:val="none"/>
        </w:rPr>
      </w:pPr>
    </w:p>
    <w:p w14:paraId="7BBE3B1F">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授权委托书（非联合体竞标格式）</w:t>
      </w:r>
    </w:p>
    <w:p w14:paraId="663F638F">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（如有委托时）</w:t>
      </w:r>
    </w:p>
    <w:p w14:paraId="5C4AA55B">
      <w:pPr>
        <w:spacing w:line="520" w:lineRule="exact"/>
        <w:rPr>
          <w:rFonts w:ascii="仿宋_GB2312" w:hAnsi="仿宋_GB2312" w:eastAsia="仿宋_GB2312" w:cs="仿宋_GB2312"/>
          <w:color w:val="auto"/>
          <w:sz w:val="32"/>
          <w:szCs w:val="32"/>
          <w:highlight w:val="none"/>
        </w:rPr>
      </w:pPr>
    </w:p>
    <w:p w14:paraId="59F47E8C">
      <w:pPr>
        <w:spacing w:line="360" w:lineRule="auto"/>
        <w:rPr>
          <w:rFonts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5FA3834E">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 xml:space="preserve">我  </w:t>
      </w:r>
      <w:r>
        <w:rPr>
          <w:rFonts w:hint="eastAsia" w:ascii="宋体" w:hAnsi="宋体" w:cs="仿宋_GB2312"/>
          <w:color w:val="auto"/>
          <w:sz w:val="24"/>
          <w:highlight w:val="none"/>
          <w:u w:val="single"/>
        </w:rPr>
        <w:t xml:space="preserve">（姓名）  系  （供应商名称）  </w:t>
      </w:r>
      <w:r>
        <w:rPr>
          <w:rFonts w:hint="eastAsia" w:ascii="宋体" w:hAnsi="宋体" w:cs="仿宋_GB2312"/>
          <w:color w:val="auto"/>
          <w:sz w:val="24"/>
          <w:highlight w:val="none"/>
        </w:rPr>
        <w:t xml:space="preserve">的（□法定代表人/□负责人/□自然人本人），现授权 </w:t>
      </w:r>
      <w:r>
        <w:rPr>
          <w:rFonts w:hint="eastAsia" w:ascii="宋体" w:hAnsi="宋体" w:cs="仿宋_GB2312"/>
          <w:color w:val="auto"/>
          <w:sz w:val="24"/>
          <w:highlight w:val="none"/>
          <w:u w:val="single"/>
        </w:rPr>
        <w:t xml:space="preserve">（姓名） </w:t>
      </w:r>
      <w:r>
        <w:rPr>
          <w:rFonts w:hint="eastAsia" w:ascii="宋体" w:hAnsi="宋体" w:cs="仿宋_GB2312"/>
          <w:color w:val="auto"/>
          <w:sz w:val="24"/>
          <w:highlight w:val="none"/>
        </w:rPr>
        <w:t>以我方的名义参加项目的竞标活动，并代表我方全权办理针对上述项目的所有采购程序和环节的具体事务和签署相关文件。</w:t>
      </w:r>
    </w:p>
    <w:p w14:paraId="43711DDB">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我方对委托代理人的签字事项负全部责任。</w:t>
      </w:r>
    </w:p>
    <w:p w14:paraId="6D6F5141">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72A20FCB">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5776E8E8">
      <w:pPr>
        <w:spacing w:line="360" w:lineRule="auto"/>
        <w:ind w:firstLine="482" w:firstLineChars="200"/>
        <w:rPr>
          <w:rFonts w:ascii="宋体" w:hAnsi="宋体" w:cs="仿宋_GB2312"/>
          <w:b/>
          <w:color w:val="auto"/>
          <w:sz w:val="24"/>
          <w:highlight w:val="none"/>
        </w:rPr>
      </w:pPr>
      <w:r>
        <w:rPr>
          <w:rFonts w:hint="eastAsia" w:ascii="宋体" w:hAnsi="宋体" w:cs="仿宋_GB2312"/>
          <w:b/>
          <w:color w:val="auto"/>
          <w:sz w:val="24"/>
          <w:highlight w:val="none"/>
        </w:rPr>
        <w:t>附：法定代表人身份证明书及委托代理人有效身份证正反面复印件</w:t>
      </w:r>
    </w:p>
    <w:p w14:paraId="0B7D553B">
      <w:pPr>
        <w:spacing w:line="360" w:lineRule="auto"/>
        <w:rPr>
          <w:rFonts w:ascii="宋体" w:hAnsi="宋体" w:cs="仿宋_GB2312"/>
          <w:color w:val="auto"/>
          <w:sz w:val="24"/>
          <w:highlight w:val="none"/>
        </w:rPr>
      </w:pPr>
    </w:p>
    <w:p w14:paraId="77FCAF5A">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委托代理人（签字）：         法定代表人（签字或盖章）：                    </w:t>
      </w:r>
    </w:p>
    <w:p w14:paraId="2C0BD5AF">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5C7F93BF">
      <w:pPr>
        <w:spacing w:line="360" w:lineRule="auto"/>
        <w:rPr>
          <w:rFonts w:ascii="宋体" w:hAnsi="宋体" w:cs="仿宋_GB2312"/>
          <w:color w:val="auto"/>
          <w:sz w:val="24"/>
          <w:highlight w:val="none"/>
        </w:rPr>
      </w:pPr>
    </w:p>
    <w:p w14:paraId="0B02A676">
      <w:pPr>
        <w:spacing w:line="360" w:lineRule="auto"/>
        <w:rPr>
          <w:rFonts w:ascii="宋体" w:hAnsi="宋体" w:cs="仿宋_GB2312"/>
          <w:color w:val="auto"/>
          <w:sz w:val="24"/>
          <w:highlight w:val="none"/>
        </w:rPr>
      </w:pPr>
      <w:r>
        <w:rPr>
          <w:rFonts w:hint="eastAsia" w:ascii="仿宋_GB2312" w:hAnsi="仿宋" w:eastAsia="仿宋_GB2312" w:cs="仿宋_GB2312"/>
          <w:color w:val="auto"/>
          <w:kern w:val="0"/>
          <w:sz w:val="24"/>
          <w:highlight w:val="none"/>
        </w:rPr>
        <w:t>供应商名称（电子签章）：</w:t>
      </w:r>
    </w:p>
    <w:p w14:paraId="17116041">
      <w:pPr>
        <w:spacing w:line="360" w:lineRule="auto"/>
        <w:contextualSpacing/>
        <w:jc w:val="center"/>
        <w:rPr>
          <w:rFonts w:ascii="宋体" w:hAnsi="宋体" w:cs="仿宋_GB2312"/>
          <w:b/>
          <w:color w:val="auto"/>
          <w:sz w:val="24"/>
          <w:highlight w:val="none"/>
        </w:rPr>
      </w:pPr>
      <w:r>
        <w:rPr>
          <w:rFonts w:hint="eastAsia" w:ascii="仿宋_GB2312" w:hAnsi="仿宋" w:eastAsia="仿宋_GB2312" w:cs="仿宋_GB2312"/>
          <w:color w:val="auto"/>
          <w:kern w:val="0"/>
          <w:sz w:val="24"/>
          <w:highlight w:val="none"/>
          <w:lang w:val="zh-CN"/>
        </w:rPr>
        <w:t xml:space="preserve">                                                   日期：  年  月   日</w:t>
      </w:r>
    </w:p>
    <w:p w14:paraId="62ADC8CF">
      <w:pPr>
        <w:spacing w:line="360" w:lineRule="auto"/>
        <w:rPr>
          <w:rFonts w:ascii="宋体" w:hAnsi="宋体" w:cs="仿宋_GB2312"/>
          <w:color w:val="auto"/>
          <w:sz w:val="24"/>
          <w:highlight w:val="none"/>
        </w:rPr>
      </w:pPr>
    </w:p>
    <w:p w14:paraId="56F82C1F">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注：1.法定代表人必须在授权委托书上亲笔签字或盖章，委托代理人必须在授权委托书上亲笔签字，</w:t>
      </w:r>
      <w:r>
        <w:rPr>
          <w:rFonts w:hint="eastAsia" w:ascii="宋体" w:hAnsi="宋体" w:cs="仿宋_GB2312"/>
          <w:b/>
          <w:color w:val="auto"/>
          <w:sz w:val="24"/>
          <w:highlight w:val="none"/>
        </w:rPr>
        <w:t>否则其响应文件按无效响应处理。</w:t>
      </w:r>
    </w:p>
    <w:p w14:paraId="0829A29B">
      <w:pPr>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C158920">
      <w:pPr>
        <w:spacing w:line="360" w:lineRule="auto"/>
        <w:ind w:firstLine="480" w:firstLineChars="200"/>
        <w:jc w:val="left"/>
        <w:rPr>
          <w:rFonts w:ascii="仿宋_GB2312" w:hAnsi="仿宋_GB2312" w:eastAsia="仿宋_GB2312" w:cs="仿宋_GB2312"/>
          <w:color w:val="auto"/>
          <w:szCs w:val="21"/>
          <w:highlight w:val="none"/>
        </w:rPr>
      </w:pPr>
      <w:r>
        <w:rPr>
          <w:rFonts w:hint="eastAsia" w:ascii="宋体" w:hAnsi="宋体" w:cs="仿宋_GB2312"/>
          <w:color w:val="auto"/>
          <w:sz w:val="24"/>
          <w:highlight w:val="none"/>
        </w:rPr>
        <w:t>3.法人、其他组织竞标时“我方”是指“我单位”，自然人竞标时“我方”是指“本人”。</w:t>
      </w:r>
    </w:p>
    <w:p w14:paraId="3371E628">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仿宋_GB2312" w:hAnsi="仿宋_GB2312" w:eastAsia="仿宋_GB2312" w:cs="仿宋_GB2312"/>
          <w:color w:val="auto"/>
          <w:szCs w:val="21"/>
          <w:highlight w:val="none"/>
        </w:rPr>
        <w:br w:type="page"/>
      </w:r>
      <w:r>
        <w:rPr>
          <w:rFonts w:hint="eastAsia" w:ascii="方正小标宋简体" w:hAnsi="方正小标宋简体" w:eastAsia="方正小标宋简体" w:cs="方正小标宋简体"/>
          <w:color w:val="auto"/>
          <w:sz w:val="44"/>
          <w:szCs w:val="44"/>
          <w:highlight w:val="none"/>
        </w:rPr>
        <w:t>授权委托书（联合体竞标格式）</w:t>
      </w:r>
    </w:p>
    <w:p w14:paraId="2B5110A3">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（如有委托时）</w:t>
      </w:r>
    </w:p>
    <w:p w14:paraId="5F782322">
      <w:pPr>
        <w:spacing w:line="500" w:lineRule="exact"/>
        <w:jc w:val="center"/>
        <w:rPr>
          <w:rFonts w:ascii="方正小标宋简体" w:hAnsi="方正小标宋简体" w:eastAsia="方正小标宋简体" w:cs="方正小标宋简体"/>
          <w:color w:val="auto"/>
          <w:sz w:val="44"/>
          <w:szCs w:val="44"/>
          <w:highlight w:val="none"/>
        </w:rPr>
      </w:pPr>
    </w:p>
    <w:p w14:paraId="5A7B7063">
      <w:pPr>
        <w:spacing w:line="500" w:lineRule="exact"/>
        <w:jc w:val="center"/>
        <w:rPr>
          <w:rFonts w:ascii="仿宋_GB2312" w:hAnsi="仿宋_GB2312" w:eastAsia="仿宋_GB2312" w:cs="仿宋_GB2312"/>
          <w:color w:val="auto"/>
          <w:sz w:val="32"/>
          <w:szCs w:val="32"/>
          <w:highlight w:val="none"/>
        </w:rPr>
      </w:pPr>
    </w:p>
    <w:p w14:paraId="79ED0249">
      <w:pPr>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本授权委托书声明：根据</w:t>
      </w:r>
      <w:r>
        <w:rPr>
          <w:rFonts w:hint="eastAsia" w:ascii="宋体" w:hAnsi="宋体" w:cs="仿宋_GB2312"/>
          <w:color w:val="auto"/>
          <w:sz w:val="24"/>
          <w:highlight w:val="none"/>
          <w:u w:val="single"/>
        </w:rPr>
        <w:t xml:space="preserve">                （牵头人名称）</w:t>
      </w:r>
      <w:r>
        <w:rPr>
          <w:rFonts w:hint="eastAsia" w:ascii="宋体" w:hAnsi="宋体" w:cs="仿宋_GB2312"/>
          <w:color w:val="auto"/>
          <w:sz w:val="24"/>
          <w:highlight w:val="none"/>
        </w:rPr>
        <w:t xml:space="preserve">与 </w:t>
      </w:r>
      <w:r>
        <w:rPr>
          <w:rFonts w:hint="eastAsia" w:ascii="宋体" w:hAnsi="宋体" w:cs="仿宋_GB2312"/>
          <w:color w:val="auto"/>
          <w:sz w:val="24"/>
          <w:highlight w:val="none"/>
          <w:u w:val="single"/>
        </w:rPr>
        <w:t xml:space="preserve">             （联合体其他成员名称）签订的《联合体竞标协议书》的内容，                     （牵头人名称）</w:t>
      </w:r>
      <w:r>
        <w:rPr>
          <w:rFonts w:hint="eastAsia" w:ascii="宋体" w:hAnsi="宋体" w:cs="仿宋_GB2312"/>
          <w:color w:val="auto"/>
          <w:sz w:val="24"/>
          <w:highlight w:val="none"/>
        </w:rPr>
        <w:t>的法定代表人</w:t>
      </w:r>
      <w:r>
        <w:rPr>
          <w:rFonts w:hint="eastAsia" w:ascii="宋体" w:hAnsi="宋体" w:cs="仿宋_GB2312"/>
          <w:color w:val="auto"/>
          <w:sz w:val="24"/>
          <w:highlight w:val="none"/>
          <w:u w:val="single"/>
        </w:rPr>
        <w:t xml:space="preserve">      （姓名）现授权      （姓名）</w:t>
      </w:r>
      <w:r>
        <w:rPr>
          <w:rFonts w:hint="eastAsia" w:ascii="宋体" w:hAnsi="宋体" w:cs="仿宋_GB2312"/>
          <w:color w:val="auto"/>
          <w:sz w:val="24"/>
          <w:highlight w:val="none"/>
        </w:rPr>
        <w:t>为联合委托代理人，并代表我方全权办理针对上述项目的所有采购程序和环节的具体事务和签署相关文件。</w:t>
      </w:r>
    </w:p>
    <w:p w14:paraId="03DAE9BB">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我方对委托代理人的签字事项负全部责任。</w:t>
      </w:r>
    </w:p>
    <w:p w14:paraId="6615545B">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2D0FF937">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50E79E2A">
      <w:pPr>
        <w:spacing w:line="360" w:lineRule="auto"/>
        <w:rPr>
          <w:rFonts w:ascii="宋体" w:hAnsi="宋体" w:cs="仿宋_GB2312"/>
          <w:color w:val="auto"/>
          <w:sz w:val="24"/>
          <w:highlight w:val="none"/>
        </w:rPr>
      </w:pPr>
    </w:p>
    <w:p w14:paraId="494D8DD7">
      <w:pPr>
        <w:spacing w:line="360" w:lineRule="auto"/>
        <w:ind w:firstLine="1560" w:firstLineChars="650"/>
        <w:rPr>
          <w:rFonts w:ascii="宋体" w:hAnsi="宋体" w:cs="仿宋_GB2312"/>
          <w:color w:val="auto"/>
          <w:sz w:val="24"/>
          <w:highlight w:val="none"/>
        </w:rPr>
      </w:pPr>
      <w:r>
        <w:rPr>
          <w:rFonts w:hint="eastAsia" w:ascii="宋体" w:hAnsi="宋体" w:cs="仿宋_GB2312"/>
          <w:color w:val="auto"/>
          <w:sz w:val="24"/>
          <w:highlight w:val="none"/>
        </w:rPr>
        <w:t>牵头人法定代表人（签字或盖章）：</w:t>
      </w:r>
    </w:p>
    <w:p w14:paraId="5ED9139A">
      <w:pPr>
        <w:spacing w:line="360" w:lineRule="auto"/>
        <w:ind w:firstLine="3120" w:firstLineChars="1300"/>
        <w:rPr>
          <w:rFonts w:ascii="宋体" w:hAnsi="宋体" w:cs="仿宋_GB2312"/>
          <w:color w:val="auto"/>
          <w:sz w:val="24"/>
          <w:highlight w:val="none"/>
        </w:rPr>
      </w:pPr>
      <w:r>
        <w:rPr>
          <w:rFonts w:hint="eastAsia" w:ascii="宋体" w:hAnsi="宋体" w:cs="仿宋_GB2312"/>
          <w:color w:val="auto"/>
          <w:sz w:val="24"/>
          <w:highlight w:val="none"/>
        </w:rPr>
        <w:t>牵头人（电子签章）：</w:t>
      </w:r>
    </w:p>
    <w:p w14:paraId="6F6EC637">
      <w:pPr>
        <w:spacing w:line="360" w:lineRule="auto"/>
        <w:ind w:firstLine="3840" w:firstLineChars="1600"/>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4F0C75D6">
      <w:pPr>
        <w:spacing w:line="360" w:lineRule="auto"/>
        <w:rPr>
          <w:rFonts w:ascii="宋体" w:hAnsi="宋体" w:cs="仿宋_GB2312"/>
          <w:color w:val="auto"/>
          <w:sz w:val="24"/>
          <w:highlight w:val="none"/>
        </w:rPr>
      </w:pPr>
    </w:p>
    <w:p w14:paraId="1C7776D6">
      <w:pPr>
        <w:spacing w:line="360" w:lineRule="auto"/>
        <w:ind w:firstLine="3120" w:firstLineChars="1300"/>
        <w:rPr>
          <w:rFonts w:ascii="宋体" w:hAnsi="宋体" w:cs="仿宋_GB2312"/>
          <w:color w:val="auto"/>
          <w:sz w:val="24"/>
          <w:highlight w:val="none"/>
        </w:rPr>
      </w:pPr>
      <w:r>
        <w:rPr>
          <w:rFonts w:hint="eastAsia" w:ascii="宋体" w:hAnsi="宋体" w:cs="仿宋_GB2312"/>
          <w:color w:val="auto"/>
          <w:sz w:val="24"/>
          <w:highlight w:val="none"/>
        </w:rPr>
        <w:t>被授权人（签字）：</w:t>
      </w:r>
    </w:p>
    <w:p w14:paraId="507E3993">
      <w:pPr>
        <w:spacing w:line="360" w:lineRule="auto"/>
        <w:ind w:firstLine="3840" w:firstLineChars="1600"/>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67B6A332">
      <w:pPr>
        <w:spacing w:line="360" w:lineRule="auto"/>
        <w:rPr>
          <w:rFonts w:ascii="宋体" w:hAnsi="宋体" w:cs="仿宋_GB2312"/>
          <w:color w:val="auto"/>
          <w:sz w:val="24"/>
          <w:highlight w:val="none"/>
        </w:rPr>
      </w:pPr>
    </w:p>
    <w:p w14:paraId="08EF44D4">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注：1.法定代表人必须在授权委托书上亲笔签字或盖章，委托代理人必须在授权委托书上亲笔签字，</w:t>
      </w:r>
      <w:r>
        <w:rPr>
          <w:rFonts w:hint="eastAsia" w:ascii="宋体" w:hAnsi="宋体" w:cs="仿宋_GB2312"/>
          <w:b/>
          <w:color w:val="auto"/>
          <w:sz w:val="24"/>
          <w:highlight w:val="none"/>
        </w:rPr>
        <w:t>否则其响应文件按无效响应处理。</w:t>
      </w:r>
    </w:p>
    <w:p w14:paraId="69F2B8D4">
      <w:pPr>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2.本授权委托书应由联合体牵头人的法定代表人按上述规定签署。</w:t>
      </w:r>
    </w:p>
    <w:p w14:paraId="23E23033">
      <w:pPr>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0EFDCBC">
      <w:pPr>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4.法人、其他组织竞标时“我方”是指“我单位”，自然人竞标时“我方”是指“本人”。</w:t>
      </w:r>
    </w:p>
    <w:p w14:paraId="382BCF76">
      <w:pPr>
        <w:spacing w:line="360" w:lineRule="auto"/>
        <w:ind w:firstLine="420" w:firstLineChars="200"/>
        <w:jc w:val="left"/>
        <w:rPr>
          <w:rFonts w:ascii="仿宋_GB2312" w:hAnsi="仿宋_GB2312" w:eastAsia="仿宋_GB2312" w:cs="仿宋_GB2312"/>
          <w:color w:val="auto"/>
          <w:szCs w:val="21"/>
          <w:highlight w:val="none"/>
        </w:rPr>
      </w:pPr>
    </w:p>
    <w:p w14:paraId="4D76E73A">
      <w:pPr>
        <w:spacing w:line="520" w:lineRule="exact"/>
        <w:ind w:firstLine="640" w:firstLineChars="200"/>
        <w:jc w:val="left"/>
        <w:rPr>
          <w:rFonts w:ascii="仿宋" w:hAnsi="仿宋" w:eastAsia="仿宋" w:cs="仿宋_GB2312"/>
          <w:b/>
          <w:color w:val="auto"/>
          <w:sz w:val="30"/>
          <w:szCs w:val="30"/>
          <w:highlight w:val="none"/>
        </w:rPr>
      </w:pPr>
      <w:r>
        <w:rPr>
          <w:rFonts w:hint="eastAsia" w:ascii="仿宋_GB2312" w:hAnsi="仿宋_GB2312" w:eastAsia="仿宋_GB2312" w:cs="仿宋_GB2312"/>
          <w:color w:val="auto"/>
          <w:sz w:val="32"/>
          <w:szCs w:val="32"/>
          <w:highlight w:val="none"/>
        </w:rPr>
        <w:br w:type="page"/>
      </w:r>
      <w:r>
        <w:rPr>
          <w:rFonts w:hint="eastAsia" w:ascii="仿宋" w:hAnsi="仿宋" w:eastAsia="仿宋" w:cs="仿宋_GB2312"/>
          <w:b/>
          <w:color w:val="auto"/>
          <w:sz w:val="30"/>
          <w:szCs w:val="30"/>
          <w:highlight w:val="none"/>
        </w:rPr>
        <w:t>四、商务条款偏离表</w:t>
      </w:r>
    </w:p>
    <w:p w14:paraId="00A7A56D">
      <w:pPr>
        <w:spacing w:line="50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商务条款偏离表</w:t>
      </w:r>
    </w:p>
    <w:p w14:paraId="5DD0F485">
      <w:pPr>
        <w:spacing w:line="520" w:lineRule="exact"/>
        <w:rPr>
          <w:rFonts w:ascii="仿宋_GB2312" w:hAnsi="仿宋_GB2312" w:eastAsia="仿宋_GB2312" w:cs="仿宋_GB2312"/>
          <w:color w:val="auto"/>
          <w:sz w:val="32"/>
          <w:szCs w:val="32"/>
          <w:highlight w:val="none"/>
        </w:rPr>
      </w:pPr>
    </w:p>
    <w:p w14:paraId="16B2C9A7">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采购项目编号：                 </w:t>
      </w:r>
    </w:p>
    <w:p w14:paraId="68FB5646">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采购项目名称：                 </w:t>
      </w:r>
    </w:p>
    <w:p w14:paraId="434FE9DD">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分标号</w:t>
      </w:r>
      <w:r>
        <w:rPr>
          <w:rFonts w:hint="eastAsia" w:ascii="宋体" w:hAnsi="宋体"/>
          <w:color w:val="auto"/>
          <w:szCs w:val="21"/>
          <w:highlight w:val="none"/>
        </w:rPr>
        <w:t>（此处有分标时填写具体分标号，无分标时填写“无”）</w:t>
      </w:r>
      <w:r>
        <w:rPr>
          <w:rFonts w:hint="eastAsia" w:ascii="宋体" w:hAnsi="宋体" w:cs="仿宋_GB2312"/>
          <w:color w:val="auto"/>
          <w:sz w:val="24"/>
          <w:highlight w:val="none"/>
        </w:rPr>
        <w:t xml:space="preserve">： </w:t>
      </w:r>
    </w:p>
    <w:tbl>
      <w:tblPr>
        <w:tblStyle w:val="10"/>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273"/>
        <w:gridCol w:w="2835"/>
        <w:gridCol w:w="2681"/>
      </w:tblGrid>
      <w:tr w14:paraId="4EC54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FE0AC40">
            <w:pPr>
              <w:spacing w:line="340" w:lineRule="exact"/>
              <w:jc w:val="center"/>
              <w:rPr>
                <w:rFonts w:ascii="宋体" w:hAnsi="宋体"/>
                <w:color w:val="auto"/>
                <w:szCs w:val="21"/>
                <w:highlight w:val="none"/>
              </w:rPr>
            </w:pPr>
            <w:r>
              <w:rPr>
                <w:rFonts w:hint="eastAsia" w:ascii="宋体" w:hAnsi="宋体"/>
                <w:color w:val="auto"/>
                <w:szCs w:val="21"/>
                <w:highlight w:val="none"/>
              </w:rPr>
              <w:t>项号</w:t>
            </w:r>
          </w:p>
        </w:tc>
        <w:tc>
          <w:tcPr>
            <w:tcW w:w="3273" w:type="dxa"/>
            <w:tcBorders>
              <w:top w:val="single" w:color="auto" w:sz="4" w:space="0"/>
              <w:left w:val="single" w:color="auto" w:sz="4" w:space="0"/>
              <w:bottom w:val="single" w:color="auto" w:sz="4" w:space="0"/>
              <w:right w:val="single" w:color="auto" w:sz="4" w:space="0"/>
            </w:tcBorders>
            <w:noWrap w:val="0"/>
            <w:vAlign w:val="top"/>
          </w:tcPr>
          <w:p w14:paraId="3CF812D8">
            <w:pPr>
              <w:spacing w:line="340" w:lineRule="exact"/>
              <w:jc w:val="center"/>
              <w:rPr>
                <w:rFonts w:ascii="宋体" w:hAnsi="宋体"/>
                <w:color w:val="auto"/>
                <w:szCs w:val="21"/>
                <w:highlight w:val="none"/>
              </w:rPr>
            </w:pPr>
            <w:r>
              <w:rPr>
                <w:rFonts w:hint="eastAsia" w:ascii="宋体" w:hAnsi="宋体"/>
                <w:color w:val="auto"/>
                <w:szCs w:val="21"/>
                <w:highlight w:val="none"/>
              </w:rPr>
              <w:t>竞争性磋商采购文件的商务需求</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52538F99">
            <w:pPr>
              <w:spacing w:line="340" w:lineRule="exact"/>
              <w:jc w:val="center"/>
              <w:rPr>
                <w:rFonts w:ascii="宋体" w:hAnsi="宋体"/>
                <w:color w:val="auto"/>
                <w:szCs w:val="21"/>
                <w:highlight w:val="none"/>
              </w:rPr>
            </w:pPr>
            <w:r>
              <w:rPr>
                <w:rFonts w:hint="eastAsia" w:ascii="宋体" w:hAnsi="宋体"/>
                <w:color w:val="auto"/>
                <w:szCs w:val="21"/>
                <w:highlight w:val="none"/>
              </w:rPr>
              <w:t>响应文件承诺的商务条款</w:t>
            </w:r>
          </w:p>
        </w:tc>
        <w:tc>
          <w:tcPr>
            <w:tcW w:w="2681" w:type="dxa"/>
            <w:tcBorders>
              <w:top w:val="single" w:color="auto" w:sz="4" w:space="0"/>
              <w:left w:val="single" w:color="auto" w:sz="4" w:space="0"/>
              <w:bottom w:val="single" w:color="auto" w:sz="4" w:space="0"/>
              <w:right w:val="single" w:color="auto" w:sz="4" w:space="0"/>
            </w:tcBorders>
            <w:noWrap w:val="0"/>
            <w:vAlign w:val="top"/>
          </w:tcPr>
          <w:p w14:paraId="1B0EB3AD">
            <w:pPr>
              <w:spacing w:line="300" w:lineRule="exact"/>
              <w:jc w:val="center"/>
              <w:rPr>
                <w:rFonts w:ascii="宋体" w:hAnsi="宋体"/>
                <w:color w:val="auto"/>
                <w:szCs w:val="21"/>
                <w:highlight w:val="none"/>
              </w:rPr>
            </w:pPr>
            <w:r>
              <w:rPr>
                <w:rFonts w:hint="eastAsia" w:ascii="宋体" w:hAnsi="宋体"/>
                <w:color w:val="auto"/>
                <w:szCs w:val="21"/>
                <w:highlight w:val="none"/>
              </w:rPr>
              <w:t>偏离说明</w:t>
            </w:r>
          </w:p>
        </w:tc>
      </w:tr>
      <w:tr w14:paraId="736B6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restart"/>
            <w:tcBorders>
              <w:top w:val="single" w:color="auto" w:sz="4" w:space="0"/>
              <w:left w:val="single" w:color="auto" w:sz="4" w:space="0"/>
              <w:bottom w:val="single" w:color="auto" w:sz="4" w:space="0"/>
              <w:right w:val="single" w:color="auto" w:sz="4" w:space="0"/>
            </w:tcBorders>
            <w:noWrap w:val="0"/>
            <w:vAlign w:val="top"/>
          </w:tcPr>
          <w:p w14:paraId="352CEE6E">
            <w:pPr>
              <w:spacing w:line="340" w:lineRule="exact"/>
              <w:rPr>
                <w:rFonts w:ascii="宋体" w:hAnsi="宋体"/>
                <w:color w:val="auto"/>
                <w:szCs w:val="21"/>
                <w:highlight w:val="none"/>
              </w:rPr>
            </w:pPr>
            <w:r>
              <w:rPr>
                <w:rFonts w:hint="eastAsia" w:ascii="宋体" w:hAnsi="宋体"/>
                <w:color w:val="auto"/>
                <w:szCs w:val="21"/>
                <w:highlight w:val="none"/>
              </w:rPr>
              <w:t>一</w:t>
            </w:r>
          </w:p>
        </w:tc>
        <w:tc>
          <w:tcPr>
            <w:tcW w:w="3273" w:type="dxa"/>
            <w:tcBorders>
              <w:top w:val="single" w:color="auto" w:sz="4" w:space="0"/>
              <w:left w:val="single" w:color="auto" w:sz="4" w:space="0"/>
              <w:bottom w:val="single" w:color="auto" w:sz="4" w:space="0"/>
              <w:right w:val="single" w:color="auto" w:sz="4" w:space="0"/>
            </w:tcBorders>
            <w:noWrap w:val="0"/>
            <w:vAlign w:val="top"/>
          </w:tcPr>
          <w:p w14:paraId="278AAB27">
            <w:pPr>
              <w:rPr>
                <w:rFonts w:ascii="宋体" w:hAnsi="宋体"/>
                <w:color w:val="auto"/>
                <w:szCs w:val="21"/>
                <w:highlight w:val="none"/>
              </w:rPr>
            </w:pPr>
            <w:r>
              <w:rPr>
                <w:rFonts w:hint="eastAsia" w:ascii="宋体" w:hAnsi="宋体"/>
                <w:color w:val="auto"/>
                <w:szCs w:val="21"/>
                <w:highlight w:val="none"/>
              </w:rPr>
              <w:t>1  ……</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420736DE">
            <w:pPr>
              <w:rPr>
                <w:rFonts w:ascii="宋体" w:hAnsi="宋体"/>
                <w:color w:val="auto"/>
                <w:szCs w:val="21"/>
                <w:highlight w:val="none"/>
              </w:rPr>
            </w:pPr>
            <w:r>
              <w:rPr>
                <w:rFonts w:hint="eastAsia" w:ascii="宋体" w:hAnsi="宋体"/>
                <w:color w:val="auto"/>
                <w:szCs w:val="21"/>
                <w:highlight w:val="none"/>
              </w:rPr>
              <w:t>1  ……</w:t>
            </w:r>
          </w:p>
        </w:tc>
        <w:tc>
          <w:tcPr>
            <w:tcW w:w="2681" w:type="dxa"/>
            <w:tcBorders>
              <w:top w:val="single" w:color="auto" w:sz="4" w:space="0"/>
              <w:left w:val="single" w:color="auto" w:sz="4" w:space="0"/>
              <w:bottom w:val="single" w:color="auto" w:sz="4" w:space="0"/>
              <w:right w:val="single" w:color="auto" w:sz="4" w:space="0"/>
            </w:tcBorders>
            <w:noWrap w:val="0"/>
            <w:vAlign w:val="top"/>
          </w:tcPr>
          <w:p w14:paraId="19182EF8">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tc>
      </w:tr>
      <w:tr w14:paraId="3A2D1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14:paraId="6803CBBF">
            <w:pPr>
              <w:rPr>
                <w:color w:val="auto"/>
                <w:highlight w:val="none"/>
              </w:rPr>
            </w:pPr>
          </w:p>
        </w:tc>
        <w:tc>
          <w:tcPr>
            <w:tcW w:w="3273" w:type="dxa"/>
            <w:tcBorders>
              <w:top w:val="single" w:color="auto" w:sz="4" w:space="0"/>
              <w:left w:val="single" w:color="auto" w:sz="4" w:space="0"/>
              <w:bottom w:val="single" w:color="auto" w:sz="4" w:space="0"/>
              <w:right w:val="single" w:color="auto" w:sz="4" w:space="0"/>
            </w:tcBorders>
            <w:noWrap w:val="0"/>
            <w:vAlign w:val="top"/>
          </w:tcPr>
          <w:p w14:paraId="25110346">
            <w:pPr>
              <w:spacing w:line="340" w:lineRule="exact"/>
              <w:rPr>
                <w:rFonts w:ascii="宋体" w:hAnsi="宋体"/>
                <w:color w:val="auto"/>
                <w:szCs w:val="21"/>
                <w:highlight w:val="none"/>
              </w:rPr>
            </w:pPr>
            <w:r>
              <w:rPr>
                <w:rFonts w:hint="eastAsia" w:ascii="宋体" w:hAnsi="宋体"/>
                <w:color w:val="auto"/>
                <w:szCs w:val="21"/>
                <w:highlight w:val="none"/>
              </w:rPr>
              <w:t>2  ……</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712441F3">
            <w:pPr>
              <w:spacing w:line="300" w:lineRule="exact"/>
              <w:rPr>
                <w:rFonts w:ascii="宋体" w:hAnsi="宋体"/>
                <w:color w:val="auto"/>
                <w:szCs w:val="21"/>
                <w:highlight w:val="none"/>
              </w:rPr>
            </w:pPr>
            <w:r>
              <w:rPr>
                <w:rFonts w:hint="eastAsia" w:ascii="宋体" w:hAnsi="宋体"/>
                <w:color w:val="auto"/>
                <w:szCs w:val="21"/>
                <w:highlight w:val="none"/>
              </w:rPr>
              <w:t>2  ……</w:t>
            </w:r>
          </w:p>
        </w:tc>
        <w:tc>
          <w:tcPr>
            <w:tcW w:w="2681" w:type="dxa"/>
            <w:tcBorders>
              <w:top w:val="single" w:color="auto" w:sz="4" w:space="0"/>
              <w:left w:val="single" w:color="auto" w:sz="4" w:space="0"/>
              <w:bottom w:val="single" w:color="auto" w:sz="4" w:space="0"/>
              <w:right w:val="single" w:color="auto" w:sz="4" w:space="0"/>
            </w:tcBorders>
            <w:noWrap w:val="0"/>
            <w:vAlign w:val="top"/>
          </w:tcPr>
          <w:p w14:paraId="76E538DF">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tc>
      </w:tr>
      <w:tr w14:paraId="577BC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14:paraId="71E01F34">
            <w:pPr>
              <w:rPr>
                <w:color w:val="auto"/>
                <w:highlight w:val="none"/>
              </w:rPr>
            </w:pPr>
          </w:p>
        </w:tc>
        <w:tc>
          <w:tcPr>
            <w:tcW w:w="3273" w:type="dxa"/>
            <w:tcBorders>
              <w:top w:val="single" w:color="auto" w:sz="4" w:space="0"/>
              <w:left w:val="single" w:color="auto" w:sz="4" w:space="0"/>
              <w:bottom w:val="single" w:color="auto" w:sz="4" w:space="0"/>
              <w:right w:val="single" w:color="auto" w:sz="4" w:space="0"/>
            </w:tcBorders>
            <w:noWrap w:val="0"/>
            <w:vAlign w:val="top"/>
          </w:tcPr>
          <w:p w14:paraId="6FE2334D">
            <w:pPr>
              <w:spacing w:line="340" w:lineRule="exact"/>
              <w:rPr>
                <w:rFonts w:ascii="宋体" w:hAnsi="宋体"/>
                <w:color w:val="auto"/>
                <w:szCs w:val="21"/>
                <w:highlight w:val="none"/>
              </w:rPr>
            </w:pPr>
            <w:r>
              <w:rPr>
                <w:rFonts w:hint="eastAsia" w:ascii="宋体" w:hAnsi="宋体"/>
                <w:color w:val="auto"/>
                <w:szCs w:val="21"/>
                <w:highlight w:val="none"/>
              </w:rPr>
              <w:t>3  ……</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354F9D4E">
            <w:pPr>
              <w:spacing w:line="300" w:lineRule="exact"/>
              <w:rPr>
                <w:rFonts w:ascii="宋体" w:hAnsi="宋体"/>
                <w:color w:val="auto"/>
                <w:szCs w:val="21"/>
                <w:highlight w:val="none"/>
              </w:rPr>
            </w:pPr>
            <w:r>
              <w:rPr>
                <w:rFonts w:hint="eastAsia" w:ascii="宋体" w:hAnsi="宋体"/>
                <w:color w:val="auto"/>
                <w:szCs w:val="21"/>
                <w:highlight w:val="none"/>
              </w:rPr>
              <w:t>3  ……</w:t>
            </w:r>
          </w:p>
        </w:tc>
        <w:tc>
          <w:tcPr>
            <w:tcW w:w="2681" w:type="dxa"/>
            <w:tcBorders>
              <w:top w:val="single" w:color="auto" w:sz="4" w:space="0"/>
              <w:left w:val="single" w:color="auto" w:sz="4" w:space="0"/>
              <w:bottom w:val="single" w:color="auto" w:sz="4" w:space="0"/>
              <w:right w:val="single" w:color="auto" w:sz="4" w:space="0"/>
            </w:tcBorders>
            <w:noWrap w:val="0"/>
            <w:vAlign w:val="top"/>
          </w:tcPr>
          <w:p w14:paraId="34B6EFB5">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tc>
      </w:tr>
      <w:tr w14:paraId="7A1E4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14:paraId="11C0E455">
            <w:pPr>
              <w:rPr>
                <w:color w:val="auto"/>
                <w:highlight w:val="none"/>
              </w:rPr>
            </w:pPr>
          </w:p>
        </w:tc>
        <w:tc>
          <w:tcPr>
            <w:tcW w:w="3273" w:type="dxa"/>
            <w:tcBorders>
              <w:top w:val="single" w:color="auto" w:sz="4" w:space="0"/>
              <w:left w:val="single" w:color="auto" w:sz="4" w:space="0"/>
              <w:bottom w:val="single" w:color="auto" w:sz="4" w:space="0"/>
              <w:right w:val="single" w:color="auto" w:sz="4" w:space="0"/>
            </w:tcBorders>
            <w:noWrap w:val="0"/>
            <w:vAlign w:val="top"/>
          </w:tcPr>
          <w:p w14:paraId="27E2A964">
            <w:pPr>
              <w:spacing w:line="340" w:lineRule="exact"/>
              <w:rPr>
                <w:rFonts w:ascii="宋体" w:hAnsi="宋体"/>
                <w:color w:val="auto"/>
                <w:szCs w:val="21"/>
                <w:highlight w:val="none"/>
              </w:rPr>
            </w:pPr>
            <w:r>
              <w:rPr>
                <w:rFonts w:hint="eastAsia" w:ascii="宋体" w:hAnsi="宋体"/>
                <w:color w:val="auto"/>
                <w:szCs w:val="21"/>
                <w:highlight w:val="none"/>
              </w:rPr>
              <w:t>……</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1734F942">
            <w:pPr>
              <w:spacing w:line="300" w:lineRule="exact"/>
              <w:rPr>
                <w:rFonts w:ascii="宋体" w:hAnsi="宋体"/>
                <w:color w:val="auto"/>
                <w:szCs w:val="21"/>
                <w:highlight w:val="none"/>
              </w:rPr>
            </w:pPr>
            <w:r>
              <w:rPr>
                <w:rFonts w:hint="eastAsia" w:ascii="宋体" w:hAnsi="宋体"/>
                <w:color w:val="auto"/>
                <w:szCs w:val="21"/>
                <w:highlight w:val="none"/>
              </w:rPr>
              <w:t>……</w:t>
            </w:r>
          </w:p>
        </w:tc>
        <w:tc>
          <w:tcPr>
            <w:tcW w:w="2681" w:type="dxa"/>
            <w:tcBorders>
              <w:top w:val="single" w:color="auto" w:sz="4" w:space="0"/>
              <w:left w:val="single" w:color="auto" w:sz="4" w:space="0"/>
              <w:bottom w:val="single" w:color="auto" w:sz="4" w:space="0"/>
              <w:right w:val="single" w:color="auto" w:sz="4" w:space="0"/>
            </w:tcBorders>
            <w:noWrap w:val="0"/>
            <w:vAlign w:val="top"/>
          </w:tcPr>
          <w:p w14:paraId="224A9B7E">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tc>
      </w:tr>
      <w:tr w14:paraId="45DA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restart"/>
            <w:tcBorders>
              <w:top w:val="single" w:color="auto" w:sz="4" w:space="0"/>
              <w:left w:val="single" w:color="auto" w:sz="4" w:space="0"/>
              <w:bottom w:val="single" w:color="auto" w:sz="4" w:space="0"/>
              <w:right w:val="single" w:color="auto" w:sz="4" w:space="0"/>
            </w:tcBorders>
            <w:noWrap w:val="0"/>
            <w:vAlign w:val="top"/>
          </w:tcPr>
          <w:p w14:paraId="4DD65A1F">
            <w:pPr>
              <w:spacing w:line="340" w:lineRule="exact"/>
              <w:rPr>
                <w:rFonts w:ascii="宋体" w:hAnsi="宋体"/>
                <w:color w:val="auto"/>
                <w:szCs w:val="21"/>
                <w:highlight w:val="none"/>
              </w:rPr>
            </w:pPr>
            <w:r>
              <w:rPr>
                <w:rFonts w:hint="eastAsia" w:ascii="宋体" w:hAnsi="宋体"/>
                <w:color w:val="auto"/>
                <w:szCs w:val="21"/>
                <w:highlight w:val="none"/>
              </w:rPr>
              <w:t>二</w:t>
            </w:r>
          </w:p>
        </w:tc>
        <w:tc>
          <w:tcPr>
            <w:tcW w:w="3273" w:type="dxa"/>
            <w:tcBorders>
              <w:top w:val="single" w:color="auto" w:sz="4" w:space="0"/>
              <w:left w:val="single" w:color="auto" w:sz="4" w:space="0"/>
              <w:bottom w:val="single" w:color="auto" w:sz="4" w:space="0"/>
              <w:right w:val="single" w:color="auto" w:sz="4" w:space="0"/>
            </w:tcBorders>
            <w:noWrap w:val="0"/>
            <w:vAlign w:val="top"/>
          </w:tcPr>
          <w:p w14:paraId="727A8DCB">
            <w:pPr>
              <w:rPr>
                <w:rFonts w:ascii="宋体" w:hAnsi="宋体"/>
                <w:color w:val="auto"/>
                <w:szCs w:val="21"/>
                <w:highlight w:val="none"/>
              </w:rPr>
            </w:pPr>
            <w:r>
              <w:rPr>
                <w:rFonts w:hint="eastAsia" w:ascii="宋体" w:hAnsi="宋体"/>
                <w:color w:val="auto"/>
                <w:szCs w:val="21"/>
                <w:highlight w:val="none"/>
              </w:rPr>
              <w:t>1  ……</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026E6E70">
            <w:pPr>
              <w:rPr>
                <w:rFonts w:ascii="宋体" w:hAnsi="宋体"/>
                <w:color w:val="auto"/>
                <w:szCs w:val="21"/>
                <w:highlight w:val="none"/>
              </w:rPr>
            </w:pPr>
            <w:r>
              <w:rPr>
                <w:rFonts w:hint="eastAsia" w:ascii="宋体" w:hAnsi="宋体"/>
                <w:color w:val="auto"/>
                <w:szCs w:val="21"/>
                <w:highlight w:val="none"/>
              </w:rPr>
              <w:t>1  ……</w:t>
            </w:r>
          </w:p>
        </w:tc>
        <w:tc>
          <w:tcPr>
            <w:tcW w:w="2681" w:type="dxa"/>
            <w:tcBorders>
              <w:top w:val="single" w:color="auto" w:sz="4" w:space="0"/>
              <w:left w:val="single" w:color="auto" w:sz="4" w:space="0"/>
              <w:bottom w:val="single" w:color="auto" w:sz="4" w:space="0"/>
              <w:right w:val="single" w:color="auto" w:sz="4" w:space="0"/>
            </w:tcBorders>
            <w:noWrap w:val="0"/>
            <w:vAlign w:val="top"/>
          </w:tcPr>
          <w:p w14:paraId="38552090">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tc>
      </w:tr>
      <w:tr w14:paraId="4E93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14:paraId="6A896B3A">
            <w:pPr>
              <w:rPr>
                <w:color w:val="auto"/>
                <w:highlight w:val="none"/>
              </w:rPr>
            </w:pPr>
          </w:p>
        </w:tc>
        <w:tc>
          <w:tcPr>
            <w:tcW w:w="3273" w:type="dxa"/>
            <w:tcBorders>
              <w:top w:val="single" w:color="auto" w:sz="4" w:space="0"/>
              <w:left w:val="single" w:color="auto" w:sz="4" w:space="0"/>
              <w:bottom w:val="single" w:color="auto" w:sz="4" w:space="0"/>
              <w:right w:val="single" w:color="auto" w:sz="4" w:space="0"/>
            </w:tcBorders>
            <w:noWrap w:val="0"/>
            <w:vAlign w:val="top"/>
          </w:tcPr>
          <w:p w14:paraId="1D4C9B38">
            <w:pPr>
              <w:spacing w:line="340" w:lineRule="exact"/>
              <w:rPr>
                <w:rFonts w:ascii="宋体" w:hAnsi="宋体"/>
                <w:color w:val="auto"/>
                <w:szCs w:val="21"/>
                <w:highlight w:val="none"/>
              </w:rPr>
            </w:pPr>
            <w:r>
              <w:rPr>
                <w:rFonts w:hint="eastAsia" w:ascii="宋体" w:hAnsi="宋体"/>
                <w:color w:val="auto"/>
                <w:szCs w:val="21"/>
                <w:highlight w:val="none"/>
              </w:rPr>
              <w:t>2  ……</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14953A76">
            <w:pPr>
              <w:spacing w:line="300" w:lineRule="exact"/>
              <w:rPr>
                <w:rFonts w:ascii="宋体" w:hAnsi="宋体"/>
                <w:color w:val="auto"/>
                <w:szCs w:val="21"/>
                <w:highlight w:val="none"/>
              </w:rPr>
            </w:pPr>
            <w:r>
              <w:rPr>
                <w:rFonts w:hint="eastAsia" w:ascii="宋体" w:hAnsi="宋体"/>
                <w:color w:val="auto"/>
                <w:szCs w:val="21"/>
                <w:highlight w:val="none"/>
              </w:rPr>
              <w:t>2  ……</w:t>
            </w:r>
          </w:p>
        </w:tc>
        <w:tc>
          <w:tcPr>
            <w:tcW w:w="2681" w:type="dxa"/>
            <w:tcBorders>
              <w:top w:val="single" w:color="auto" w:sz="4" w:space="0"/>
              <w:left w:val="single" w:color="auto" w:sz="4" w:space="0"/>
              <w:bottom w:val="single" w:color="auto" w:sz="4" w:space="0"/>
              <w:right w:val="single" w:color="auto" w:sz="4" w:space="0"/>
            </w:tcBorders>
            <w:noWrap w:val="0"/>
            <w:vAlign w:val="top"/>
          </w:tcPr>
          <w:p w14:paraId="3176FC18">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tc>
      </w:tr>
      <w:tr w14:paraId="1FC39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14:paraId="73381623">
            <w:pPr>
              <w:rPr>
                <w:color w:val="auto"/>
                <w:highlight w:val="none"/>
              </w:rPr>
            </w:pPr>
          </w:p>
        </w:tc>
        <w:tc>
          <w:tcPr>
            <w:tcW w:w="3273" w:type="dxa"/>
            <w:tcBorders>
              <w:top w:val="single" w:color="auto" w:sz="4" w:space="0"/>
              <w:left w:val="single" w:color="auto" w:sz="4" w:space="0"/>
              <w:bottom w:val="single" w:color="auto" w:sz="4" w:space="0"/>
              <w:right w:val="single" w:color="auto" w:sz="4" w:space="0"/>
            </w:tcBorders>
            <w:noWrap w:val="0"/>
            <w:vAlign w:val="top"/>
          </w:tcPr>
          <w:p w14:paraId="214AEB7B">
            <w:pPr>
              <w:spacing w:line="340" w:lineRule="exact"/>
              <w:rPr>
                <w:rFonts w:ascii="宋体" w:hAnsi="宋体"/>
                <w:color w:val="auto"/>
                <w:szCs w:val="21"/>
                <w:highlight w:val="none"/>
              </w:rPr>
            </w:pPr>
            <w:r>
              <w:rPr>
                <w:rFonts w:hint="eastAsia" w:ascii="宋体" w:hAnsi="宋体"/>
                <w:color w:val="auto"/>
                <w:szCs w:val="21"/>
                <w:highlight w:val="none"/>
              </w:rPr>
              <w:t>3  ……</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51DA5F53">
            <w:pPr>
              <w:spacing w:line="300" w:lineRule="exact"/>
              <w:rPr>
                <w:rFonts w:ascii="宋体" w:hAnsi="宋体"/>
                <w:color w:val="auto"/>
                <w:szCs w:val="21"/>
                <w:highlight w:val="none"/>
              </w:rPr>
            </w:pPr>
            <w:r>
              <w:rPr>
                <w:rFonts w:hint="eastAsia" w:ascii="宋体" w:hAnsi="宋体"/>
                <w:color w:val="auto"/>
                <w:szCs w:val="21"/>
                <w:highlight w:val="none"/>
              </w:rPr>
              <w:t>3  ……</w:t>
            </w:r>
          </w:p>
        </w:tc>
        <w:tc>
          <w:tcPr>
            <w:tcW w:w="2681" w:type="dxa"/>
            <w:tcBorders>
              <w:top w:val="single" w:color="auto" w:sz="4" w:space="0"/>
              <w:left w:val="single" w:color="auto" w:sz="4" w:space="0"/>
              <w:bottom w:val="single" w:color="auto" w:sz="4" w:space="0"/>
              <w:right w:val="single" w:color="auto" w:sz="4" w:space="0"/>
            </w:tcBorders>
            <w:noWrap w:val="0"/>
            <w:vAlign w:val="top"/>
          </w:tcPr>
          <w:p w14:paraId="16EBF67A">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tc>
      </w:tr>
      <w:tr w14:paraId="4DAF5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14:paraId="2CFB08C0">
            <w:pPr>
              <w:rPr>
                <w:color w:val="auto"/>
                <w:highlight w:val="none"/>
              </w:rPr>
            </w:pPr>
          </w:p>
        </w:tc>
        <w:tc>
          <w:tcPr>
            <w:tcW w:w="3273" w:type="dxa"/>
            <w:tcBorders>
              <w:top w:val="single" w:color="auto" w:sz="4" w:space="0"/>
              <w:left w:val="single" w:color="auto" w:sz="4" w:space="0"/>
              <w:bottom w:val="single" w:color="auto" w:sz="4" w:space="0"/>
              <w:right w:val="single" w:color="auto" w:sz="4" w:space="0"/>
            </w:tcBorders>
            <w:noWrap w:val="0"/>
            <w:vAlign w:val="top"/>
          </w:tcPr>
          <w:p w14:paraId="74888145">
            <w:pPr>
              <w:spacing w:line="340" w:lineRule="exact"/>
              <w:rPr>
                <w:rFonts w:ascii="宋体" w:hAnsi="宋体"/>
                <w:color w:val="auto"/>
                <w:szCs w:val="21"/>
                <w:highlight w:val="none"/>
              </w:rPr>
            </w:pPr>
            <w:r>
              <w:rPr>
                <w:rFonts w:hint="eastAsia" w:ascii="宋体" w:hAnsi="宋体"/>
                <w:color w:val="auto"/>
                <w:szCs w:val="21"/>
                <w:highlight w:val="none"/>
              </w:rPr>
              <w:t>……</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6E4F1891">
            <w:pPr>
              <w:spacing w:line="300" w:lineRule="exact"/>
              <w:rPr>
                <w:rFonts w:ascii="宋体" w:hAnsi="宋体"/>
                <w:color w:val="auto"/>
                <w:szCs w:val="21"/>
                <w:highlight w:val="none"/>
              </w:rPr>
            </w:pPr>
            <w:r>
              <w:rPr>
                <w:rFonts w:hint="eastAsia" w:ascii="宋体" w:hAnsi="宋体"/>
                <w:color w:val="auto"/>
                <w:szCs w:val="21"/>
                <w:highlight w:val="none"/>
              </w:rPr>
              <w:t>……</w:t>
            </w:r>
          </w:p>
        </w:tc>
        <w:tc>
          <w:tcPr>
            <w:tcW w:w="2681" w:type="dxa"/>
            <w:tcBorders>
              <w:top w:val="single" w:color="auto" w:sz="4" w:space="0"/>
              <w:left w:val="single" w:color="auto" w:sz="4" w:space="0"/>
              <w:bottom w:val="single" w:color="auto" w:sz="4" w:space="0"/>
              <w:right w:val="single" w:color="auto" w:sz="4" w:space="0"/>
            </w:tcBorders>
            <w:noWrap w:val="0"/>
            <w:vAlign w:val="top"/>
          </w:tcPr>
          <w:p w14:paraId="5284F789">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tc>
      </w:tr>
      <w:tr w14:paraId="39B7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restart"/>
            <w:tcBorders>
              <w:top w:val="single" w:color="auto" w:sz="4" w:space="0"/>
              <w:left w:val="single" w:color="auto" w:sz="4" w:space="0"/>
              <w:bottom w:val="single" w:color="auto" w:sz="4" w:space="0"/>
              <w:right w:val="single" w:color="auto" w:sz="4" w:space="0"/>
            </w:tcBorders>
            <w:noWrap w:val="0"/>
            <w:vAlign w:val="top"/>
          </w:tcPr>
          <w:p w14:paraId="51142D70">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273" w:type="dxa"/>
            <w:tcBorders>
              <w:top w:val="single" w:color="auto" w:sz="4" w:space="0"/>
              <w:left w:val="single" w:color="auto" w:sz="4" w:space="0"/>
              <w:bottom w:val="single" w:color="auto" w:sz="4" w:space="0"/>
              <w:right w:val="single" w:color="auto" w:sz="4" w:space="0"/>
            </w:tcBorders>
            <w:noWrap w:val="0"/>
            <w:vAlign w:val="top"/>
          </w:tcPr>
          <w:p w14:paraId="332A44C6">
            <w:pPr>
              <w:rPr>
                <w:rFonts w:ascii="宋体" w:hAnsi="宋体"/>
                <w:color w:val="auto"/>
                <w:szCs w:val="21"/>
                <w:highlight w:val="none"/>
              </w:rPr>
            </w:pPr>
            <w:r>
              <w:rPr>
                <w:rFonts w:hint="eastAsia" w:ascii="宋体" w:hAnsi="宋体"/>
                <w:color w:val="auto"/>
                <w:szCs w:val="21"/>
                <w:highlight w:val="none"/>
              </w:rPr>
              <w:t>1  ……</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4FBED40A">
            <w:pPr>
              <w:rPr>
                <w:rFonts w:ascii="宋体" w:hAnsi="宋体"/>
                <w:color w:val="auto"/>
                <w:szCs w:val="21"/>
                <w:highlight w:val="none"/>
              </w:rPr>
            </w:pPr>
            <w:r>
              <w:rPr>
                <w:rFonts w:hint="eastAsia" w:ascii="宋体" w:hAnsi="宋体"/>
                <w:color w:val="auto"/>
                <w:szCs w:val="21"/>
                <w:highlight w:val="none"/>
              </w:rPr>
              <w:t>1  ……</w:t>
            </w:r>
          </w:p>
        </w:tc>
        <w:tc>
          <w:tcPr>
            <w:tcW w:w="2681" w:type="dxa"/>
            <w:tcBorders>
              <w:top w:val="single" w:color="auto" w:sz="4" w:space="0"/>
              <w:left w:val="single" w:color="auto" w:sz="4" w:space="0"/>
              <w:bottom w:val="single" w:color="auto" w:sz="4" w:space="0"/>
              <w:right w:val="single" w:color="auto" w:sz="4" w:space="0"/>
            </w:tcBorders>
            <w:noWrap w:val="0"/>
            <w:vAlign w:val="top"/>
          </w:tcPr>
          <w:p w14:paraId="44B0229E">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tc>
      </w:tr>
      <w:tr w14:paraId="6342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14:paraId="3168B7B1">
            <w:pPr>
              <w:rPr>
                <w:color w:val="auto"/>
                <w:highlight w:val="none"/>
              </w:rPr>
            </w:pPr>
          </w:p>
        </w:tc>
        <w:tc>
          <w:tcPr>
            <w:tcW w:w="3273" w:type="dxa"/>
            <w:tcBorders>
              <w:top w:val="single" w:color="auto" w:sz="4" w:space="0"/>
              <w:left w:val="single" w:color="auto" w:sz="4" w:space="0"/>
              <w:bottom w:val="single" w:color="auto" w:sz="4" w:space="0"/>
              <w:right w:val="single" w:color="auto" w:sz="4" w:space="0"/>
            </w:tcBorders>
            <w:noWrap w:val="0"/>
            <w:vAlign w:val="top"/>
          </w:tcPr>
          <w:p w14:paraId="01B0CB96">
            <w:pPr>
              <w:spacing w:line="340" w:lineRule="exact"/>
              <w:rPr>
                <w:rFonts w:ascii="宋体" w:hAnsi="宋体"/>
                <w:color w:val="auto"/>
                <w:szCs w:val="21"/>
                <w:highlight w:val="none"/>
              </w:rPr>
            </w:pPr>
            <w:r>
              <w:rPr>
                <w:rFonts w:hint="eastAsia" w:ascii="宋体" w:hAnsi="宋体"/>
                <w:color w:val="auto"/>
                <w:szCs w:val="21"/>
                <w:highlight w:val="none"/>
              </w:rPr>
              <w:t>2  ……</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4B94044C">
            <w:pPr>
              <w:spacing w:line="300" w:lineRule="exact"/>
              <w:rPr>
                <w:rFonts w:ascii="宋体" w:hAnsi="宋体"/>
                <w:color w:val="auto"/>
                <w:szCs w:val="21"/>
                <w:highlight w:val="none"/>
              </w:rPr>
            </w:pPr>
            <w:r>
              <w:rPr>
                <w:rFonts w:hint="eastAsia" w:ascii="宋体" w:hAnsi="宋体"/>
                <w:color w:val="auto"/>
                <w:szCs w:val="21"/>
                <w:highlight w:val="none"/>
              </w:rPr>
              <w:t>2  ……</w:t>
            </w:r>
          </w:p>
        </w:tc>
        <w:tc>
          <w:tcPr>
            <w:tcW w:w="2681" w:type="dxa"/>
            <w:tcBorders>
              <w:top w:val="single" w:color="auto" w:sz="4" w:space="0"/>
              <w:left w:val="single" w:color="auto" w:sz="4" w:space="0"/>
              <w:bottom w:val="single" w:color="auto" w:sz="4" w:space="0"/>
              <w:right w:val="single" w:color="auto" w:sz="4" w:space="0"/>
            </w:tcBorders>
            <w:noWrap w:val="0"/>
            <w:vAlign w:val="top"/>
          </w:tcPr>
          <w:p w14:paraId="0DF76804">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tc>
      </w:tr>
      <w:tr w14:paraId="310CF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14:paraId="5032E2B0">
            <w:pPr>
              <w:rPr>
                <w:color w:val="auto"/>
                <w:highlight w:val="none"/>
              </w:rPr>
            </w:pPr>
          </w:p>
        </w:tc>
        <w:tc>
          <w:tcPr>
            <w:tcW w:w="3273" w:type="dxa"/>
            <w:tcBorders>
              <w:top w:val="single" w:color="auto" w:sz="4" w:space="0"/>
              <w:left w:val="single" w:color="auto" w:sz="4" w:space="0"/>
              <w:bottom w:val="single" w:color="auto" w:sz="4" w:space="0"/>
              <w:right w:val="single" w:color="auto" w:sz="4" w:space="0"/>
            </w:tcBorders>
            <w:noWrap w:val="0"/>
            <w:vAlign w:val="top"/>
          </w:tcPr>
          <w:p w14:paraId="2B8B2DA1">
            <w:pPr>
              <w:spacing w:line="340" w:lineRule="exact"/>
              <w:rPr>
                <w:rFonts w:ascii="宋体" w:hAnsi="宋体"/>
                <w:color w:val="auto"/>
                <w:szCs w:val="21"/>
                <w:highlight w:val="none"/>
              </w:rPr>
            </w:pPr>
            <w:r>
              <w:rPr>
                <w:rFonts w:hint="eastAsia" w:ascii="宋体" w:hAnsi="宋体"/>
                <w:color w:val="auto"/>
                <w:szCs w:val="21"/>
                <w:highlight w:val="none"/>
              </w:rPr>
              <w:t>3  ……</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29571F78">
            <w:pPr>
              <w:spacing w:line="300" w:lineRule="exact"/>
              <w:rPr>
                <w:rFonts w:ascii="宋体" w:hAnsi="宋体"/>
                <w:color w:val="auto"/>
                <w:szCs w:val="21"/>
                <w:highlight w:val="none"/>
              </w:rPr>
            </w:pPr>
            <w:r>
              <w:rPr>
                <w:rFonts w:hint="eastAsia" w:ascii="宋体" w:hAnsi="宋体"/>
                <w:color w:val="auto"/>
                <w:szCs w:val="21"/>
                <w:highlight w:val="none"/>
              </w:rPr>
              <w:t>3  ……</w:t>
            </w:r>
          </w:p>
        </w:tc>
        <w:tc>
          <w:tcPr>
            <w:tcW w:w="2681" w:type="dxa"/>
            <w:tcBorders>
              <w:top w:val="single" w:color="auto" w:sz="4" w:space="0"/>
              <w:left w:val="single" w:color="auto" w:sz="4" w:space="0"/>
              <w:bottom w:val="single" w:color="auto" w:sz="4" w:space="0"/>
              <w:right w:val="single" w:color="auto" w:sz="4" w:space="0"/>
            </w:tcBorders>
            <w:noWrap w:val="0"/>
            <w:vAlign w:val="top"/>
          </w:tcPr>
          <w:p w14:paraId="72683266">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tc>
      </w:tr>
      <w:tr w14:paraId="7A42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14:paraId="48F3C5D3">
            <w:pPr>
              <w:rPr>
                <w:color w:val="auto"/>
                <w:highlight w:val="none"/>
              </w:rPr>
            </w:pPr>
          </w:p>
        </w:tc>
        <w:tc>
          <w:tcPr>
            <w:tcW w:w="3273" w:type="dxa"/>
            <w:tcBorders>
              <w:top w:val="single" w:color="auto" w:sz="4" w:space="0"/>
              <w:left w:val="single" w:color="auto" w:sz="4" w:space="0"/>
              <w:bottom w:val="single" w:color="auto" w:sz="4" w:space="0"/>
              <w:right w:val="single" w:color="auto" w:sz="4" w:space="0"/>
            </w:tcBorders>
            <w:noWrap w:val="0"/>
            <w:vAlign w:val="top"/>
          </w:tcPr>
          <w:p w14:paraId="78FAB9DB">
            <w:pPr>
              <w:spacing w:line="340" w:lineRule="exact"/>
              <w:rPr>
                <w:rFonts w:ascii="宋体" w:hAnsi="宋体"/>
                <w:color w:val="auto"/>
                <w:szCs w:val="21"/>
                <w:highlight w:val="none"/>
              </w:rPr>
            </w:pPr>
            <w:r>
              <w:rPr>
                <w:rFonts w:hint="eastAsia" w:ascii="宋体" w:hAnsi="宋体"/>
                <w:color w:val="auto"/>
                <w:szCs w:val="21"/>
                <w:highlight w:val="none"/>
              </w:rPr>
              <w:t>……</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314090CC">
            <w:pPr>
              <w:spacing w:line="300" w:lineRule="exact"/>
              <w:rPr>
                <w:rFonts w:ascii="宋体" w:hAnsi="宋体"/>
                <w:color w:val="auto"/>
                <w:szCs w:val="21"/>
                <w:highlight w:val="none"/>
              </w:rPr>
            </w:pPr>
            <w:r>
              <w:rPr>
                <w:rFonts w:hint="eastAsia" w:ascii="宋体" w:hAnsi="宋体"/>
                <w:color w:val="auto"/>
                <w:szCs w:val="21"/>
                <w:highlight w:val="none"/>
              </w:rPr>
              <w:t>……</w:t>
            </w:r>
          </w:p>
        </w:tc>
        <w:tc>
          <w:tcPr>
            <w:tcW w:w="2681" w:type="dxa"/>
            <w:tcBorders>
              <w:top w:val="single" w:color="auto" w:sz="4" w:space="0"/>
              <w:left w:val="single" w:color="auto" w:sz="4" w:space="0"/>
              <w:bottom w:val="single" w:color="auto" w:sz="4" w:space="0"/>
              <w:right w:val="single" w:color="auto" w:sz="4" w:space="0"/>
            </w:tcBorders>
            <w:noWrap w:val="0"/>
            <w:vAlign w:val="top"/>
          </w:tcPr>
          <w:p w14:paraId="3AE94F2B">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tc>
      </w:tr>
      <w:tr w14:paraId="6B372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80" w:type="dxa"/>
            <w:gridSpan w:val="4"/>
            <w:tcBorders>
              <w:top w:val="single" w:color="auto" w:sz="4" w:space="0"/>
              <w:left w:val="single" w:color="auto" w:sz="4" w:space="0"/>
              <w:bottom w:val="single" w:color="auto" w:sz="4" w:space="0"/>
              <w:right w:val="single" w:color="auto" w:sz="4" w:space="0"/>
            </w:tcBorders>
            <w:noWrap w:val="0"/>
            <w:vAlign w:val="top"/>
          </w:tcPr>
          <w:p w14:paraId="423C2AF6">
            <w:pPr>
              <w:spacing w:line="340" w:lineRule="exact"/>
              <w:rPr>
                <w:rFonts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分标（此处有分标时填写具体分标号，无分标时填写“无”）</w:t>
            </w:r>
          </w:p>
        </w:tc>
      </w:tr>
    </w:tbl>
    <w:p w14:paraId="6D491F04">
      <w:pPr>
        <w:spacing w:line="400" w:lineRule="exact"/>
        <w:contextualSpacing/>
        <w:rPr>
          <w:rFonts w:ascii="宋体" w:hAnsi="宋体" w:cs="仿宋_GB2312"/>
          <w:color w:val="auto"/>
          <w:kern w:val="0"/>
          <w:sz w:val="24"/>
          <w:highlight w:val="none"/>
        </w:rPr>
      </w:pPr>
      <w:r>
        <w:rPr>
          <w:rFonts w:hint="eastAsia" w:ascii="宋体" w:hAnsi="宋体" w:cs="仿宋_GB2312"/>
          <w:color w:val="auto"/>
          <w:kern w:val="0"/>
          <w:sz w:val="24"/>
          <w:highlight w:val="none"/>
        </w:rPr>
        <w:t>注：</w:t>
      </w:r>
    </w:p>
    <w:p w14:paraId="2B3994EA">
      <w:pPr>
        <w:spacing w:line="400" w:lineRule="exact"/>
        <w:contextualSpacing/>
        <w:rPr>
          <w:rFonts w:ascii="宋体" w:hAnsi="宋体" w:cs="仿宋_GB2312"/>
          <w:color w:val="auto"/>
          <w:kern w:val="0"/>
          <w:sz w:val="24"/>
          <w:highlight w:val="none"/>
        </w:rPr>
      </w:pPr>
      <w:r>
        <w:rPr>
          <w:rFonts w:hint="eastAsia" w:ascii="宋体" w:hAnsi="宋体" w:cs="仿宋_GB2312"/>
          <w:color w:val="auto"/>
          <w:kern w:val="0"/>
          <w:sz w:val="24"/>
          <w:highlight w:val="none"/>
        </w:rPr>
        <w:t>1.说明：应对照磋商文件“第二章 采购需求”中的商务条款逐条作出明确响应，并作出偏离说明。</w:t>
      </w:r>
    </w:p>
    <w:p w14:paraId="486A695B">
      <w:pPr>
        <w:spacing w:line="400" w:lineRule="exact"/>
        <w:contextualSpacing/>
        <w:rPr>
          <w:rFonts w:ascii="宋体" w:hAnsi="宋体" w:cs="仿宋_GB2312"/>
          <w:color w:val="auto"/>
          <w:kern w:val="0"/>
          <w:sz w:val="24"/>
          <w:highlight w:val="none"/>
        </w:rPr>
      </w:pPr>
      <w:r>
        <w:rPr>
          <w:rFonts w:hint="eastAsia" w:ascii="宋体" w:hAnsi="宋体" w:cs="仿宋_GB2312"/>
          <w:color w:val="auto"/>
          <w:kern w:val="0"/>
          <w:sz w:val="24"/>
          <w:highlight w:val="none"/>
        </w:rPr>
        <w:t>2.供应商应根据自身的承诺，对照磋商文件要求，在“偏离说明”中注明“正偏离”“负偏离”或者“无偏离”。既不属于“正偏离”也不属于“负偏离”即为“无偏离”。</w:t>
      </w:r>
      <w:r>
        <w:rPr>
          <w:rFonts w:hint="eastAsia" w:ascii="宋体" w:hAnsi="宋体" w:eastAsia="仿宋_GB2312" w:cs="仿宋_GB2312"/>
          <w:color w:val="auto"/>
          <w:kern w:val="0"/>
          <w:sz w:val="24"/>
          <w:highlight w:val="none"/>
        </w:rPr>
        <w:t>当响应文件的</w:t>
      </w:r>
      <w:r>
        <w:rPr>
          <w:rFonts w:hint="eastAsia" w:ascii="宋体" w:hAnsi="宋体" w:cs="仿宋_GB2312"/>
          <w:color w:val="auto"/>
          <w:kern w:val="0"/>
          <w:sz w:val="24"/>
          <w:highlight w:val="none"/>
        </w:rPr>
        <w:t>商务内容低于竞争性磋商采购文件要求时，竞标人应当如实写明“负偏离”，否则视为虚假应标</w:t>
      </w:r>
    </w:p>
    <w:p w14:paraId="0987ECC8">
      <w:pPr>
        <w:spacing w:line="400" w:lineRule="exact"/>
        <w:rPr>
          <w:rFonts w:ascii="宋体" w:hAnsi="宋体" w:cs="仿宋_GB2312"/>
          <w:color w:val="auto"/>
          <w:kern w:val="0"/>
          <w:sz w:val="24"/>
          <w:highlight w:val="none"/>
        </w:rPr>
      </w:pPr>
      <w:r>
        <w:rPr>
          <w:rFonts w:hint="eastAsia" w:ascii="宋体" w:hAnsi="宋体" w:cs="仿宋_GB2312"/>
          <w:color w:val="auto"/>
          <w:kern w:val="0"/>
          <w:sz w:val="24"/>
          <w:highlight w:val="none"/>
        </w:rPr>
        <w:t>3.表格内容均须按要求填写，不得留空，否则按竞标无效处理。</w:t>
      </w:r>
    </w:p>
    <w:p w14:paraId="41C3BBE3">
      <w:pPr>
        <w:spacing w:line="400" w:lineRule="exact"/>
        <w:contextualSpacing/>
        <w:rPr>
          <w:rFonts w:ascii="宋体" w:hAnsi="宋体" w:cs="仿宋_GB2312"/>
          <w:color w:val="auto"/>
          <w:kern w:val="0"/>
          <w:sz w:val="24"/>
          <w:szCs w:val="21"/>
          <w:highlight w:val="none"/>
        </w:rPr>
      </w:pPr>
      <w:r>
        <w:rPr>
          <w:rFonts w:hint="eastAsia" w:ascii="宋体" w:hAnsi="宋体" w:cs="仿宋_GB2312"/>
          <w:color w:val="auto"/>
          <w:kern w:val="0"/>
          <w:sz w:val="24"/>
          <w:highlight w:val="none"/>
        </w:rPr>
        <w:t>4</w:t>
      </w:r>
      <w:r>
        <w:rPr>
          <w:rFonts w:ascii="宋体" w:hAnsi="宋体" w:cs="仿宋_GB2312"/>
          <w:color w:val="auto"/>
          <w:kern w:val="0"/>
          <w:sz w:val="24"/>
          <w:highlight w:val="none"/>
        </w:rPr>
        <w:t>.</w:t>
      </w:r>
      <w:r>
        <w:rPr>
          <w:rFonts w:hint="eastAsia" w:ascii="宋体" w:hAnsi="宋体" w:cs="仿宋_GB2312"/>
          <w:color w:val="auto"/>
          <w:kern w:val="0"/>
          <w:sz w:val="24"/>
          <w:highlight w:val="none"/>
        </w:rPr>
        <w:t>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61A5FCCF">
      <w:pPr>
        <w:spacing w:line="360" w:lineRule="auto"/>
        <w:ind w:firstLine="3840" w:firstLineChars="1600"/>
        <w:rPr>
          <w:rFonts w:ascii="宋体" w:hAnsi="宋体" w:cs="仿宋_GB2312"/>
          <w:color w:val="auto"/>
          <w:sz w:val="24"/>
          <w:highlight w:val="none"/>
        </w:rPr>
      </w:pPr>
      <w:r>
        <w:rPr>
          <w:rFonts w:hint="eastAsia" w:ascii="仿宋_GB2312" w:hAnsi="仿宋" w:eastAsia="仿宋_GB2312" w:cs="仿宋_GB2312"/>
          <w:color w:val="auto"/>
          <w:kern w:val="0"/>
          <w:sz w:val="24"/>
          <w:highlight w:val="none"/>
        </w:rPr>
        <w:t>供应商名称（电子签章）：</w:t>
      </w:r>
    </w:p>
    <w:p w14:paraId="72D2A7FC">
      <w:pPr>
        <w:spacing w:line="360" w:lineRule="auto"/>
        <w:contextualSpacing/>
        <w:jc w:val="center"/>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日期：  年  月   日</w:t>
      </w:r>
    </w:p>
    <w:p w14:paraId="4A928994">
      <w:pPr>
        <w:spacing w:line="360" w:lineRule="auto"/>
        <w:contextualSpacing/>
        <w:jc w:val="center"/>
        <w:rPr>
          <w:rFonts w:ascii="宋体" w:hAnsi="宋体" w:cs="仿宋_GB2312"/>
          <w:b/>
          <w:color w:val="auto"/>
          <w:sz w:val="24"/>
          <w:highlight w:val="none"/>
        </w:rPr>
      </w:pPr>
    </w:p>
    <w:p w14:paraId="6B0CDCF8">
      <w:pPr>
        <w:snapToGrid w:val="0"/>
        <w:spacing w:line="360" w:lineRule="auto"/>
        <w:ind w:firstLine="602" w:firstLineChars="200"/>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五、竞标人情况介绍</w:t>
      </w:r>
    </w:p>
    <w:p w14:paraId="4D3BB798">
      <w:pPr>
        <w:snapToGrid w:val="0"/>
        <w:spacing w:line="360" w:lineRule="auto"/>
        <w:ind w:firstLine="602" w:firstLineChars="200"/>
        <w:rPr>
          <w:rFonts w:ascii="仿宋" w:hAnsi="仿宋" w:eastAsia="仿宋" w:cs="仿宋_GB2312"/>
          <w:b/>
          <w:color w:val="auto"/>
          <w:sz w:val="30"/>
          <w:szCs w:val="30"/>
          <w:highlight w:val="none"/>
        </w:rPr>
      </w:pPr>
    </w:p>
    <w:p w14:paraId="394256DC">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2FAE0458">
      <w:pPr>
        <w:autoSpaceDE w:val="0"/>
        <w:autoSpaceDN w:val="0"/>
        <w:spacing w:line="360" w:lineRule="auto"/>
        <w:ind w:firstLine="6480" w:firstLineChars="2700"/>
        <w:rPr>
          <w:rFonts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1D77C86C">
      <w:pPr>
        <w:snapToGrid w:val="0"/>
        <w:spacing w:before="120" w:beforeLines="50" w:after="50"/>
        <w:ind w:firstLine="602" w:firstLineChars="200"/>
        <w:rPr>
          <w:rFonts w:ascii="仿宋" w:hAnsi="仿宋" w:eastAsia="仿宋" w:cs="仿宋_GB2312"/>
          <w:b/>
          <w:color w:val="auto"/>
          <w:sz w:val="30"/>
          <w:szCs w:val="30"/>
          <w:highlight w:val="none"/>
        </w:rPr>
      </w:pPr>
    </w:p>
    <w:p w14:paraId="5104CD41">
      <w:pPr>
        <w:snapToGrid w:val="0"/>
        <w:spacing w:before="120" w:beforeLines="50" w:after="50"/>
        <w:ind w:firstLine="602" w:firstLineChars="200"/>
        <w:rPr>
          <w:rFonts w:ascii="仿宋" w:hAnsi="仿宋" w:eastAsia="仿宋" w:cs="仿宋_GB2312"/>
          <w:b/>
          <w:color w:val="auto"/>
          <w:sz w:val="30"/>
          <w:szCs w:val="30"/>
          <w:highlight w:val="none"/>
        </w:rPr>
      </w:pPr>
    </w:p>
    <w:p w14:paraId="6B1D666D">
      <w:pPr>
        <w:snapToGrid w:val="0"/>
        <w:spacing w:before="120" w:beforeLines="50" w:after="50"/>
        <w:ind w:firstLine="602" w:firstLineChars="200"/>
        <w:rPr>
          <w:rFonts w:ascii="仿宋" w:hAnsi="仿宋" w:eastAsia="仿宋" w:cs="仿宋_GB2312"/>
          <w:b/>
          <w:color w:val="auto"/>
          <w:sz w:val="30"/>
          <w:szCs w:val="30"/>
          <w:highlight w:val="none"/>
        </w:rPr>
      </w:pPr>
    </w:p>
    <w:p w14:paraId="7E3DC28B">
      <w:pPr>
        <w:snapToGrid w:val="0"/>
        <w:spacing w:before="120" w:beforeLines="50" w:after="50"/>
        <w:ind w:firstLine="602" w:firstLineChars="200"/>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六、供应商类似的业绩证明文件</w:t>
      </w:r>
    </w:p>
    <w:p w14:paraId="5A77DCA7">
      <w:pPr>
        <w:snapToGrid w:val="0"/>
        <w:ind w:left="480" w:hanging="480" w:hangingChars="200"/>
        <w:contextualSpacing/>
        <w:rPr>
          <w:rFonts w:ascii="宋体" w:hAnsi="宋体"/>
          <w:color w:val="auto"/>
          <w:sz w:val="24"/>
          <w:highlight w:val="none"/>
        </w:rPr>
      </w:pPr>
    </w:p>
    <w:tbl>
      <w:tblPr>
        <w:tblStyle w:val="10"/>
        <w:tblW w:w="902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4"/>
        <w:gridCol w:w="1843"/>
        <w:gridCol w:w="1134"/>
        <w:gridCol w:w="2826"/>
        <w:gridCol w:w="1842"/>
      </w:tblGrid>
      <w:tr w14:paraId="01499D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1384" w:type="dxa"/>
            <w:tcBorders>
              <w:top w:val="single" w:color="auto" w:sz="4" w:space="0"/>
              <w:left w:val="single" w:color="auto" w:sz="4" w:space="0"/>
              <w:bottom w:val="single" w:color="auto" w:sz="4" w:space="0"/>
              <w:right w:val="single" w:color="auto" w:sz="4" w:space="0"/>
            </w:tcBorders>
            <w:noWrap w:val="0"/>
            <w:vAlign w:val="center"/>
          </w:tcPr>
          <w:p w14:paraId="74E6A95A">
            <w:pPr>
              <w:snapToGrid w:val="0"/>
              <w:spacing w:line="240" w:lineRule="auto"/>
              <w:jc w:val="center"/>
              <w:rPr>
                <w:rFonts w:ascii="宋体" w:hAnsi="宋体"/>
                <w:color w:val="auto"/>
                <w:sz w:val="24"/>
                <w:highlight w:val="none"/>
              </w:rPr>
            </w:pPr>
            <w:r>
              <w:rPr>
                <w:rFonts w:hint="eastAsia" w:ascii="宋体" w:hAnsi="宋体"/>
                <w:color w:val="auto"/>
                <w:sz w:val="24"/>
                <w:highlight w:val="none"/>
              </w:rPr>
              <w:t>采购人名称</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334E8D4">
            <w:pPr>
              <w:snapToGrid w:val="0"/>
              <w:spacing w:line="240" w:lineRule="auto"/>
              <w:jc w:val="center"/>
              <w:rPr>
                <w:rFonts w:ascii="宋体" w:hAnsi="宋体"/>
                <w:color w:val="auto"/>
                <w:sz w:val="24"/>
                <w:highlight w:val="none"/>
              </w:rPr>
            </w:pPr>
            <w:r>
              <w:rPr>
                <w:rFonts w:hint="eastAsia" w:ascii="宋体" w:hAnsi="宋体"/>
                <w:color w:val="auto"/>
                <w:sz w:val="24"/>
                <w:highlight w:val="none"/>
              </w:rPr>
              <w:t>项目名称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3F2B9FC">
            <w:pPr>
              <w:snapToGrid w:val="0"/>
              <w:spacing w:line="240" w:lineRule="auto"/>
              <w:jc w:val="center"/>
              <w:rPr>
                <w:rFonts w:ascii="宋体" w:hAnsi="宋体"/>
                <w:color w:val="auto"/>
                <w:sz w:val="24"/>
                <w:highlight w:val="none"/>
              </w:rPr>
            </w:pPr>
            <w:r>
              <w:rPr>
                <w:rFonts w:hint="eastAsia" w:ascii="宋体" w:hAnsi="宋体"/>
                <w:color w:val="auto"/>
                <w:sz w:val="24"/>
                <w:highlight w:val="none"/>
              </w:rPr>
              <w:t>合同</w:t>
            </w:r>
          </w:p>
          <w:p w14:paraId="2E6060D1">
            <w:pPr>
              <w:snapToGrid w:val="0"/>
              <w:spacing w:line="240" w:lineRule="auto"/>
              <w:jc w:val="center"/>
              <w:rPr>
                <w:rFonts w:ascii="宋体" w:hAnsi="宋体"/>
                <w:color w:val="auto"/>
                <w:sz w:val="24"/>
                <w:highlight w:val="none"/>
              </w:rPr>
            </w:pPr>
            <w:r>
              <w:rPr>
                <w:rFonts w:hint="eastAsia" w:ascii="宋体" w:hAnsi="宋体"/>
                <w:color w:val="auto"/>
                <w:sz w:val="24"/>
                <w:highlight w:val="none"/>
              </w:rPr>
              <w:t>金额</w:t>
            </w:r>
          </w:p>
          <w:p w14:paraId="18D7BEAD">
            <w:pPr>
              <w:snapToGrid w:val="0"/>
              <w:spacing w:line="240" w:lineRule="auto"/>
              <w:jc w:val="center"/>
              <w:rPr>
                <w:rFonts w:ascii="宋体" w:hAnsi="宋体"/>
                <w:color w:val="auto"/>
                <w:sz w:val="24"/>
                <w:highlight w:val="none"/>
              </w:rPr>
            </w:pPr>
            <w:r>
              <w:rPr>
                <w:rFonts w:hint="eastAsia" w:ascii="宋体" w:hAnsi="宋体"/>
                <w:color w:val="auto"/>
                <w:sz w:val="24"/>
                <w:highlight w:val="none"/>
              </w:rPr>
              <w:t>（万元）</w:t>
            </w:r>
          </w:p>
        </w:tc>
        <w:tc>
          <w:tcPr>
            <w:tcW w:w="2826" w:type="dxa"/>
            <w:tcBorders>
              <w:top w:val="single" w:color="auto" w:sz="4" w:space="0"/>
              <w:left w:val="single" w:color="auto" w:sz="4" w:space="0"/>
              <w:bottom w:val="single" w:color="auto" w:sz="4" w:space="0"/>
              <w:right w:val="single" w:color="auto" w:sz="4" w:space="0"/>
            </w:tcBorders>
            <w:noWrap w:val="0"/>
            <w:vAlign w:val="center"/>
          </w:tcPr>
          <w:p w14:paraId="0791C522">
            <w:pPr>
              <w:snapToGrid w:val="0"/>
              <w:spacing w:line="240" w:lineRule="auto"/>
              <w:jc w:val="center"/>
              <w:rPr>
                <w:rFonts w:ascii="宋体" w:hAnsi="宋体"/>
                <w:color w:val="auto"/>
                <w:sz w:val="24"/>
                <w:highlight w:val="none"/>
              </w:rPr>
            </w:pPr>
            <w:r>
              <w:rPr>
                <w:rFonts w:hint="eastAsia" w:ascii="宋体" w:hAnsi="宋体"/>
                <w:color w:val="auto"/>
                <w:sz w:val="24"/>
                <w:highlight w:val="none"/>
              </w:rPr>
              <w:t>附件在响应文件中页码</w:t>
            </w:r>
          </w:p>
          <w:p w14:paraId="0BF131F5">
            <w:pPr>
              <w:snapToGrid w:val="0"/>
              <w:spacing w:line="240" w:lineRule="auto"/>
              <w:jc w:val="center"/>
              <w:rPr>
                <w:rFonts w:ascii="宋体" w:hAnsi="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592B389">
            <w:pPr>
              <w:snapToGrid w:val="0"/>
              <w:spacing w:line="240" w:lineRule="auto"/>
              <w:jc w:val="center"/>
              <w:rPr>
                <w:rFonts w:ascii="宋体" w:hAnsi="宋体"/>
                <w:color w:val="auto"/>
                <w:sz w:val="24"/>
                <w:highlight w:val="none"/>
              </w:rPr>
            </w:pPr>
            <w:r>
              <w:rPr>
                <w:rFonts w:hint="eastAsia" w:ascii="宋体" w:hAnsi="宋体"/>
                <w:color w:val="auto"/>
                <w:sz w:val="24"/>
                <w:highlight w:val="none"/>
              </w:rPr>
              <w:t>采购人联系人及联系电话</w:t>
            </w:r>
          </w:p>
        </w:tc>
      </w:tr>
      <w:tr w14:paraId="076654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384" w:type="dxa"/>
            <w:tcBorders>
              <w:top w:val="single" w:color="auto" w:sz="4" w:space="0"/>
              <w:left w:val="single" w:color="auto" w:sz="4" w:space="0"/>
              <w:bottom w:val="single" w:color="auto" w:sz="4" w:space="0"/>
              <w:right w:val="single" w:color="auto" w:sz="4" w:space="0"/>
            </w:tcBorders>
            <w:noWrap w:val="0"/>
            <w:vAlign w:val="top"/>
          </w:tcPr>
          <w:p w14:paraId="4B230711">
            <w:pPr>
              <w:snapToGrid w:val="0"/>
              <w:spacing w:line="240" w:lineRule="exact"/>
              <w:jc w:val="left"/>
              <w:rPr>
                <w:rFonts w:ascii="宋体" w:hAnsi="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333D2088">
            <w:pPr>
              <w:snapToGrid w:val="0"/>
              <w:spacing w:line="240" w:lineRule="exact"/>
              <w:jc w:val="left"/>
              <w:rPr>
                <w:rFonts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AD34B49">
            <w:pPr>
              <w:snapToGrid w:val="0"/>
              <w:spacing w:line="240" w:lineRule="exact"/>
              <w:jc w:val="left"/>
              <w:rPr>
                <w:rFonts w:ascii="宋体" w:hAnsi="宋体"/>
                <w:color w:val="auto"/>
                <w:sz w:val="24"/>
                <w:highlight w:val="none"/>
              </w:rPr>
            </w:pPr>
          </w:p>
        </w:tc>
        <w:tc>
          <w:tcPr>
            <w:tcW w:w="2826" w:type="dxa"/>
            <w:tcBorders>
              <w:top w:val="single" w:color="auto" w:sz="4" w:space="0"/>
              <w:left w:val="single" w:color="auto" w:sz="4" w:space="0"/>
              <w:bottom w:val="single" w:color="auto" w:sz="4" w:space="0"/>
              <w:right w:val="single" w:color="auto" w:sz="4" w:space="0"/>
            </w:tcBorders>
            <w:noWrap w:val="0"/>
            <w:vAlign w:val="top"/>
          </w:tcPr>
          <w:p w14:paraId="7F1DE926">
            <w:pPr>
              <w:snapToGrid w:val="0"/>
              <w:spacing w:line="240" w:lineRule="exact"/>
              <w:jc w:val="left"/>
              <w:rPr>
                <w:rFonts w:ascii="宋体" w:hAnsi="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516670DD">
            <w:pPr>
              <w:snapToGrid w:val="0"/>
              <w:spacing w:line="240" w:lineRule="exact"/>
              <w:jc w:val="left"/>
              <w:rPr>
                <w:rFonts w:ascii="宋体" w:hAnsi="宋体"/>
                <w:color w:val="auto"/>
                <w:sz w:val="24"/>
                <w:highlight w:val="none"/>
              </w:rPr>
            </w:pPr>
          </w:p>
        </w:tc>
      </w:tr>
      <w:tr w14:paraId="0513C5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4" w:type="dxa"/>
            <w:tcBorders>
              <w:top w:val="single" w:color="auto" w:sz="4" w:space="0"/>
              <w:left w:val="single" w:color="auto" w:sz="4" w:space="0"/>
              <w:bottom w:val="single" w:color="auto" w:sz="4" w:space="0"/>
              <w:right w:val="single" w:color="auto" w:sz="4" w:space="0"/>
            </w:tcBorders>
            <w:noWrap w:val="0"/>
            <w:vAlign w:val="top"/>
          </w:tcPr>
          <w:p w14:paraId="5F411F59">
            <w:pPr>
              <w:snapToGrid w:val="0"/>
              <w:spacing w:before="50" w:after="120" w:afterLines="50" w:line="400" w:lineRule="exact"/>
              <w:jc w:val="left"/>
              <w:rPr>
                <w:rFonts w:ascii="宋体" w:hAnsi="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652789BB">
            <w:pPr>
              <w:snapToGrid w:val="0"/>
              <w:spacing w:before="50" w:after="120" w:afterLines="50" w:line="400" w:lineRule="exact"/>
              <w:jc w:val="left"/>
              <w:rPr>
                <w:rFonts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9B2DE05">
            <w:pPr>
              <w:snapToGrid w:val="0"/>
              <w:spacing w:before="50" w:after="120" w:afterLines="50" w:line="400" w:lineRule="exact"/>
              <w:jc w:val="left"/>
              <w:rPr>
                <w:rFonts w:ascii="宋体" w:hAnsi="宋体"/>
                <w:color w:val="auto"/>
                <w:sz w:val="24"/>
                <w:highlight w:val="none"/>
              </w:rPr>
            </w:pPr>
          </w:p>
        </w:tc>
        <w:tc>
          <w:tcPr>
            <w:tcW w:w="2826" w:type="dxa"/>
            <w:tcBorders>
              <w:top w:val="single" w:color="auto" w:sz="4" w:space="0"/>
              <w:left w:val="single" w:color="auto" w:sz="4" w:space="0"/>
              <w:bottom w:val="single" w:color="auto" w:sz="4" w:space="0"/>
              <w:right w:val="single" w:color="auto" w:sz="4" w:space="0"/>
            </w:tcBorders>
            <w:noWrap w:val="0"/>
            <w:vAlign w:val="top"/>
          </w:tcPr>
          <w:p w14:paraId="77DCFFF0">
            <w:pPr>
              <w:snapToGrid w:val="0"/>
              <w:spacing w:before="50" w:after="120" w:afterLines="50" w:line="400" w:lineRule="exact"/>
              <w:jc w:val="left"/>
              <w:rPr>
                <w:rFonts w:ascii="宋体" w:hAnsi="宋体"/>
                <w:b/>
                <w:bCs/>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42F1E56A">
            <w:pPr>
              <w:snapToGrid w:val="0"/>
              <w:spacing w:before="50" w:after="120" w:afterLines="50" w:line="400" w:lineRule="exact"/>
              <w:jc w:val="left"/>
              <w:rPr>
                <w:rFonts w:ascii="宋体" w:hAnsi="宋体"/>
                <w:b/>
                <w:bCs/>
                <w:color w:val="auto"/>
                <w:sz w:val="24"/>
                <w:highlight w:val="none"/>
              </w:rPr>
            </w:pPr>
          </w:p>
        </w:tc>
      </w:tr>
      <w:tr w14:paraId="3C6E18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384" w:type="dxa"/>
            <w:tcBorders>
              <w:top w:val="single" w:color="auto" w:sz="4" w:space="0"/>
              <w:left w:val="single" w:color="auto" w:sz="4" w:space="0"/>
              <w:bottom w:val="single" w:color="auto" w:sz="4" w:space="0"/>
              <w:right w:val="single" w:color="auto" w:sz="4" w:space="0"/>
            </w:tcBorders>
            <w:noWrap w:val="0"/>
            <w:vAlign w:val="top"/>
          </w:tcPr>
          <w:p w14:paraId="52FCA7BF">
            <w:pPr>
              <w:snapToGrid w:val="0"/>
              <w:spacing w:before="50" w:after="120" w:afterLines="50" w:line="400" w:lineRule="exact"/>
              <w:jc w:val="left"/>
              <w:rPr>
                <w:rFonts w:ascii="宋体" w:hAnsi="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0796D8F2">
            <w:pPr>
              <w:snapToGrid w:val="0"/>
              <w:spacing w:before="50" w:after="120" w:afterLines="50" w:line="400" w:lineRule="exact"/>
              <w:jc w:val="left"/>
              <w:rPr>
                <w:rFonts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FBCA4E3">
            <w:pPr>
              <w:snapToGrid w:val="0"/>
              <w:spacing w:before="50" w:after="120" w:afterLines="50" w:line="400" w:lineRule="exact"/>
              <w:jc w:val="left"/>
              <w:rPr>
                <w:rFonts w:ascii="宋体" w:hAnsi="宋体"/>
                <w:color w:val="auto"/>
                <w:sz w:val="24"/>
                <w:highlight w:val="none"/>
              </w:rPr>
            </w:pPr>
          </w:p>
        </w:tc>
        <w:tc>
          <w:tcPr>
            <w:tcW w:w="2826" w:type="dxa"/>
            <w:tcBorders>
              <w:top w:val="single" w:color="auto" w:sz="4" w:space="0"/>
              <w:left w:val="single" w:color="auto" w:sz="4" w:space="0"/>
              <w:bottom w:val="single" w:color="auto" w:sz="4" w:space="0"/>
              <w:right w:val="single" w:color="auto" w:sz="4" w:space="0"/>
            </w:tcBorders>
            <w:noWrap w:val="0"/>
            <w:vAlign w:val="top"/>
          </w:tcPr>
          <w:p w14:paraId="44C00C58">
            <w:pPr>
              <w:snapToGrid w:val="0"/>
              <w:spacing w:before="50" w:after="120" w:afterLines="50" w:line="400" w:lineRule="exact"/>
              <w:jc w:val="left"/>
              <w:rPr>
                <w:rFonts w:ascii="宋体" w:hAnsi="宋体"/>
                <w:b/>
                <w:bCs/>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6C9E141D">
            <w:pPr>
              <w:snapToGrid w:val="0"/>
              <w:spacing w:before="50" w:after="120" w:afterLines="50" w:line="400" w:lineRule="exact"/>
              <w:jc w:val="left"/>
              <w:rPr>
                <w:rFonts w:ascii="宋体" w:hAnsi="宋体"/>
                <w:b/>
                <w:bCs/>
                <w:color w:val="auto"/>
                <w:sz w:val="24"/>
                <w:highlight w:val="none"/>
              </w:rPr>
            </w:pPr>
          </w:p>
        </w:tc>
      </w:tr>
      <w:tr w14:paraId="137462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4" w:type="dxa"/>
            <w:tcBorders>
              <w:top w:val="single" w:color="auto" w:sz="4" w:space="0"/>
              <w:left w:val="single" w:color="auto" w:sz="4" w:space="0"/>
              <w:bottom w:val="single" w:color="auto" w:sz="4" w:space="0"/>
              <w:right w:val="single" w:color="auto" w:sz="4" w:space="0"/>
            </w:tcBorders>
            <w:noWrap w:val="0"/>
            <w:vAlign w:val="top"/>
          </w:tcPr>
          <w:p w14:paraId="285B78CF">
            <w:pPr>
              <w:snapToGrid w:val="0"/>
              <w:spacing w:before="50" w:after="120" w:afterLines="50" w:line="400" w:lineRule="exact"/>
              <w:jc w:val="left"/>
              <w:rPr>
                <w:rFonts w:ascii="宋体" w:hAnsi="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5157EA13">
            <w:pPr>
              <w:snapToGrid w:val="0"/>
              <w:spacing w:before="50" w:after="120" w:afterLines="50" w:line="400" w:lineRule="exact"/>
              <w:jc w:val="left"/>
              <w:rPr>
                <w:rFonts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34E67D5">
            <w:pPr>
              <w:snapToGrid w:val="0"/>
              <w:spacing w:before="50" w:after="120" w:afterLines="50" w:line="400" w:lineRule="exact"/>
              <w:jc w:val="left"/>
              <w:rPr>
                <w:rFonts w:ascii="宋体" w:hAnsi="宋体"/>
                <w:color w:val="auto"/>
                <w:sz w:val="24"/>
                <w:highlight w:val="none"/>
              </w:rPr>
            </w:pPr>
          </w:p>
        </w:tc>
        <w:tc>
          <w:tcPr>
            <w:tcW w:w="2826" w:type="dxa"/>
            <w:tcBorders>
              <w:top w:val="single" w:color="auto" w:sz="4" w:space="0"/>
              <w:left w:val="single" w:color="auto" w:sz="4" w:space="0"/>
              <w:bottom w:val="single" w:color="auto" w:sz="4" w:space="0"/>
              <w:right w:val="single" w:color="auto" w:sz="4" w:space="0"/>
            </w:tcBorders>
            <w:noWrap w:val="0"/>
            <w:vAlign w:val="top"/>
          </w:tcPr>
          <w:p w14:paraId="07BC4D37">
            <w:pPr>
              <w:snapToGrid w:val="0"/>
              <w:spacing w:before="50" w:after="120" w:afterLines="50" w:line="400" w:lineRule="exact"/>
              <w:jc w:val="left"/>
              <w:rPr>
                <w:rFonts w:ascii="宋体" w:hAnsi="宋体"/>
                <w:b/>
                <w:bCs/>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55057222">
            <w:pPr>
              <w:snapToGrid w:val="0"/>
              <w:spacing w:before="50" w:after="120" w:afterLines="50" w:line="400" w:lineRule="exact"/>
              <w:jc w:val="left"/>
              <w:rPr>
                <w:rFonts w:ascii="宋体" w:hAnsi="宋体"/>
                <w:b/>
                <w:bCs/>
                <w:color w:val="auto"/>
                <w:sz w:val="24"/>
                <w:highlight w:val="none"/>
              </w:rPr>
            </w:pPr>
          </w:p>
        </w:tc>
      </w:tr>
      <w:tr w14:paraId="441C92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4" w:type="dxa"/>
            <w:tcBorders>
              <w:top w:val="single" w:color="auto" w:sz="4" w:space="0"/>
              <w:left w:val="single" w:color="auto" w:sz="4" w:space="0"/>
              <w:bottom w:val="single" w:color="auto" w:sz="4" w:space="0"/>
              <w:right w:val="single" w:color="auto" w:sz="4" w:space="0"/>
            </w:tcBorders>
            <w:noWrap w:val="0"/>
            <w:vAlign w:val="top"/>
          </w:tcPr>
          <w:p w14:paraId="16A0BA25">
            <w:pPr>
              <w:snapToGrid w:val="0"/>
              <w:spacing w:before="50" w:after="120" w:afterLines="50" w:line="400" w:lineRule="exact"/>
              <w:jc w:val="left"/>
              <w:rPr>
                <w:rFonts w:ascii="宋体" w:hAnsi="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4692E501">
            <w:pPr>
              <w:snapToGrid w:val="0"/>
              <w:spacing w:before="50" w:after="120" w:afterLines="50" w:line="400" w:lineRule="exact"/>
              <w:jc w:val="left"/>
              <w:rPr>
                <w:rFonts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75F6B5F">
            <w:pPr>
              <w:snapToGrid w:val="0"/>
              <w:spacing w:before="50" w:after="120" w:afterLines="50" w:line="400" w:lineRule="exact"/>
              <w:jc w:val="left"/>
              <w:rPr>
                <w:rFonts w:ascii="宋体" w:hAnsi="宋体"/>
                <w:color w:val="auto"/>
                <w:sz w:val="24"/>
                <w:highlight w:val="none"/>
              </w:rPr>
            </w:pPr>
          </w:p>
        </w:tc>
        <w:tc>
          <w:tcPr>
            <w:tcW w:w="2826" w:type="dxa"/>
            <w:tcBorders>
              <w:top w:val="single" w:color="auto" w:sz="4" w:space="0"/>
              <w:left w:val="single" w:color="auto" w:sz="4" w:space="0"/>
              <w:bottom w:val="single" w:color="auto" w:sz="4" w:space="0"/>
              <w:right w:val="single" w:color="auto" w:sz="4" w:space="0"/>
            </w:tcBorders>
            <w:noWrap w:val="0"/>
            <w:vAlign w:val="top"/>
          </w:tcPr>
          <w:p w14:paraId="3872CBC8">
            <w:pPr>
              <w:snapToGrid w:val="0"/>
              <w:spacing w:before="50" w:after="120" w:afterLines="50" w:line="400" w:lineRule="exact"/>
              <w:jc w:val="left"/>
              <w:rPr>
                <w:rFonts w:ascii="宋体" w:hAnsi="宋体"/>
                <w:b/>
                <w:bCs/>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09C1F1EB">
            <w:pPr>
              <w:snapToGrid w:val="0"/>
              <w:spacing w:before="50" w:after="120" w:afterLines="50" w:line="400" w:lineRule="exact"/>
              <w:jc w:val="left"/>
              <w:rPr>
                <w:rFonts w:ascii="宋体" w:hAnsi="宋体"/>
                <w:b/>
                <w:bCs/>
                <w:color w:val="auto"/>
                <w:sz w:val="24"/>
                <w:highlight w:val="none"/>
              </w:rPr>
            </w:pPr>
          </w:p>
        </w:tc>
      </w:tr>
    </w:tbl>
    <w:p w14:paraId="03D772C3">
      <w:pPr>
        <w:snapToGrid w:val="0"/>
        <w:ind w:left="480" w:hanging="480" w:hangingChars="200"/>
        <w:contextualSpacing/>
        <w:rPr>
          <w:rFonts w:ascii="宋体" w:hAnsi="宋体"/>
          <w:color w:val="auto"/>
          <w:sz w:val="24"/>
          <w:highlight w:val="none"/>
        </w:rPr>
      </w:pPr>
    </w:p>
    <w:p w14:paraId="3226E0C7">
      <w:pPr>
        <w:snapToGrid w:val="0"/>
        <w:ind w:left="480" w:hanging="480" w:hangingChars="200"/>
        <w:contextualSpacing/>
        <w:rPr>
          <w:rFonts w:ascii="宋体" w:hAnsi="宋体"/>
          <w:color w:val="auto"/>
          <w:sz w:val="24"/>
          <w:highlight w:val="none"/>
        </w:rPr>
      </w:pPr>
    </w:p>
    <w:p w14:paraId="5B336875">
      <w:pPr>
        <w:autoSpaceDE w:val="0"/>
        <w:autoSpaceDN w:val="0"/>
        <w:spacing w:line="360" w:lineRule="auto"/>
        <w:ind w:firstLine="120"/>
        <w:rPr>
          <w:rFonts w:ascii="宋体" w:hAnsi="宋体"/>
          <w:color w:val="auto"/>
          <w:sz w:val="24"/>
          <w:highlight w:val="none"/>
        </w:rPr>
      </w:pPr>
      <w:r>
        <w:rPr>
          <w:rFonts w:hint="eastAsia" w:ascii="仿宋_GB2312" w:hAnsi="仿宋" w:eastAsia="仿宋_GB2312" w:cs="仿宋_GB2312"/>
          <w:b/>
          <w:color w:val="auto"/>
          <w:sz w:val="24"/>
          <w:highlight w:val="none"/>
        </w:rPr>
        <w:t>附表 ：相关项目业绩一览表（根据评分办法提供项目合同复印件或中标通知书等相关材料扫描件，格式自拟）</w:t>
      </w:r>
    </w:p>
    <w:p w14:paraId="0530696D">
      <w:pPr>
        <w:spacing w:line="360" w:lineRule="auto"/>
        <w:ind w:left="72"/>
        <w:rPr>
          <w:color w:val="auto"/>
          <w:kern w:val="0"/>
          <w:sz w:val="20"/>
          <w:szCs w:val="21"/>
          <w:highlight w:val="none"/>
        </w:rPr>
      </w:pPr>
      <w:r>
        <w:rPr>
          <w:rFonts w:hint="eastAsia"/>
          <w:color w:val="auto"/>
          <w:kern w:val="0"/>
          <w:sz w:val="20"/>
          <w:szCs w:val="21"/>
          <w:highlight w:val="none"/>
        </w:rPr>
        <w:t>注：供应商可按上述的格式自行编制，并注明所在供应商商务技术文件页码。</w:t>
      </w:r>
    </w:p>
    <w:p w14:paraId="09669EA0">
      <w:pPr>
        <w:spacing w:line="360" w:lineRule="auto"/>
        <w:ind w:left="72"/>
        <w:rPr>
          <w:color w:val="auto"/>
          <w:kern w:val="0"/>
          <w:sz w:val="20"/>
          <w:szCs w:val="21"/>
          <w:highlight w:val="none"/>
        </w:rPr>
      </w:pPr>
    </w:p>
    <w:p w14:paraId="5599DBFD">
      <w:pPr>
        <w:spacing w:line="360" w:lineRule="auto"/>
        <w:ind w:left="72"/>
        <w:rPr>
          <w:color w:val="auto"/>
          <w:kern w:val="0"/>
          <w:sz w:val="20"/>
          <w:szCs w:val="21"/>
          <w:highlight w:val="none"/>
        </w:rPr>
      </w:pPr>
    </w:p>
    <w:p w14:paraId="3AFB712A">
      <w:pPr>
        <w:snapToGrid w:val="0"/>
        <w:spacing w:line="360" w:lineRule="auto"/>
        <w:ind w:firstLine="4935" w:firstLineChars="2350"/>
        <w:rPr>
          <w:rFonts w:hAnsi="宋体"/>
          <w:color w:val="auto"/>
          <w:szCs w:val="21"/>
          <w:highlight w:val="none"/>
        </w:rPr>
      </w:pPr>
    </w:p>
    <w:p w14:paraId="6297ECAD">
      <w:pPr>
        <w:snapToGrid w:val="0"/>
        <w:spacing w:line="360" w:lineRule="auto"/>
        <w:ind w:firstLine="4935" w:firstLineChars="2350"/>
        <w:rPr>
          <w:rFonts w:hAnsi="宋体"/>
          <w:color w:val="auto"/>
          <w:szCs w:val="21"/>
          <w:highlight w:val="none"/>
        </w:rPr>
      </w:pPr>
    </w:p>
    <w:p w14:paraId="74D56DF8">
      <w:pPr>
        <w:snapToGrid w:val="0"/>
        <w:spacing w:line="360" w:lineRule="auto"/>
        <w:ind w:left="4410" w:leftChars="2100" w:firstLine="6480" w:firstLineChars="27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供应商名称（电子签章）：</w:t>
      </w:r>
    </w:p>
    <w:p w14:paraId="0763AA87">
      <w:pPr>
        <w:spacing w:line="500" w:lineRule="exact"/>
        <w:jc w:val="center"/>
        <w:rPr>
          <w:rFonts w:ascii="仿宋_GB2312" w:hAnsi="仿宋_GB2312" w:eastAsia="仿宋_GB2312" w:cs="仿宋_GB2312"/>
          <w:color w:val="auto"/>
          <w:sz w:val="32"/>
          <w:szCs w:val="32"/>
          <w:highlight w:val="none"/>
        </w:rPr>
        <w:sectPr>
          <w:pgSz w:w="11910" w:h="16840"/>
          <w:pgMar w:top="1340" w:right="1500" w:bottom="280" w:left="1680" w:header="720" w:footer="720" w:gutter="0"/>
          <w:cols w:space="720" w:num="1"/>
          <w:docGrid w:linePitch="285" w:charSpace="0"/>
        </w:sectPr>
      </w:pPr>
      <w:r>
        <w:rPr>
          <w:rFonts w:hint="eastAsia" w:ascii="仿宋_GB2312" w:hAnsi="仿宋" w:eastAsia="仿宋_GB2312" w:cs="仿宋_GB2312"/>
          <w:color w:val="auto"/>
          <w:kern w:val="0"/>
          <w:sz w:val="24"/>
          <w:highlight w:val="none"/>
          <w:lang w:val="zh-CN"/>
        </w:rPr>
        <w:t xml:space="preserve">                                                     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月日</w:t>
      </w:r>
    </w:p>
    <w:p w14:paraId="1598DC1C">
      <w:pPr>
        <w:snapToGrid w:val="0"/>
        <w:spacing w:line="360" w:lineRule="auto"/>
        <w:ind w:firstLine="602" w:firstLineChars="200"/>
        <w:rPr>
          <w:rFonts w:ascii="仿宋_GB2312" w:hAnsi="仿宋_GB2312" w:eastAsia="仿宋_GB2312" w:cs="仿宋_GB2312"/>
          <w:color w:val="auto"/>
          <w:sz w:val="32"/>
          <w:szCs w:val="32"/>
          <w:highlight w:val="none"/>
        </w:rPr>
      </w:pPr>
      <w:r>
        <w:rPr>
          <w:rFonts w:hint="eastAsia" w:ascii="仿宋" w:hAnsi="仿宋" w:eastAsia="仿宋" w:cs="仿宋_GB2312"/>
          <w:b/>
          <w:color w:val="auto"/>
          <w:sz w:val="30"/>
          <w:szCs w:val="30"/>
          <w:highlight w:val="none"/>
        </w:rPr>
        <w:t>七、服务需求偏离表</w:t>
      </w:r>
    </w:p>
    <w:p w14:paraId="0F902614">
      <w:pPr>
        <w:spacing w:line="50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服务需求偏离表</w:t>
      </w:r>
    </w:p>
    <w:p w14:paraId="67A2482D">
      <w:pPr>
        <w:spacing w:line="360" w:lineRule="auto"/>
        <w:contextualSpacing/>
        <w:jc w:val="left"/>
        <w:rPr>
          <w:rFonts w:ascii="宋体" w:hAnsi="宋体"/>
          <w:color w:val="auto"/>
          <w:sz w:val="24"/>
          <w:highlight w:val="none"/>
        </w:rPr>
      </w:pPr>
    </w:p>
    <w:p w14:paraId="373895CE">
      <w:pPr>
        <w:spacing w:line="360" w:lineRule="auto"/>
        <w:contextualSpacing/>
        <w:rPr>
          <w:rFonts w:ascii="宋体" w:hAnsi="宋体" w:cs="仿宋_GB2312"/>
          <w:color w:val="auto"/>
          <w:kern w:val="0"/>
          <w:sz w:val="24"/>
          <w:highlight w:val="none"/>
        </w:rPr>
      </w:pPr>
      <w:r>
        <w:rPr>
          <w:rFonts w:hint="eastAsia" w:ascii="宋体" w:hAnsi="宋体" w:cs="仿宋_GB2312"/>
          <w:color w:val="auto"/>
          <w:kern w:val="0"/>
          <w:sz w:val="24"/>
          <w:highlight w:val="none"/>
        </w:rPr>
        <w:t xml:space="preserve">所竞分标：              </w:t>
      </w:r>
    </w:p>
    <w:tbl>
      <w:tblPr>
        <w:tblStyle w:val="10"/>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293"/>
        <w:gridCol w:w="834"/>
        <w:gridCol w:w="1787"/>
        <w:gridCol w:w="1291"/>
        <w:gridCol w:w="745"/>
        <w:gridCol w:w="1300"/>
        <w:gridCol w:w="1241"/>
      </w:tblGrid>
      <w:tr w14:paraId="6939F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671" w:type="dxa"/>
            <w:vMerge w:val="restart"/>
            <w:tcBorders>
              <w:top w:val="single" w:color="auto" w:sz="4" w:space="0"/>
              <w:left w:val="single" w:color="auto" w:sz="4" w:space="0"/>
              <w:bottom w:val="single" w:color="auto" w:sz="4" w:space="0"/>
              <w:right w:val="single" w:color="auto" w:sz="4" w:space="0"/>
            </w:tcBorders>
            <w:noWrap w:val="0"/>
            <w:vAlign w:val="center"/>
          </w:tcPr>
          <w:p w14:paraId="17F56456">
            <w:pPr>
              <w:rPr>
                <w:rFonts w:ascii="宋体" w:hAnsi="宋体"/>
                <w:color w:val="auto"/>
                <w:szCs w:val="21"/>
                <w:highlight w:val="none"/>
              </w:rPr>
            </w:pPr>
            <w:r>
              <w:rPr>
                <w:rFonts w:hint="eastAsia" w:ascii="宋体" w:hAnsi="宋体"/>
                <w:color w:val="auto"/>
                <w:szCs w:val="21"/>
                <w:highlight w:val="none"/>
              </w:rPr>
              <w:t>项号</w:t>
            </w:r>
          </w:p>
        </w:tc>
        <w:tc>
          <w:tcPr>
            <w:tcW w:w="3914" w:type="dxa"/>
            <w:gridSpan w:val="3"/>
            <w:tcBorders>
              <w:top w:val="single" w:color="auto" w:sz="4" w:space="0"/>
              <w:left w:val="single" w:color="auto" w:sz="4" w:space="0"/>
              <w:bottom w:val="single" w:color="auto" w:sz="4" w:space="0"/>
              <w:right w:val="single" w:color="auto" w:sz="4" w:space="0"/>
            </w:tcBorders>
            <w:noWrap w:val="0"/>
            <w:vAlign w:val="center"/>
          </w:tcPr>
          <w:p w14:paraId="0983D10B">
            <w:pPr>
              <w:jc w:val="center"/>
              <w:rPr>
                <w:rFonts w:ascii="宋体" w:hAnsi="宋体"/>
                <w:color w:val="auto"/>
                <w:szCs w:val="21"/>
                <w:highlight w:val="none"/>
              </w:rPr>
            </w:pPr>
            <w:r>
              <w:rPr>
                <w:rFonts w:hint="eastAsia" w:ascii="宋体" w:hAnsi="宋体"/>
                <w:color w:val="auto"/>
                <w:szCs w:val="21"/>
                <w:highlight w:val="none"/>
              </w:rPr>
              <w:t>竞争性磋商采购文件需求</w:t>
            </w:r>
          </w:p>
        </w:tc>
        <w:tc>
          <w:tcPr>
            <w:tcW w:w="3336" w:type="dxa"/>
            <w:gridSpan w:val="3"/>
            <w:tcBorders>
              <w:top w:val="single" w:color="auto" w:sz="4" w:space="0"/>
              <w:left w:val="single" w:color="auto" w:sz="4" w:space="0"/>
              <w:bottom w:val="single" w:color="auto" w:sz="4" w:space="0"/>
              <w:right w:val="single" w:color="auto" w:sz="4" w:space="0"/>
            </w:tcBorders>
            <w:noWrap w:val="0"/>
            <w:vAlign w:val="center"/>
          </w:tcPr>
          <w:p w14:paraId="2500862F">
            <w:pPr>
              <w:jc w:val="center"/>
              <w:rPr>
                <w:rFonts w:ascii="宋体" w:hAnsi="宋体"/>
                <w:color w:val="auto"/>
                <w:szCs w:val="21"/>
                <w:highlight w:val="none"/>
              </w:rPr>
            </w:pPr>
            <w:r>
              <w:rPr>
                <w:rFonts w:hint="eastAsia" w:ascii="宋体" w:hAnsi="宋体"/>
                <w:color w:val="auto"/>
                <w:szCs w:val="21"/>
                <w:highlight w:val="none"/>
              </w:rPr>
              <w:t>响应文件承诺</w:t>
            </w:r>
          </w:p>
        </w:tc>
        <w:tc>
          <w:tcPr>
            <w:tcW w:w="1241" w:type="dxa"/>
            <w:vMerge w:val="restart"/>
            <w:tcBorders>
              <w:top w:val="single" w:color="auto" w:sz="4" w:space="0"/>
              <w:left w:val="single" w:color="auto" w:sz="4" w:space="0"/>
              <w:bottom w:val="single" w:color="auto" w:sz="4" w:space="0"/>
              <w:right w:val="single" w:color="auto" w:sz="4" w:space="0"/>
            </w:tcBorders>
            <w:noWrap w:val="0"/>
            <w:vAlign w:val="center"/>
          </w:tcPr>
          <w:p w14:paraId="10943325">
            <w:pPr>
              <w:rPr>
                <w:rFonts w:ascii="宋体" w:hAnsi="宋体"/>
                <w:color w:val="auto"/>
                <w:szCs w:val="21"/>
                <w:highlight w:val="none"/>
              </w:rPr>
            </w:pPr>
            <w:r>
              <w:rPr>
                <w:rFonts w:hint="eastAsia" w:ascii="宋体" w:hAnsi="宋体"/>
                <w:color w:val="auto"/>
                <w:szCs w:val="21"/>
                <w:highlight w:val="none"/>
              </w:rPr>
              <w:t>偏离说明</w:t>
            </w:r>
          </w:p>
        </w:tc>
      </w:tr>
      <w:tr w14:paraId="4A1A8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671" w:type="dxa"/>
            <w:vMerge w:val="continue"/>
            <w:tcBorders>
              <w:top w:val="single" w:color="auto" w:sz="4" w:space="0"/>
              <w:left w:val="single" w:color="auto" w:sz="4" w:space="0"/>
              <w:bottom w:val="single" w:color="auto" w:sz="4" w:space="0"/>
              <w:right w:val="single" w:color="auto" w:sz="4" w:space="0"/>
            </w:tcBorders>
            <w:noWrap w:val="0"/>
            <w:vAlign w:val="center"/>
          </w:tcPr>
          <w:p w14:paraId="2D95C318">
            <w:pPr>
              <w:rPr>
                <w:color w:val="auto"/>
                <w:highlight w:val="none"/>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14:paraId="3F8BCFCE">
            <w:pPr>
              <w:rPr>
                <w:rFonts w:ascii="宋体" w:hAnsi="宋体"/>
                <w:color w:val="auto"/>
                <w:szCs w:val="21"/>
                <w:highlight w:val="none"/>
              </w:rPr>
            </w:pPr>
            <w:r>
              <w:rPr>
                <w:rFonts w:hint="eastAsia" w:ascii="宋体" w:hAnsi="宋体"/>
                <w:color w:val="auto"/>
                <w:szCs w:val="21"/>
                <w:highlight w:val="none"/>
              </w:rPr>
              <w:t>服务名称</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61F1CA42">
            <w:pPr>
              <w:rPr>
                <w:rFonts w:ascii="宋体" w:hAnsi="宋体"/>
                <w:color w:val="auto"/>
                <w:szCs w:val="21"/>
                <w:highlight w:val="none"/>
              </w:rPr>
            </w:pPr>
            <w:r>
              <w:rPr>
                <w:rFonts w:hint="eastAsia" w:ascii="宋体" w:hAnsi="宋体"/>
                <w:color w:val="auto"/>
                <w:szCs w:val="21"/>
                <w:highlight w:val="none"/>
              </w:rPr>
              <w:t>数量</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24010526">
            <w:pPr>
              <w:rPr>
                <w:rFonts w:ascii="宋体" w:hAnsi="宋体"/>
                <w:color w:val="auto"/>
                <w:szCs w:val="21"/>
                <w:highlight w:val="none"/>
              </w:rPr>
            </w:pPr>
            <w:r>
              <w:rPr>
                <w:rFonts w:hint="eastAsia" w:ascii="宋体" w:hAnsi="宋体"/>
                <w:color w:val="auto"/>
                <w:szCs w:val="21"/>
                <w:highlight w:val="none"/>
              </w:rPr>
              <w:t>服务参数要求</w:t>
            </w:r>
          </w:p>
        </w:tc>
        <w:tc>
          <w:tcPr>
            <w:tcW w:w="1291" w:type="dxa"/>
            <w:tcBorders>
              <w:top w:val="single" w:color="auto" w:sz="4" w:space="0"/>
              <w:left w:val="single" w:color="auto" w:sz="4" w:space="0"/>
              <w:bottom w:val="single" w:color="auto" w:sz="4" w:space="0"/>
              <w:right w:val="single" w:color="auto" w:sz="4" w:space="0"/>
            </w:tcBorders>
            <w:noWrap w:val="0"/>
            <w:vAlign w:val="center"/>
          </w:tcPr>
          <w:p w14:paraId="1D1BF8EB">
            <w:pPr>
              <w:rPr>
                <w:rFonts w:ascii="宋体" w:hAnsi="宋体"/>
                <w:color w:val="auto"/>
                <w:szCs w:val="21"/>
                <w:highlight w:val="none"/>
              </w:rPr>
            </w:pPr>
            <w:r>
              <w:rPr>
                <w:rFonts w:hint="eastAsia" w:ascii="宋体" w:hAnsi="宋体"/>
                <w:color w:val="auto"/>
                <w:szCs w:val="21"/>
                <w:highlight w:val="none"/>
              </w:rPr>
              <w:t>服务名称</w:t>
            </w:r>
          </w:p>
        </w:tc>
        <w:tc>
          <w:tcPr>
            <w:tcW w:w="745" w:type="dxa"/>
            <w:tcBorders>
              <w:top w:val="single" w:color="auto" w:sz="4" w:space="0"/>
              <w:left w:val="single" w:color="auto" w:sz="4" w:space="0"/>
              <w:bottom w:val="single" w:color="auto" w:sz="4" w:space="0"/>
              <w:right w:val="single" w:color="auto" w:sz="4" w:space="0"/>
            </w:tcBorders>
            <w:noWrap w:val="0"/>
            <w:vAlign w:val="center"/>
          </w:tcPr>
          <w:p w14:paraId="47955BF3">
            <w:pPr>
              <w:rPr>
                <w:rFonts w:ascii="宋体" w:hAnsi="宋体"/>
                <w:color w:val="auto"/>
                <w:szCs w:val="21"/>
                <w:highlight w:val="none"/>
              </w:rPr>
            </w:pPr>
            <w:r>
              <w:rPr>
                <w:rFonts w:hint="eastAsia" w:ascii="宋体" w:hAnsi="宋体"/>
                <w:color w:val="auto"/>
                <w:szCs w:val="21"/>
                <w:highlight w:val="none"/>
              </w:rPr>
              <w:t>数量</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71E874DA">
            <w:pPr>
              <w:rPr>
                <w:rFonts w:ascii="宋体" w:hAnsi="宋体"/>
                <w:color w:val="auto"/>
                <w:szCs w:val="21"/>
                <w:highlight w:val="none"/>
              </w:rPr>
            </w:pPr>
            <w:r>
              <w:rPr>
                <w:rFonts w:hint="eastAsia" w:ascii="宋体" w:hAnsi="宋体"/>
                <w:color w:val="auto"/>
                <w:szCs w:val="21"/>
                <w:highlight w:val="none"/>
              </w:rPr>
              <w:t>服务参数</w:t>
            </w:r>
          </w:p>
        </w:tc>
        <w:tc>
          <w:tcPr>
            <w:tcW w:w="1241" w:type="dxa"/>
            <w:vMerge w:val="continue"/>
            <w:tcBorders>
              <w:top w:val="single" w:color="auto" w:sz="4" w:space="0"/>
              <w:left w:val="single" w:color="auto" w:sz="4" w:space="0"/>
              <w:bottom w:val="single" w:color="auto" w:sz="4" w:space="0"/>
              <w:right w:val="single" w:color="auto" w:sz="4" w:space="0"/>
            </w:tcBorders>
            <w:noWrap w:val="0"/>
            <w:vAlign w:val="center"/>
          </w:tcPr>
          <w:p w14:paraId="1A719467">
            <w:pPr>
              <w:rPr>
                <w:color w:val="auto"/>
                <w:highlight w:val="none"/>
              </w:rPr>
            </w:pPr>
          </w:p>
        </w:tc>
      </w:tr>
      <w:tr w14:paraId="5262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2537E569">
            <w:pPr>
              <w:rPr>
                <w:rFonts w:ascii="宋体" w:hAnsi="宋体"/>
                <w:color w:val="auto"/>
                <w:szCs w:val="21"/>
                <w:highlight w:val="none"/>
              </w:rPr>
            </w:pPr>
            <w:r>
              <w:rPr>
                <w:rFonts w:hint="eastAsia" w:ascii="宋体" w:hAnsi="宋体"/>
                <w:color w:val="auto"/>
                <w:szCs w:val="21"/>
                <w:highlight w:val="none"/>
              </w:rPr>
              <w:t>1</w:t>
            </w:r>
          </w:p>
        </w:tc>
        <w:tc>
          <w:tcPr>
            <w:tcW w:w="1293" w:type="dxa"/>
            <w:tcBorders>
              <w:top w:val="single" w:color="auto" w:sz="4" w:space="0"/>
              <w:left w:val="single" w:color="auto" w:sz="4" w:space="0"/>
              <w:bottom w:val="single" w:color="auto" w:sz="4" w:space="0"/>
              <w:right w:val="single" w:color="auto" w:sz="4" w:space="0"/>
            </w:tcBorders>
            <w:noWrap w:val="0"/>
            <w:vAlign w:val="center"/>
          </w:tcPr>
          <w:p w14:paraId="0F97C8C3">
            <w:pPr>
              <w:rPr>
                <w:rFonts w:ascii="宋体" w:hAnsi="宋体"/>
                <w:color w:val="auto"/>
                <w:szCs w:val="21"/>
                <w:highlight w:val="none"/>
              </w:rPr>
            </w:pPr>
            <w:r>
              <w:rPr>
                <w:rFonts w:hint="eastAsia" w:ascii="宋体" w:hAnsi="宋体"/>
                <w:color w:val="auto"/>
                <w:szCs w:val="21"/>
                <w:highlight w:val="none"/>
              </w:rPr>
              <w:t>……</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4EE7C660">
            <w:pPr>
              <w:rPr>
                <w:rFonts w:ascii="宋体" w:hAnsi="宋体"/>
                <w:color w:val="auto"/>
                <w:szCs w:val="21"/>
                <w:highlight w:val="none"/>
              </w:rPr>
            </w:pPr>
            <w:r>
              <w:rPr>
                <w:rFonts w:hint="eastAsia" w:ascii="宋体" w:hAnsi="宋体"/>
                <w:color w:val="auto"/>
                <w:szCs w:val="21"/>
                <w:highlight w:val="none"/>
              </w:rPr>
              <w:t>…</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56F9D235">
            <w:pPr>
              <w:rPr>
                <w:rFonts w:ascii="宋体" w:hAnsi="宋体"/>
                <w:color w:val="auto"/>
                <w:szCs w:val="21"/>
                <w:highlight w:val="none"/>
              </w:rPr>
            </w:pPr>
            <w:r>
              <w:rPr>
                <w:rFonts w:hint="eastAsia" w:ascii="宋体" w:hAnsi="宋体"/>
                <w:color w:val="auto"/>
                <w:szCs w:val="21"/>
                <w:highlight w:val="none"/>
              </w:rPr>
              <w:t>1  ……</w:t>
            </w:r>
          </w:p>
          <w:p w14:paraId="42CA04DA">
            <w:pPr>
              <w:rPr>
                <w:rFonts w:ascii="宋体" w:hAnsi="宋体"/>
                <w:color w:val="auto"/>
                <w:szCs w:val="21"/>
                <w:highlight w:val="none"/>
              </w:rPr>
            </w:pPr>
            <w:r>
              <w:rPr>
                <w:rFonts w:hint="eastAsia" w:ascii="宋体" w:hAnsi="宋体"/>
                <w:color w:val="auto"/>
                <w:szCs w:val="21"/>
                <w:highlight w:val="none"/>
              </w:rPr>
              <w:t>2  ……</w:t>
            </w:r>
          </w:p>
          <w:p w14:paraId="7DF7DE1F">
            <w:pPr>
              <w:rPr>
                <w:rFonts w:ascii="宋体" w:hAnsi="宋体"/>
                <w:color w:val="auto"/>
                <w:szCs w:val="21"/>
                <w:highlight w:val="none"/>
              </w:rPr>
            </w:pPr>
            <w:r>
              <w:rPr>
                <w:rFonts w:hint="eastAsia" w:ascii="宋体" w:hAnsi="宋体"/>
                <w:color w:val="auto"/>
                <w:szCs w:val="21"/>
                <w:highlight w:val="none"/>
              </w:rPr>
              <w:t>3  ……</w:t>
            </w:r>
          </w:p>
          <w:p w14:paraId="464F59E5">
            <w:pPr>
              <w:rPr>
                <w:rFonts w:ascii="宋体" w:hAnsi="宋体"/>
                <w:color w:val="auto"/>
                <w:szCs w:val="21"/>
                <w:highlight w:val="none"/>
              </w:rPr>
            </w:pPr>
            <w:r>
              <w:rPr>
                <w:rFonts w:hint="eastAsia" w:ascii="宋体" w:hAnsi="宋体"/>
                <w:color w:val="auto"/>
                <w:szCs w:val="21"/>
                <w:highlight w:val="none"/>
              </w:rPr>
              <w:t>……</w:t>
            </w:r>
          </w:p>
        </w:tc>
        <w:tc>
          <w:tcPr>
            <w:tcW w:w="1291" w:type="dxa"/>
            <w:tcBorders>
              <w:top w:val="single" w:color="auto" w:sz="4" w:space="0"/>
              <w:left w:val="single" w:color="auto" w:sz="4" w:space="0"/>
              <w:bottom w:val="single" w:color="auto" w:sz="4" w:space="0"/>
              <w:right w:val="single" w:color="auto" w:sz="4" w:space="0"/>
            </w:tcBorders>
            <w:noWrap w:val="0"/>
            <w:vAlign w:val="center"/>
          </w:tcPr>
          <w:p w14:paraId="79972997">
            <w:pPr>
              <w:rPr>
                <w:rFonts w:ascii="宋体" w:hAnsi="宋体"/>
                <w:color w:val="auto"/>
                <w:szCs w:val="21"/>
                <w:highlight w:val="none"/>
              </w:rPr>
            </w:pPr>
            <w:r>
              <w:rPr>
                <w:rFonts w:hint="eastAsia" w:ascii="宋体" w:hAnsi="宋体"/>
                <w:color w:val="auto"/>
                <w:szCs w:val="21"/>
                <w:highlight w:val="none"/>
              </w:rPr>
              <w:t>……</w:t>
            </w:r>
          </w:p>
        </w:tc>
        <w:tc>
          <w:tcPr>
            <w:tcW w:w="745" w:type="dxa"/>
            <w:tcBorders>
              <w:top w:val="single" w:color="auto" w:sz="4" w:space="0"/>
              <w:left w:val="single" w:color="auto" w:sz="4" w:space="0"/>
              <w:bottom w:val="single" w:color="auto" w:sz="4" w:space="0"/>
              <w:right w:val="single" w:color="auto" w:sz="4" w:space="0"/>
            </w:tcBorders>
            <w:noWrap w:val="0"/>
            <w:vAlign w:val="center"/>
          </w:tcPr>
          <w:p w14:paraId="6484309F">
            <w:pPr>
              <w:rPr>
                <w:rFonts w:ascii="宋体" w:hAnsi="宋体"/>
                <w:color w:val="auto"/>
                <w:szCs w:val="21"/>
                <w:highlight w:val="none"/>
              </w:rPr>
            </w:pPr>
            <w:r>
              <w:rPr>
                <w:rFonts w:hint="eastAsia" w:ascii="宋体" w:hAnsi="宋体"/>
                <w:color w:val="auto"/>
                <w:szCs w:val="21"/>
                <w:highlight w:val="none"/>
              </w:rPr>
              <w:t>…</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242AE02A">
            <w:pPr>
              <w:rPr>
                <w:rFonts w:ascii="宋体" w:hAnsi="宋体"/>
                <w:color w:val="auto"/>
                <w:szCs w:val="21"/>
                <w:highlight w:val="none"/>
              </w:rPr>
            </w:pPr>
            <w:r>
              <w:rPr>
                <w:rFonts w:hint="eastAsia" w:ascii="宋体" w:hAnsi="宋体"/>
                <w:color w:val="auto"/>
                <w:szCs w:val="21"/>
                <w:highlight w:val="none"/>
              </w:rPr>
              <w:t>1  ……</w:t>
            </w:r>
          </w:p>
          <w:p w14:paraId="135C0FE7">
            <w:pPr>
              <w:rPr>
                <w:rFonts w:ascii="宋体" w:hAnsi="宋体"/>
                <w:color w:val="auto"/>
                <w:szCs w:val="21"/>
                <w:highlight w:val="none"/>
              </w:rPr>
            </w:pPr>
            <w:r>
              <w:rPr>
                <w:rFonts w:hint="eastAsia" w:ascii="宋体" w:hAnsi="宋体"/>
                <w:color w:val="auto"/>
                <w:szCs w:val="21"/>
                <w:highlight w:val="none"/>
              </w:rPr>
              <w:t>2  ……</w:t>
            </w:r>
          </w:p>
          <w:p w14:paraId="4A08AFB5">
            <w:pPr>
              <w:rPr>
                <w:rFonts w:ascii="宋体" w:hAnsi="宋体"/>
                <w:color w:val="auto"/>
                <w:szCs w:val="21"/>
                <w:highlight w:val="none"/>
              </w:rPr>
            </w:pPr>
            <w:r>
              <w:rPr>
                <w:rFonts w:hint="eastAsia" w:ascii="宋体" w:hAnsi="宋体"/>
                <w:color w:val="auto"/>
                <w:szCs w:val="21"/>
                <w:highlight w:val="none"/>
              </w:rPr>
              <w:t>3  ……</w:t>
            </w:r>
          </w:p>
          <w:p w14:paraId="36303169">
            <w:pPr>
              <w:rPr>
                <w:rFonts w:ascii="宋体" w:hAnsi="宋体"/>
                <w:color w:val="auto"/>
                <w:szCs w:val="21"/>
                <w:highlight w:val="none"/>
              </w:rPr>
            </w:pPr>
            <w:r>
              <w:rPr>
                <w:rFonts w:hint="eastAsia" w:ascii="宋体" w:hAnsi="宋体"/>
                <w:color w:val="auto"/>
                <w:szCs w:val="21"/>
                <w:highlight w:val="none"/>
              </w:rPr>
              <w:t>……</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7BF592FA">
            <w:pPr>
              <w:rPr>
                <w:rFonts w:ascii="宋体" w:hAnsi="宋体"/>
                <w:color w:val="auto"/>
                <w:szCs w:val="21"/>
                <w:highlight w:val="none"/>
              </w:rPr>
            </w:pPr>
          </w:p>
        </w:tc>
      </w:tr>
      <w:tr w14:paraId="4B0A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4C9241B6">
            <w:pPr>
              <w:rPr>
                <w:rFonts w:ascii="宋体" w:hAnsi="宋体"/>
                <w:color w:val="auto"/>
                <w:szCs w:val="21"/>
                <w:highlight w:val="none"/>
              </w:rPr>
            </w:pPr>
            <w:r>
              <w:rPr>
                <w:rFonts w:hint="eastAsia" w:ascii="宋体" w:hAnsi="宋体"/>
                <w:color w:val="auto"/>
                <w:szCs w:val="21"/>
                <w:highlight w:val="none"/>
              </w:rPr>
              <w:t>2</w:t>
            </w:r>
          </w:p>
        </w:tc>
        <w:tc>
          <w:tcPr>
            <w:tcW w:w="1293" w:type="dxa"/>
            <w:tcBorders>
              <w:top w:val="single" w:color="auto" w:sz="4" w:space="0"/>
              <w:left w:val="single" w:color="auto" w:sz="4" w:space="0"/>
              <w:bottom w:val="single" w:color="auto" w:sz="4" w:space="0"/>
              <w:right w:val="single" w:color="auto" w:sz="4" w:space="0"/>
            </w:tcBorders>
            <w:noWrap w:val="0"/>
            <w:vAlign w:val="center"/>
          </w:tcPr>
          <w:p w14:paraId="09835B27">
            <w:pPr>
              <w:rPr>
                <w:rFonts w:ascii="宋体" w:hAnsi="宋体"/>
                <w:color w:val="auto"/>
                <w:szCs w:val="21"/>
                <w:highlight w:val="none"/>
              </w:rPr>
            </w:pPr>
            <w:r>
              <w:rPr>
                <w:rFonts w:hint="eastAsia" w:ascii="宋体" w:hAnsi="宋体"/>
                <w:color w:val="auto"/>
                <w:szCs w:val="21"/>
                <w:highlight w:val="none"/>
              </w:rPr>
              <w:t>……</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7056539D">
            <w:pPr>
              <w:rPr>
                <w:rFonts w:ascii="宋体" w:hAnsi="宋体"/>
                <w:color w:val="auto"/>
                <w:szCs w:val="21"/>
                <w:highlight w:val="none"/>
              </w:rPr>
            </w:pPr>
            <w:r>
              <w:rPr>
                <w:rFonts w:hint="eastAsia" w:ascii="宋体" w:hAnsi="宋体"/>
                <w:color w:val="auto"/>
                <w:szCs w:val="21"/>
                <w:highlight w:val="none"/>
              </w:rPr>
              <w:t>…</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258C46FF">
            <w:pPr>
              <w:rPr>
                <w:rFonts w:ascii="宋体" w:hAnsi="宋体"/>
                <w:color w:val="auto"/>
                <w:szCs w:val="21"/>
                <w:highlight w:val="none"/>
              </w:rPr>
            </w:pPr>
            <w:r>
              <w:rPr>
                <w:rFonts w:hint="eastAsia" w:ascii="宋体" w:hAnsi="宋体"/>
                <w:color w:val="auto"/>
                <w:szCs w:val="21"/>
                <w:highlight w:val="none"/>
              </w:rPr>
              <w:t>1  ……</w:t>
            </w:r>
          </w:p>
          <w:p w14:paraId="4BBE91B0">
            <w:pPr>
              <w:rPr>
                <w:rFonts w:ascii="宋体" w:hAnsi="宋体"/>
                <w:color w:val="auto"/>
                <w:szCs w:val="21"/>
                <w:highlight w:val="none"/>
              </w:rPr>
            </w:pPr>
            <w:r>
              <w:rPr>
                <w:rFonts w:hint="eastAsia" w:ascii="宋体" w:hAnsi="宋体"/>
                <w:color w:val="auto"/>
                <w:szCs w:val="21"/>
                <w:highlight w:val="none"/>
              </w:rPr>
              <w:t>2  ……</w:t>
            </w:r>
          </w:p>
          <w:p w14:paraId="1D71E785">
            <w:pPr>
              <w:rPr>
                <w:rFonts w:ascii="宋体" w:hAnsi="宋体"/>
                <w:color w:val="auto"/>
                <w:szCs w:val="21"/>
                <w:highlight w:val="none"/>
              </w:rPr>
            </w:pPr>
            <w:r>
              <w:rPr>
                <w:rFonts w:hint="eastAsia" w:ascii="宋体" w:hAnsi="宋体"/>
                <w:color w:val="auto"/>
                <w:szCs w:val="21"/>
                <w:highlight w:val="none"/>
              </w:rPr>
              <w:t>3  ……</w:t>
            </w:r>
          </w:p>
          <w:p w14:paraId="6DFD27BC">
            <w:pPr>
              <w:rPr>
                <w:rFonts w:ascii="宋体" w:hAnsi="宋体"/>
                <w:color w:val="auto"/>
                <w:szCs w:val="21"/>
                <w:highlight w:val="none"/>
              </w:rPr>
            </w:pPr>
            <w:r>
              <w:rPr>
                <w:rFonts w:hint="eastAsia" w:ascii="宋体" w:hAnsi="宋体"/>
                <w:color w:val="auto"/>
                <w:szCs w:val="21"/>
                <w:highlight w:val="none"/>
              </w:rPr>
              <w:t>……</w:t>
            </w:r>
          </w:p>
        </w:tc>
        <w:tc>
          <w:tcPr>
            <w:tcW w:w="1291" w:type="dxa"/>
            <w:tcBorders>
              <w:top w:val="single" w:color="auto" w:sz="4" w:space="0"/>
              <w:left w:val="single" w:color="auto" w:sz="4" w:space="0"/>
              <w:bottom w:val="single" w:color="auto" w:sz="4" w:space="0"/>
              <w:right w:val="single" w:color="auto" w:sz="4" w:space="0"/>
            </w:tcBorders>
            <w:noWrap w:val="0"/>
            <w:vAlign w:val="center"/>
          </w:tcPr>
          <w:p w14:paraId="3A26A8D5">
            <w:pPr>
              <w:rPr>
                <w:rFonts w:ascii="宋体" w:hAnsi="宋体"/>
                <w:color w:val="auto"/>
                <w:szCs w:val="21"/>
                <w:highlight w:val="none"/>
              </w:rPr>
            </w:pPr>
            <w:r>
              <w:rPr>
                <w:rFonts w:hint="eastAsia" w:ascii="宋体" w:hAnsi="宋体"/>
                <w:color w:val="auto"/>
                <w:szCs w:val="21"/>
                <w:highlight w:val="none"/>
              </w:rPr>
              <w:t>……</w:t>
            </w:r>
          </w:p>
        </w:tc>
        <w:tc>
          <w:tcPr>
            <w:tcW w:w="745" w:type="dxa"/>
            <w:tcBorders>
              <w:top w:val="single" w:color="auto" w:sz="4" w:space="0"/>
              <w:left w:val="single" w:color="auto" w:sz="4" w:space="0"/>
              <w:bottom w:val="single" w:color="auto" w:sz="4" w:space="0"/>
              <w:right w:val="single" w:color="auto" w:sz="4" w:space="0"/>
            </w:tcBorders>
            <w:noWrap w:val="0"/>
            <w:vAlign w:val="center"/>
          </w:tcPr>
          <w:p w14:paraId="16EF7D77">
            <w:pPr>
              <w:rPr>
                <w:rFonts w:ascii="宋体" w:hAnsi="宋体"/>
                <w:color w:val="auto"/>
                <w:szCs w:val="21"/>
                <w:highlight w:val="none"/>
              </w:rPr>
            </w:pPr>
            <w:r>
              <w:rPr>
                <w:rFonts w:hint="eastAsia" w:ascii="宋体" w:hAnsi="宋体"/>
                <w:color w:val="auto"/>
                <w:szCs w:val="21"/>
                <w:highlight w:val="none"/>
              </w:rPr>
              <w:t>…</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3AF60052">
            <w:pPr>
              <w:rPr>
                <w:rFonts w:ascii="宋体" w:hAnsi="宋体"/>
                <w:color w:val="auto"/>
                <w:szCs w:val="21"/>
                <w:highlight w:val="none"/>
              </w:rPr>
            </w:pPr>
            <w:r>
              <w:rPr>
                <w:rFonts w:hint="eastAsia" w:ascii="宋体" w:hAnsi="宋体"/>
                <w:color w:val="auto"/>
                <w:szCs w:val="21"/>
                <w:highlight w:val="none"/>
              </w:rPr>
              <w:t>1  ……</w:t>
            </w:r>
          </w:p>
          <w:p w14:paraId="3A521049">
            <w:pPr>
              <w:rPr>
                <w:rFonts w:ascii="宋体" w:hAnsi="宋体"/>
                <w:color w:val="auto"/>
                <w:szCs w:val="21"/>
                <w:highlight w:val="none"/>
              </w:rPr>
            </w:pPr>
            <w:r>
              <w:rPr>
                <w:rFonts w:hint="eastAsia" w:ascii="宋体" w:hAnsi="宋体"/>
                <w:color w:val="auto"/>
                <w:szCs w:val="21"/>
                <w:highlight w:val="none"/>
              </w:rPr>
              <w:t>2  ……</w:t>
            </w:r>
          </w:p>
          <w:p w14:paraId="3ECE578E">
            <w:pPr>
              <w:rPr>
                <w:rFonts w:ascii="宋体" w:hAnsi="宋体"/>
                <w:color w:val="auto"/>
                <w:szCs w:val="21"/>
                <w:highlight w:val="none"/>
              </w:rPr>
            </w:pPr>
            <w:r>
              <w:rPr>
                <w:rFonts w:hint="eastAsia" w:ascii="宋体" w:hAnsi="宋体"/>
                <w:color w:val="auto"/>
                <w:szCs w:val="21"/>
                <w:highlight w:val="none"/>
              </w:rPr>
              <w:t>3  ……</w:t>
            </w:r>
          </w:p>
          <w:p w14:paraId="562928DF">
            <w:pPr>
              <w:rPr>
                <w:rFonts w:ascii="宋体" w:hAnsi="宋体"/>
                <w:color w:val="auto"/>
                <w:szCs w:val="21"/>
                <w:highlight w:val="none"/>
              </w:rPr>
            </w:pPr>
            <w:r>
              <w:rPr>
                <w:rFonts w:hint="eastAsia" w:ascii="宋体" w:hAnsi="宋体"/>
                <w:color w:val="auto"/>
                <w:szCs w:val="21"/>
                <w:highlight w:val="none"/>
              </w:rPr>
              <w:t>……</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7846AD3A">
            <w:pPr>
              <w:rPr>
                <w:rFonts w:ascii="宋体" w:hAnsi="宋体"/>
                <w:color w:val="auto"/>
                <w:szCs w:val="21"/>
                <w:highlight w:val="none"/>
              </w:rPr>
            </w:pPr>
          </w:p>
        </w:tc>
      </w:tr>
      <w:tr w14:paraId="76CF5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6B91B5D5">
            <w:pPr>
              <w:rPr>
                <w:rFonts w:ascii="宋体" w:hAnsi="宋体"/>
                <w:color w:val="auto"/>
                <w:szCs w:val="21"/>
                <w:highlight w:val="none"/>
              </w:rPr>
            </w:pPr>
            <w:r>
              <w:rPr>
                <w:rFonts w:hint="eastAsia" w:ascii="宋体" w:hAnsi="宋体"/>
                <w:color w:val="auto"/>
                <w:szCs w:val="21"/>
                <w:highlight w:val="none"/>
              </w:rPr>
              <w:t>...</w:t>
            </w:r>
          </w:p>
        </w:tc>
        <w:tc>
          <w:tcPr>
            <w:tcW w:w="1293" w:type="dxa"/>
            <w:tcBorders>
              <w:top w:val="single" w:color="auto" w:sz="4" w:space="0"/>
              <w:left w:val="single" w:color="auto" w:sz="4" w:space="0"/>
              <w:bottom w:val="single" w:color="auto" w:sz="4" w:space="0"/>
              <w:right w:val="single" w:color="auto" w:sz="4" w:space="0"/>
            </w:tcBorders>
            <w:noWrap w:val="0"/>
            <w:vAlign w:val="center"/>
          </w:tcPr>
          <w:p w14:paraId="18FC2C3D">
            <w:pPr>
              <w:rPr>
                <w:rFonts w:ascii="宋体" w:hAnsi="宋体"/>
                <w:color w:val="auto"/>
                <w:szCs w:val="21"/>
                <w:highlight w:val="none"/>
              </w:rPr>
            </w:pPr>
          </w:p>
        </w:tc>
        <w:tc>
          <w:tcPr>
            <w:tcW w:w="834" w:type="dxa"/>
            <w:tcBorders>
              <w:top w:val="single" w:color="auto" w:sz="4" w:space="0"/>
              <w:left w:val="single" w:color="auto" w:sz="4" w:space="0"/>
              <w:bottom w:val="single" w:color="auto" w:sz="4" w:space="0"/>
              <w:right w:val="single" w:color="auto" w:sz="4" w:space="0"/>
            </w:tcBorders>
            <w:noWrap w:val="0"/>
            <w:vAlign w:val="center"/>
          </w:tcPr>
          <w:p w14:paraId="54126C1A">
            <w:pPr>
              <w:rPr>
                <w:rFonts w:ascii="宋体" w:hAnsi="宋体"/>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noWrap w:val="0"/>
            <w:vAlign w:val="center"/>
          </w:tcPr>
          <w:p w14:paraId="315A6EC9">
            <w:pPr>
              <w:rPr>
                <w:rFonts w:ascii="宋体" w:hAnsi="宋体"/>
                <w:color w:val="auto"/>
                <w:szCs w:val="21"/>
                <w:highlight w:val="none"/>
              </w:rPr>
            </w:pPr>
          </w:p>
        </w:tc>
        <w:tc>
          <w:tcPr>
            <w:tcW w:w="1291" w:type="dxa"/>
            <w:tcBorders>
              <w:top w:val="single" w:color="auto" w:sz="4" w:space="0"/>
              <w:left w:val="single" w:color="auto" w:sz="4" w:space="0"/>
              <w:bottom w:val="single" w:color="auto" w:sz="4" w:space="0"/>
              <w:right w:val="single" w:color="auto" w:sz="4" w:space="0"/>
            </w:tcBorders>
            <w:noWrap w:val="0"/>
            <w:vAlign w:val="center"/>
          </w:tcPr>
          <w:p w14:paraId="512A9019">
            <w:pPr>
              <w:rPr>
                <w:rFonts w:ascii="宋体" w:hAnsi="宋体"/>
                <w:color w:val="auto"/>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14:paraId="31F01F91">
            <w:pPr>
              <w:rPr>
                <w:rFonts w:ascii="宋体" w:hAnsi="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3DC7AD9D">
            <w:pPr>
              <w:rPr>
                <w:rFonts w:ascii="宋体" w:hAnsi="宋体"/>
                <w:color w:val="auto"/>
                <w:szCs w:val="21"/>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14:paraId="4CB9F77D">
            <w:pPr>
              <w:rPr>
                <w:rFonts w:ascii="宋体" w:hAnsi="宋体"/>
                <w:color w:val="auto"/>
                <w:szCs w:val="21"/>
                <w:highlight w:val="none"/>
              </w:rPr>
            </w:pPr>
          </w:p>
        </w:tc>
      </w:tr>
    </w:tbl>
    <w:p w14:paraId="34AD0132">
      <w:pPr>
        <w:spacing w:line="360" w:lineRule="auto"/>
        <w:contextualSpacing/>
        <w:rPr>
          <w:rFonts w:ascii="宋体" w:hAnsi="宋体"/>
          <w:color w:val="auto"/>
          <w:kern w:val="0"/>
          <w:sz w:val="24"/>
          <w:highlight w:val="none"/>
        </w:rPr>
      </w:pPr>
      <w:r>
        <w:rPr>
          <w:rFonts w:hint="eastAsia" w:ascii="宋体" w:hAnsi="宋体"/>
          <w:color w:val="auto"/>
          <w:kern w:val="0"/>
          <w:sz w:val="24"/>
          <w:highlight w:val="none"/>
        </w:rPr>
        <w:t>注：</w:t>
      </w:r>
    </w:p>
    <w:p w14:paraId="6CE290A4">
      <w:pPr>
        <w:spacing w:line="360" w:lineRule="auto"/>
        <w:contextualSpacing/>
        <w:rPr>
          <w:rFonts w:ascii="宋体" w:hAnsi="宋体"/>
          <w:color w:val="auto"/>
          <w:kern w:val="0"/>
          <w:szCs w:val="21"/>
          <w:highlight w:val="none"/>
        </w:rPr>
      </w:pPr>
      <w:r>
        <w:rPr>
          <w:rFonts w:hint="eastAsia" w:ascii="宋体" w:hAnsi="宋体"/>
          <w:color w:val="auto"/>
          <w:kern w:val="0"/>
          <w:szCs w:val="21"/>
          <w:highlight w:val="none"/>
        </w:rPr>
        <w:t>注：</w:t>
      </w:r>
    </w:p>
    <w:p w14:paraId="2C8D5A15">
      <w:pPr>
        <w:spacing w:line="360" w:lineRule="auto"/>
        <w:contextualSpacing/>
        <w:rPr>
          <w:rFonts w:ascii="宋体" w:hAnsi="宋体" w:cs="仿宋_GB2312"/>
          <w:color w:val="auto"/>
          <w:kern w:val="0"/>
          <w:szCs w:val="21"/>
          <w:highlight w:val="none"/>
        </w:rPr>
      </w:pPr>
      <w:r>
        <w:rPr>
          <w:rFonts w:hint="eastAsia" w:ascii="宋体" w:hAnsi="宋体" w:cs="仿宋_GB2312"/>
          <w:color w:val="auto"/>
          <w:kern w:val="0"/>
          <w:szCs w:val="21"/>
          <w:highlight w:val="none"/>
        </w:rPr>
        <w:t>1.说明：应对照磋商文件“第二章”中“服务需求一览表”的采购清单及技术参数条款逐条作出明确响应，并作出偏离说明。</w:t>
      </w:r>
    </w:p>
    <w:p w14:paraId="4C3BDF42">
      <w:pPr>
        <w:spacing w:line="400" w:lineRule="exact"/>
        <w:contextualSpacing/>
        <w:rPr>
          <w:rFonts w:ascii="宋体" w:hAnsi="宋体" w:cs="仿宋_GB2312"/>
          <w:color w:val="auto"/>
          <w:kern w:val="0"/>
          <w:szCs w:val="21"/>
          <w:highlight w:val="none"/>
        </w:rPr>
      </w:pPr>
      <w:r>
        <w:rPr>
          <w:rFonts w:hint="eastAsia" w:ascii="宋体" w:hAnsi="宋体" w:cs="仿宋_GB2312"/>
          <w:color w:val="auto"/>
          <w:kern w:val="0"/>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4428413C">
      <w:pPr>
        <w:spacing w:line="400" w:lineRule="exact"/>
        <w:rPr>
          <w:rFonts w:ascii="宋体" w:hAnsi="宋体" w:cs="仿宋_GB2312"/>
          <w:color w:val="auto"/>
          <w:kern w:val="0"/>
          <w:szCs w:val="21"/>
          <w:highlight w:val="none"/>
        </w:rPr>
      </w:pPr>
      <w:r>
        <w:rPr>
          <w:rFonts w:hint="eastAsia" w:ascii="宋体" w:hAnsi="宋体" w:cs="仿宋_GB2312"/>
          <w:color w:val="auto"/>
          <w:kern w:val="0"/>
          <w:szCs w:val="21"/>
          <w:highlight w:val="none"/>
        </w:rPr>
        <w:t>3.表格内容均需按要求填写并盖章，不得留空，否则按竞标无效处理。</w:t>
      </w:r>
    </w:p>
    <w:p w14:paraId="2FC7DD49">
      <w:pPr>
        <w:spacing w:line="400" w:lineRule="exact"/>
        <w:contextualSpacing/>
        <w:rPr>
          <w:rFonts w:ascii="宋体" w:hAnsi="宋体" w:cs="仿宋_GB2312"/>
          <w:color w:val="auto"/>
          <w:kern w:val="0"/>
          <w:szCs w:val="21"/>
          <w:highlight w:val="none"/>
        </w:rPr>
      </w:pPr>
      <w:r>
        <w:rPr>
          <w:rFonts w:hint="eastAsia" w:ascii="宋体" w:hAnsi="宋体" w:cs="仿宋_GB2312"/>
          <w:color w:val="auto"/>
          <w:kern w:val="0"/>
          <w:szCs w:val="21"/>
          <w:highlight w:val="none"/>
        </w:rPr>
        <w:t>4</w:t>
      </w:r>
      <w:r>
        <w:rPr>
          <w:rFonts w:ascii="宋体" w:hAnsi="宋体" w:cs="仿宋_GB2312"/>
          <w:color w:val="auto"/>
          <w:kern w:val="0"/>
          <w:szCs w:val="21"/>
          <w:highlight w:val="none"/>
        </w:rPr>
        <w:t>.</w:t>
      </w:r>
      <w:r>
        <w:rPr>
          <w:rFonts w:hint="eastAsia" w:ascii="宋体" w:hAnsi="宋体" w:cs="仿宋_GB2312"/>
          <w:color w:val="auto"/>
          <w:kern w:val="0"/>
          <w:szCs w:val="21"/>
          <w:highlight w:val="none"/>
        </w:rPr>
        <w:t>如该采购需求属于不能明确具体数值的，采购人应在此采购需求的数值后标注◆号，对标注◆号的采购需求不适用上述“竞标无效”条款。</w:t>
      </w:r>
    </w:p>
    <w:p w14:paraId="2F6D512F">
      <w:pPr>
        <w:spacing w:line="360" w:lineRule="auto"/>
        <w:contextualSpacing/>
        <w:rPr>
          <w:rFonts w:ascii="宋体" w:hAnsi="宋体" w:eastAsia="仿宋_GB2312" w:cs="仿宋_GB2312"/>
          <w:color w:val="auto"/>
          <w:kern w:val="0"/>
          <w:sz w:val="24"/>
          <w:szCs w:val="20"/>
          <w:highlight w:val="none"/>
        </w:rPr>
      </w:pPr>
      <w:r>
        <w:rPr>
          <w:rFonts w:hint="eastAsia" w:ascii="宋体" w:hAnsi="宋体" w:cs="仿宋_GB2312"/>
          <w:color w:val="auto"/>
          <w:kern w:val="0"/>
          <w:szCs w:val="21"/>
          <w:highlight w:val="none"/>
        </w:rPr>
        <w:t>5.如技术偏离表中的竞标响应与佐证材料不一致的，以佐证材料为准。</w:t>
      </w:r>
    </w:p>
    <w:p w14:paraId="71D2E7D4">
      <w:pPr>
        <w:snapToGrid w:val="0"/>
        <w:spacing w:line="360" w:lineRule="auto"/>
        <w:ind w:firstLine="602" w:firstLineChars="200"/>
        <w:rPr>
          <w:rFonts w:ascii="仿宋" w:hAnsi="仿宋" w:eastAsia="仿宋" w:cs="仿宋_GB2312"/>
          <w:b/>
          <w:color w:val="auto"/>
          <w:sz w:val="30"/>
          <w:szCs w:val="30"/>
          <w:highlight w:val="none"/>
        </w:rPr>
      </w:pPr>
    </w:p>
    <w:p w14:paraId="1E41B16F">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55E07FE2">
      <w:pPr>
        <w:autoSpaceDE w:val="0"/>
        <w:autoSpaceDN w:val="0"/>
        <w:spacing w:line="360" w:lineRule="auto"/>
        <w:ind w:firstLine="6480" w:firstLineChars="2700"/>
        <w:rPr>
          <w:rFonts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108BB84A">
      <w:pPr>
        <w:adjustRightInd w:val="0"/>
        <w:snapToGrid w:val="0"/>
        <w:spacing w:line="520" w:lineRule="exact"/>
        <w:jc w:val="center"/>
        <w:rPr>
          <w:rFonts w:ascii="方正小标宋简体" w:hAnsi="方正小标宋简体" w:eastAsia="方正小标宋简体" w:cs="方正小标宋简体"/>
          <w:bCs/>
          <w:color w:val="auto"/>
          <w:sz w:val="44"/>
          <w:szCs w:val="44"/>
          <w:highlight w:val="none"/>
        </w:rPr>
      </w:pPr>
    </w:p>
    <w:p w14:paraId="661F2068">
      <w:pPr>
        <w:adjustRightInd w:val="0"/>
        <w:snapToGrid w:val="0"/>
        <w:spacing w:line="520" w:lineRule="exact"/>
        <w:jc w:val="center"/>
        <w:rPr>
          <w:rFonts w:ascii="方正小标宋简体" w:hAnsi="方正小标宋简体" w:eastAsia="方正小标宋简体" w:cs="方正小标宋简体"/>
          <w:bCs/>
          <w:color w:val="auto"/>
          <w:sz w:val="44"/>
          <w:szCs w:val="44"/>
          <w:highlight w:val="none"/>
        </w:rPr>
      </w:pPr>
    </w:p>
    <w:p w14:paraId="462BCD70">
      <w:pPr>
        <w:adjustRightInd w:val="0"/>
        <w:snapToGrid w:val="0"/>
        <w:spacing w:line="520" w:lineRule="exact"/>
        <w:jc w:val="center"/>
        <w:rPr>
          <w:rFonts w:ascii="方正小标宋简体" w:hAnsi="方正小标宋简体" w:eastAsia="方正小标宋简体" w:cs="方正小标宋简体"/>
          <w:bCs/>
          <w:color w:val="auto"/>
          <w:sz w:val="44"/>
          <w:szCs w:val="44"/>
          <w:highlight w:val="none"/>
        </w:rPr>
      </w:pPr>
    </w:p>
    <w:p w14:paraId="42ACEFD2">
      <w:pPr>
        <w:adjustRightInd w:val="0"/>
        <w:snapToGrid w:val="0"/>
        <w:spacing w:line="520" w:lineRule="exact"/>
        <w:jc w:val="center"/>
        <w:rPr>
          <w:rFonts w:ascii="方正小标宋简体" w:hAnsi="方正小标宋简体" w:eastAsia="方正小标宋简体" w:cs="方正小标宋简体"/>
          <w:bCs/>
          <w:color w:val="auto"/>
          <w:sz w:val="44"/>
          <w:szCs w:val="44"/>
          <w:highlight w:val="none"/>
        </w:rPr>
      </w:pPr>
    </w:p>
    <w:p w14:paraId="675B2F7E">
      <w:pPr>
        <w:adjustRightInd w:val="0"/>
        <w:snapToGrid w:val="0"/>
        <w:spacing w:line="520" w:lineRule="exact"/>
        <w:jc w:val="center"/>
        <w:rPr>
          <w:rFonts w:ascii="方正小标宋简体" w:hAnsi="方正小标宋简体" w:eastAsia="方正小标宋简体" w:cs="方正小标宋简体"/>
          <w:bCs/>
          <w:color w:val="auto"/>
          <w:sz w:val="44"/>
          <w:szCs w:val="44"/>
          <w:highlight w:val="none"/>
        </w:rPr>
      </w:pPr>
    </w:p>
    <w:p w14:paraId="6FCC0CF9">
      <w:pPr>
        <w:snapToGrid w:val="0"/>
        <w:spacing w:line="360" w:lineRule="auto"/>
        <w:ind w:firstLine="602" w:firstLineChars="200"/>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八、服务方案</w:t>
      </w:r>
    </w:p>
    <w:p w14:paraId="605A9A16">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（由供应商根据采购需求及采购文件要求或评分办法编制）</w:t>
      </w:r>
    </w:p>
    <w:p w14:paraId="0F6413EF">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p>
    <w:p w14:paraId="27C55F45">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p>
    <w:p w14:paraId="6B51A5F8">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p>
    <w:p w14:paraId="2D85CF56">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p>
    <w:p w14:paraId="1BD00968">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p>
    <w:p w14:paraId="430B2F7D">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p>
    <w:p w14:paraId="3BC265BD">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p>
    <w:p w14:paraId="1BBA8254">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p>
    <w:p w14:paraId="49707033">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p>
    <w:p w14:paraId="3B671066">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p>
    <w:p w14:paraId="39DEDD76">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p>
    <w:p w14:paraId="16311019">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p>
    <w:p w14:paraId="0ED3EFAD">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p>
    <w:p w14:paraId="57B85263">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p>
    <w:p w14:paraId="3BD1B5EB">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p>
    <w:p w14:paraId="53241252">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p>
    <w:p w14:paraId="181DD18A">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p>
    <w:p w14:paraId="43559462">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p>
    <w:p w14:paraId="671D82E0">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p>
    <w:p w14:paraId="157405AA">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p>
    <w:p w14:paraId="3658D6AD">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p>
    <w:p w14:paraId="7447E62F">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p>
    <w:p w14:paraId="0E533FC1">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p>
    <w:p w14:paraId="5189372B">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p>
    <w:p w14:paraId="0728FB25">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5D604D99">
      <w:pPr>
        <w:autoSpaceDE w:val="0"/>
        <w:autoSpaceDN w:val="0"/>
        <w:spacing w:line="360" w:lineRule="auto"/>
        <w:ind w:firstLine="6480" w:firstLineChars="2700"/>
        <w:rPr>
          <w:rFonts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3FE47C98">
      <w:pPr>
        <w:spacing w:line="500" w:lineRule="exact"/>
        <w:rPr>
          <w:rFonts w:ascii="仿宋_GB2312" w:hAnsi="仿宋_GB2312" w:eastAsia="仿宋_GB2312" w:cs="仿宋_GB2312"/>
          <w:color w:val="auto"/>
          <w:sz w:val="32"/>
          <w:szCs w:val="32"/>
          <w:highlight w:val="none"/>
        </w:rPr>
      </w:pPr>
    </w:p>
    <w:p w14:paraId="6F50E069">
      <w:pPr>
        <w:tabs>
          <w:tab w:val="center" w:pos="4153"/>
          <w:tab w:val="right" w:pos="8306"/>
        </w:tabs>
        <w:snapToGrid w:val="0"/>
        <w:jc w:val="left"/>
        <w:rPr>
          <w:color w:val="auto"/>
          <w:kern w:val="0"/>
          <w:sz w:val="18"/>
          <w:szCs w:val="18"/>
          <w:highlight w:val="none"/>
        </w:rPr>
      </w:pPr>
    </w:p>
    <w:p w14:paraId="2D365F6F">
      <w:pPr>
        <w:tabs>
          <w:tab w:val="center" w:pos="4153"/>
          <w:tab w:val="right" w:pos="8306"/>
        </w:tabs>
        <w:snapToGrid w:val="0"/>
        <w:jc w:val="left"/>
        <w:rPr>
          <w:color w:val="auto"/>
          <w:kern w:val="0"/>
          <w:sz w:val="18"/>
          <w:szCs w:val="18"/>
          <w:highlight w:val="none"/>
        </w:rPr>
      </w:pPr>
    </w:p>
    <w:p w14:paraId="077630B1">
      <w:pPr>
        <w:snapToGrid w:val="0"/>
        <w:spacing w:line="360" w:lineRule="auto"/>
        <w:ind w:firstLine="602" w:firstLineChars="200"/>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九、项目实施人员一览表</w:t>
      </w:r>
    </w:p>
    <w:p w14:paraId="2217B003">
      <w:pPr>
        <w:spacing w:line="360" w:lineRule="auto"/>
        <w:jc w:val="center"/>
        <w:rPr>
          <w:rFonts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rPr>
        <w:t>（由供应商根据采购需求及采购文件要求或评分办法编制）</w:t>
      </w:r>
    </w:p>
    <w:p w14:paraId="5398A5B4">
      <w:pPr>
        <w:rPr>
          <w:rFonts w:ascii="宋体" w:hAnsi="Courier New"/>
          <w:color w:val="auto"/>
          <w:kern w:val="0"/>
          <w:sz w:val="24"/>
          <w:highlight w:val="none"/>
        </w:rPr>
      </w:pPr>
      <w:r>
        <w:rPr>
          <w:rFonts w:hint="eastAsia" w:ascii="宋体" w:hAnsi="Courier New"/>
          <w:color w:val="auto"/>
          <w:kern w:val="0"/>
          <w:sz w:val="24"/>
          <w:highlight w:val="none"/>
        </w:rPr>
        <w:t>响应分标：     分标</w:t>
      </w:r>
    </w:p>
    <w:p w14:paraId="432735C8">
      <w:pPr>
        <w:keepNext/>
        <w:autoSpaceDE w:val="0"/>
        <w:autoSpaceDN w:val="0"/>
        <w:spacing w:line="360" w:lineRule="auto"/>
        <w:ind w:firstLine="477"/>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附表A：本项目的项目负责人情况表</w:t>
      </w:r>
    </w:p>
    <w:tbl>
      <w:tblPr>
        <w:tblStyle w:val="10"/>
        <w:tblW w:w="8755" w:type="dxa"/>
        <w:tblInd w:w="-116" w:type="dxa"/>
        <w:tblLayout w:type="fixed"/>
        <w:tblCellMar>
          <w:top w:w="0" w:type="dxa"/>
          <w:left w:w="108" w:type="dxa"/>
          <w:bottom w:w="0" w:type="dxa"/>
          <w:right w:w="108" w:type="dxa"/>
        </w:tblCellMar>
      </w:tblPr>
      <w:tblGrid>
        <w:gridCol w:w="2061"/>
        <w:gridCol w:w="1287"/>
        <w:gridCol w:w="1260"/>
        <w:gridCol w:w="4147"/>
      </w:tblGrid>
      <w:tr w14:paraId="4C383DA4">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8F940EF">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5C01CB03">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9EB074F">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337FB35C">
            <w:pPr>
              <w:autoSpaceDE w:val="0"/>
              <w:autoSpaceDN w:val="0"/>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响应截止时间前  年业绩及承担的主要工作情况，曾担任项目负责人的项目应列明细</w:t>
            </w:r>
          </w:p>
        </w:tc>
      </w:tr>
      <w:tr w14:paraId="0DAE7773">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CF6769D">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0CEAE1EF">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3947B4FA">
            <w:pPr>
              <w:autoSpaceDE w:val="0"/>
              <w:autoSpaceDN w:val="0"/>
              <w:spacing w:line="360" w:lineRule="auto"/>
              <w:jc w:val="center"/>
              <w:rPr>
                <w:rFonts w:ascii="仿宋_GB2312" w:hAnsi="仿宋" w:eastAsia="仿宋_GB2312" w:cs="仿宋_GB2312"/>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1F25AF7C">
            <w:pPr>
              <w:autoSpaceDE w:val="0"/>
              <w:autoSpaceDN w:val="0"/>
              <w:spacing w:line="360" w:lineRule="auto"/>
              <w:jc w:val="center"/>
              <w:rPr>
                <w:rFonts w:ascii="仿宋_GB2312" w:hAnsi="仿宋" w:eastAsia="仿宋_GB2312" w:cs="仿宋_GB2312"/>
                <w:color w:val="auto"/>
                <w:sz w:val="24"/>
                <w:highlight w:val="none"/>
              </w:rPr>
            </w:pPr>
          </w:p>
        </w:tc>
      </w:tr>
      <w:tr w14:paraId="268A11A1">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E3C4E96">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0D569A35">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3BD8CB60">
            <w:pPr>
              <w:autoSpaceDE w:val="0"/>
              <w:autoSpaceDN w:val="0"/>
              <w:spacing w:line="360" w:lineRule="auto"/>
              <w:jc w:val="center"/>
              <w:rPr>
                <w:rFonts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7489207">
            <w:pPr>
              <w:rPr>
                <w:color w:val="auto"/>
                <w:highlight w:val="none"/>
              </w:rPr>
            </w:pPr>
          </w:p>
        </w:tc>
      </w:tr>
      <w:tr w14:paraId="6C2D0BC3">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C5289E8">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5A42DE0">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A52D5C6">
            <w:pPr>
              <w:autoSpaceDE w:val="0"/>
              <w:autoSpaceDN w:val="0"/>
              <w:spacing w:line="360" w:lineRule="auto"/>
              <w:jc w:val="center"/>
              <w:rPr>
                <w:rFonts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B0AD7F9">
            <w:pPr>
              <w:rPr>
                <w:color w:val="auto"/>
                <w:highlight w:val="none"/>
              </w:rPr>
            </w:pPr>
          </w:p>
        </w:tc>
      </w:tr>
      <w:tr w14:paraId="42D9EAD4">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660FC8E">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CEC1CD8">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AA7A693">
            <w:pPr>
              <w:autoSpaceDE w:val="0"/>
              <w:autoSpaceDN w:val="0"/>
              <w:spacing w:line="360" w:lineRule="auto"/>
              <w:jc w:val="center"/>
              <w:rPr>
                <w:rFonts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3099B49">
            <w:pPr>
              <w:rPr>
                <w:color w:val="auto"/>
                <w:highlight w:val="none"/>
              </w:rPr>
            </w:pPr>
          </w:p>
        </w:tc>
      </w:tr>
      <w:tr w14:paraId="64A32377">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CBF8AF5">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40137BB">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450327F">
            <w:pPr>
              <w:autoSpaceDE w:val="0"/>
              <w:autoSpaceDN w:val="0"/>
              <w:spacing w:line="360" w:lineRule="auto"/>
              <w:jc w:val="center"/>
              <w:rPr>
                <w:rFonts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41E40790">
            <w:pPr>
              <w:rPr>
                <w:color w:val="auto"/>
                <w:highlight w:val="none"/>
              </w:rPr>
            </w:pPr>
          </w:p>
        </w:tc>
      </w:tr>
      <w:tr w14:paraId="53E96092">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4FEB0B1">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3372BC4">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9A27D6D">
            <w:pPr>
              <w:autoSpaceDE w:val="0"/>
              <w:autoSpaceDN w:val="0"/>
              <w:spacing w:line="360" w:lineRule="auto"/>
              <w:jc w:val="center"/>
              <w:rPr>
                <w:rFonts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AE72160">
            <w:pPr>
              <w:rPr>
                <w:color w:val="auto"/>
                <w:highlight w:val="none"/>
              </w:rPr>
            </w:pPr>
          </w:p>
        </w:tc>
      </w:tr>
      <w:tr w14:paraId="44B0ECFF">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8EBE892">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8CBEBFF">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139A5A5">
            <w:pPr>
              <w:autoSpaceDE w:val="0"/>
              <w:autoSpaceDN w:val="0"/>
              <w:spacing w:line="360" w:lineRule="auto"/>
              <w:jc w:val="center"/>
              <w:rPr>
                <w:rFonts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9B0419E">
            <w:pPr>
              <w:rPr>
                <w:color w:val="auto"/>
                <w:highlight w:val="none"/>
              </w:rPr>
            </w:pPr>
          </w:p>
        </w:tc>
      </w:tr>
      <w:tr w14:paraId="23C439A4">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231B262">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2F85706">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D55B658">
            <w:pPr>
              <w:autoSpaceDE w:val="0"/>
              <w:autoSpaceDN w:val="0"/>
              <w:spacing w:line="360" w:lineRule="auto"/>
              <w:jc w:val="center"/>
              <w:rPr>
                <w:rFonts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24FFE8B">
            <w:pPr>
              <w:rPr>
                <w:color w:val="auto"/>
                <w:highlight w:val="none"/>
              </w:rPr>
            </w:pPr>
          </w:p>
        </w:tc>
      </w:tr>
      <w:tr w14:paraId="6142373E">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EE20B25">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298F8740">
            <w:pPr>
              <w:autoSpaceDE w:val="0"/>
              <w:autoSpaceDN w:val="0"/>
              <w:spacing w:line="360" w:lineRule="auto"/>
              <w:jc w:val="center"/>
              <w:rPr>
                <w:rFonts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62AAAA7F">
            <w:pPr>
              <w:autoSpaceDE w:val="0"/>
              <w:autoSpaceDN w:val="0"/>
              <w:spacing w:line="360" w:lineRule="auto"/>
              <w:jc w:val="center"/>
              <w:rPr>
                <w:rFonts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FAB7D4E">
            <w:pPr>
              <w:rPr>
                <w:color w:val="auto"/>
                <w:highlight w:val="none"/>
              </w:rPr>
            </w:pPr>
          </w:p>
        </w:tc>
      </w:tr>
    </w:tbl>
    <w:p w14:paraId="47EC999C">
      <w:pPr>
        <w:autoSpaceDE w:val="0"/>
        <w:autoSpaceDN w:val="0"/>
        <w:spacing w:line="360" w:lineRule="auto"/>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注：须随表提交相应的证书复印件并注明所在响应技术文件页码。</w:t>
      </w:r>
    </w:p>
    <w:p w14:paraId="0EC3542D">
      <w:pPr>
        <w:autoSpaceDE w:val="0"/>
        <w:autoSpaceDN w:val="0"/>
        <w:spacing w:line="360" w:lineRule="auto"/>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附表B：本项目的项目小组人员情况表</w:t>
      </w:r>
      <w:r>
        <w:rPr>
          <w:rFonts w:hint="eastAsia" w:ascii="仿宋_GB2312" w:hAnsi="仿宋" w:eastAsia="仿宋_GB2312" w:cs="仿宋_GB2312"/>
          <w:color w:val="auto"/>
          <w:sz w:val="24"/>
          <w:highlight w:val="none"/>
        </w:rPr>
        <w:t>（按此格式自制）</w:t>
      </w:r>
    </w:p>
    <w:tbl>
      <w:tblPr>
        <w:tblStyle w:val="10"/>
        <w:tblW w:w="9030" w:type="dxa"/>
        <w:tblInd w:w="-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3BA2DC70">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5D131679">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361EF433">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449BD197">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2FB44B26">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7ECC8B60">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p w14:paraId="51000108">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6B983447">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专业</w:t>
            </w:r>
          </w:p>
          <w:p w14:paraId="47A3942B">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43BE41C">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p w14:paraId="468206F2">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14D342F5">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929AA0D">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2FD8F640">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参与本项目的到位情况</w:t>
            </w:r>
          </w:p>
        </w:tc>
      </w:tr>
      <w:tr w14:paraId="3F02213F">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74820951">
            <w:pPr>
              <w:autoSpaceDE w:val="0"/>
              <w:autoSpaceDN w:val="0"/>
              <w:spacing w:line="360" w:lineRule="auto"/>
              <w:jc w:val="center"/>
              <w:rPr>
                <w:rFonts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3F2B9676">
            <w:pPr>
              <w:autoSpaceDE w:val="0"/>
              <w:autoSpaceDN w:val="0"/>
              <w:spacing w:line="360" w:lineRule="auto"/>
              <w:rPr>
                <w:rFonts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787E5683">
            <w:pPr>
              <w:autoSpaceDE w:val="0"/>
              <w:autoSpaceDN w:val="0"/>
              <w:spacing w:line="360" w:lineRule="auto"/>
              <w:rPr>
                <w:rFonts w:ascii="仿宋_GB2312" w:hAnsi="仿宋" w:eastAsia="仿宋_GB2312" w:cs="仿宋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7445FFB9">
            <w:pPr>
              <w:autoSpaceDE w:val="0"/>
              <w:autoSpaceDN w:val="0"/>
              <w:spacing w:line="360" w:lineRule="auto"/>
              <w:rPr>
                <w:rFonts w:ascii="仿宋_GB2312" w:hAnsi="仿宋" w:eastAsia="仿宋_GB2312" w:cs="仿宋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4D188CCF">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AFD3A57">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01EA342">
            <w:pPr>
              <w:autoSpaceDE w:val="0"/>
              <w:autoSpaceDN w:val="0"/>
              <w:spacing w:line="360" w:lineRule="auto"/>
              <w:rPr>
                <w:rFonts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516B68D8">
            <w:pPr>
              <w:autoSpaceDE w:val="0"/>
              <w:autoSpaceDN w:val="0"/>
              <w:spacing w:line="360" w:lineRule="auto"/>
              <w:rPr>
                <w:rFonts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5AA853EB">
            <w:pPr>
              <w:autoSpaceDE w:val="0"/>
              <w:autoSpaceDN w:val="0"/>
              <w:spacing w:line="360" w:lineRule="auto"/>
              <w:rPr>
                <w:rFonts w:ascii="仿宋_GB2312" w:hAnsi="仿宋" w:eastAsia="仿宋_GB2312" w:cs="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586660D5">
            <w:pPr>
              <w:autoSpaceDE w:val="0"/>
              <w:autoSpaceDN w:val="0"/>
              <w:spacing w:line="360" w:lineRule="auto"/>
              <w:rPr>
                <w:rFonts w:ascii="仿宋_GB2312" w:hAnsi="仿宋" w:eastAsia="仿宋_GB2312" w:cs="仿宋_GB2312"/>
                <w:color w:val="auto"/>
                <w:sz w:val="24"/>
                <w:highlight w:val="none"/>
              </w:rPr>
            </w:pPr>
          </w:p>
        </w:tc>
      </w:tr>
      <w:tr w14:paraId="7CFD2D54">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09843824">
            <w:pPr>
              <w:autoSpaceDE w:val="0"/>
              <w:autoSpaceDN w:val="0"/>
              <w:spacing w:line="360" w:lineRule="auto"/>
              <w:jc w:val="center"/>
              <w:rPr>
                <w:rFonts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0C8CEDB2">
            <w:pPr>
              <w:autoSpaceDE w:val="0"/>
              <w:autoSpaceDN w:val="0"/>
              <w:spacing w:line="360" w:lineRule="auto"/>
              <w:rPr>
                <w:rFonts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188A639D">
            <w:pPr>
              <w:autoSpaceDE w:val="0"/>
              <w:autoSpaceDN w:val="0"/>
              <w:spacing w:line="360" w:lineRule="auto"/>
              <w:rPr>
                <w:rFonts w:ascii="仿宋_GB2312" w:hAnsi="仿宋" w:eastAsia="仿宋_GB2312" w:cs="仿宋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4D1F52CA">
            <w:pPr>
              <w:autoSpaceDE w:val="0"/>
              <w:autoSpaceDN w:val="0"/>
              <w:spacing w:line="360" w:lineRule="auto"/>
              <w:rPr>
                <w:rFonts w:ascii="仿宋_GB2312" w:hAnsi="仿宋" w:eastAsia="仿宋_GB2312" w:cs="仿宋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38EE152E">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4019861">
            <w:pPr>
              <w:autoSpaceDE w:val="0"/>
              <w:autoSpaceDN w:val="0"/>
              <w:spacing w:line="360" w:lineRule="auto"/>
              <w:rPr>
                <w:rFonts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9C4C8C5">
            <w:pPr>
              <w:autoSpaceDE w:val="0"/>
              <w:autoSpaceDN w:val="0"/>
              <w:spacing w:line="360" w:lineRule="auto"/>
              <w:rPr>
                <w:rFonts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11CEB446">
            <w:pPr>
              <w:autoSpaceDE w:val="0"/>
              <w:autoSpaceDN w:val="0"/>
              <w:spacing w:line="360" w:lineRule="auto"/>
              <w:rPr>
                <w:rFonts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757EC5A">
            <w:pPr>
              <w:autoSpaceDE w:val="0"/>
              <w:autoSpaceDN w:val="0"/>
              <w:spacing w:line="360" w:lineRule="auto"/>
              <w:rPr>
                <w:rFonts w:ascii="仿宋_GB2312" w:hAnsi="仿宋" w:eastAsia="仿宋_GB2312" w:cs="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63649579">
            <w:pPr>
              <w:autoSpaceDE w:val="0"/>
              <w:autoSpaceDN w:val="0"/>
              <w:spacing w:line="360" w:lineRule="auto"/>
              <w:rPr>
                <w:rFonts w:ascii="仿宋_GB2312" w:hAnsi="仿宋" w:eastAsia="仿宋_GB2312" w:cs="仿宋_GB2312"/>
                <w:color w:val="auto"/>
                <w:sz w:val="24"/>
                <w:highlight w:val="none"/>
              </w:rPr>
            </w:pPr>
          </w:p>
        </w:tc>
      </w:tr>
    </w:tbl>
    <w:p w14:paraId="73A72F71">
      <w:pPr>
        <w:spacing w:line="360" w:lineRule="auto"/>
        <w:rPr>
          <w:rFonts w:ascii="仿宋_GB2312" w:hAnsi="仿宋" w:eastAsia="仿宋_GB2312" w:cs="仿宋_GB2312"/>
          <w:b/>
          <w:bCs/>
          <w:color w:val="auto"/>
          <w:sz w:val="24"/>
          <w:highlight w:val="none"/>
        </w:rPr>
      </w:pPr>
      <w:r>
        <w:rPr>
          <w:rFonts w:hint="eastAsia" w:ascii="仿宋_GB2312" w:hAnsi="仿宋" w:eastAsia="仿宋_GB2312" w:cs="仿宋_GB2312"/>
          <w:b/>
          <w:color w:val="auto"/>
          <w:sz w:val="24"/>
          <w:highlight w:val="none"/>
        </w:rPr>
        <w:t>注：供应商可按上述的格式自行编制（根据评分办法提供）。</w:t>
      </w:r>
    </w:p>
    <w:p w14:paraId="4CD2DC1C">
      <w:pPr>
        <w:snapToGrid w:val="0"/>
        <w:spacing w:line="360" w:lineRule="auto"/>
        <w:ind w:firstLine="602" w:firstLineChars="200"/>
        <w:rPr>
          <w:rFonts w:ascii="仿宋" w:hAnsi="仿宋" w:eastAsia="仿宋" w:cs="仿宋_GB2312"/>
          <w:b/>
          <w:color w:val="auto"/>
          <w:sz w:val="30"/>
          <w:szCs w:val="30"/>
          <w:highlight w:val="none"/>
        </w:rPr>
      </w:pPr>
    </w:p>
    <w:p w14:paraId="16D694C7">
      <w:pPr>
        <w:autoSpaceDE w:val="0"/>
        <w:autoSpaceDN w:val="0"/>
        <w:spacing w:line="360" w:lineRule="auto"/>
        <w:ind w:firstLine="6505" w:firstLineChars="2700"/>
        <w:rPr>
          <w:rFonts w:ascii="仿宋_GB2312" w:hAnsi="仿宋" w:eastAsia="仿宋_GB2312" w:cs="仿宋_GB2312"/>
          <w:b/>
          <w:bCs/>
          <w:color w:val="auto"/>
          <w:sz w:val="24"/>
          <w:highlight w:val="none"/>
        </w:rPr>
      </w:pPr>
    </w:p>
    <w:p w14:paraId="32A6820B">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0263D954">
      <w:pPr>
        <w:autoSpaceDE w:val="0"/>
        <w:autoSpaceDN w:val="0"/>
        <w:spacing w:line="360" w:lineRule="auto"/>
        <w:ind w:firstLine="6480" w:firstLineChars="270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479727A3">
      <w:pPr>
        <w:autoSpaceDE w:val="0"/>
        <w:autoSpaceDN w:val="0"/>
        <w:spacing w:line="360" w:lineRule="auto"/>
        <w:ind w:firstLine="6480" w:firstLineChars="2700"/>
        <w:rPr>
          <w:rFonts w:ascii="仿宋_GB2312" w:hAnsi="仿宋" w:eastAsia="仿宋_GB2312" w:cs="仿宋_GB2312"/>
          <w:color w:val="auto"/>
          <w:kern w:val="0"/>
          <w:sz w:val="24"/>
          <w:highlight w:val="none"/>
          <w:lang w:val="zh-CN"/>
        </w:rPr>
      </w:pPr>
    </w:p>
    <w:p w14:paraId="456BEA61">
      <w:pPr>
        <w:tabs>
          <w:tab w:val="center" w:pos="4153"/>
          <w:tab w:val="right" w:pos="8306"/>
        </w:tabs>
        <w:snapToGrid w:val="0"/>
        <w:ind w:firstLine="5670"/>
        <w:jc w:val="left"/>
        <w:rPr>
          <w:color w:val="auto"/>
          <w:kern w:val="0"/>
          <w:sz w:val="18"/>
          <w:szCs w:val="18"/>
          <w:highlight w:val="none"/>
          <w:lang w:val="zh-CN"/>
        </w:rPr>
      </w:pPr>
    </w:p>
    <w:p w14:paraId="7DF9A692">
      <w:pPr>
        <w:tabs>
          <w:tab w:val="center" w:pos="4153"/>
          <w:tab w:val="right" w:pos="8306"/>
        </w:tabs>
        <w:snapToGrid w:val="0"/>
        <w:ind w:firstLine="5670"/>
        <w:jc w:val="left"/>
        <w:rPr>
          <w:color w:val="auto"/>
          <w:kern w:val="0"/>
          <w:sz w:val="18"/>
          <w:szCs w:val="18"/>
          <w:highlight w:val="none"/>
          <w:lang w:val="zh-CN"/>
        </w:rPr>
      </w:pPr>
    </w:p>
    <w:p w14:paraId="376E75DB">
      <w:pPr>
        <w:tabs>
          <w:tab w:val="center" w:pos="4153"/>
          <w:tab w:val="right" w:pos="8306"/>
        </w:tabs>
        <w:snapToGrid w:val="0"/>
        <w:ind w:firstLine="5670"/>
        <w:jc w:val="left"/>
        <w:rPr>
          <w:color w:val="auto"/>
          <w:kern w:val="0"/>
          <w:sz w:val="18"/>
          <w:szCs w:val="18"/>
          <w:highlight w:val="none"/>
          <w:lang w:val="zh-CN"/>
        </w:rPr>
      </w:pPr>
    </w:p>
    <w:p w14:paraId="1D3500F3">
      <w:pPr>
        <w:snapToGrid w:val="0"/>
        <w:spacing w:line="360" w:lineRule="auto"/>
        <w:ind w:firstLine="602" w:firstLineChars="200"/>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十、服务需求、商务条款要求提供的其他材料</w:t>
      </w:r>
    </w:p>
    <w:p w14:paraId="0E75B54E">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p>
    <w:p w14:paraId="3EF37DD2">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0569C776">
      <w:pPr>
        <w:autoSpaceDE w:val="0"/>
        <w:autoSpaceDN w:val="0"/>
        <w:spacing w:line="360" w:lineRule="auto"/>
        <w:ind w:firstLine="6480" w:firstLineChars="270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100B2DB3">
      <w:pPr>
        <w:autoSpaceDE w:val="0"/>
        <w:autoSpaceDN w:val="0"/>
        <w:spacing w:line="360" w:lineRule="auto"/>
        <w:ind w:firstLine="6505" w:firstLineChars="2700"/>
        <w:rPr>
          <w:rFonts w:ascii="仿宋_GB2312" w:hAnsi="仿宋" w:eastAsia="仿宋_GB2312" w:cs="仿宋_GB2312"/>
          <w:b/>
          <w:bCs/>
          <w:color w:val="auto"/>
          <w:sz w:val="24"/>
          <w:highlight w:val="none"/>
        </w:rPr>
        <w:sectPr>
          <w:pgSz w:w="11910" w:h="16840"/>
          <w:pgMar w:top="1340" w:right="1500" w:bottom="280" w:left="1680" w:header="720" w:footer="720" w:gutter="0"/>
          <w:cols w:space="720" w:num="1"/>
          <w:docGrid w:linePitch="285" w:charSpace="0"/>
        </w:sectPr>
      </w:pPr>
    </w:p>
    <w:p w14:paraId="72CFA0B5">
      <w:pPr>
        <w:autoSpaceDE w:val="0"/>
        <w:autoSpaceDN w:val="0"/>
        <w:spacing w:line="360" w:lineRule="auto"/>
        <w:ind w:firstLine="6505" w:firstLineChars="2700"/>
        <w:rPr>
          <w:rFonts w:ascii="仿宋_GB2312" w:hAnsi="仿宋" w:eastAsia="仿宋_GB2312" w:cs="仿宋_GB2312"/>
          <w:b/>
          <w:bCs/>
          <w:color w:val="auto"/>
          <w:sz w:val="24"/>
          <w:highlight w:val="none"/>
        </w:rPr>
      </w:pPr>
    </w:p>
    <w:p w14:paraId="44D7C594">
      <w:pPr>
        <w:keepNext/>
        <w:keepLines/>
        <w:spacing w:before="260" w:after="260" w:line="415" w:lineRule="auto"/>
        <w:jc w:val="center"/>
        <w:outlineLvl w:val="1"/>
        <w:rPr>
          <w:rFonts w:ascii="宋体" w:hAnsi="宋体"/>
          <w:b/>
          <w:bCs/>
          <w:color w:val="auto"/>
          <w:sz w:val="32"/>
          <w:szCs w:val="32"/>
          <w:highlight w:val="none"/>
        </w:rPr>
      </w:pPr>
      <w:bookmarkStart w:id="71" w:name="_Toc213251793"/>
      <w:r>
        <w:rPr>
          <w:rFonts w:hint="eastAsia" w:ascii="宋体" w:hAnsi="宋体"/>
          <w:b/>
          <w:bCs/>
          <w:color w:val="auto"/>
          <w:sz w:val="32"/>
          <w:szCs w:val="32"/>
          <w:highlight w:val="none"/>
        </w:rPr>
        <w:t>第四节 报价文件格式</w:t>
      </w:r>
      <w:bookmarkEnd w:id="71"/>
    </w:p>
    <w:p w14:paraId="67141ED2">
      <w:pPr>
        <w:snapToGrid w:val="0"/>
        <w:spacing w:before="120" w:beforeLines="50" w:after="50"/>
        <w:rPr>
          <w:rFonts w:ascii="宋体" w:hAnsi="宋体"/>
          <w:bCs/>
          <w:color w:val="auto"/>
          <w:sz w:val="32"/>
          <w:szCs w:val="20"/>
          <w:highlight w:val="none"/>
        </w:rPr>
      </w:pPr>
      <w:r>
        <w:rPr>
          <w:rFonts w:hint="eastAsia" w:ascii="宋体" w:hAnsi="宋体"/>
          <w:bCs/>
          <w:color w:val="auto"/>
          <w:highlight w:val="none"/>
        </w:rPr>
        <w:t>全流程电子文件</w:t>
      </w:r>
    </w:p>
    <w:p w14:paraId="0A235050">
      <w:pPr>
        <w:snapToGrid w:val="0"/>
        <w:spacing w:before="120" w:beforeLines="50" w:after="50"/>
        <w:rPr>
          <w:rFonts w:ascii="宋体" w:hAnsi="宋体"/>
          <w:color w:val="auto"/>
          <w:sz w:val="24"/>
          <w:szCs w:val="20"/>
          <w:highlight w:val="none"/>
        </w:rPr>
      </w:pPr>
    </w:p>
    <w:p w14:paraId="7234D7BF">
      <w:pPr>
        <w:snapToGrid w:val="0"/>
        <w:spacing w:before="120" w:beforeLines="50" w:after="50"/>
        <w:rPr>
          <w:rFonts w:ascii="宋体" w:hAnsi="宋体"/>
          <w:color w:val="auto"/>
          <w:sz w:val="24"/>
          <w:szCs w:val="20"/>
          <w:highlight w:val="none"/>
        </w:rPr>
      </w:pPr>
    </w:p>
    <w:p w14:paraId="07A7AFEA">
      <w:pPr>
        <w:snapToGrid w:val="0"/>
        <w:spacing w:before="120" w:beforeLines="50" w:after="50"/>
        <w:rPr>
          <w:rFonts w:ascii="宋体" w:hAnsi="宋体"/>
          <w:color w:val="auto"/>
          <w:sz w:val="24"/>
          <w:szCs w:val="20"/>
          <w:highlight w:val="none"/>
        </w:rPr>
      </w:pPr>
    </w:p>
    <w:p w14:paraId="5A9E7168">
      <w:pPr>
        <w:snapToGrid w:val="0"/>
        <w:spacing w:before="120"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件（封面）</w:t>
      </w:r>
    </w:p>
    <w:p w14:paraId="35F53168">
      <w:pPr>
        <w:snapToGrid w:val="0"/>
        <w:spacing w:before="120" w:beforeLines="50" w:after="50"/>
        <w:rPr>
          <w:rFonts w:ascii="宋体" w:hAnsi="宋体"/>
          <w:bCs/>
          <w:color w:val="auto"/>
          <w:sz w:val="24"/>
          <w:szCs w:val="20"/>
          <w:highlight w:val="none"/>
        </w:rPr>
      </w:pPr>
    </w:p>
    <w:p w14:paraId="1A770770">
      <w:pPr>
        <w:snapToGrid w:val="0"/>
        <w:spacing w:before="120" w:beforeLines="50" w:after="50"/>
        <w:rPr>
          <w:rFonts w:ascii="宋体" w:hAnsi="宋体"/>
          <w:bCs/>
          <w:color w:val="auto"/>
          <w:sz w:val="24"/>
          <w:szCs w:val="20"/>
          <w:highlight w:val="none"/>
        </w:rPr>
      </w:pPr>
    </w:p>
    <w:p w14:paraId="02612A4C">
      <w:pPr>
        <w:snapToGrid w:val="0"/>
        <w:spacing w:before="120" w:beforeLines="50" w:after="50"/>
        <w:rPr>
          <w:rFonts w:ascii="宋体" w:hAnsi="宋体"/>
          <w:bCs/>
          <w:color w:val="auto"/>
          <w:sz w:val="24"/>
          <w:szCs w:val="20"/>
          <w:highlight w:val="none"/>
        </w:rPr>
      </w:pPr>
    </w:p>
    <w:p w14:paraId="7ABC16A7">
      <w:pPr>
        <w:snapToGrid w:val="0"/>
        <w:spacing w:before="120" w:beforeLines="50" w:after="50"/>
        <w:rPr>
          <w:rFonts w:ascii="宋体" w:hAnsi="宋体"/>
          <w:bCs/>
          <w:color w:val="auto"/>
          <w:sz w:val="24"/>
          <w:szCs w:val="20"/>
          <w:highlight w:val="none"/>
        </w:rPr>
      </w:pPr>
    </w:p>
    <w:p w14:paraId="3DC3C692">
      <w:pPr>
        <w:snapToGrid w:val="0"/>
        <w:spacing w:before="120" w:beforeLines="50" w:after="50"/>
        <w:rPr>
          <w:rFonts w:ascii="宋体" w:hAnsi="宋体"/>
          <w:bCs/>
          <w:color w:val="auto"/>
          <w:sz w:val="24"/>
          <w:szCs w:val="20"/>
          <w:highlight w:val="none"/>
        </w:rPr>
      </w:pPr>
    </w:p>
    <w:p w14:paraId="0B9ECC77">
      <w:pPr>
        <w:snapToGrid w:val="0"/>
        <w:spacing w:before="120"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6E10F539">
      <w:pPr>
        <w:snapToGrid w:val="0"/>
        <w:spacing w:before="120" w:beforeLines="50" w:after="50"/>
        <w:ind w:firstLine="720" w:firstLineChars="225"/>
        <w:rPr>
          <w:rFonts w:ascii="宋体" w:hAnsi="宋体" w:cs="仿宋_GB2312"/>
          <w:bCs/>
          <w:color w:val="auto"/>
          <w:sz w:val="32"/>
          <w:szCs w:val="32"/>
          <w:highlight w:val="none"/>
        </w:rPr>
      </w:pPr>
    </w:p>
    <w:p w14:paraId="4E1181CD">
      <w:pPr>
        <w:snapToGrid w:val="0"/>
        <w:spacing w:before="120"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709882E7">
      <w:pPr>
        <w:snapToGrid w:val="0"/>
        <w:spacing w:before="120" w:beforeLines="50" w:after="50"/>
        <w:ind w:firstLine="720" w:firstLineChars="225"/>
        <w:rPr>
          <w:rFonts w:ascii="宋体" w:hAnsi="宋体" w:cs="仿宋_GB2312"/>
          <w:bCs/>
          <w:color w:val="auto"/>
          <w:sz w:val="32"/>
          <w:szCs w:val="32"/>
          <w:highlight w:val="none"/>
        </w:rPr>
      </w:pPr>
    </w:p>
    <w:p w14:paraId="5BCB436C">
      <w:pPr>
        <w:snapToGrid w:val="0"/>
        <w:spacing w:before="120"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50640987">
      <w:pPr>
        <w:snapToGrid w:val="0"/>
        <w:spacing w:before="120" w:beforeLines="50" w:after="50"/>
        <w:ind w:firstLine="720" w:firstLineChars="225"/>
        <w:rPr>
          <w:rFonts w:ascii="宋体" w:hAnsi="宋体" w:cs="仿宋_GB2312"/>
          <w:bCs/>
          <w:color w:val="auto"/>
          <w:sz w:val="32"/>
          <w:szCs w:val="32"/>
          <w:highlight w:val="none"/>
        </w:rPr>
      </w:pPr>
    </w:p>
    <w:p w14:paraId="3DAEC3D4">
      <w:pPr>
        <w:snapToGrid w:val="0"/>
        <w:spacing w:before="50" w:after="12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23947D64">
      <w:pPr>
        <w:snapToGrid w:val="0"/>
        <w:spacing w:before="50" w:after="120"/>
        <w:ind w:firstLine="720" w:firstLineChars="225"/>
        <w:rPr>
          <w:rFonts w:ascii="宋体" w:hAnsi="宋体" w:cs="仿宋_GB2312"/>
          <w:bCs/>
          <w:color w:val="auto"/>
          <w:sz w:val="32"/>
          <w:szCs w:val="32"/>
          <w:highlight w:val="none"/>
        </w:rPr>
      </w:pPr>
    </w:p>
    <w:p w14:paraId="0288A8CA">
      <w:pPr>
        <w:snapToGrid w:val="0"/>
        <w:spacing w:before="50" w:after="120"/>
        <w:ind w:firstLine="720" w:firstLineChars="225"/>
        <w:rPr>
          <w:rFonts w:ascii="宋体" w:hAnsi="宋体" w:cs="仿宋_GB2312"/>
          <w:bCs/>
          <w:color w:val="auto"/>
          <w:sz w:val="32"/>
          <w:szCs w:val="32"/>
          <w:highlight w:val="none"/>
        </w:rPr>
      </w:pPr>
    </w:p>
    <w:p w14:paraId="0828A7C2">
      <w:pPr>
        <w:snapToGrid w:val="0"/>
        <w:spacing w:before="50" w:after="120"/>
        <w:ind w:firstLine="1280" w:firstLineChars="400"/>
        <w:rPr>
          <w:rFonts w:ascii="宋体" w:hAnsi="宋体" w:cs="仿宋_GB2312"/>
          <w:bCs/>
          <w:color w:val="auto"/>
          <w:sz w:val="32"/>
          <w:szCs w:val="32"/>
          <w:highlight w:val="none"/>
        </w:rPr>
      </w:pPr>
    </w:p>
    <w:p w14:paraId="7949CED2">
      <w:pPr>
        <w:snapToGrid w:val="0"/>
        <w:spacing w:before="120"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111F8CE0">
      <w:pPr>
        <w:snapToGrid w:val="0"/>
        <w:spacing w:before="120" w:beforeLines="50" w:after="50" w:line="400" w:lineRule="exact"/>
        <w:jc w:val="center"/>
        <w:rPr>
          <w:rFonts w:ascii="宋体" w:hAnsi="宋体"/>
          <w:b/>
          <w:bCs/>
          <w:color w:val="auto"/>
          <w:sz w:val="32"/>
          <w:szCs w:val="32"/>
          <w:highlight w:val="none"/>
        </w:rPr>
      </w:pPr>
      <w:r>
        <w:rPr>
          <w:rFonts w:hint="eastAsia" w:ascii="宋体" w:hAnsi="宋体"/>
          <w:color w:val="auto"/>
          <w:sz w:val="24"/>
          <w:highlight w:val="none"/>
        </w:rPr>
        <w:br w:type="page"/>
      </w:r>
      <w:r>
        <w:rPr>
          <w:rFonts w:hint="eastAsia" w:ascii="宋体" w:hAnsi="宋体"/>
          <w:b/>
          <w:bCs/>
          <w:color w:val="auto"/>
          <w:sz w:val="32"/>
          <w:szCs w:val="32"/>
          <w:highlight w:val="none"/>
        </w:rPr>
        <w:t>报价文件目录</w:t>
      </w:r>
    </w:p>
    <w:p w14:paraId="7ECCDC3D">
      <w:pPr>
        <w:rPr>
          <w:rFonts w:ascii="宋体" w:hAnsi="宋体" w:cs="宋体"/>
          <w:color w:val="auto"/>
          <w:highlight w:val="none"/>
        </w:rPr>
      </w:pPr>
    </w:p>
    <w:p w14:paraId="092B8A87">
      <w:pP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一、响应函………………………………………………………（页码）</w:t>
      </w:r>
    </w:p>
    <w:p w14:paraId="72A11DB1">
      <w:pP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二、响应报价表…………………………………………………（页码）</w:t>
      </w:r>
    </w:p>
    <w:p w14:paraId="0DE13BEF">
      <w:pP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三、供应商应提供中小企业声明函或监狱企业证明材料或残疾人福利性单位声明函…（页码）</w:t>
      </w:r>
    </w:p>
    <w:p w14:paraId="5110ABBC">
      <w:pPr>
        <w:snapToGrid w:val="0"/>
        <w:spacing w:before="120" w:beforeLines="50" w:after="50" w:line="360" w:lineRule="auto"/>
        <w:ind w:left="142" w:firstLine="640" w:firstLineChars="200"/>
        <w:jc w:val="left"/>
        <w:rPr>
          <w:rFonts w:ascii="仿宋_GB2312" w:hAnsi="仿宋_GB2312" w:eastAsia="仿宋_GB2312" w:cs="仿宋_GB2312"/>
          <w:color w:val="auto"/>
          <w:sz w:val="32"/>
          <w:szCs w:val="32"/>
          <w:highlight w:val="none"/>
        </w:rPr>
      </w:pPr>
    </w:p>
    <w:p w14:paraId="1612D45F">
      <w:pPr>
        <w:snapToGrid w:val="0"/>
        <w:spacing w:before="120" w:beforeLines="50" w:after="50" w:line="360" w:lineRule="auto"/>
        <w:ind w:left="142" w:firstLine="480" w:firstLineChars="200"/>
        <w:jc w:val="left"/>
        <w:rPr>
          <w:rFonts w:hAnsi="宋体" w:cs="仿宋_GB2312"/>
          <w:color w:val="auto"/>
          <w:sz w:val="24"/>
          <w:highlight w:val="none"/>
        </w:rPr>
      </w:pPr>
      <w:r>
        <w:rPr>
          <w:rFonts w:hAnsi="宋体" w:cs="仿宋_GB2312"/>
          <w:color w:val="auto"/>
          <w:sz w:val="24"/>
          <w:highlight w:val="none"/>
        </w:rPr>
        <w:br w:type="page"/>
      </w:r>
      <w:r>
        <w:rPr>
          <w:rFonts w:hint="eastAsia" w:hAnsi="宋体"/>
          <w:b/>
          <w:bCs/>
          <w:color w:val="auto"/>
          <w:sz w:val="32"/>
          <w:szCs w:val="32"/>
          <w:highlight w:val="none"/>
        </w:rPr>
        <w:t>一、响应函</w:t>
      </w:r>
    </w:p>
    <w:p w14:paraId="7CE8BD2F">
      <w:pPr>
        <w:spacing w:line="500" w:lineRule="exact"/>
        <w:jc w:val="center"/>
        <w:rPr>
          <w:b/>
          <w:bCs/>
          <w:color w:val="auto"/>
          <w:kern w:val="0"/>
          <w:sz w:val="30"/>
          <w:szCs w:val="30"/>
          <w:highlight w:val="none"/>
        </w:rPr>
      </w:pPr>
      <w:r>
        <w:rPr>
          <w:rFonts w:hint="eastAsia"/>
          <w:b/>
          <w:bCs/>
          <w:color w:val="auto"/>
          <w:kern w:val="0"/>
          <w:sz w:val="30"/>
          <w:szCs w:val="30"/>
          <w:highlight w:val="none"/>
        </w:rPr>
        <w:t>响应函</w:t>
      </w:r>
    </w:p>
    <w:p w14:paraId="1DC153C3">
      <w:pPr>
        <w:spacing w:line="500" w:lineRule="exact"/>
        <w:rPr>
          <w:color w:val="auto"/>
          <w:kern w:val="0"/>
          <w:sz w:val="32"/>
          <w:szCs w:val="21"/>
          <w:highlight w:val="none"/>
        </w:rPr>
      </w:pPr>
    </w:p>
    <w:p w14:paraId="0760FED0">
      <w:pPr>
        <w:spacing w:line="400" w:lineRule="exact"/>
        <w:rPr>
          <w:color w:val="auto"/>
          <w:kern w:val="0"/>
          <w:szCs w:val="21"/>
          <w:highlight w:val="none"/>
        </w:rPr>
      </w:pPr>
      <w:r>
        <w:rPr>
          <w:rFonts w:hint="eastAsia"/>
          <w:color w:val="auto"/>
          <w:kern w:val="0"/>
          <w:szCs w:val="21"/>
          <w:highlight w:val="none"/>
        </w:rPr>
        <w:t>致：（采购代理机构名称）</w:t>
      </w:r>
    </w:p>
    <w:p w14:paraId="07FA4111">
      <w:pPr>
        <w:spacing w:line="400" w:lineRule="exact"/>
        <w:ind w:firstLine="420" w:firstLineChars="200"/>
        <w:rPr>
          <w:color w:val="auto"/>
          <w:kern w:val="0"/>
          <w:szCs w:val="21"/>
          <w:highlight w:val="none"/>
        </w:rPr>
      </w:pPr>
    </w:p>
    <w:p w14:paraId="210EFB05">
      <w:pPr>
        <w:spacing w:line="400" w:lineRule="exact"/>
        <w:ind w:firstLine="420" w:firstLineChars="200"/>
        <w:rPr>
          <w:color w:val="auto"/>
          <w:kern w:val="0"/>
          <w:szCs w:val="21"/>
          <w:highlight w:val="none"/>
        </w:rPr>
      </w:pPr>
      <w:r>
        <w:rPr>
          <w:rFonts w:hint="eastAsia" w:ascii="宋体" w:hAnsi="Courier New"/>
          <w:color w:val="auto"/>
          <w:kern w:val="0"/>
          <w:szCs w:val="21"/>
          <w:highlight w:val="none"/>
        </w:rPr>
        <w:t xml:space="preserve">我方已仔细阅读了贵方组织的项目（项目编号：）的竞争性磋商采购文件的全部内容，现正式递交下述文件参加贵方组织的本次政府采购活动： </w:t>
      </w:r>
    </w:p>
    <w:p w14:paraId="6D755AB9">
      <w:pPr>
        <w:spacing w:line="400" w:lineRule="exact"/>
        <w:ind w:firstLine="420" w:firstLineChars="200"/>
        <w:rPr>
          <w:rFonts w:ascii="宋体" w:hAnsi="Courier New"/>
          <w:color w:val="auto"/>
          <w:kern w:val="0"/>
          <w:szCs w:val="21"/>
          <w:highlight w:val="none"/>
        </w:rPr>
      </w:pPr>
      <w:r>
        <w:rPr>
          <w:rFonts w:hint="eastAsia" w:ascii="宋体" w:hAnsi="Courier New"/>
          <w:color w:val="auto"/>
          <w:kern w:val="0"/>
          <w:szCs w:val="21"/>
          <w:highlight w:val="none"/>
        </w:rPr>
        <w:t>一、首次报价文件电子版   份（包含按“第三章 供应商须知”提交的全部文件）；</w:t>
      </w:r>
    </w:p>
    <w:p w14:paraId="7A5F5CFE">
      <w:pPr>
        <w:spacing w:line="400" w:lineRule="exact"/>
        <w:ind w:firstLine="420" w:firstLineChars="200"/>
        <w:rPr>
          <w:color w:val="auto"/>
          <w:kern w:val="0"/>
          <w:szCs w:val="21"/>
          <w:highlight w:val="none"/>
        </w:rPr>
      </w:pPr>
      <w:r>
        <w:rPr>
          <w:rFonts w:hint="eastAsia" w:ascii="宋体" w:hAnsi="Courier New"/>
          <w:color w:val="auto"/>
          <w:kern w:val="0"/>
          <w:szCs w:val="21"/>
          <w:highlight w:val="none"/>
        </w:rPr>
        <w:t>二、资格证明文件电子版  份（包含按“第三章供应商须知”提交的全部文件）；</w:t>
      </w:r>
    </w:p>
    <w:p w14:paraId="1C0DB694">
      <w:pPr>
        <w:spacing w:line="400" w:lineRule="exact"/>
        <w:ind w:firstLine="420" w:firstLineChars="200"/>
        <w:rPr>
          <w:color w:val="auto"/>
          <w:kern w:val="0"/>
          <w:szCs w:val="21"/>
          <w:highlight w:val="none"/>
        </w:rPr>
      </w:pPr>
      <w:r>
        <w:rPr>
          <w:rFonts w:hint="eastAsia" w:ascii="宋体" w:hAnsi="Courier New"/>
          <w:color w:val="auto"/>
          <w:kern w:val="0"/>
          <w:szCs w:val="21"/>
          <w:highlight w:val="none"/>
        </w:rPr>
        <w:t>三、</w:t>
      </w:r>
      <w:r>
        <w:rPr>
          <w:rFonts w:hint="eastAsia" w:ascii="宋体" w:hAnsi="宋体"/>
          <w:color w:val="auto"/>
          <w:kern w:val="0"/>
          <w:szCs w:val="21"/>
          <w:highlight w:val="none"/>
        </w:rPr>
        <w:t>技术</w:t>
      </w:r>
      <w:r>
        <w:rPr>
          <w:rFonts w:hint="eastAsia" w:ascii="宋体" w:hAnsi="Courier New"/>
          <w:color w:val="auto"/>
          <w:kern w:val="0"/>
          <w:szCs w:val="21"/>
          <w:highlight w:val="none"/>
        </w:rPr>
        <w:t>文件电子版  份（包含按“第三章 供应商须知”提交的全部文件）；商务</w:t>
      </w:r>
      <w:r>
        <w:rPr>
          <w:rFonts w:hint="eastAsia" w:ascii="宋体" w:hAnsi="宋体"/>
          <w:color w:val="auto"/>
          <w:kern w:val="0"/>
          <w:szCs w:val="21"/>
          <w:highlight w:val="none"/>
        </w:rPr>
        <w:t>文件</w:t>
      </w:r>
      <w:r>
        <w:rPr>
          <w:rFonts w:hint="eastAsia" w:ascii="宋体" w:hAnsi="Courier New"/>
          <w:color w:val="auto"/>
          <w:kern w:val="0"/>
          <w:szCs w:val="21"/>
          <w:highlight w:val="none"/>
        </w:rPr>
        <w:t>电子版</w:t>
      </w:r>
      <w:r>
        <w:rPr>
          <w:rFonts w:hint="eastAsia" w:ascii="宋体" w:hAnsi="Courier New"/>
          <w:color w:val="auto"/>
          <w:kern w:val="0"/>
          <w:szCs w:val="21"/>
          <w:highlight w:val="none"/>
          <w:u w:val="single"/>
        </w:rPr>
        <w:t xml:space="preserve">   份</w:t>
      </w:r>
      <w:r>
        <w:rPr>
          <w:rFonts w:hint="eastAsia" w:ascii="宋体" w:hAnsi="Courier New"/>
          <w:color w:val="auto"/>
          <w:kern w:val="0"/>
          <w:szCs w:val="21"/>
          <w:highlight w:val="none"/>
        </w:rPr>
        <w:t>（包含按“第三章 供应商须知”提交的全部文件）；（商务技术文件已合并装订成册）</w:t>
      </w:r>
    </w:p>
    <w:p w14:paraId="5C9C1545">
      <w:pPr>
        <w:spacing w:line="400" w:lineRule="exact"/>
        <w:ind w:firstLine="420" w:firstLineChars="200"/>
        <w:rPr>
          <w:color w:val="auto"/>
          <w:kern w:val="0"/>
          <w:szCs w:val="21"/>
          <w:highlight w:val="none"/>
        </w:rPr>
      </w:pPr>
      <w:r>
        <w:rPr>
          <w:rFonts w:hint="eastAsia" w:ascii="宋体" w:hAnsi="Courier New"/>
          <w:color w:val="auto"/>
          <w:kern w:val="0"/>
          <w:szCs w:val="21"/>
          <w:highlight w:val="none"/>
        </w:rPr>
        <w:t>据此函，签字人兹宣布：</w:t>
      </w:r>
    </w:p>
    <w:p w14:paraId="37B9DC4D">
      <w:pPr>
        <w:spacing w:line="400" w:lineRule="exact"/>
        <w:ind w:firstLine="482"/>
        <w:rPr>
          <w:color w:val="auto"/>
          <w:kern w:val="0"/>
          <w:szCs w:val="21"/>
          <w:highlight w:val="none"/>
        </w:rPr>
      </w:pPr>
      <w:r>
        <w:rPr>
          <w:rFonts w:hint="eastAsia" w:ascii="宋体" w:hAnsi="Courier New"/>
          <w:color w:val="auto"/>
          <w:kern w:val="0"/>
          <w:szCs w:val="21"/>
          <w:highlight w:val="none"/>
        </w:rPr>
        <w:t>1.我方愿意以</w:t>
      </w:r>
      <w:r>
        <w:rPr>
          <w:rFonts w:hint="default" w:ascii="Times New Roman" w:hAnsi="Times New Roman" w:eastAsia="宋体" w:cs="Times New Roman"/>
          <w:color w:val="auto"/>
          <w:kern w:val="0"/>
          <w:szCs w:val="21"/>
          <w:highlight w:val="none"/>
        </w:rPr>
        <w:t>监测报告价格</w:t>
      </w:r>
      <w:r>
        <w:rPr>
          <w:rFonts w:hint="eastAsia" w:ascii="宋体" w:hAnsi="宋体" w:cs="宋体"/>
          <w:color w:val="auto"/>
          <w:szCs w:val="21"/>
          <w:highlight w:val="none"/>
        </w:rPr>
        <w:t>下浮系数报价为：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Courier New"/>
          <w:color w:val="auto"/>
          <w:kern w:val="0"/>
          <w:szCs w:val="21"/>
          <w:highlight w:val="none"/>
          <w:u w:val="none"/>
          <w:lang w:eastAsia="zh-CN"/>
        </w:rPr>
        <w:t>，</w:t>
      </w:r>
      <w:r>
        <w:rPr>
          <w:rFonts w:hint="default" w:ascii="Times New Roman" w:hAnsi="Times New Roman" w:eastAsia="宋体" w:cs="Times New Roman"/>
          <w:color w:val="auto"/>
          <w:kern w:val="0"/>
          <w:szCs w:val="21"/>
          <w:highlight w:val="none"/>
        </w:rPr>
        <w:t>监测数据表价格</w:t>
      </w:r>
      <w:r>
        <w:rPr>
          <w:rFonts w:hint="eastAsia" w:ascii="宋体" w:hAnsi="宋体" w:cs="宋体"/>
          <w:color w:val="auto"/>
          <w:szCs w:val="21"/>
          <w:highlight w:val="none"/>
        </w:rPr>
        <w:t>下浮系数报价为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Courier New"/>
          <w:color w:val="auto"/>
          <w:kern w:val="0"/>
          <w:szCs w:val="21"/>
          <w:highlight w:val="none"/>
          <w:lang w:val="en-US" w:eastAsia="zh-CN"/>
        </w:rPr>
        <w:t xml:space="preserve"> </w:t>
      </w:r>
      <w:r>
        <w:rPr>
          <w:rFonts w:hint="eastAsia" w:ascii="宋体" w:hAnsi="Courier New"/>
          <w:color w:val="auto"/>
          <w:kern w:val="0"/>
          <w:szCs w:val="21"/>
          <w:highlight w:val="none"/>
        </w:rPr>
        <w:t>，提供服务期</w:t>
      </w:r>
      <w:r>
        <w:rPr>
          <w:rFonts w:hint="eastAsia" w:ascii="宋体" w:hAnsi="Courier New"/>
          <w:color w:val="auto"/>
          <w:kern w:val="0"/>
          <w:szCs w:val="21"/>
          <w:highlight w:val="none"/>
          <w:u w:val="single"/>
          <w:lang w:val="en-US" w:eastAsia="zh-CN"/>
        </w:rPr>
        <w:t xml:space="preserve">           </w:t>
      </w:r>
      <w:r>
        <w:rPr>
          <w:rFonts w:hint="eastAsia" w:ascii="宋体" w:hAnsi="Courier New"/>
          <w:color w:val="auto"/>
          <w:kern w:val="0"/>
          <w:szCs w:val="21"/>
          <w:highlight w:val="none"/>
        </w:rPr>
        <w:t>（无分标时填写），提供本项目竞争性磋商采购文件第二章“服务需求一览表”中相应的采购内容。</w:t>
      </w:r>
    </w:p>
    <w:p w14:paraId="012480E0">
      <w:pPr>
        <w:spacing w:line="400" w:lineRule="exact"/>
        <w:ind w:firstLine="482"/>
        <w:rPr>
          <w:rFonts w:ascii="宋体" w:hAnsi="Courier New"/>
          <w:color w:val="auto"/>
          <w:kern w:val="0"/>
          <w:szCs w:val="21"/>
          <w:highlight w:val="none"/>
        </w:rPr>
      </w:pPr>
      <w:r>
        <w:rPr>
          <w:rFonts w:hint="eastAsia" w:ascii="宋体" w:hAnsi="Courier New"/>
          <w:color w:val="auto"/>
          <w:kern w:val="0"/>
          <w:szCs w:val="21"/>
          <w:highlight w:val="none"/>
        </w:rPr>
        <w:t>2.我方同意自本项目竞争性磋商采购文件采购公告规定的递交响应文件截止时间起遵循</w:t>
      </w:r>
      <w:r>
        <w:rPr>
          <w:rFonts w:hint="eastAsia" w:ascii="宋体" w:hAnsi="宋体"/>
          <w:color w:val="auto"/>
          <w:kern w:val="0"/>
          <w:szCs w:val="21"/>
          <w:highlight w:val="none"/>
        </w:rPr>
        <w:t>本响应函</w:t>
      </w:r>
      <w:r>
        <w:rPr>
          <w:rFonts w:hint="eastAsia" w:ascii="宋体" w:hAnsi="Courier New"/>
          <w:color w:val="auto"/>
          <w:kern w:val="0"/>
          <w:szCs w:val="21"/>
          <w:highlight w:val="none"/>
        </w:rPr>
        <w:t>，并承诺在“第三章 供应商须知”规定的响应有效期内不修改、撤销响应文件。</w:t>
      </w:r>
    </w:p>
    <w:p w14:paraId="2A1B300B">
      <w:pPr>
        <w:spacing w:line="400" w:lineRule="exact"/>
        <w:ind w:firstLine="482"/>
        <w:rPr>
          <w:rFonts w:ascii="宋体" w:hAnsi="Courier New"/>
          <w:color w:val="auto"/>
          <w:kern w:val="0"/>
          <w:szCs w:val="21"/>
          <w:highlight w:val="none"/>
        </w:rPr>
      </w:pPr>
      <w:r>
        <w:rPr>
          <w:rFonts w:hint="eastAsia" w:ascii="宋体" w:hAnsi="Courier New"/>
          <w:color w:val="auto"/>
          <w:kern w:val="0"/>
          <w:szCs w:val="21"/>
          <w:highlight w:val="none"/>
        </w:rPr>
        <w:t>3.我方在此声明，所递交的响应文件及有关资料内容完整、真实和准确。</w:t>
      </w:r>
    </w:p>
    <w:p w14:paraId="1C547C8D">
      <w:pPr>
        <w:spacing w:line="400" w:lineRule="exact"/>
        <w:ind w:firstLine="482"/>
        <w:rPr>
          <w:rFonts w:ascii="宋体" w:hAnsi="Courier New"/>
          <w:color w:val="auto"/>
          <w:kern w:val="0"/>
          <w:szCs w:val="21"/>
          <w:highlight w:val="none"/>
        </w:rPr>
      </w:pPr>
      <w:r>
        <w:rPr>
          <w:rFonts w:hint="eastAsia" w:ascii="宋体" w:hAnsi="Courier New"/>
          <w:color w:val="auto"/>
          <w:kern w:val="0"/>
          <w:szCs w:val="21"/>
          <w:highlight w:val="none"/>
        </w:rPr>
        <w:t>4.如本项目采购内容涉及须符合国家强制规定的，我方承诺我方本次竞标均符合国家有关强制规定。</w:t>
      </w:r>
    </w:p>
    <w:p w14:paraId="0DB2B58E">
      <w:pPr>
        <w:spacing w:line="400" w:lineRule="exact"/>
        <w:ind w:firstLine="482"/>
        <w:rPr>
          <w:rFonts w:ascii="宋体" w:hAnsi="Courier New"/>
          <w:color w:val="auto"/>
          <w:kern w:val="0"/>
          <w:szCs w:val="21"/>
          <w:highlight w:val="none"/>
        </w:rPr>
      </w:pPr>
      <w:r>
        <w:rPr>
          <w:rFonts w:hint="eastAsia" w:ascii="宋体" w:hAnsi="Courier New"/>
          <w:color w:val="auto"/>
          <w:kern w:val="0"/>
          <w:szCs w:val="21"/>
          <w:highlight w:val="none"/>
        </w:rPr>
        <w:t>5.我方承诺未被列入失信被执行人、重大税收违法失信主体、政府采购严重违法失信行为记录名单，并已经具备《中华人民共和国政府采购法》中规定的参加政府采购活动的供应商应当具备的条件：</w:t>
      </w:r>
    </w:p>
    <w:p w14:paraId="26B2BB20">
      <w:pPr>
        <w:numPr>
          <w:ilvl w:val="0"/>
          <w:numId w:val="2"/>
        </w:numPr>
        <w:tabs>
          <w:tab w:val="left" w:pos="945"/>
        </w:tabs>
        <w:spacing w:line="400" w:lineRule="exact"/>
        <w:rPr>
          <w:rFonts w:ascii="宋体" w:hAnsi="Courier New"/>
          <w:color w:val="auto"/>
          <w:kern w:val="0"/>
          <w:szCs w:val="21"/>
          <w:highlight w:val="none"/>
        </w:rPr>
      </w:pPr>
      <w:r>
        <w:rPr>
          <w:rFonts w:hint="eastAsia" w:ascii="宋体" w:hAnsi="Courier New"/>
          <w:color w:val="auto"/>
          <w:kern w:val="0"/>
          <w:szCs w:val="21"/>
          <w:highlight w:val="none"/>
        </w:rPr>
        <w:t>具有独立承担民事责任的能力；</w:t>
      </w:r>
    </w:p>
    <w:p w14:paraId="188324BC">
      <w:pPr>
        <w:numPr>
          <w:ilvl w:val="0"/>
          <w:numId w:val="2"/>
        </w:numPr>
        <w:tabs>
          <w:tab w:val="left" w:pos="945"/>
        </w:tabs>
        <w:spacing w:line="400" w:lineRule="exact"/>
        <w:rPr>
          <w:rFonts w:ascii="宋体" w:hAnsi="Courier New"/>
          <w:color w:val="auto"/>
          <w:kern w:val="0"/>
          <w:szCs w:val="21"/>
          <w:highlight w:val="none"/>
        </w:rPr>
      </w:pPr>
      <w:r>
        <w:rPr>
          <w:rFonts w:hint="eastAsia" w:ascii="宋体" w:hAnsi="Courier New"/>
          <w:color w:val="auto"/>
          <w:kern w:val="0"/>
          <w:szCs w:val="21"/>
          <w:highlight w:val="none"/>
        </w:rPr>
        <w:t>具有良好的商业信誉和健全的财务会计制度；</w:t>
      </w:r>
    </w:p>
    <w:p w14:paraId="58E74C7B">
      <w:pPr>
        <w:numPr>
          <w:ilvl w:val="0"/>
          <w:numId w:val="2"/>
        </w:numPr>
        <w:tabs>
          <w:tab w:val="left" w:pos="945"/>
        </w:tabs>
        <w:spacing w:line="400" w:lineRule="exact"/>
        <w:rPr>
          <w:rFonts w:ascii="宋体" w:hAnsi="Courier New"/>
          <w:color w:val="auto"/>
          <w:kern w:val="0"/>
          <w:szCs w:val="21"/>
          <w:highlight w:val="none"/>
        </w:rPr>
      </w:pPr>
      <w:r>
        <w:rPr>
          <w:rFonts w:hint="eastAsia" w:ascii="宋体" w:hAnsi="Courier New"/>
          <w:color w:val="auto"/>
          <w:kern w:val="0"/>
          <w:szCs w:val="21"/>
          <w:highlight w:val="none"/>
        </w:rPr>
        <w:t>具有履行合同所必需的设备和专业技术能力；</w:t>
      </w:r>
    </w:p>
    <w:p w14:paraId="0FD152E4">
      <w:pPr>
        <w:numPr>
          <w:ilvl w:val="0"/>
          <w:numId w:val="2"/>
        </w:numPr>
        <w:tabs>
          <w:tab w:val="left" w:pos="945"/>
        </w:tabs>
        <w:spacing w:line="400" w:lineRule="exact"/>
        <w:rPr>
          <w:rFonts w:ascii="宋体" w:hAnsi="Courier New"/>
          <w:color w:val="auto"/>
          <w:kern w:val="0"/>
          <w:szCs w:val="21"/>
          <w:highlight w:val="none"/>
        </w:rPr>
      </w:pPr>
      <w:r>
        <w:rPr>
          <w:rFonts w:hint="eastAsia" w:ascii="宋体" w:hAnsi="Courier New"/>
          <w:color w:val="auto"/>
          <w:kern w:val="0"/>
          <w:szCs w:val="21"/>
          <w:highlight w:val="none"/>
        </w:rPr>
        <w:t>有依法缴纳税收和社会保障资金的良好记录；</w:t>
      </w:r>
    </w:p>
    <w:p w14:paraId="5939401D">
      <w:pPr>
        <w:numPr>
          <w:ilvl w:val="0"/>
          <w:numId w:val="2"/>
        </w:numPr>
        <w:tabs>
          <w:tab w:val="left" w:pos="945"/>
        </w:tabs>
        <w:spacing w:line="400" w:lineRule="exact"/>
        <w:rPr>
          <w:rFonts w:ascii="宋体" w:hAnsi="Courier New"/>
          <w:color w:val="auto"/>
          <w:kern w:val="0"/>
          <w:szCs w:val="21"/>
          <w:highlight w:val="none"/>
        </w:rPr>
      </w:pPr>
      <w:r>
        <w:rPr>
          <w:rFonts w:hint="eastAsia" w:ascii="宋体" w:hAnsi="Courier New"/>
          <w:color w:val="auto"/>
          <w:kern w:val="0"/>
          <w:szCs w:val="21"/>
          <w:highlight w:val="none"/>
        </w:rPr>
        <w:t>参加政府采购活动前三年内，在经营活动中没有重大违法记录；</w:t>
      </w:r>
    </w:p>
    <w:p w14:paraId="5A76CF73">
      <w:pPr>
        <w:numPr>
          <w:ilvl w:val="0"/>
          <w:numId w:val="2"/>
        </w:numPr>
        <w:tabs>
          <w:tab w:val="left" w:pos="945"/>
        </w:tabs>
        <w:spacing w:line="400" w:lineRule="exact"/>
        <w:rPr>
          <w:rFonts w:ascii="宋体" w:hAnsi="Courier New"/>
          <w:color w:val="auto"/>
          <w:kern w:val="0"/>
          <w:szCs w:val="21"/>
          <w:highlight w:val="none"/>
        </w:rPr>
      </w:pPr>
      <w:r>
        <w:rPr>
          <w:rFonts w:hint="eastAsia" w:ascii="宋体" w:hAnsi="Courier New"/>
          <w:color w:val="auto"/>
          <w:kern w:val="0"/>
          <w:szCs w:val="21"/>
          <w:highlight w:val="none"/>
        </w:rPr>
        <w:t>法律、行政法规规定的其他条件。</w:t>
      </w:r>
    </w:p>
    <w:p w14:paraId="4CA94573">
      <w:pPr>
        <w:spacing w:line="400" w:lineRule="exact"/>
        <w:ind w:firstLine="482"/>
        <w:rPr>
          <w:rFonts w:ascii="宋体" w:hAnsi="Courier New"/>
          <w:color w:val="auto"/>
          <w:kern w:val="0"/>
          <w:szCs w:val="21"/>
          <w:highlight w:val="none"/>
        </w:rPr>
      </w:pPr>
      <w:r>
        <w:rPr>
          <w:rFonts w:hint="eastAsia" w:ascii="宋体" w:hAnsi="Courier New"/>
          <w:color w:val="auto"/>
          <w:kern w:val="0"/>
          <w:szCs w:val="21"/>
          <w:highlight w:val="none"/>
        </w:rPr>
        <w:t>6.如我方成交，我方承诺在收到成交通知书后，在成交通知书规定的期限内，</w:t>
      </w:r>
      <w:r>
        <w:rPr>
          <w:rFonts w:hint="eastAsia" w:ascii="宋体" w:hAnsi="宋体"/>
          <w:color w:val="auto"/>
          <w:kern w:val="0"/>
          <w:szCs w:val="21"/>
          <w:highlight w:val="none"/>
        </w:rPr>
        <w:t>根据竞争性磋商采购文件、我方的响应文件及有关澄清承诺书的要求按第六章“合同文本”与采购人订立书面合同，并按照合同约定</w:t>
      </w:r>
      <w:r>
        <w:rPr>
          <w:rFonts w:hint="eastAsia" w:ascii="宋体" w:hAnsi="Courier New"/>
          <w:color w:val="auto"/>
          <w:kern w:val="0"/>
          <w:szCs w:val="21"/>
          <w:highlight w:val="none"/>
        </w:rPr>
        <w:t>承担完成合同的责任和义务。</w:t>
      </w:r>
    </w:p>
    <w:p w14:paraId="72A7B488">
      <w:pPr>
        <w:spacing w:line="400" w:lineRule="exact"/>
        <w:ind w:firstLine="482"/>
        <w:rPr>
          <w:rFonts w:ascii="宋体" w:hAnsi="Courier New"/>
          <w:color w:val="auto"/>
          <w:kern w:val="0"/>
          <w:szCs w:val="21"/>
          <w:highlight w:val="none"/>
        </w:rPr>
      </w:pPr>
      <w:r>
        <w:rPr>
          <w:rFonts w:hint="eastAsia" w:ascii="宋体" w:hAnsi="Courier New"/>
          <w:color w:val="auto"/>
          <w:kern w:val="0"/>
          <w:szCs w:val="21"/>
          <w:highlight w:val="none"/>
        </w:rPr>
        <w:t>7.我方已详细审核竞争性磋商采购文件，我方知道必须放弃提出含糊不清或误解问题的权利。</w:t>
      </w:r>
    </w:p>
    <w:p w14:paraId="775C0DE7">
      <w:pPr>
        <w:spacing w:line="400" w:lineRule="exact"/>
        <w:ind w:firstLine="482"/>
        <w:rPr>
          <w:rFonts w:ascii="宋体" w:hAnsi="Courier New"/>
          <w:color w:val="auto"/>
          <w:kern w:val="0"/>
          <w:szCs w:val="21"/>
          <w:highlight w:val="none"/>
        </w:rPr>
      </w:pPr>
      <w:r>
        <w:rPr>
          <w:rFonts w:hint="eastAsia" w:ascii="宋体" w:hAnsi="Courier New"/>
          <w:color w:val="auto"/>
          <w:kern w:val="0"/>
          <w:szCs w:val="21"/>
          <w:highlight w:val="none"/>
        </w:rPr>
        <w:t>8.我方承诺满足竞争性磋商采购文件</w:t>
      </w:r>
      <w:r>
        <w:rPr>
          <w:rFonts w:hint="eastAsia" w:ascii="宋体" w:hAnsi="宋体"/>
          <w:color w:val="auto"/>
          <w:kern w:val="0"/>
          <w:szCs w:val="21"/>
          <w:highlight w:val="none"/>
        </w:rPr>
        <w:t>第六章“合同文本”</w:t>
      </w:r>
      <w:r>
        <w:rPr>
          <w:rFonts w:hint="eastAsia" w:ascii="宋体" w:hAnsi="Courier New"/>
          <w:color w:val="auto"/>
          <w:kern w:val="0"/>
          <w:szCs w:val="21"/>
          <w:highlight w:val="none"/>
        </w:rPr>
        <w:t>的条款，承担完成合同的责任和义务。</w:t>
      </w:r>
    </w:p>
    <w:p w14:paraId="1CF7C5B3">
      <w:pPr>
        <w:spacing w:line="400" w:lineRule="exact"/>
        <w:ind w:firstLine="482"/>
        <w:rPr>
          <w:rFonts w:ascii="宋体" w:hAnsi="Courier New"/>
          <w:color w:val="auto"/>
          <w:kern w:val="0"/>
          <w:szCs w:val="21"/>
          <w:highlight w:val="none"/>
        </w:rPr>
      </w:pPr>
      <w:r>
        <w:rPr>
          <w:rFonts w:hint="eastAsia" w:ascii="宋体" w:hAnsi="Courier New"/>
          <w:color w:val="auto"/>
          <w:kern w:val="0"/>
          <w:szCs w:val="21"/>
          <w:highlight w:val="none"/>
        </w:rPr>
        <w:t>9.我方同意应贵方要求提供与本竞标有关的任何数据或资料。若贵方需要，我方愿意提供我方作出的一切承诺的证明材料。</w:t>
      </w:r>
    </w:p>
    <w:p w14:paraId="46EA3D5E">
      <w:pPr>
        <w:spacing w:line="400" w:lineRule="exact"/>
        <w:ind w:firstLine="482"/>
        <w:rPr>
          <w:rFonts w:ascii="宋体" w:hAnsi="Courier New"/>
          <w:color w:val="auto"/>
          <w:kern w:val="0"/>
          <w:szCs w:val="21"/>
          <w:highlight w:val="none"/>
        </w:rPr>
      </w:pPr>
      <w:r>
        <w:rPr>
          <w:rFonts w:hint="eastAsia" w:ascii="宋体" w:hAnsi="Courier New"/>
          <w:color w:val="auto"/>
          <w:kern w:val="0"/>
          <w:szCs w:val="21"/>
          <w:highlight w:val="none"/>
        </w:rPr>
        <w:t>10.我方完全理解贵方不一定接受响应报价最低的竞标人为成交供应商的行为。</w:t>
      </w:r>
    </w:p>
    <w:p w14:paraId="253607AB">
      <w:pPr>
        <w:spacing w:line="400" w:lineRule="exact"/>
        <w:ind w:firstLine="482"/>
        <w:rPr>
          <w:rFonts w:ascii="宋体" w:hAnsi="Courier New"/>
          <w:color w:val="auto"/>
          <w:kern w:val="0"/>
          <w:szCs w:val="21"/>
          <w:highlight w:val="none"/>
        </w:rPr>
      </w:pPr>
      <w:r>
        <w:rPr>
          <w:rFonts w:hint="eastAsia" w:ascii="宋体" w:hAnsi="Courier New"/>
          <w:color w:val="auto"/>
          <w:kern w:val="0"/>
          <w:szCs w:val="21"/>
          <w:highlight w:val="none"/>
        </w:rPr>
        <w:t>11.我方将严格遵守《中华人民共和国政府采购法》第七十七条的规定，即供应商有下列情形之一的，处以采购金额千分之五以上千分之十</w:t>
      </w:r>
      <w:r>
        <w:rPr>
          <w:rFonts w:hint="eastAsia" w:ascii="宋体" w:hAnsi="宋体"/>
          <w:color w:val="auto"/>
          <w:kern w:val="0"/>
          <w:szCs w:val="21"/>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4C60AD71">
      <w:pPr>
        <w:numPr>
          <w:ilvl w:val="0"/>
          <w:numId w:val="3"/>
        </w:numPr>
        <w:tabs>
          <w:tab w:val="left" w:pos="945"/>
        </w:tabs>
        <w:spacing w:line="400" w:lineRule="exact"/>
        <w:rPr>
          <w:rFonts w:ascii="宋体" w:hAnsi="宋体"/>
          <w:color w:val="auto"/>
          <w:kern w:val="0"/>
          <w:szCs w:val="21"/>
          <w:highlight w:val="none"/>
        </w:rPr>
      </w:pPr>
      <w:r>
        <w:rPr>
          <w:rFonts w:hint="eastAsia" w:ascii="宋体" w:hAnsi="宋体"/>
          <w:color w:val="auto"/>
          <w:kern w:val="0"/>
          <w:szCs w:val="21"/>
          <w:highlight w:val="none"/>
        </w:rPr>
        <w:t>提供虚假材料谋取中标、成交的；</w:t>
      </w:r>
    </w:p>
    <w:p w14:paraId="675A0B44">
      <w:pPr>
        <w:numPr>
          <w:ilvl w:val="0"/>
          <w:numId w:val="3"/>
        </w:numPr>
        <w:tabs>
          <w:tab w:val="left" w:pos="945"/>
        </w:tabs>
        <w:spacing w:line="400" w:lineRule="exact"/>
        <w:rPr>
          <w:rFonts w:ascii="宋体" w:hAnsi="宋体"/>
          <w:color w:val="auto"/>
          <w:kern w:val="0"/>
          <w:szCs w:val="21"/>
          <w:highlight w:val="none"/>
        </w:rPr>
      </w:pPr>
      <w:r>
        <w:rPr>
          <w:rFonts w:hint="eastAsia" w:ascii="宋体" w:hAnsi="宋体"/>
          <w:color w:val="auto"/>
          <w:kern w:val="0"/>
          <w:szCs w:val="21"/>
          <w:highlight w:val="none"/>
        </w:rPr>
        <w:t>采取不正当手段诋毁、排挤其他供应商的；</w:t>
      </w:r>
    </w:p>
    <w:p w14:paraId="4418DC22">
      <w:pPr>
        <w:numPr>
          <w:ilvl w:val="0"/>
          <w:numId w:val="3"/>
        </w:numPr>
        <w:tabs>
          <w:tab w:val="left" w:pos="945"/>
        </w:tabs>
        <w:spacing w:line="400" w:lineRule="exact"/>
        <w:rPr>
          <w:rFonts w:ascii="宋体" w:hAnsi="Courier New"/>
          <w:color w:val="auto"/>
          <w:kern w:val="0"/>
          <w:szCs w:val="21"/>
          <w:highlight w:val="none"/>
        </w:rPr>
      </w:pPr>
      <w:r>
        <w:rPr>
          <w:rFonts w:hint="eastAsia" w:ascii="宋体" w:hAnsi="宋体"/>
          <w:color w:val="auto"/>
          <w:kern w:val="0"/>
          <w:szCs w:val="21"/>
          <w:highlight w:val="none"/>
        </w:rPr>
        <w:t>与采购人、其他供应商或者采购代理机构恶意串通的；</w:t>
      </w:r>
    </w:p>
    <w:p w14:paraId="579119FD">
      <w:pPr>
        <w:numPr>
          <w:ilvl w:val="0"/>
          <w:numId w:val="3"/>
        </w:numPr>
        <w:tabs>
          <w:tab w:val="left" w:pos="945"/>
        </w:tabs>
        <w:spacing w:line="400" w:lineRule="exact"/>
        <w:rPr>
          <w:rFonts w:ascii="宋体" w:hAnsi="Courier New"/>
          <w:color w:val="auto"/>
          <w:kern w:val="0"/>
          <w:szCs w:val="21"/>
          <w:highlight w:val="none"/>
        </w:rPr>
      </w:pPr>
      <w:r>
        <w:rPr>
          <w:rFonts w:hint="eastAsia" w:ascii="宋体" w:hAnsi="宋体"/>
          <w:color w:val="auto"/>
          <w:kern w:val="0"/>
          <w:szCs w:val="21"/>
          <w:highlight w:val="none"/>
        </w:rPr>
        <w:t>向采购人、采购代理机构行贿或者提供其他不正当利益的；</w:t>
      </w:r>
    </w:p>
    <w:p w14:paraId="645D728F">
      <w:pPr>
        <w:numPr>
          <w:ilvl w:val="0"/>
          <w:numId w:val="3"/>
        </w:numPr>
        <w:tabs>
          <w:tab w:val="left" w:pos="945"/>
        </w:tabs>
        <w:spacing w:line="400" w:lineRule="exact"/>
        <w:rPr>
          <w:rFonts w:ascii="宋体" w:hAnsi="Courier New"/>
          <w:color w:val="auto"/>
          <w:kern w:val="0"/>
          <w:szCs w:val="21"/>
          <w:highlight w:val="none"/>
        </w:rPr>
      </w:pPr>
      <w:r>
        <w:rPr>
          <w:rFonts w:hint="eastAsia" w:ascii="宋体" w:hAnsi="宋体"/>
          <w:color w:val="auto"/>
          <w:kern w:val="0"/>
          <w:szCs w:val="21"/>
          <w:highlight w:val="none"/>
        </w:rPr>
        <w:t>在采购过程中与采购人进行协商谈判的；</w:t>
      </w:r>
    </w:p>
    <w:p w14:paraId="20B360BC">
      <w:pPr>
        <w:numPr>
          <w:ilvl w:val="0"/>
          <w:numId w:val="3"/>
        </w:numPr>
        <w:tabs>
          <w:tab w:val="left" w:pos="945"/>
        </w:tabs>
        <w:spacing w:line="400" w:lineRule="exact"/>
        <w:rPr>
          <w:rFonts w:ascii="宋体" w:hAnsi="Courier New"/>
          <w:color w:val="auto"/>
          <w:kern w:val="0"/>
          <w:szCs w:val="21"/>
          <w:highlight w:val="none"/>
        </w:rPr>
      </w:pPr>
      <w:r>
        <w:rPr>
          <w:rFonts w:hint="eastAsia" w:ascii="宋体" w:hAnsi="宋体"/>
          <w:color w:val="auto"/>
          <w:kern w:val="0"/>
          <w:szCs w:val="21"/>
          <w:highlight w:val="none"/>
        </w:rPr>
        <w:t>拒绝有关部门监督检查或提供虚假情况的。</w:t>
      </w:r>
    </w:p>
    <w:p w14:paraId="0A675075">
      <w:pPr>
        <w:spacing w:line="400" w:lineRule="exact"/>
        <w:ind w:firstLine="420"/>
        <w:rPr>
          <w:rFonts w:ascii="宋体" w:hAnsi="Courier New"/>
          <w:color w:val="auto"/>
          <w:kern w:val="0"/>
          <w:szCs w:val="21"/>
          <w:highlight w:val="none"/>
        </w:rPr>
      </w:pPr>
      <w:r>
        <w:rPr>
          <w:rFonts w:hint="eastAsia" w:ascii="宋体" w:hAnsi="宋体" w:cs="宋体"/>
          <w:color w:val="auto"/>
          <w:kern w:val="0"/>
          <w:szCs w:val="21"/>
          <w:highlight w:val="none"/>
        </w:rPr>
        <w:t>12.与本磋商有关的一切正式往来信函请寄</w:t>
      </w:r>
      <w:r>
        <w:rPr>
          <w:rFonts w:hint="eastAsia" w:ascii="宋体" w:hAnsi="Courier New"/>
          <w:color w:val="auto"/>
          <w:kern w:val="0"/>
          <w:szCs w:val="21"/>
          <w:highlight w:val="none"/>
        </w:rPr>
        <w:t xml:space="preserve">： </w:t>
      </w:r>
    </w:p>
    <w:p w14:paraId="607301E4">
      <w:pPr>
        <w:spacing w:line="400" w:lineRule="exact"/>
        <w:ind w:firstLine="420"/>
        <w:rPr>
          <w:rFonts w:ascii="宋体" w:hAnsi="Courier New"/>
          <w:color w:val="auto"/>
          <w:kern w:val="0"/>
          <w:szCs w:val="21"/>
          <w:highlight w:val="none"/>
        </w:rPr>
      </w:pPr>
      <w:r>
        <w:rPr>
          <w:rFonts w:hint="eastAsia" w:ascii="宋体" w:hAnsi="Courier New"/>
          <w:color w:val="auto"/>
          <w:kern w:val="0"/>
          <w:szCs w:val="21"/>
          <w:highlight w:val="none"/>
        </w:rPr>
        <w:t xml:space="preserve">地址：                                                         </w:t>
      </w:r>
    </w:p>
    <w:p w14:paraId="42E12996">
      <w:pPr>
        <w:spacing w:line="400" w:lineRule="exact"/>
        <w:ind w:firstLine="420"/>
        <w:rPr>
          <w:rFonts w:ascii="宋体" w:hAnsi="Courier New"/>
          <w:color w:val="auto"/>
          <w:kern w:val="0"/>
          <w:szCs w:val="21"/>
          <w:highlight w:val="none"/>
        </w:rPr>
      </w:pPr>
      <w:r>
        <w:rPr>
          <w:rFonts w:hint="eastAsia" w:ascii="宋体" w:hAnsi="Courier New"/>
          <w:color w:val="auto"/>
          <w:kern w:val="0"/>
          <w:szCs w:val="21"/>
          <w:highlight w:val="none"/>
        </w:rPr>
        <w:t>电话：                                      　　　　　　　　　</w:t>
      </w:r>
    </w:p>
    <w:p w14:paraId="225307A8">
      <w:pPr>
        <w:spacing w:line="400" w:lineRule="exact"/>
        <w:ind w:firstLine="420"/>
        <w:rPr>
          <w:rFonts w:ascii="宋体" w:hAnsi="Courier New"/>
          <w:color w:val="auto"/>
          <w:kern w:val="0"/>
          <w:szCs w:val="21"/>
          <w:highlight w:val="none"/>
        </w:rPr>
      </w:pPr>
      <w:r>
        <w:rPr>
          <w:rFonts w:hint="eastAsia" w:ascii="宋体" w:hAnsi="Courier New"/>
          <w:color w:val="auto"/>
          <w:kern w:val="0"/>
          <w:szCs w:val="21"/>
          <w:highlight w:val="none"/>
        </w:rPr>
        <w:t>传真：　　　　　　　　　　　　　　　　　　　　　　　　　　　　</w:t>
      </w:r>
    </w:p>
    <w:p w14:paraId="6319A07A">
      <w:pPr>
        <w:spacing w:line="400" w:lineRule="exact"/>
        <w:ind w:firstLine="420"/>
        <w:rPr>
          <w:rFonts w:ascii="宋体" w:hAnsi="Courier New"/>
          <w:color w:val="auto"/>
          <w:kern w:val="0"/>
          <w:szCs w:val="21"/>
          <w:highlight w:val="none"/>
        </w:rPr>
      </w:pPr>
      <w:r>
        <w:rPr>
          <w:rFonts w:hint="eastAsia" w:ascii="宋体" w:hAnsi="Courier New"/>
          <w:color w:val="auto"/>
          <w:kern w:val="0"/>
          <w:szCs w:val="21"/>
          <w:highlight w:val="none"/>
        </w:rPr>
        <w:t xml:space="preserve">邮政编码：                                                    </w:t>
      </w:r>
    </w:p>
    <w:p w14:paraId="56FB65F3">
      <w:pPr>
        <w:spacing w:line="400" w:lineRule="exact"/>
        <w:ind w:firstLine="420"/>
        <w:rPr>
          <w:rFonts w:ascii="宋体" w:hAnsi="Courier New"/>
          <w:color w:val="auto"/>
          <w:kern w:val="0"/>
          <w:szCs w:val="21"/>
          <w:highlight w:val="none"/>
        </w:rPr>
      </w:pPr>
      <w:r>
        <w:rPr>
          <w:rFonts w:hint="eastAsia" w:ascii="宋体" w:hAnsi="Courier New"/>
          <w:color w:val="auto"/>
          <w:kern w:val="0"/>
          <w:szCs w:val="21"/>
          <w:highlight w:val="none"/>
        </w:rPr>
        <w:t xml:space="preserve">开户名称：                                                    </w:t>
      </w:r>
    </w:p>
    <w:p w14:paraId="1AA6E462">
      <w:pPr>
        <w:spacing w:line="400" w:lineRule="exact"/>
        <w:ind w:firstLine="420"/>
        <w:rPr>
          <w:rFonts w:ascii="宋体" w:hAnsi="Courier New"/>
          <w:color w:val="auto"/>
          <w:kern w:val="0"/>
          <w:szCs w:val="21"/>
          <w:highlight w:val="none"/>
        </w:rPr>
      </w:pPr>
      <w:r>
        <w:rPr>
          <w:rFonts w:hint="eastAsia" w:ascii="宋体" w:hAnsi="Courier New"/>
          <w:color w:val="auto"/>
          <w:kern w:val="0"/>
          <w:szCs w:val="21"/>
          <w:highlight w:val="none"/>
        </w:rPr>
        <w:t xml:space="preserve">开户银行：                                                    </w:t>
      </w:r>
    </w:p>
    <w:p w14:paraId="360CE735">
      <w:pPr>
        <w:spacing w:line="400" w:lineRule="exact"/>
        <w:ind w:firstLine="420"/>
        <w:rPr>
          <w:rFonts w:ascii="宋体" w:hAnsi="Courier New"/>
          <w:color w:val="auto"/>
          <w:kern w:val="0"/>
          <w:szCs w:val="21"/>
          <w:highlight w:val="none"/>
        </w:rPr>
      </w:pPr>
      <w:r>
        <w:rPr>
          <w:rFonts w:hint="eastAsia" w:ascii="宋体" w:hAnsi="Courier New"/>
          <w:color w:val="auto"/>
          <w:kern w:val="0"/>
          <w:szCs w:val="21"/>
          <w:highlight w:val="none"/>
        </w:rPr>
        <w:t xml:space="preserve">银行账号：                                                    </w:t>
      </w:r>
    </w:p>
    <w:p w14:paraId="5F6E9B21">
      <w:pPr>
        <w:tabs>
          <w:tab w:val="left" w:pos="939"/>
        </w:tabs>
        <w:spacing w:line="400" w:lineRule="exact"/>
        <w:ind w:left="141" w:leftChars="67" w:firstLine="315" w:firstLineChars="150"/>
        <w:contextualSpacing/>
        <w:rPr>
          <w:rFonts w:ascii="宋体" w:hAnsi="宋体" w:cs="宋体"/>
          <w:color w:val="auto"/>
          <w:szCs w:val="21"/>
          <w:highlight w:val="none"/>
        </w:rPr>
      </w:pPr>
      <w:r>
        <w:rPr>
          <w:rFonts w:hint="eastAsia" w:ascii="宋体" w:hAnsi="宋体" w:cs="宋体"/>
          <w:color w:val="auto"/>
          <w:szCs w:val="21"/>
          <w:highlight w:val="none"/>
        </w:rPr>
        <w:t>特此承诺。</w:t>
      </w:r>
    </w:p>
    <w:p w14:paraId="19E9180E">
      <w:pPr>
        <w:spacing w:line="360" w:lineRule="auto"/>
        <w:contextualSpacing/>
        <w:jc w:val="left"/>
        <w:rPr>
          <w:rFonts w:ascii="宋体" w:hAnsi="宋体" w:cs="宋体"/>
          <w:color w:val="auto"/>
          <w:szCs w:val="21"/>
          <w:highlight w:val="none"/>
        </w:rPr>
      </w:pPr>
    </w:p>
    <w:p w14:paraId="265EAA7C">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171AACF4">
      <w:pPr>
        <w:autoSpaceDE w:val="0"/>
        <w:autoSpaceDN w:val="0"/>
        <w:spacing w:line="360" w:lineRule="auto"/>
        <w:ind w:firstLine="6480" w:firstLineChars="270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08CFCC4F">
      <w:pPr>
        <w:autoSpaceDE w:val="0"/>
        <w:autoSpaceDN w:val="0"/>
        <w:spacing w:line="360" w:lineRule="auto"/>
        <w:ind w:firstLine="6480" w:firstLineChars="2700"/>
        <w:rPr>
          <w:rFonts w:ascii="仿宋_GB2312" w:hAnsi="仿宋" w:eastAsia="仿宋_GB2312" w:cs="仿宋_GB2312"/>
          <w:color w:val="auto"/>
          <w:kern w:val="0"/>
          <w:sz w:val="24"/>
          <w:highlight w:val="none"/>
          <w:lang w:val="zh-CN"/>
        </w:rPr>
      </w:pPr>
    </w:p>
    <w:p w14:paraId="73FB485D">
      <w:pPr>
        <w:autoSpaceDE w:val="0"/>
        <w:autoSpaceDN w:val="0"/>
        <w:spacing w:line="360" w:lineRule="auto"/>
        <w:ind w:firstLine="6480" w:firstLineChars="2700"/>
        <w:rPr>
          <w:rFonts w:ascii="仿宋_GB2312" w:hAnsi="仿宋" w:eastAsia="仿宋_GB2312" w:cs="仿宋_GB2312"/>
          <w:color w:val="auto"/>
          <w:kern w:val="0"/>
          <w:sz w:val="24"/>
          <w:highlight w:val="none"/>
          <w:lang w:val="zh-CN"/>
        </w:rPr>
      </w:pPr>
    </w:p>
    <w:p w14:paraId="274E0F24">
      <w:pPr>
        <w:tabs>
          <w:tab w:val="center" w:pos="4153"/>
          <w:tab w:val="right" w:pos="8306"/>
        </w:tabs>
        <w:snapToGrid w:val="0"/>
        <w:jc w:val="left"/>
        <w:rPr>
          <w:color w:val="auto"/>
          <w:kern w:val="0"/>
          <w:sz w:val="18"/>
          <w:szCs w:val="18"/>
          <w:highlight w:val="none"/>
          <w:lang w:val="zh-CN"/>
        </w:rPr>
      </w:pPr>
    </w:p>
    <w:p w14:paraId="35D8A9FE">
      <w:pPr>
        <w:tabs>
          <w:tab w:val="center" w:pos="4153"/>
          <w:tab w:val="right" w:pos="8306"/>
        </w:tabs>
        <w:snapToGrid w:val="0"/>
        <w:jc w:val="left"/>
        <w:rPr>
          <w:color w:val="auto"/>
          <w:kern w:val="0"/>
          <w:sz w:val="18"/>
          <w:szCs w:val="18"/>
          <w:highlight w:val="none"/>
          <w:lang w:val="zh-CN"/>
        </w:rPr>
      </w:pPr>
    </w:p>
    <w:p w14:paraId="113DA2C2">
      <w:pPr>
        <w:tabs>
          <w:tab w:val="center" w:pos="4153"/>
          <w:tab w:val="right" w:pos="8306"/>
        </w:tabs>
        <w:snapToGrid w:val="0"/>
        <w:jc w:val="left"/>
        <w:rPr>
          <w:color w:val="auto"/>
          <w:kern w:val="0"/>
          <w:sz w:val="18"/>
          <w:szCs w:val="18"/>
          <w:highlight w:val="none"/>
          <w:lang w:val="zh-CN"/>
        </w:rPr>
      </w:pPr>
    </w:p>
    <w:p w14:paraId="55343F98">
      <w:pPr>
        <w:tabs>
          <w:tab w:val="center" w:pos="4153"/>
          <w:tab w:val="right" w:pos="8306"/>
        </w:tabs>
        <w:snapToGrid w:val="0"/>
        <w:jc w:val="left"/>
        <w:rPr>
          <w:color w:val="auto"/>
          <w:kern w:val="0"/>
          <w:sz w:val="18"/>
          <w:szCs w:val="18"/>
          <w:highlight w:val="none"/>
          <w:lang w:val="zh-CN"/>
        </w:rPr>
      </w:pPr>
    </w:p>
    <w:p w14:paraId="176372F9">
      <w:pPr>
        <w:tabs>
          <w:tab w:val="center" w:pos="4153"/>
          <w:tab w:val="right" w:pos="8306"/>
        </w:tabs>
        <w:snapToGrid w:val="0"/>
        <w:jc w:val="left"/>
        <w:rPr>
          <w:color w:val="auto"/>
          <w:kern w:val="0"/>
          <w:sz w:val="18"/>
          <w:szCs w:val="18"/>
          <w:highlight w:val="none"/>
          <w:lang w:val="zh-CN"/>
        </w:rPr>
      </w:pPr>
    </w:p>
    <w:p w14:paraId="78EA66BB">
      <w:pPr>
        <w:tabs>
          <w:tab w:val="center" w:pos="4153"/>
          <w:tab w:val="right" w:pos="8306"/>
        </w:tabs>
        <w:snapToGrid w:val="0"/>
        <w:jc w:val="left"/>
        <w:rPr>
          <w:color w:val="auto"/>
          <w:kern w:val="0"/>
          <w:sz w:val="18"/>
          <w:szCs w:val="18"/>
          <w:highlight w:val="none"/>
          <w:lang w:val="zh-CN"/>
        </w:rPr>
      </w:pPr>
    </w:p>
    <w:p w14:paraId="4EDE5E6A">
      <w:pPr>
        <w:tabs>
          <w:tab w:val="center" w:pos="4153"/>
          <w:tab w:val="right" w:pos="8306"/>
        </w:tabs>
        <w:snapToGrid w:val="0"/>
        <w:jc w:val="left"/>
        <w:rPr>
          <w:color w:val="auto"/>
          <w:kern w:val="0"/>
          <w:sz w:val="18"/>
          <w:szCs w:val="18"/>
          <w:highlight w:val="none"/>
          <w:lang w:val="zh-CN"/>
        </w:rPr>
      </w:pPr>
    </w:p>
    <w:p w14:paraId="038113A6">
      <w:pPr>
        <w:tabs>
          <w:tab w:val="center" w:pos="4153"/>
          <w:tab w:val="right" w:pos="8306"/>
        </w:tabs>
        <w:snapToGrid w:val="0"/>
        <w:jc w:val="left"/>
        <w:rPr>
          <w:color w:val="auto"/>
          <w:kern w:val="0"/>
          <w:sz w:val="18"/>
          <w:szCs w:val="18"/>
          <w:highlight w:val="none"/>
          <w:lang w:val="zh-CN"/>
        </w:rPr>
      </w:pPr>
    </w:p>
    <w:p w14:paraId="3488AAF4">
      <w:pPr>
        <w:tabs>
          <w:tab w:val="center" w:pos="4153"/>
          <w:tab w:val="right" w:pos="8306"/>
        </w:tabs>
        <w:snapToGrid w:val="0"/>
        <w:jc w:val="left"/>
        <w:rPr>
          <w:color w:val="auto"/>
          <w:kern w:val="0"/>
          <w:sz w:val="18"/>
          <w:szCs w:val="18"/>
          <w:highlight w:val="none"/>
          <w:lang w:val="zh-CN"/>
        </w:rPr>
      </w:pPr>
    </w:p>
    <w:p w14:paraId="797D0DB7">
      <w:pPr>
        <w:tabs>
          <w:tab w:val="center" w:pos="4153"/>
          <w:tab w:val="right" w:pos="8306"/>
        </w:tabs>
        <w:snapToGrid w:val="0"/>
        <w:jc w:val="left"/>
        <w:rPr>
          <w:color w:val="auto"/>
          <w:kern w:val="0"/>
          <w:sz w:val="18"/>
          <w:szCs w:val="18"/>
          <w:highlight w:val="none"/>
          <w:lang w:val="zh-CN"/>
        </w:rPr>
      </w:pPr>
    </w:p>
    <w:p w14:paraId="47CF95E4">
      <w:pPr>
        <w:tabs>
          <w:tab w:val="center" w:pos="4153"/>
          <w:tab w:val="right" w:pos="8306"/>
        </w:tabs>
        <w:snapToGrid w:val="0"/>
        <w:jc w:val="left"/>
        <w:rPr>
          <w:color w:val="auto"/>
          <w:kern w:val="0"/>
          <w:sz w:val="18"/>
          <w:szCs w:val="18"/>
          <w:highlight w:val="none"/>
          <w:lang w:val="zh-CN"/>
        </w:rPr>
      </w:pPr>
    </w:p>
    <w:p w14:paraId="59F8D674">
      <w:pPr>
        <w:tabs>
          <w:tab w:val="center" w:pos="4153"/>
          <w:tab w:val="right" w:pos="8306"/>
        </w:tabs>
        <w:snapToGrid w:val="0"/>
        <w:jc w:val="left"/>
        <w:rPr>
          <w:color w:val="auto"/>
          <w:kern w:val="0"/>
          <w:sz w:val="18"/>
          <w:szCs w:val="18"/>
          <w:highlight w:val="none"/>
          <w:lang w:val="zh-CN"/>
        </w:rPr>
      </w:pPr>
    </w:p>
    <w:p w14:paraId="72041209">
      <w:pPr>
        <w:tabs>
          <w:tab w:val="center" w:pos="4153"/>
          <w:tab w:val="right" w:pos="8306"/>
        </w:tabs>
        <w:snapToGrid w:val="0"/>
        <w:jc w:val="left"/>
        <w:rPr>
          <w:color w:val="auto"/>
          <w:kern w:val="0"/>
          <w:sz w:val="18"/>
          <w:szCs w:val="18"/>
          <w:highlight w:val="none"/>
          <w:lang w:val="zh-CN"/>
        </w:rPr>
      </w:pPr>
    </w:p>
    <w:p w14:paraId="71DB4C33">
      <w:pPr>
        <w:tabs>
          <w:tab w:val="center" w:pos="4153"/>
          <w:tab w:val="right" w:pos="8306"/>
        </w:tabs>
        <w:snapToGrid w:val="0"/>
        <w:jc w:val="left"/>
        <w:rPr>
          <w:color w:val="auto"/>
          <w:kern w:val="0"/>
          <w:sz w:val="18"/>
          <w:szCs w:val="18"/>
          <w:highlight w:val="none"/>
          <w:lang w:val="zh-CN"/>
        </w:rPr>
      </w:pPr>
    </w:p>
    <w:p w14:paraId="1907EF21">
      <w:pPr>
        <w:spacing w:line="520" w:lineRule="exact"/>
        <w:ind w:firstLine="640" w:firstLineChars="200"/>
        <w:rPr>
          <w:rFonts w:ascii="宋体" w:hAnsi="宋体"/>
          <w:b/>
          <w:bCs/>
          <w:color w:val="auto"/>
          <w:sz w:val="32"/>
          <w:szCs w:val="32"/>
          <w:highlight w:val="none"/>
        </w:rPr>
      </w:pPr>
      <w:r>
        <w:rPr>
          <w:rFonts w:hint="eastAsia"/>
          <w:color w:val="auto"/>
          <w:sz w:val="32"/>
          <w:highlight w:val="none"/>
        </w:rPr>
        <w:t>二</w:t>
      </w:r>
      <w:r>
        <w:rPr>
          <w:rFonts w:hint="eastAsia" w:ascii="宋体" w:hAnsi="宋体"/>
          <w:b/>
          <w:bCs/>
          <w:color w:val="auto"/>
          <w:sz w:val="32"/>
          <w:szCs w:val="32"/>
          <w:highlight w:val="none"/>
        </w:rPr>
        <w:t>、响应报价表</w:t>
      </w:r>
    </w:p>
    <w:p w14:paraId="7DF87BD3">
      <w:pPr>
        <w:snapToGrid w:val="0"/>
        <w:spacing w:before="50" w:after="50" w:line="360" w:lineRule="auto"/>
        <w:rPr>
          <w:rFonts w:ascii="宋体" w:hAnsi="宋体"/>
          <w:color w:val="auto"/>
          <w:sz w:val="24"/>
          <w:highlight w:val="none"/>
        </w:rPr>
      </w:pPr>
      <w:r>
        <w:rPr>
          <w:rFonts w:hint="eastAsia" w:ascii="宋体" w:hAnsi="宋体"/>
          <w:color w:val="auto"/>
          <w:sz w:val="24"/>
          <w:highlight w:val="none"/>
        </w:rPr>
        <w:t xml:space="preserve">项目名称：      项目编号：  </w:t>
      </w:r>
    </w:p>
    <w:p w14:paraId="6CD41E97">
      <w:pPr>
        <w:snapToGrid w:val="0"/>
        <w:spacing w:before="50" w:after="50" w:line="360" w:lineRule="auto"/>
        <w:rPr>
          <w:rFonts w:ascii="宋体" w:hAnsi="宋体"/>
          <w:color w:val="auto"/>
          <w:sz w:val="24"/>
          <w:highlight w:val="none"/>
        </w:rPr>
      </w:pPr>
      <w:r>
        <w:rPr>
          <w:rFonts w:hint="eastAsia" w:hAnsi="宋体"/>
          <w:color w:val="auto"/>
          <w:sz w:val="24"/>
          <w:highlight w:val="none"/>
        </w:rPr>
        <w:t>供应商名称：</w:t>
      </w:r>
    </w:p>
    <w:tbl>
      <w:tblPr>
        <w:tblStyle w:val="10"/>
        <w:tblW w:w="970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185"/>
        <w:gridCol w:w="1139"/>
        <w:gridCol w:w="1097"/>
        <w:gridCol w:w="1036"/>
        <w:gridCol w:w="1637"/>
        <w:gridCol w:w="1745"/>
        <w:gridCol w:w="1313"/>
      </w:tblGrid>
      <w:tr w14:paraId="3C72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rPr>
        <w:tc>
          <w:tcPr>
            <w:tcW w:w="556" w:type="dxa"/>
            <w:tcBorders>
              <w:top w:val="single" w:color="auto" w:sz="4" w:space="0"/>
              <w:left w:val="single" w:color="auto" w:sz="4" w:space="0"/>
              <w:bottom w:val="single" w:color="auto" w:sz="4" w:space="0"/>
              <w:right w:val="single" w:color="auto" w:sz="4" w:space="0"/>
            </w:tcBorders>
            <w:noWrap w:val="0"/>
            <w:vAlign w:val="center"/>
          </w:tcPr>
          <w:p w14:paraId="185860C2">
            <w:pPr>
              <w:rPr>
                <w:rFonts w:ascii="宋体" w:hAnsi="宋体"/>
                <w:color w:val="auto"/>
                <w:szCs w:val="22"/>
                <w:highlight w:val="none"/>
              </w:rPr>
            </w:pPr>
            <w:r>
              <w:rPr>
                <w:rFonts w:hint="eastAsia" w:ascii="宋体" w:hAnsi="宋体"/>
                <w:color w:val="auto"/>
                <w:szCs w:val="22"/>
                <w:highlight w:val="none"/>
              </w:rPr>
              <w:t>序号</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9F59E84">
            <w:pPr>
              <w:rPr>
                <w:rFonts w:ascii="宋体" w:hAnsi="宋体"/>
                <w:color w:val="auto"/>
                <w:szCs w:val="22"/>
                <w:highlight w:val="none"/>
              </w:rPr>
            </w:pPr>
            <w:r>
              <w:rPr>
                <w:rFonts w:hint="eastAsia" w:ascii="宋体" w:hAnsi="宋体"/>
                <w:color w:val="auto"/>
                <w:szCs w:val="22"/>
                <w:highlight w:val="none"/>
              </w:rPr>
              <w:t>标的名称</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23B3B5EC">
            <w:pPr>
              <w:jc w:val="center"/>
              <w:rPr>
                <w:rFonts w:hint="default" w:ascii="宋体" w:hAnsi="宋体" w:eastAsia="宋体"/>
                <w:color w:val="auto"/>
                <w:szCs w:val="22"/>
                <w:highlight w:val="none"/>
                <w:lang w:val="en-US" w:eastAsia="zh-CN"/>
              </w:rPr>
            </w:pPr>
            <w:r>
              <w:rPr>
                <w:rFonts w:hint="eastAsia" w:ascii="宋体" w:hAnsi="宋体"/>
                <w:color w:val="auto"/>
                <w:szCs w:val="22"/>
                <w:highlight w:val="none"/>
                <w:lang w:val="en-US" w:eastAsia="zh-CN"/>
              </w:rPr>
              <w:t>标项名称</w:t>
            </w:r>
          </w:p>
        </w:tc>
        <w:tc>
          <w:tcPr>
            <w:tcW w:w="1097" w:type="dxa"/>
            <w:tcBorders>
              <w:top w:val="single" w:color="auto" w:sz="4" w:space="0"/>
              <w:left w:val="single" w:color="auto" w:sz="4" w:space="0"/>
              <w:bottom w:val="single" w:color="auto" w:sz="4" w:space="0"/>
              <w:right w:val="single" w:color="auto" w:sz="4" w:space="0"/>
            </w:tcBorders>
            <w:noWrap w:val="0"/>
            <w:vAlign w:val="center"/>
          </w:tcPr>
          <w:p w14:paraId="4F9EE697">
            <w:pPr>
              <w:jc w:val="center"/>
              <w:rPr>
                <w:rFonts w:ascii="宋体" w:hAnsi="宋体"/>
                <w:color w:val="auto"/>
                <w:szCs w:val="22"/>
                <w:highlight w:val="none"/>
              </w:rPr>
            </w:pPr>
            <w:r>
              <w:rPr>
                <w:rFonts w:hint="eastAsia" w:ascii="宋体" w:hAnsi="宋体"/>
                <w:color w:val="auto"/>
                <w:szCs w:val="22"/>
                <w:highlight w:val="none"/>
              </w:rPr>
              <w:t>具体服务内容</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4D68EA97">
            <w:pPr>
              <w:jc w:val="center"/>
              <w:rPr>
                <w:rFonts w:ascii="宋体" w:hAnsi="宋体"/>
                <w:color w:val="auto"/>
                <w:szCs w:val="22"/>
                <w:highlight w:val="none"/>
              </w:rPr>
            </w:pPr>
            <w:r>
              <w:rPr>
                <w:rFonts w:hint="eastAsia" w:ascii="宋体" w:hAnsi="宋体"/>
                <w:color w:val="auto"/>
                <w:szCs w:val="22"/>
                <w:highlight w:val="none"/>
              </w:rPr>
              <w:t>数量</w:t>
            </w:r>
          </w:p>
        </w:tc>
        <w:tc>
          <w:tcPr>
            <w:tcW w:w="1637" w:type="dxa"/>
            <w:tcBorders>
              <w:top w:val="single" w:color="auto" w:sz="4" w:space="0"/>
              <w:left w:val="single" w:color="auto" w:sz="4" w:space="0"/>
              <w:bottom w:val="single" w:color="auto" w:sz="4" w:space="0"/>
              <w:right w:val="single" w:color="auto" w:sz="4" w:space="0"/>
            </w:tcBorders>
            <w:noWrap w:val="0"/>
            <w:vAlign w:val="center"/>
          </w:tcPr>
          <w:p w14:paraId="1284516D">
            <w:pPr>
              <w:rPr>
                <w:rFonts w:ascii="宋体" w:hAnsi="宋体"/>
                <w:color w:val="auto"/>
                <w:szCs w:val="22"/>
                <w:highlight w:val="none"/>
              </w:rPr>
            </w:pPr>
            <w:r>
              <w:rPr>
                <w:rFonts w:hint="eastAsia" w:ascii="宋体" w:hAnsi="宋体"/>
                <w:color w:val="auto"/>
                <w:szCs w:val="22"/>
                <w:highlight w:val="none"/>
              </w:rPr>
              <w:t>服务期限</w:t>
            </w:r>
          </w:p>
        </w:tc>
        <w:tc>
          <w:tcPr>
            <w:tcW w:w="1745" w:type="dxa"/>
            <w:tcBorders>
              <w:top w:val="single" w:color="auto" w:sz="4" w:space="0"/>
              <w:left w:val="single" w:color="auto" w:sz="4" w:space="0"/>
              <w:bottom w:val="single" w:color="auto" w:sz="4" w:space="0"/>
              <w:right w:val="single" w:color="auto" w:sz="4" w:space="0"/>
            </w:tcBorders>
            <w:noWrap w:val="0"/>
            <w:vAlign w:val="center"/>
          </w:tcPr>
          <w:p w14:paraId="420519E7">
            <w:pPr>
              <w:spacing w:line="360" w:lineRule="auto"/>
              <w:jc w:val="center"/>
              <w:rPr>
                <w:rFonts w:ascii="宋体" w:hAnsi="宋体"/>
                <w:color w:val="auto"/>
                <w:szCs w:val="22"/>
                <w:highlight w:val="none"/>
              </w:rPr>
            </w:pPr>
            <w:r>
              <w:rPr>
                <w:rFonts w:hint="eastAsia" w:asciiTheme="minorEastAsia" w:hAnsiTheme="minorEastAsia" w:eastAsiaTheme="minorEastAsia" w:cstheme="minorEastAsia"/>
                <w:color w:val="auto"/>
                <w:szCs w:val="21"/>
                <w:highlight w:val="none"/>
              </w:rPr>
              <w:t>下浮系数（%）</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7CAE05EC">
            <w:pPr>
              <w:rPr>
                <w:rFonts w:ascii="宋体" w:hAnsi="宋体"/>
                <w:color w:val="auto"/>
                <w:szCs w:val="22"/>
                <w:highlight w:val="none"/>
              </w:rPr>
            </w:pPr>
            <w:r>
              <w:rPr>
                <w:rFonts w:hint="eastAsia" w:ascii="宋体" w:hAnsi="宋体"/>
                <w:color w:val="auto"/>
                <w:szCs w:val="22"/>
                <w:highlight w:val="none"/>
              </w:rPr>
              <w:t>备注</w:t>
            </w:r>
          </w:p>
        </w:tc>
      </w:tr>
      <w:tr w14:paraId="5AD8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4" w:hRule="atLeast"/>
        </w:trPr>
        <w:tc>
          <w:tcPr>
            <w:tcW w:w="556" w:type="dxa"/>
            <w:vMerge w:val="restart"/>
            <w:tcBorders>
              <w:top w:val="single" w:color="auto" w:sz="4" w:space="0"/>
              <w:left w:val="single" w:color="auto" w:sz="4" w:space="0"/>
              <w:right w:val="single" w:color="auto" w:sz="4" w:space="0"/>
            </w:tcBorders>
            <w:noWrap w:val="0"/>
            <w:vAlign w:val="center"/>
          </w:tcPr>
          <w:p w14:paraId="47C9D4C6">
            <w:pPr>
              <w:rPr>
                <w:rFonts w:ascii="宋体" w:hAnsi="宋体"/>
                <w:color w:val="auto"/>
                <w:szCs w:val="22"/>
                <w:highlight w:val="none"/>
              </w:rPr>
            </w:pPr>
            <w:r>
              <w:rPr>
                <w:rFonts w:hint="eastAsia" w:ascii="宋体" w:hAnsi="宋体"/>
                <w:color w:val="auto"/>
                <w:szCs w:val="22"/>
                <w:highlight w:val="none"/>
              </w:rPr>
              <w:t>1</w:t>
            </w:r>
          </w:p>
        </w:tc>
        <w:tc>
          <w:tcPr>
            <w:tcW w:w="1185" w:type="dxa"/>
            <w:vMerge w:val="restart"/>
            <w:tcBorders>
              <w:top w:val="single" w:color="auto" w:sz="4" w:space="0"/>
              <w:left w:val="single" w:color="auto" w:sz="4" w:space="0"/>
              <w:right w:val="single" w:color="auto" w:sz="4" w:space="0"/>
            </w:tcBorders>
            <w:noWrap w:val="0"/>
            <w:vAlign w:val="center"/>
          </w:tcPr>
          <w:p w14:paraId="4370F21B">
            <w:pPr>
              <w:rPr>
                <w:rFonts w:hint="eastAsia" w:ascii="宋体" w:hAnsi="宋体" w:eastAsia="宋体"/>
                <w:color w:val="auto"/>
                <w:szCs w:val="22"/>
                <w:highlight w:val="none"/>
                <w:lang w:eastAsia="zh-CN"/>
              </w:rPr>
            </w:pPr>
            <w:r>
              <w:rPr>
                <w:rFonts w:hint="eastAsia" w:ascii="宋体" w:hAnsi="宋体"/>
                <w:color w:val="auto"/>
                <w:szCs w:val="22"/>
                <w:highlight w:val="none"/>
                <w:lang w:eastAsia="zh-CN"/>
              </w:rPr>
              <w:t>南宁市环境应急、涉重金属环境安全隐患排查整治及地下水环境监测服务项目</w:t>
            </w:r>
          </w:p>
        </w:tc>
        <w:tc>
          <w:tcPr>
            <w:tcW w:w="1139" w:type="dxa"/>
            <w:tcBorders>
              <w:top w:val="single" w:color="auto" w:sz="4" w:space="0"/>
              <w:left w:val="single" w:color="auto" w:sz="4" w:space="0"/>
              <w:right w:val="single" w:color="auto" w:sz="4" w:space="0"/>
            </w:tcBorders>
            <w:noWrap w:val="0"/>
            <w:vAlign w:val="center"/>
          </w:tcPr>
          <w:p w14:paraId="254BB726">
            <w:pPr>
              <w:jc w:val="center"/>
              <w:rPr>
                <w:rFonts w:hint="eastAsia" w:ascii="宋体" w:hAnsi="宋体"/>
                <w:color w:val="auto"/>
                <w:szCs w:val="22"/>
                <w:highlight w:val="none"/>
              </w:rPr>
            </w:pPr>
            <w:r>
              <w:rPr>
                <w:rFonts w:hint="default" w:ascii="Times New Roman" w:hAnsi="Times New Roman" w:eastAsia="宋体" w:cs="Times New Roman"/>
                <w:color w:val="auto"/>
                <w:kern w:val="0"/>
                <w:szCs w:val="21"/>
                <w:highlight w:val="none"/>
              </w:rPr>
              <w:t>监测报告</w:t>
            </w:r>
          </w:p>
        </w:tc>
        <w:tc>
          <w:tcPr>
            <w:tcW w:w="1097" w:type="dxa"/>
            <w:vMerge w:val="restart"/>
            <w:tcBorders>
              <w:top w:val="single" w:color="auto" w:sz="4" w:space="0"/>
              <w:left w:val="single" w:color="auto" w:sz="4" w:space="0"/>
              <w:right w:val="single" w:color="auto" w:sz="4" w:space="0"/>
            </w:tcBorders>
            <w:noWrap w:val="0"/>
            <w:vAlign w:val="center"/>
          </w:tcPr>
          <w:p w14:paraId="7659CAD4">
            <w:pPr>
              <w:rPr>
                <w:rFonts w:ascii="宋体" w:hAnsi="宋体"/>
                <w:color w:val="auto"/>
                <w:szCs w:val="22"/>
                <w:highlight w:val="none"/>
              </w:rPr>
            </w:pPr>
            <w:r>
              <w:rPr>
                <w:rFonts w:hint="eastAsia" w:ascii="宋体" w:hAnsi="宋体"/>
                <w:color w:val="auto"/>
                <w:szCs w:val="22"/>
                <w:highlight w:val="none"/>
              </w:rPr>
              <w:t>详见《技术偏离表》</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4C50BC4C">
            <w:pPr>
              <w:jc w:val="center"/>
              <w:rPr>
                <w:rFonts w:ascii="宋体" w:hAnsi="宋体"/>
                <w:color w:val="auto"/>
                <w:szCs w:val="22"/>
                <w:highlight w:val="none"/>
              </w:rPr>
            </w:pPr>
            <w:r>
              <w:rPr>
                <w:rFonts w:hint="eastAsia" w:ascii="宋体" w:hAnsi="宋体"/>
                <w:color w:val="auto"/>
                <w:szCs w:val="22"/>
                <w:highlight w:val="none"/>
              </w:rPr>
              <w:t>1项</w:t>
            </w:r>
          </w:p>
        </w:tc>
        <w:tc>
          <w:tcPr>
            <w:tcW w:w="1637" w:type="dxa"/>
            <w:tcBorders>
              <w:top w:val="single" w:color="auto" w:sz="4" w:space="0"/>
              <w:left w:val="single" w:color="auto" w:sz="4" w:space="0"/>
              <w:bottom w:val="single" w:color="auto" w:sz="4" w:space="0"/>
              <w:right w:val="single" w:color="auto" w:sz="4" w:space="0"/>
            </w:tcBorders>
            <w:noWrap w:val="0"/>
            <w:vAlign w:val="center"/>
          </w:tcPr>
          <w:p w14:paraId="47CEEC6D">
            <w:pPr>
              <w:rPr>
                <w:rFonts w:ascii="宋体" w:hAnsi="宋体"/>
                <w:color w:val="auto"/>
                <w:szCs w:val="22"/>
                <w:highlight w:val="none"/>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14:paraId="2CC96B85">
            <w:pPr>
              <w:jc w:val="center"/>
              <w:rPr>
                <w:rFonts w:ascii="宋体" w:hAnsi="宋体"/>
                <w:color w:val="auto"/>
                <w:szCs w:val="22"/>
                <w:highlight w:val="none"/>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35106E99">
            <w:pPr>
              <w:rPr>
                <w:rFonts w:ascii="宋体" w:hAnsi="宋体"/>
                <w:color w:val="auto"/>
                <w:szCs w:val="22"/>
                <w:highlight w:val="none"/>
              </w:rPr>
            </w:pPr>
          </w:p>
        </w:tc>
      </w:tr>
      <w:tr w14:paraId="6FCF3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 w:hRule="atLeast"/>
        </w:trPr>
        <w:tc>
          <w:tcPr>
            <w:tcW w:w="556" w:type="dxa"/>
            <w:vMerge w:val="continue"/>
            <w:tcBorders>
              <w:left w:val="single" w:color="auto" w:sz="4" w:space="0"/>
              <w:bottom w:val="single" w:color="auto" w:sz="4" w:space="0"/>
              <w:right w:val="single" w:color="auto" w:sz="4" w:space="0"/>
            </w:tcBorders>
            <w:noWrap w:val="0"/>
            <w:vAlign w:val="center"/>
          </w:tcPr>
          <w:p w14:paraId="77CF9E68">
            <w:pPr>
              <w:rPr>
                <w:rFonts w:hint="eastAsia" w:ascii="宋体" w:hAnsi="宋体"/>
                <w:color w:val="auto"/>
                <w:szCs w:val="22"/>
                <w:highlight w:val="none"/>
              </w:rPr>
            </w:pPr>
          </w:p>
        </w:tc>
        <w:tc>
          <w:tcPr>
            <w:tcW w:w="1185" w:type="dxa"/>
            <w:vMerge w:val="continue"/>
            <w:tcBorders>
              <w:left w:val="single" w:color="auto" w:sz="4" w:space="0"/>
              <w:bottom w:val="single" w:color="auto" w:sz="4" w:space="0"/>
              <w:right w:val="single" w:color="auto" w:sz="4" w:space="0"/>
            </w:tcBorders>
            <w:noWrap w:val="0"/>
            <w:vAlign w:val="center"/>
          </w:tcPr>
          <w:p w14:paraId="0CF6A81E">
            <w:pPr>
              <w:rPr>
                <w:rFonts w:hint="eastAsia" w:ascii="宋体" w:hAnsi="宋体"/>
                <w:color w:val="auto"/>
                <w:szCs w:val="22"/>
                <w:highlight w:val="none"/>
                <w:lang w:eastAsia="zh-CN"/>
              </w:rPr>
            </w:pPr>
          </w:p>
        </w:tc>
        <w:tc>
          <w:tcPr>
            <w:tcW w:w="1139" w:type="dxa"/>
            <w:tcBorders>
              <w:left w:val="single" w:color="auto" w:sz="4" w:space="0"/>
              <w:bottom w:val="single" w:color="auto" w:sz="4" w:space="0"/>
              <w:right w:val="single" w:color="auto" w:sz="4" w:space="0"/>
            </w:tcBorders>
            <w:noWrap w:val="0"/>
            <w:vAlign w:val="center"/>
          </w:tcPr>
          <w:p w14:paraId="048DAB58">
            <w:pPr>
              <w:jc w:val="center"/>
              <w:rPr>
                <w:rFonts w:hint="eastAsia" w:ascii="宋体" w:hAnsi="宋体"/>
                <w:color w:val="auto"/>
                <w:szCs w:val="22"/>
                <w:highlight w:val="none"/>
              </w:rPr>
            </w:pPr>
            <w:r>
              <w:rPr>
                <w:rFonts w:hint="default" w:ascii="Times New Roman" w:hAnsi="Times New Roman" w:eastAsia="宋体" w:cs="Times New Roman"/>
                <w:color w:val="auto"/>
                <w:kern w:val="0"/>
                <w:szCs w:val="21"/>
                <w:highlight w:val="none"/>
              </w:rPr>
              <w:t>监测数据表</w:t>
            </w:r>
          </w:p>
        </w:tc>
        <w:tc>
          <w:tcPr>
            <w:tcW w:w="1097" w:type="dxa"/>
            <w:vMerge w:val="continue"/>
            <w:tcBorders>
              <w:left w:val="single" w:color="auto" w:sz="4" w:space="0"/>
              <w:bottom w:val="single" w:color="auto" w:sz="4" w:space="0"/>
              <w:right w:val="single" w:color="auto" w:sz="4" w:space="0"/>
            </w:tcBorders>
            <w:noWrap w:val="0"/>
            <w:vAlign w:val="center"/>
          </w:tcPr>
          <w:p w14:paraId="70CBFEC4">
            <w:pPr>
              <w:rPr>
                <w:rFonts w:hint="eastAsia" w:ascii="宋体" w:hAnsi="宋体"/>
                <w:color w:val="auto"/>
                <w:szCs w:val="22"/>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center"/>
          </w:tcPr>
          <w:p w14:paraId="31D17C80">
            <w:pPr>
              <w:jc w:val="center"/>
              <w:rPr>
                <w:rFonts w:hint="eastAsia" w:ascii="宋体" w:hAnsi="宋体"/>
                <w:color w:val="auto"/>
                <w:szCs w:val="22"/>
                <w:highlight w:val="none"/>
              </w:rPr>
            </w:pPr>
            <w:r>
              <w:rPr>
                <w:rFonts w:hint="eastAsia" w:ascii="宋体" w:hAnsi="宋体"/>
                <w:color w:val="auto"/>
                <w:szCs w:val="22"/>
                <w:highlight w:val="none"/>
              </w:rPr>
              <w:t>1项</w:t>
            </w:r>
          </w:p>
        </w:tc>
        <w:tc>
          <w:tcPr>
            <w:tcW w:w="1637" w:type="dxa"/>
            <w:tcBorders>
              <w:top w:val="single" w:color="auto" w:sz="4" w:space="0"/>
              <w:left w:val="single" w:color="auto" w:sz="4" w:space="0"/>
              <w:bottom w:val="single" w:color="auto" w:sz="4" w:space="0"/>
              <w:right w:val="single" w:color="auto" w:sz="4" w:space="0"/>
            </w:tcBorders>
            <w:noWrap w:val="0"/>
            <w:vAlign w:val="center"/>
          </w:tcPr>
          <w:p w14:paraId="197BDECF">
            <w:pPr>
              <w:rPr>
                <w:rFonts w:hint="eastAsia" w:ascii="仿宋" w:hAnsi="仿宋" w:eastAsia="仿宋" w:cs="仿宋"/>
                <w:color w:val="auto"/>
                <w:sz w:val="24"/>
                <w:szCs w:val="24"/>
                <w:highlight w:val="none"/>
                <w:lang w:val="en-US" w:eastAsia="zh-CN"/>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14:paraId="6ADB6693">
            <w:pPr>
              <w:jc w:val="center"/>
              <w:rPr>
                <w:rFonts w:ascii="宋体" w:hAnsi="宋体"/>
                <w:color w:val="auto"/>
                <w:szCs w:val="22"/>
                <w:highlight w:val="none"/>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798C9157">
            <w:pPr>
              <w:rPr>
                <w:rFonts w:ascii="宋体" w:hAnsi="宋体"/>
                <w:color w:val="auto"/>
                <w:szCs w:val="22"/>
                <w:highlight w:val="none"/>
              </w:rPr>
            </w:pPr>
          </w:p>
        </w:tc>
      </w:tr>
    </w:tbl>
    <w:p w14:paraId="39534B69">
      <w:pPr>
        <w:snapToGrid w:val="0"/>
        <w:spacing w:before="50" w:after="50"/>
        <w:ind w:firstLine="480" w:firstLineChars="200"/>
        <w:jc w:val="left"/>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注： </w:t>
      </w:r>
    </w:p>
    <w:p w14:paraId="5B518B6F">
      <w:pPr>
        <w:snapToGrid w:val="0"/>
        <w:spacing w:before="50" w:after="50"/>
        <w:ind w:firstLine="480" w:firstLineChars="200"/>
        <w:jc w:val="left"/>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1.供应商需按本表格式填写，不得自行更改，也不得留空， 如有多分标，按分标分别提供响应报价表</w:t>
      </w:r>
      <w:r>
        <w:rPr>
          <w:rFonts w:hint="eastAsia" w:ascii="仿宋_GB2312" w:hAnsi="仿宋" w:eastAsia="仿宋_GB2312" w:cs="仿宋_GB2312"/>
          <w:b/>
          <w:color w:val="auto"/>
          <w:kern w:val="0"/>
          <w:sz w:val="24"/>
          <w:highlight w:val="none"/>
          <w:lang w:val="zh-CN"/>
        </w:rPr>
        <w:t>。</w:t>
      </w:r>
    </w:p>
    <w:p w14:paraId="260A68AC">
      <w:pPr>
        <w:snapToGrid w:val="0"/>
        <w:spacing w:before="50" w:after="50"/>
        <w:ind w:firstLine="480" w:firstLineChars="200"/>
        <w:jc w:val="left"/>
        <w:rPr>
          <w:rFonts w:ascii="仿宋_GB2312" w:hAnsi="仿宋" w:eastAsia="仿宋_GB2312" w:cs="仿宋_GB2312"/>
          <w:b/>
          <w:color w:val="auto"/>
          <w:kern w:val="0"/>
          <w:sz w:val="24"/>
          <w:highlight w:val="none"/>
          <w:lang w:val="zh-CN"/>
        </w:rPr>
      </w:pPr>
      <w:r>
        <w:rPr>
          <w:rFonts w:hint="eastAsia" w:ascii="仿宋_GB2312" w:hAnsi="仿宋" w:eastAsia="仿宋_GB2312" w:cs="仿宋_GB2312"/>
          <w:color w:val="auto"/>
          <w:kern w:val="0"/>
          <w:sz w:val="24"/>
          <w:highlight w:val="none"/>
          <w:lang w:val="zh-CN"/>
        </w:rPr>
        <w:t>2.如为联合体响应的，“供应商名称”处必须列明联合体各方名称，并标注联合体牵头人名称，</w:t>
      </w:r>
      <w:r>
        <w:rPr>
          <w:rFonts w:hint="eastAsia" w:ascii="仿宋_GB2312" w:hAnsi="仿宋" w:eastAsia="仿宋_GB2312" w:cs="仿宋_GB2312"/>
          <w:b/>
          <w:color w:val="auto"/>
          <w:kern w:val="0"/>
          <w:sz w:val="24"/>
          <w:highlight w:val="none"/>
          <w:lang w:val="zh-CN"/>
        </w:rPr>
        <w:t>且盖章处须加盖联合体各方公章，否则其响应作无效响应处理。</w:t>
      </w:r>
    </w:p>
    <w:p w14:paraId="0520AA8C">
      <w:pPr>
        <w:snapToGrid w:val="0"/>
        <w:spacing w:before="50" w:after="50"/>
        <w:ind w:firstLine="480" w:firstLineChars="200"/>
        <w:jc w:val="left"/>
        <w:rPr>
          <w:rFonts w:ascii="仿宋_GB2312" w:hAnsi="仿宋" w:eastAsia="仿宋_GB2312" w:cs="仿宋_GB2312"/>
          <w:b/>
          <w:color w:val="auto"/>
          <w:kern w:val="0"/>
          <w:sz w:val="24"/>
          <w:highlight w:val="none"/>
          <w:lang w:val="zh-CN"/>
        </w:rPr>
      </w:pPr>
      <w:r>
        <w:rPr>
          <w:rFonts w:hint="eastAsia" w:ascii="仿宋_GB2312" w:hAnsi="仿宋" w:eastAsia="仿宋_GB2312" w:cs="仿宋_GB2312"/>
          <w:color w:val="auto"/>
          <w:kern w:val="0"/>
          <w:sz w:val="24"/>
          <w:highlight w:val="none"/>
          <w:lang w:val="zh-CN"/>
        </w:rPr>
        <w:t>3.以上表格要求细分项目及报价，在“具体服务内容”一栏中，填写具体服务范围、服务时间、服务标准，</w:t>
      </w:r>
      <w:r>
        <w:rPr>
          <w:rFonts w:hint="eastAsia" w:ascii="仿宋_GB2312" w:hAnsi="仿宋" w:eastAsia="仿宋_GB2312" w:cs="仿宋_GB2312"/>
          <w:b/>
          <w:color w:val="auto"/>
          <w:kern w:val="0"/>
          <w:sz w:val="24"/>
          <w:highlight w:val="none"/>
          <w:lang w:val="zh-CN"/>
        </w:rPr>
        <w:t>否则其响应作无效响应处理。</w:t>
      </w:r>
    </w:p>
    <w:p w14:paraId="6F268F46">
      <w:pPr>
        <w:snapToGrid w:val="0"/>
        <w:ind w:firstLine="480" w:firstLineChars="200"/>
        <w:jc w:val="left"/>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4.特别提示：采购机构将对项目名称和项目编号，成交供应商名称、地址和成交金额，主要成交标的的名称、规格型号、数量、单价、服务要求、具体服务范围、服务时间、服务标准等予以公示。</w:t>
      </w:r>
    </w:p>
    <w:p w14:paraId="3B747C52">
      <w:pPr>
        <w:snapToGrid w:val="0"/>
        <w:ind w:firstLine="480" w:firstLineChars="200"/>
        <w:jc w:val="left"/>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szCs w:val="22"/>
          <w:highlight w:val="none"/>
          <w:lang w:val="zh-CN"/>
        </w:rPr>
        <w:t>5.</w:t>
      </w:r>
      <w:r>
        <w:rPr>
          <w:rFonts w:hint="eastAsia" w:ascii="仿宋_GB2312" w:hAnsi="仿宋" w:eastAsia="仿宋_GB2312" w:cs="仿宋_GB2312"/>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10643BB6">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p>
    <w:p w14:paraId="6CEF3305">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7BC8FB0B">
      <w:pPr>
        <w:spacing w:line="500" w:lineRule="exact"/>
        <w:ind w:firstLine="6360" w:firstLineChars="2650"/>
        <w:rPr>
          <w:rFonts w:ascii="宋体" w:hAnsi="Courier New"/>
          <w:color w:val="auto"/>
          <w:kern w:val="0"/>
          <w:sz w:val="20"/>
          <w:szCs w:val="21"/>
          <w:highlight w:val="none"/>
        </w:rPr>
        <w:sectPr>
          <w:pgSz w:w="11910" w:h="16840"/>
          <w:pgMar w:top="1340" w:right="1500" w:bottom="280" w:left="1680" w:header="720" w:footer="720" w:gutter="0"/>
          <w:cols w:space="720" w:num="1"/>
          <w:docGrid w:linePitch="285" w:charSpace="0"/>
        </w:sectPr>
      </w:pPr>
      <w:r>
        <w:rPr>
          <w:rFonts w:hint="eastAsia" w:ascii="仿宋_GB2312" w:hAnsi="仿宋" w:eastAsia="仿宋_GB2312" w:cs="仿宋_GB2312"/>
          <w:color w:val="auto"/>
          <w:kern w:val="0"/>
          <w:sz w:val="24"/>
          <w:szCs w:val="21"/>
          <w:highlight w:val="none"/>
          <w:lang w:val="zh-CN"/>
        </w:rPr>
        <w:t>日期：  年  月   日</w:t>
      </w:r>
    </w:p>
    <w:p w14:paraId="138A94C0">
      <w:pPr>
        <w:keepNext/>
        <w:keepLines/>
        <w:spacing w:before="260" w:after="260" w:line="415" w:lineRule="auto"/>
        <w:jc w:val="center"/>
        <w:outlineLvl w:val="1"/>
        <w:rPr>
          <w:rFonts w:ascii="宋体" w:hAnsi="宋体"/>
          <w:bCs/>
          <w:color w:val="auto"/>
          <w:sz w:val="32"/>
          <w:szCs w:val="32"/>
          <w:highlight w:val="none"/>
        </w:rPr>
      </w:pPr>
      <w:bookmarkStart w:id="72" w:name="_Toc213251794"/>
      <w:r>
        <w:rPr>
          <w:rFonts w:hint="eastAsia" w:ascii="宋体" w:hAnsi="宋体"/>
          <w:b/>
          <w:bCs/>
          <w:color w:val="auto"/>
          <w:sz w:val="32"/>
          <w:szCs w:val="32"/>
          <w:highlight w:val="none"/>
        </w:rPr>
        <w:t>第五节 其他文书、文件格式</w:t>
      </w:r>
      <w:bookmarkEnd w:id="72"/>
    </w:p>
    <w:p w14:paraId="1B076BD4">
      <w:pPr>
        <w:overflowPunct w:val="0"/>
        <w:spacing w:after="165" w:line="520" w:lineRule="exact"/>
        <w:rPr>
          <w:rFonts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其他文书</w:t>
      </w:r>
    </w:p>
    <w:p w14:paraId="6179C16E">
      <w:pPr>
        <w:overflowPunct w:val="0"/>
        <w:spacing w:after="165" w:line="520" w:lineRule="exact"/>
        <w:rPr>
          <w:rFonts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供应商为中小微企业声明函或监狱企业证明材料或残疾人福利性单位声明函格式；</w:t>
      </w:r>
    </w:p>
    <w:p w14:paraId="779A448D">
      <w:pPr>
        <w:overflowPunct w:val="0"/>
        <w:spacing w:after="165" w:line="520" w:lineRule="exact"/>
        <w:rPr>
          <w:rFonts w:ascii="仿宋" w:hAnsi="仿宋" w:eastAsia="仿宋" w:cs="仿宋_GB2312"/>
          <w:b/>
          <w:color w:val="auto"/>
          <w:kern w:val="0"/>
          <w:sz w:val="30"/>
          <w:szCs w:val="30"/>
          <w:highlight w:val="none"/>
        </w:rPr>
      </w:pPr>
    </w:p>
    <w:p w14:paraId="519644BF">
      <w:pPr>
        <w:spacing w:line="500" w:lineRule="exact"/>
        <w:ind w:firstLine="602" w:firstLineChars="200"/>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中小企业声明函</w:t>
      </w:r>
    </w:p>
    <w:p w14:paraId="5D2315A8">
      <w:pPr>
        <w:spacing w:line="300" w:lineRule="auto"/>
        <w:ind w:firstLine="2200" w:firstLineChars="500"/>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中小企业声明函（服务）</w:t>
      </w:r>
    </w:p>
    <w:p w14:paraId="1DF6C651">
      <w:pPr>
        <w:spacing w:line="460" w:lineRule="exact"/>
        <w:ind w:right="142" w:firstLine="480" w:firstLineChars="200"/>
        <w:rPr>
          <w:rFonts w:ascii="仿宋_GB2312" w:hAnsi="等线" w:eastAsia="仿宋_GB2312"/>
          <w:color w:val="auto"/>
          <w:sz w:val="24"/>
          <w:highlight w:val="none"/>
        </w:rPr>
      </w:pPr>
      <w:r>
        <w:rPr>
          <w:rFonts w:hint="eastAsia" w:ascii="仿宋_GB2312" w:hAnsi="等线" w:eastAsia="仿宋_GB2312"/>
          <w:color w:val="auto"/>
          <w:sz w:val="24"/>
          <w:highlight w:val="none"/>
        </w:rPr>
        <w:t>本公司（联合体）郑重声明，根据《政府采购促进中小企业发展管理办法》（财库</w:t>
      </w:r>
      <w:r>
        <w:rPr>
          <w:rFonts w:hint="eastAsia" w:ascii="微软雅黑" w:hAnsi="微软雅黑" w:eastAsia="微软雅黑" w:cs="微软雅黑"/>
          <w:color w:val="auto"/>
          <w:sz w:val="24"/>
          <w:highlight w:val="none"/>
        </w:rPr>
        <w:t>﹝</w:t>
      </w:r>
      <w:r>
        <w:rPr>
          <w:rFonts w:hint="eastAsia" w:ascii="仿宋_GB2312" w:hAnsi="等线" w:eastAsia="仿宋_GB2312"/>
          <w:color w:val="auto"/>
          <w:sz w:val="24"/>
          <w:highlight w:val="none"/>
        </w:rPr>
        <w:t>2020</w:t>
      </w:r>
      <w:r>
        <w:rPr>
          <w:rFonts w:hint="eastAsia" w:ascii="微软雅黑" w:hAnsi="微软雅黑" w:eastAsia="微软雅黑" w:cs="微软雅黑"/>
          <w:color w:val="auto"/>
          <w:sz w:val="24"/>
          <w:highlight w:val="none"/>
        </w:rPr>
        <w:t>﹞</w:t>
      </w:r>
      <w:r>
        <w:rPr>
          <w:rFonts w:hint="eastAsia" w:ascii="仿宋_GB2312" w:hAnsi="等线" w:eastAsia="仿宋_GB2312"/>
          <w:color w:val="auto"/>
          <w:sz w:val="24"/>
          <w:highlight w:val="none"/>
        </w:rPr>
        <w:t>46号）的规定，本公司（联合体）参加</w:t>
      </w:r>
      <w:r>
        <w:rPr>
          <w:rFonts w:hint="eastAsia" w:ascii="仿宋_GB2312" w:hAnsi="等线" w:eastAsia="仿宋_GB2312"/>
          <w:color w:val="auto"/>
          <w:sz w:val="24"/>
          <w:highlight w:val="none"/>
          <w:u w:val="single"/>
        </w:rPr>
        <w:t>（单位名称）</w:t>
      </w:r>
      <w:r>
        <w:rPr>
          <w:rFonts w:hint="eastAsia" w:ascii="仿宋_GB2312" w:hAnsi="等线" w:eastAsia="仿宋_GB2312"/>
          <w:color w:val="auto"/>
          <w:sz w:val="24"/>
          <w:highlight w:val="none"/>
        </w:rPr>
        <w:t>的</w:t>
      </w:r>
      <w:r>
        <w:rPr>
          <w:rFonts w:hint="eastAsia" w:ascii="仿宋_GB2312" w:hAnsi="等线" w:eastAsia="仿宋_GB2312"/>
          <w:color w:val="auto"/>
          <w:sz w:val="24"/>
          <w:highlight w:val="none"/>
          <w:u w:val="single"/>
        </w:rPr>
        <w:t>（项目名称）</w:t>
      </w:r>
      <w:r>
        <w:rPr>
          <w:rFonts w:hint="eastAsia" w:ascii="仿宋_GB2312" w:hAnsi="等线" w:eastAsia="仿宋_GB2312"/>
          <w:color w:val="auto"/>
          <w:sz w:val="24"/>
          <w:highlight w:val="none"/>
        </w:rPr>
        <w:t>采购活动，服务全部由符合政策要求的中小企业承接。相关企业（含联合体中的中小企业、签订分包意向协议的中小企业）的具体情况如下：</w:t>
      </w:r>
    </w:p>
    <w:p w14:paraId="73E52298">
      <w:pPr>
        <w:tabs>
          <w:tab w:val="left" w:pos="1384"/>
          <w:tab w:val="left" w:pos="4562"/>
          <w:tab w:val="left" w:pos="6803"/>
        </w:tabs>
        <w:spacing w:line="460" w:lineRule="exact"/>
        <w:ind w:right="142" w:firstLine="684" w:firstLineChars="285"/>
        <w:rPr>
          <w:rFonts w:ascii="仿宋_GB2312" w:hAnsi="等线" w:eastAsia="仿宋_GB2312"/>
          <w:color w:val="auto"/>
          <w:sz w:val="24"/>
          <w:highlight w:val="none"/>
        </w:rPr>
      </w:pPr>
      <w:r>
        <w:rPr>
          <w:rFonts w:hint="eastAsia" w:ascii="仿宋_GB2312" w:hAnsi="等线" w:eastAsia="仿宋_GB2312"/>
          <w:color w:val="auto"/>
          <w:sz w:val="24"/>
          <w:highlight w:val="none"/>
        </w:rPr>
        <w:t>1.</w:t>
      </w:r>
      <w:r>
        <w:rPr>
          <w:rFonts w:hint="eastAsia" w:ascii="仿宋_GB2312" w:hAnsi="等线" w:eastAsia="仿宋_GB2312"/>
          <w:color w:val="auto"/>
          <w:sz w:val="24"/>
          <w:highlight w:val="none"/>
          <w:u w:val="single"/>
        </w:rPr>
        <w:t>（标的名称）</w:t>
      </w:r>
      <w:r>
        <w:rPr>
          <w:rFonts w:hint="eastAsia" w:ascii="仿宋_GB2312" w:hAnsi="等线" w:eastAsia="仿宋_GB2312"/>
          <w:color w:val="auto"/>
          <w:sz w:val="24"/>
          <w:highlight w:val="none"/>
        </w:rPr>
        <w:t>，属于</w:t>
      </w:r>
      <w:r>
        <w:rPr>
          <w:rFonts w:hint="eastAsia" w:ascii="仿宋_GB2312" w:hAnsi="等线" w:eastAsia="仿宋_GB2312"/>
          <w:color w:val="auto"/>
          <w:sz w:val="24"/>
          <w:highlight w:val="none"/>
          <w:u w:val="single"/>
        </w:rPr>
        <w:t>（采购文件中明确的所属行业）</w:t>
      </w:r>
      <w:r>
        <w:rPr>
          <w:rFonts w:hint="eastAsia" w:ascii="仿宋_GB2312" w:hAnsi="等线" w:eastAsia="仿宋_GB2312"/>
          <w:color w:val="auto"/>
          <w:sz w:val="24"/>
          <w:highlight w:val="none"/>
        </w:rPr>
        <w:t>；承接企业为</w:t>
      </w:r>
      <w:r>
        <w:rPr>
          <w:rFonts w:hint="eastAsia" w:ascii="仿宋_GB2312" w:hAnsi="等线" w:eastAsia="仿宋_GB2312"/>
          <w:color w:val="auto"/>
          <w:sz w:val="24"/>
          <w:highlight w:val="none"/>
          <w:u w:val="single"/>
        </w:rPr>
        <w:t>（企业名称）</w:t>
      </w:r>
      <w:r>
        <w:rPr>
          <w:rFonts w:hint="eastAsia" w:ascii="仿宋_GB2312" w:hAnsi="等线" w:eastAsia="仿宋_GB2312"/>
          <w:color w:val="auto"/>
          <w:sz w:val="24"/>
          <w:highlight w:val="none"/>
        </w:rPr>
        <w:t>，从业人员人，营业收入为万元，资产总额为万元，属于</w:t>
      </w:r>
      <w:r>
        <w:rPr>
          <w:rFonts w:hint="eastAsia" w:ascii="仿宋_GB2312" w:hAnsi="等线" w:eastAsia="仿宋_GB2312"/>
          <w:color w:val="auto"/>
          <w:sz w:val="24"/>
          <w:highlight w:val="none"/>
          <w:u w:val="single"/>
        </w:rPr>
        <w:t>（中型企业、小型企业、微型企业）</w:t>
      </w:r>
      <w:r>
        <w:rPr>
          <w:rFonts w:hint="eastAsia" w:ascii="仿宋_GB2312" w:hAnsi="等线" w:eastAsia="仿宋_GB2312"/>
          <w:color w:val="auto"/>
          <w:sz w:val="24"/>
          <w:highlight w:val="none"/>
        </w:rPr>
        <w:t>；</w:t>
      </w:r>
    </w:p>
    <w:p w14:paraId="796860AC">
      <w:pPr>
        <w:tabs>
          <w:tab w:val="left" w:pos="1065"/>
          <w:tab w:val="left" w:pos="4262"/>
          <w:tab w:val="left" w:pos="6477"/>
        </w:tabs>
        <w:spacing w:line="460" w:lineRule="exact"/>
        <w:ind w:right="84" w:firstLine="684" w:firstLineChars="285"/>
        <w:rPr>
          <w:rFonts w:ascii="仿宋_GB2312" w:hAnsi="等线" w:eastAsia="仿宋_GB2312"/>
          <w:color w:val="auto"/>
          <w:sz w:val="24"/>
          <w:highlight w:val="none"/>
          <w:u w:val="single"/>
        </w:rPr>
      </w:pPr>
      <w:r>
        <w:rPr>
          <w:rFonts w:hint="eastAsia" w:ascii="仿宋_GB2312" w:hAnsi="等线" w:eastAsia="仿宋_GB2312"/>
          <w:color w:val="auto"/>
          <w:sz w:val="24"/>
          <w:highlight w:val="none"/>
        </w:rPr>
        <w:t>2.</w:t>
      </w:r>
      <w:r>
        <w:rPr>
          <w:rFonts w:hint="eastAsia" w:ascii="仿宋_GB2312" w:hAnsi="等线" w:eastAsia="仿宋_GB2312"/>
          <w:color w:val="auto"/>
          <w:sz w:val="24"/>
          <w:highlight w:val="none"/>
          <w:u w:val="single"/>
        </w:rPr>
        <w:t>（标的名称）</w:t>
      </w:r>
      <w:r>
        <w:rPr>
          <w:rFonts w:hint="eastAsia" w:ascii="仿宋_GB2312" w:hAnsi="等线" w:eastAsia="仿宋_GB2312"/>
          <w:color w:val="auto"/>
          <w:sz w:val="24"/>
          <w:highlight w:val="none"/>
        </w:rPr>
        <w:t>，属于</w:t>
      </w:r>
      <w:r>
        <w:rPr>
          <w:rFonts w:hint="eastAsia" w:ascii="仿宋_GB2312" w:hAnsi="等线" w:eastAsia="仿宋_GB2312"/>
          <w:color w:val="auto"/>
          <w:sz w:val="24"/>
          <w:highlight w:val="none"/>
          <w:u w:val="single"/>
        </w:rPr>
        <w:t>（采购文件中明确的所属行业）</w:t>
      </w:r>
      <w:r>
        <w:rPr>
          <w:rFonts w:hint="eastAsia" w:ascii="仿宋_GB2312" w:hAnsi="等线" w:eastAsia="仿宋_GB2312"/>
          <w:color w:val="auto"/>
          <w:sz w:val="24"/>
          <w:highlight w:val="none"/>
        </w:rPr>
        <w:t>；承接企业为</w:t>
      </w:r>
      <w:r>
        <w:rPr>
          <w:rFonts w:hint="eastAsia" w:ascii="仿宋_GB2312" w:hAnsi="等线" w:eastAsia="仿宋_GB2312"/>
          <w:color w:val="auto"/>
          <w:sz w:val="24"/>
          <w:highlight w:val="none"/>
          <w:u w:val="single"/>
        </w:rPr>
        <w:t>（企业名称）</w:t>
      </w:r>
      <w:r>
        <w:rPr>
          <w:rFonts w:hint="eastAsia" w:ascii="仿宋_GB2312" w:hAnsi="等线" w:eastAsia="仿宋_GB2312"/>
          <w:color w:val="auto"/>
          <w:sz w:val="24"/>
          <w:highlight w:val="none"/>
        </w:rPr>
        <w:t>，从业人员人，营业收入为万元，资产总额为万元，属于</w:t>
      </w:r>
      <w:r>
        <w:rPr>
          <w:rFonts w:hint="eastAsia" w:ascii="仿宋_GB2312" w:hAnsi="等线" w:eastAsia="仿宋_GB2312"/>
          <w:color w:val="auto"/>
          <w:sz w:val="24"/>
          <w:highlight w:val="none"/>
          <w:u w:val="single"/>
        </w:rPr>
        <w:t>（中型企业、小型企业、微型企业）</w:t>
      </w:r>
      <w:r>
        <w:rPr>
          <w:rFonts w:hint="eastAsia" w:ascii="仿宋_GB2312" w:hAnsi="等线" w:eastAsia="仿宋_GB2312"/>
          <w:color w:val="auto"/>
          <w:sz w:val="24"/>
          <w:highlight w:val="none"/>
        </w:rPr>
        <w:t>；</w:t>
      </w:r>
    </w:p>
    <w:p w14:paraId="1B165EF0">
      <w:pPr>
        <w:spacing w:line="460" w:lineRule="exact"/>
        <w:ind w:left="765" w:right="142" w:hanging="5"/>
        <w:rPr>
          <w:rFonts w:ascii="仿宋_GB2312" w:hAnsi="等线" w:eastAsia="仿宋_GB2312"/>
          <w:color w:val="auto"/>
          <w:sz w:val="24"/>
          <w:highlight w:val="none"/>
        </w:rPr>
      </w:pPr>
      <w:r>
        <w:rPr>
          <w:rFonts w:hint="eastAsia" w:ascii="仿宋_GB2312" w:hAnsi="等线" w:eastAsia="仿宋_GB2312"/>
          <w:color w:val="auto"/>
          <w:sz w:val="24"/>
          <w:highlight w:val="none"/>
        </w:rPr>
        <w:t xml:space="preserve">…… </w:t>
      </w:r>
    </w:p>
    <w:p w14:paraId="470A10ED">
      <w:pPr>
        <w:spacing w:line="460" w:lineRule="exact"/>
        <w:ind w:right="142" w:firstLine="480" w:firstLineChars="200"/>
        <w:rPr>
          <w:rFonts w:ascii="仿宋_GB2312" w:hAnsi="等线" w:eastAsia="仿宋_GB2312"/>
          <w:color w:val="auto"/>
          <w:sz w:val="24"/>
          <w:highlight w:val="none"/>
        </w:rPr>
      </w:pPr>
      <w:r>
        <w:rPr>
          <w:rFonts w:hint="eastAsia" w:ascii="仿宋_GB2312" w:hAnsi="等线" w:eastAsia="仿宋_GB2312"/>
          <w:color w:val="auto"/>
          <w:sz w:val="24"/>
          <w:highlight w:val="none"/>
        </w:rPr>
        <w:t>以上企业，不属于大企业的分支机构，不存在控股股东为大企业的情形，也不存在与大企业的负责人为同一人的情形。</w:t>
      </w:r>
    </w:p>
    <w:p w14:paraId="34FBF1D9">
      <w:pPr>
        <w:spacing w:line="460" w:lineRule="exact"/>
        <w:ind w:left="-426" w:right="142" w:firstLine="567"/>
        <w:contextualSpacing/>
        <w:rPr>
          <w:rFonts w:ascii="仿宋_GB2312" w:hAnsi="宋体" w:eastAsia="仿宋_GB2312"/>
          <w:color w:val="auto"/>
          <w:sz w:val="24"/>
          <w:highlight w:val="none"/>
        </w:rPr>
      </w:pPr>
      <w:r>
        <w:rPr>
          <w:rFonts w:hint="eastAsia" w:ascii="仿宋_GB2312" w:hAnsi="等线" w:eastAsia="仿宋_GB2312"/>
          <w:color w:val="auto"/>
          <w:sz w:val="24"/>
          <w:highlight w:val="none"/>
        </w:rPr>
        <w:t>本企业对上述声明内容的真实性负责。如有虚假，将依法承担相应责任。</w:t>
      </w:r>
    </w:p>
    <w:p w14:paraId="0FC0246C">
      <w:pPr>
        <w:spacing w:line="460" w:lineRule="exact"/>
        <w:ind w:left="3960" w:right="1808"/>
        <w:contextualSpacing/>
        <w:rPr>
          <w:rFonts w:ascii="宋体" w:hAnsi="宋体"/>
          <w:color w:val="auto"/>
          <w:sz w:val="24"/>
          <w:highlight w:val="none"/>
        </w:rPr>
      </w:pPr>
    </w:p>
    <w:p w14:paraId="276380CD">
      <w:pPr>
        <w:autoSpaceDE w:val="0"/>
        <w:autoSpaceDN w:val="0"/>
        <w:spacing w:line="460" w:lineRule="exact"/>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1EBB7583">
      <w:pPr>
        <w:autoSpaceDE w:val="0"/>
        <w:autoSpaceDN w:val="0"/>
        <w:spacing w:line="460" w:lineRule="exact"/>
        <w:ind w:firstLine="6480" w:firstLineChars="270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7958E973">
      <w:pPr>
        <w:spacing w:line="360" w:lineRule="auto"/>
        <w:ind w:left="3960" w:right="1808"/>
        <w:contextualSpacing/>
        <w:rPr>
          <w:color w:val="auto"/>
          <w:highlight w:val="none"/>
        </w:rPr>
      </w:pPr>
    </w:p>
    <w:p w14:paraId="43F4A03D">
      <w:pPr>
        <w:spacing w:line="360" w:lineRule="auto"/>
        <w:jc w:val="left"/>
        <w:rPr>
          <w:rFonts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cs="仿宋_GB2312"/>
          <w:color w:val="auto"/>
          <w:sz w:val="24"/>
          <w:highlight w:val="none"/>
        </w:rPr>
        <w:br w:type="page"/>
      </w:r>
    </w:p>
    <w:p w14:paraId="1A1CEF03">
      <w:pPr>
        <w:spacing w:line="360" w:lineRule="auto"/>
        <w:jc w:val="left"/>
        <w:rPr>
          <w:rFonts w:ascii="宋体" w:hAnsi="宋体" w:cs="仿宋_GB2312"/>
          <w:color w:val="auto"/>
          <w:sz w:val="24"/>
          <w:highlight w:val="none"/>
        </w:rPr>
      </w:pPr>
    </w:p>
    <w:p w14:paraId="1E268BD5">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残疾人福利性单位声明函</w:t>
      </w:r>
    </w:p>
    <w:p w14:paraId="4F20CC1D">
      <w:pPr>
        <w:spacing w:line="520" w:lineRule="exact"/>
        <w:rPr>
          <w:rFonts w:ascii="仿宋_GB2312" w:hAnsi="仿宋_GB2312" w:eastAsia="仿宋_GB2312" w:cs="仿宋_GB2312"/>
          <w:color w:val="auto"/>
          <w:sz w:val="32"/>
          <w:szCs w:val="32"/>
          <w:highlight w:val="none"/>
        </w:rPr>
      </w:pPr>
    </w:p>
    <w:p w14:paraId="62476641">
      <w:pPr>
        <w:spacing w:line="360" w:lineRule="auto"/>
        <w:ind w:firstLine="480" w:firstLineChars="200"/>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hAnsi="宋体" w:eastAsia="仿宋_GB2312" w:cs="仿宋_GB2312"/>
          <w:color w:val="auto"/>
          <w:sz w:val="24"/>
          <w:highlight w:val="none"/>
          <w:u w:val="single"/>
        </w:rPr>
        <w:t xml:space="preserve">       单位的        </w:t>
      </w:r>
      <w:r>
        <w:rPr>
          <w:rFonts w:hint="eastAsia" w:ascii="仿宋_GB2312" w:hAnsi="宋体" w:eastAsia="仿宋_GB2312" w:cs="仿宋_GB2312"/>
          <w:color w:val="auto"/>
          <w:sz w:val="24"/>
          <w:highlight w:val="none"/>
        </w:rPr>
        <w:t>项目采购活动由本单位提供服务。</w:t>
      </w:r>
    </w:p>
    <w:p w14:paraId="598C5927">
      <w:pPr>
        <w:spacing w:line="360" w:lineRule="auto"/>
        <w:ind w:firstLine="480" w:firstLineChars="200"/>
        <w:rPr>
          <w:rFonts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本单位对上述声明的真实性负责。如有虚假，将依法承担相应责任。</w:t>
      </w:r>
    </w:p>
    <w:p w14:paraId="03B4C02B">
      <w:pPr>
        <w:spacing w:line="360" w:lineRule="auto"/>
        <w:rPr>
          <w:rFonts w:ascii="宋体" w:hAnsi="宋体" w:cs="仿宋_GB2312"/>
          <w:color w:val="auto"/>
          <w:sz w:val="24"/>
          <w:highlight w:val="none"/>
        </w:rPr>
      </w:pPr>
    </w:p>
    <w:p w14:paraId="6709DEB0">
      <w:pPr>
        <w:spacing w:line="360" w:lineRule="auto"/>
        <w:rPr>
          <w:rFonts w:ascii="宋体" w:hAnsi="宋体" w:cs="仿宋_GB2312"/>
          <w:color w:val="auto"/>
          <w:sz w:val="24"/>
          <w:highlight w:val="none"/>
        </w:rPr>
      </w:pPr>
    </w:p>
    <w:p w14:paraId="3D58CA50">
      <w:pPr>
        <w:spacing w:line="360" w:lineRule="auto"/>
        <w:rPr>
          <w:rFonts w:ascii="宋体" w:hAnsi="宋体" w:cs="仿宋_GB2312"/>
          <w:color w:val="auto"/>
          <w:sz w:val="24"/>
          <w:highlight w:val="none"/>
        </w:rPr>
      </w:pPr>
    </w:p>
    <w:p w14:paraId="7F43F936">
      <w:pPr>
        <w:spacing w:line="360" w:lineRule="auto"/>
        <w:ind w:firstLine="2400" w:firstLineChars="1000"/>
        <w:rPr>
          <w:rFonts w:ascii="宋体" w:hAnsi="宋体" w:cs="仿宋_GB2312"/>
          <w:color w:val="auto"/>
          <w:sz w:val="24"/>
          <w:highlight w:val="none"/>
        </w:rPr>
      </w:pPr>
      <w:r>
        <w:rPr>
          <w:rFonts w:hint="eastAsia" w:ascii="宋体" w:hAnsi="宋体" w:cs="仿宋_GB2312"/>
          <w:color w:val="auto"/>
          <w:sz w:val="24"/>
          <w:highlight w:val="none"/>
        </w:rPr>
        <w:t>供应商名称（电子签章）：</w:t>
      </w:r>
    </w:p>
    <w:p w14:paraId="3DD97BBA">
      <w:pPr>
        <w:spacing w:line="360" w:lineRule="auto"/>
        <w:ind w:firstLine="4320" w:firstLineChars="1800"/>
        <w:rPr>
          <w:rFonts w:ascii="宋体" w:hAnsi="宋体" w:cs="仿宋_GB2312"/>
          <w:color w:val="auto"/>
          <w:sz w:val="24"/>
          <w:highlight w:val="none"/>
        </w:rPr>
      </w:pPr>
      <w:r>
        <w:rPr>
          <w:rFonts w:hint="eastAsia" w:ascii="宋体" w:hAnsi="宋体" w:cs="仿宋_GB2312"/>
          <w:color w:val="auto"/>
          <w:sz w:val="24"/>
          <w:highlight w:val="none"/>
        </w:rPr>
        <w:t>日  期：     年   月   日</w:t>
      </w:r>
    </w:p>
    <w:p w14:paraId="5F0CD673">
      <w:pPr>
        <w:spacing w:line="360" w:lineRule="auto"/>
        <w:rPr>
          <w:rFonts w:ascii="宋体" w:hAnsi="宋体" w:cs="仿宋_GB2312"/>
          <w:color w:val="auto"/>
          <w:sz w:val="24"/>
          <w:highlight w:val="none"/>
        </w:rPr>
      </w:pPr>
    </w:p>
    <w:p w14:paraId="32DB5DFF">
      <w:pPr>
        <w:spacing w:line="360" w:lineRule="auto"/>
        <w:rPr>
          <w:rFonts w:ascii="宋体" w:hAnsi="宋体" w:cs="仿宋_GB2312"/>
          <w:color w:val="auto"/>
          <w:sz w:val="24"/>
          <w:highlight w:val="none"/>
        </w:rPr>
      </w:pPr>
    </w:p>
    <w:p w14:paraId="6EE7B0C1">
      <w:pPr>
        <w:spacing w:line="360" w:lineRule="auto"/>
        <w:rPr>
          <w:rFonts w:ascii="宋体" w:hAnsi="宋体" w:cs="仿宋_GB2312"/>
          <w:color w:val="auto"/>
          <w:sz w:val="24"/>
          <w:highlight w:val="none"/>
        </w:rPr>
      </w:pPr>
    </w:p>
    <w:p w14:paraId="7C5B67D1">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根据《关于政府采购支持监狱企业发展有关问题的通知》（财库[2014]68号）的规定，供应商提供由省级以上监狱管理局、戒毒管理局（含新疆生产建设兵团）出具的属于监狱企业证明文件的，视同为小型和微型企业。</w:t>
      </w:r>
    </w:p>
    <w:p w14:paraId="582DBBD0">
      <w:pPr>
        <w:spacing w:line="520" w:lineRule="exact"/>
        <w:jc w:val="center"/>
        <w:rPr>
          <w:rFonts w:ascii="宋体" w:hAnsi="宋体"/>
          <w:color w:val="auto"/>
          <w:sz w:val="24"/>
          <w:highlight w:val="none"/>
        </w:rPr>
      </w:pPr>
    </w:p>
    <w:p w14:paraId="7C5E710F">
      <w:pPr>
        <w:overflowPunct w:val="0"/>
        <w:spacing w:after="165" w:line="520" w:lineRule="exact"/>
        <w:rPr>
          <w:rFonts w:ascii="宋体" w:hAnsi="宋体"/>
          <w:b/>
          <w:bCs/>
          <w:color w:val="auto"/>
          <w:sz w:val="32"/>
          <w:szCs w:val="32"/>
          <w:highlight w:val="none"/>
        </w:rPr>
      </w:pPr>
    </w:p>
    <w:p w14:paraId="1BF69711">
      <w:pPr>
        <w:spacing w:line="520" w:lineRule="exact"/>
        <w:jc w:val="center"/>
        <w:rPr>
          <w:rFonts w:ascii="宋体" w:hAnsi="宋体"/>
          <w:color w:val="auto"/>
          <w:sz w:val="24"/>
          <w:highlight w:val="none"/>
        </w:rPr>
      </w:pPr>
    </w:p>
    <w:p w14:paraId="75CDEC47">
      <w:pPr>
        <w:spacing w:line="520" w:lineRule="exact"/>
        <w:jc w:val="center"/>
        <w:rPr>
          <w:rFonts w:ascii="宋体" w:hAnsi="宋体"/>
          <w:color w:val="auto"/>
          <w:sz w:val="24"/>
          <w:highlight w:val="none"/>
        </w:rPr>
      </w:pPr>
    </w:p>
    <w:p w14:paraId="251F7173">
      <w:pPr>
        <w:spacing w:line="520" w:lineRule="exact"/>
        <w:jc w:val="center"/>
        <w:rPr>
          <w:rFonts w:ascii="宋体" w:hAnsi="宋体"/>
          <w:color w:val="auto"/>
          <w:sz w:val="24"/>
          <w:highlight w:val="none"/>
        </w:rPr>
      </w:pPr>
    </w:p>
    <w:p w14:paraId="4DC3EA74">
      <w:pPr>
        <w:spacing w:line="520" w:lineRule="exact"/>
        <w:jc w:val="center"/>
        <w:rPr>
          <w:rFonts w:ascii="宋体" w:hAnsi="宋体"/>
          <w:color w:val="auto"/>
          <w:sz w:val="24"/>
          <w:highlight w:val="none"/>
        </w:rPr>
      </w:pPr>
    </w:p>
    <w:p w14:paraId="3A8977A3">
      <w:pPr>
        <w:tabs>
          <w:tab w:val="center" w:pos="4153"/>
          <w:tab w:val="right" w:pos="8306"/>
        </w:tabs>
        <w:snapToGrid w:val="0"/>
        <w:jc w:val="left"/>
        <w:rPr>
          <w:color w:val="auto"/>
          <w:kern w:val="0"/>
          <w:sz w:val="18"/>
          <w:szCs w:val="18"/>
          <w:highlight w:val="none"/>
        </w:rPr>
      </w:pPr>
    </w:p>
    <w:p w14:paraId="36A2B98B">
      <w:pPr>
        <w:tabs>
          <w:tab w:val="center" w:pos="4153"/>
          <w:tab w:val="right" w:pos="8306"/>
        </w:tabs>
        <w:snapToGrid w:val="0"/>
        <w:jc w:val="left"/>
        <w:rPr>
          <w:color w:val="auto"/>
          <w:kern w:val="0"/>
          <w:sz w:val="18"/>
          <w:szCs w:val="18"/>
          <w:highlight w:val="none"/>
        </w:rPr>
      </w:pPr>
    </w:p>
    <w:p w14:paraId="401FFB19">
      <w:pPr>
        <w:tabs>
          <w:tab w:val="center" w:pos="4153"/>
          <w:tab w:val="right" w:pos="8306"/>
        </w:tabs>
        <w:snapToGrid w:val="0"/>
        <w:jc w:val="left"/>
        <w:rPr>
          <w:color w:val="auto"/>
          <w:kern w:val="0"/>
          <w:sz w:val="18"/>
          <w:szCs w:val="18"/>
          <w:highlight w:val="none"/>
        </w:rPr>
      </w:pPr>
    </w:p>
    <w:p w14:paraId="445A7D4A">
      <w:pPr>
        <w:tabs>
          <w:tab w:val="center" w:pos="4153"/>
          <w:tab w:val="right" w:pos="8306"/>
        </w:tabs>
        <w:snapToGrid w:val="0"/>
        <w:jc w:val="left"/>
        <w:rPr>
          <w:color w:val="auto"/>
          <w:kern w:val="0"/>
          <w:sz w:val="18"/>
          <w:szCs w:val="18"/>
          <w:highlight w:val="none"/>
        </w:rPr>
      </w:pPr>
    </w:p>
    <w:p w14:paraId="656F6EB9">
      <w:pPr>
        <w:spacing w:line="520" w:lineRule="exact"/>
        <w:jc w:val="center"/>
        <w:rPr>
          <w:rFonts w:ascii="宋体" w:hAnsi="宋体"/>
          <w:color w:val="auto"/>
          <w:sz w:val="24"/>
          <w:highlight w:val="none"/>
        </w:rPr>
      </w:pPr>
    </w:p>
    <w:p w14:paraId="75A84751">
      <w:pPr>
        <w:spacing w:line="520" w:lineRule="exact"/>
        <w:jc w:val="center"/>
        <w:rPr>
          <w:rFonts w:ascii="宋体" w:hAnsi="宋体"/>
          <w:color w:val="auto"/>
          <w:sz w:val="24"/>
          <w:highlight w:val="none"/>
        </w:rPr>
      </w:pPr>
    </w:p>
    <w:p w14:paraId="1DB2DF4C">
      <w:pPr>
        <w:spacing w:line="520" w:lineRule="exact"/>
        <w:jc w:val="center"/>
        <w:rPr>
          <w:rFonts w:ascii="宋体" w:hAnsi="宋体"/>
          <w:color w:val="auto"/>
          <w:sz w:val="24"/>
          <w:highlight w:val="none"/>
        </w:rPr>
      </w:pPr>
    </w:p>
    <w:p w14:paraId="1EE4E332">
      <w:pPr>
        <w:spacing w:line="520" w:lineRule="exact"/>
        <w:jc w:val="center"/>
        <w:rPr>
          <w:rFonts w:ascii="宋体" w:hAnsi="宋体"/>
          <w:color w:val="auto"/>
          <w:sz w:val="24"/>
          <w:highlight w:val="none"/>
        </w:rPr>
      </w:pPr>
    </w:p>
    <w:p w14:paraId="414DFE04">
      <w:pPr>
        <w:spacing w:line="520" w:lineRule="exact"/>
        <w:jc w:val="center"/>
        <w:rPr>
          <w:rFonts w:ascii="宋体" w:hAnsi="宋体"/>
          <w:color w:val="auto"/>
          <w:sz w:val="24"/>
          <w:highlight w:val="none"/>
        </w:rPr>
      </w:pPr>
    </w:p>
    <w:p w14:paraId="46A58C6C">
      <w:pPr>
        <w:tabs>
          <w:tab w:val="center" w:pos="4153"/>
          <w:tab w:val="right" w:pos="8306"/>
        </w:tabs>
        <w:snapToGrid w:val="0"/>
        <w:jc w:val="left"/>
        <w:rPr>
          <w:color w:val="auto"/>
          <w:kern w:val="0"/>
          <w:sz w:val="18"/>
          <w:szCs w:val="18"/>
          <w:highlight w:val="none"/>
        </w:rPr>
      </w:pPr>
    </w:p>
    <w:p w14:paraId="5C925C3B">
      <w:pPr>
        <w:keepNext/>
        <w:keepLines/>
        <w:spacing w:before="340" w:after="330" w:line="578" w:lineRule="auto"/>
        <w:jc w:val="center"/>
        <w:outlineLvl w:val="0"/>
        <w:rPr>
          <w:rFonts w:ascii="宋体" w:hAnsi="宋体"/>
          <w:color w:val="auto"/>
          <w:kern w:val="44"/>
          <w:sz w:val="44"/>
          <w:szCs w:val="44"/>
          <w:highlight w:val="none"/>
        </w:rPr>
      </w:pPr>
      <w:bookmarkStart w:id="73" w:name="_Toc213251795"/>
      <w:r>
        <w:rPr>
          <w:rFonts w:hint="eastAsia" w:ascii="宋体" w:hAnsi="宋体"/>
          <w:color w:val="auto"/>
          <w:kern w:val="44"/>
          <w:sz w:val="44"/>
          <w:szCs w:val="44"/>
          <w:highlight w:val="none"/>
        </w:rPr>
        <w:t>第六章 合同文本</w:t>
      </w:r>
      <w:bookmarkEnd w:id="73"/>
      <w:r>
        <w:rPr>
          <w:rFonts w:hint="eastAsia" w:ascii="宋体" w:hAnsi="宋体"/>
          <w:color w:val="auto"/>
          <w:kern w:val="44"/>
          <w:sz w:val="44"/>
          <w:szCs w:val="44"/>
          <w:highlight w:val="none"/>
        </w:rPr>
        <w:br w:type="page"/>
      </w:r>
    </w:p>
    <w:p w14:paraId="28AAFCA4">
      <w:pPr>
        <w:rPr>
          <w:rFonts w:ascii="宋体" w:hAnsi="宋体"/>
          <w:b/>
          <w:bCs/>
          <w:color w:val="auto"/>
          <w:highlight w:val="none"/>
        </w:rPr>
      </w:pPr>
      <w:r>
        <w:rPr>
          <w:rFonts w:hint="eastAsia" w:ascii="仿宋_GB2312" w:hAnsi="楷体" w:eastAsia="仿宋_GB2312"/>
          <w:color w:val="auto"/>
          <w:sz w:val="24"/>
          <w:highlight w:val="none"/>
        </w:rPr>
        <w:t>广西政府采购云平台合同编号：</w:t>
      </w:r>
    </w:p>
    <w:p w14:paraId="4A42849B">
      <w:pPr>
        <w:spacing w:line="360" w:lineRule="auto"/>
        <w:jc w:val="center"/>
        <w:rPr>
          <w:rFonts w:ascii="宋体"/>
          <w:b/>
          <w:bCs/>
          <w:color w:val="auto"/>
          <w:sz w:val="52"/>
          <w:highlight w:val="none"/>
        </w:rPr>
      </w:pPr>
      <w:r>
        <w:rPr>
          <w:rFonts w:hint="eastAsia" w:ascii="宋体"/>
          <w:b/>
          <w:bCs/>
          <w:color w:val="auto"/>
          <w:sz w:val="52"/>
          <w:highlight w:val="none"/>
        </w:rPr>
        <w:t>南 宁 市 政 府 采 购</w:t>
      </w:r>
    </w:p>
    <w:p w14:paraId="295B2AEB">
      <w:pPr>
        <w:spacing w:line="360" w:lineRule="auto"/>
        <w:ind w:firstLine="420" w:firstLineChars="200"/>
        <w:rPr>
          <w:rFonts w:ascii="宋体"/>
          <w:color w:val="auto"/>
          <w:highlight w:val="none"/>
        </w:rPr>
      </w:pPr>
    </w:p>
    <w:p w14:paraId="35A5F803">
      <w:pPr>
        <w:spacing w:line="360" w:lineRule="auto"/>
        <w:ind w:firstLine="420" w:firstLineChars="200"/>
        <w:rPr>
          <w:rFonts w:ascii="宋体"/>
          <w:color w:val="auto"/>
          <w:highlight w:val="none"/>
        </w:rPr>
      </w:pPr>
    </w:p>
    <w:p w14:paraId="1BA49F95">
      <w:pPr>
        <w:spacing w:line="360" w:lineRule="auto"/>
        <w:jc w:val="center"/>
        <w:rPr>
          <w:rFonts w:ascii="宋体"/>
          <w:b/>
          <w:bCs/>
          <w:color w:val="auto"/>
          <w:sz w:val="44"/>
          <w:highlight w:val="none"/>
        </w:rPr>
      </w:pPr>
      <w:r>
        <w:rPr>
          <w:rFonts w:hint="eastAsia" w:ascii="宋体"/>
          <w:b/>
          <w:bCs/>
          <w:color w:val="auto"/>
          <w:sz w:val="44"/>
          <w:highlight w:val="none"/>
        </w:rPr>
        <w:t xml:space="preserve">         （项目名称）         合同</w:t>
      </w:r>
    </w:p>
    <w:p w14:paraId="0B1AC22E">
      <w:pPr>
        <w:spacing w:line="360" w:lineRule="auto"/>
        <w:jc w:val="center"/>
        <w:rPr>
          <w:rFonts w:ascii="宋体"/>
          <w:b/>
          <w:bCs/>
          <w:color w:val="auto"/>
          <w:sz w:val="44"/>
          <w:highlight w:val="none"/>
        </w:rPr>
      </w:pPr>
    </w:p>
    <w:p w14:paraId="6650D03E">
      <w:pPr>
        <w:spacing w:line="360" w:lineRule="auto"/>
        <w:ind w:firstLine="3507" w:firstLineChars="794"/>
        <w:rPr>
          <w:rFonts w:ascii="宋体"/>
          <w:b/>
          <w:bCs/>
          <w:color w:val="auto"/>
          <w:sz w:val="44"/>
          <w:highlight w:val="none"/>
        </w:rPr>
      </w:pPr>
    </w:p>
    <w:p w14:paraId="01463CE1">
      <w:pPr>
        <w:spacing w:line="360" w:lineRule="auto"/>
        <w:ind w:firstLine="3507" w:firstLineChars="794"/>
        <w:rPr>
          <w:rFonts w:ascii="宋体"/>
          <w:b/>
          <w:bCs/>
          <w:color w:val="auto"/>
          <w:sz w:val="44"/>
          <w:highlight w:val="none"/>
        </w:rPr>
      </w:pPr>
    </w:p>
    <w:p w14:paraId="519F82F7">
      <w:pPr>
        <w:ind w:firstLine="1995" w:firstLineChars="552"/>
        <w:rPr>
          <w:rFonts w:ascii="宋体" w:hAnsi="宋体"/>
          <w:b/>
          <w:color w:val="auto"/>
          <w:sz w:val="36"/>
          <w:szCs w:val="36"/>
          <w:highlight w:val="none"/>
        </w:rPr>
      </w:pPr>
      <w:r>
        <w:rPr>
          <w:rFonts w:hint="eastAsia" w:ascii="宋体" w:hAnsi="宋体"/>
          <w:b/>
          <w:color w:val="auto"/>
          <w:sz w:val="36"/>
          <w:szCs w:val="36"/>
          <w:highlight w:val="none"/>
        </w:rPr>
        <w:t xml:space="preserve">采购项目编号：                     </w:t>
      </w:r>
    </w:p>
    <w:p w14:paraId="101C2742">
      <w:pPr>
        <w:ind w:firstLine="1995" w:firstLineChars="552"/>
        <w:rPr>
          <w:rFonts w:ascii="宋体" w:hAnsi="宋体"/>
          <w:b/>
          <w:color w:val="auto"/>
          <w:sz w:val="36"/>
          <w:szCs w:val="36"/>
          <w:highlight w:val="none"/>
        </w:rPr>
      </w:pPr>
      <w:r>
        <w:rPr>
          <w:rFonts w:hint="eastAsia" w:ascii="宋体" w:hAnsi="宋体"/>
          <w:b/>
          <w:color w:val="auto"/>
          <w:sz w:val="36"/>
          <w:szCs w:val="36"/>
          <w:highlight w:val="none"/>
        </w:rPr>
        <w:t xml:space="preserve">采购计划编号：                     </w:t>
      </w:r>
    </w:p>
    <w:p w14:paraId="20C8317D">
      <w:pPr>
        <w:ind w:firstLine="1308" w:firstLineChars="545"/>
        <w:rPr>
          <w:rFonts w:ascii="宋体" w:hAnsi="宋体" w:cs="宋体"/>
          <w:color w:val="auto"/>
          <w:sz w:val="24"/>
          <w:highlight w:val="none"/>
        </w:rPr>
      </w:pPr>
    </w:p>
    <w:p w14:paraId="005C6D74">
      <w:pPr>
        <w:ind w:firstLine="1995" w:firstLineChars="552"/>
        <w:rPr>
          <w:rFonts w:ascii="宋体" w:hAnsi="宋体"/>
          <w:b/>
          <w:color w:val="auto"/>
          <w:sz w:val="36"/>
          <w:szCs w:val="36"/>
          <w:highlight w:val="none"/>
        </w:rPr>
      </w:pPr>
    </w:p>
    <w:p w14:paraId="42C1A2A2">
      <w:pPr>
        <w:ind w:firstLine="1995" w:firstLineChars="552"/>
        <w:rPr>
          <w:rFonts w:ascii="宋体" w:hAnsi="宋体"/>
          <w:b/>
          <w:color w:val="auto"/>
          <w:sz w:val="36"/>
          <w:szCs w:val="36"/>
          <w:highlight w:val="none"/>
        </w:rPr>
      </w:pPr>
    </w:p>
    <w:p w14:paraId="416C1094">
      <w:pPr>
        <w:tabs>
          <w:tab w:val="left" w:pos="7200"/>
        </w:tabs>
        <w:spacing w:line="360" w:lineRule="auto"/>
        <w:ind w:firstLine="1995" w:firstLineChars="552"/>
        <w:rPr>
          <w:rFonts w:ascii="宋体" w:hAnsi="宋体"/>
          <w:b/>
          <w:color w:val="auto"/>
          <w:sz w:val="36"/>
          <w:szCs w:val="36"/>
          <w:highlight w:val="none"/>
        </w:rPr>
      </w:pPr>
      <w:r>
        <w:rPr>
          <w:rFonts w:hint="eastAsia" w:ascii="宋体" w:hAnsi="宋体"/>
          <w:b/>
          <w:color w:val="auto"/>
          <w:sz w:val="36"/>
          <w:szCs w:val="36"/>
          <w:highlight w:val="none"/>
        </w:rPr>
        <w:t xml:space="preserve">采购人：                       </w:t>
      </w:r>
    </w:p>
    <w:p w14:paraId="1F0F79B8">
      <w:pPr>
        <w:tabs>
          <w:tab w:val="left" w:pos="7380"/>
        </w:tabs>
        <w:spacing w:line="360" w:lineRule="auto"/>
        <w:ind w:firstLine="1995" w:firstLineChars="552"/>
        <w:rPr>
          <w:rFonts w:ascii="宋体"/>
          <w:b/>
          <w:bCs/>
          <w:color w:val="auto"/>
          <w:sz w:val="44"/>
          <w:highlight w:val="none"/>
        </w:rPr>
      </w:pPr>
      <w:r>
        <w:rPr>
          <w:rFonts w:hint="eastAsia" w:ascii="宋体" w:hAnsi="宋体"/>
          <w:b/>
          <w:color w:val="auto"/>
          <w:sz w:val="36"/>
          <w:szCs w:val="36"/>
          <w:highlight w:val="none"/>
        </w:rPr>
        <w:t xml:space="preserve">成交供应商：                   </w:t>
      </w:r>
    </w:p>
    <w:p w14:paraId="2E20A1A0">
      <w:pPr>
        <w:tabs>
          <w:tab w:val="left" w:pos="7380"/>
        </w:tabs>
        <w:spacing w:line="360" w:lineRule="auto"/>
        <w:rPr>
          <w:rFonts w:ascii="宋体"/>
          <w:b/>
          <w:bCs/>
          <w:color w:val="auto"/>
          <w:sz w:val="44"/>
          <w:highlight w:val="none"/>
        </w:rPr>
      </w:pPr>
    </w:p>
    <w:p w14:paraId="6F34ACBF">
      <w:pPr>
        <w:snapToGrid w:val="0"/>
        <w:spacing w:line="360" w:lineRule="auto"/>
        <w:jc w:val="center"/>
        <w:rPr>
          <w:rFonts w:ascii="仿宋_GB2312" w:hAnsi="楷体" w:eastAsia="仿宋_GB2312"/>
          <w:b/>
          <w:color w:val="auto"/>
          <w:sz w:val="24"/>
          <w:highlight w:val="none"/>
        </w:rPr>
      </w:pPr>
      <w:r>
        <w:rPr>
          <w:rFonts w:hint="eastAsia" w:ascii="宋体"/>
          <w:b/>
          <w:bCs/>
          <w:color w:val="auto"/>
          <w:sz w:val="44"/>
          <w:highlight w:val="none"/>
        </w:rPr>
        <w:br w:type="page"/>
      </w:r>
      <w:r>
        <w:rPr>
          <w:rFonts w:hint="eastAsia" w:ascii="仿宋_GB2312" w:hAnsi="楷体" w:eastAsia="仿宋_GB2312"/>
          <w:b/>
          <w:color w:val="auto"/>
          <w:sz w:val="24"/>
          <w:highlight w:val="none"/>
        </w:rPr>
        <w:t>合同目录</w:t>
      </w:r>
    </w:p>
    <w:p w14:paraId="58E9FB5A">
      <w:pPr>
        <w:snapToGrid w:val="0"/>
        <w:spacing w:line="360" w:lineRule="auto"/>
        <w:jc w:val="center"/>
        <w:rPr>
          <w:rFonts w:ascii="宋体"/>
          <w:b/>
          <w:bCs/>
          <w:color w:val="auto"/>
          <w:sz w:val="44"/>
          <w:highlight w:val="none"/>
        </w:rPr>
      </w:pPr>
    </w:p>
    <w:p w14:paraId="0145EC59">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第一部分 合同书</w:t>
      </w:r>
      <w:r>
        <w:rPr>
          <w:rFonts w:hint="eastAsia" w:ascii="仿宋_GB2312" w:hAnsi="仿宋" w:eastAsia="仿宋_GB2312" w:cs="仿宋_GB2312"/>
          <w:color w:val="auto"/>
          <w:kern w:val="0"/>
          <w:sz w:val="24"/>
          <w:highlight w:val="none"/>
        </w:rPr>
        <w:t>……………………………………………………………（页码）</w:t>
      </w:r>
    </w:p>
    <w:p w14:paraId="15EF8F8B">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二、第二部分 合同一般条款……………………………………………………（页码）</w:t>
      </w:r>
    </w:p>
    <w:p w14:paraId="72F64B67">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三、第三部分 合同专用条款……………………………………………………（页码）</w:t>
      </w:r>
    </w:p>
    <w:p w14:paraId="0BCDCE77">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四、</w:t>
      </w:r>
      <w:r>
        <w:rPr>
          <w:rFonts w:hint="eastAsia" w:ascii="仿宋_GB2312" w:hAnsi="仿宋" w:eastAsia="仿宋_GB2312"/>
          <w:color w:val="auto"/>
          <w:sz w:val="24"/>
          <w:highlight w:val="none"/>
        </w:rPr>
        <w:t>第四部分 合同附件</w:t>
      </w:r>
      <w:r>
        <w:rPr>
          <w:rFonts w:hint="eastAsia" w:ascii="仿宋_GB2312" w:hAnsi="仿宋" w:eastAsia="仿宋_GB2312" w:cs="仿宋_GB2312"/>
          <w:color w:val="auto"/>
          <w:kern w:val="0"/>
          <w:sz w:val="24"/>
          <w:highlight w:val="none"/>
        </w:rPr>
        <w:t>…………………………………………………………（页码）</w:t>
      </w:r>
    </w:p>
    <w:p w14:paraId="5AC164D1">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4.1成交通知书 …………………………………………………………………（页码）</w:t>
      </w:r>
    </w:p>
    <w:p w14:paraId="4C83BF3D">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4.2采购文件服务需求一览表 …………………………………………………（页码）</w:t>
      </w:r>
    </w:p>
    <w:p w14:paraId="0E1827DF">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4.3采购文件的更改通知（如有） ……………………………………………（页码）</w:t>
      </w:r>
    </w:p>
    <w:p w14:paraId="449A3F7E">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4.4响应函 ………………………………………………………………………（页码）</w:t>
      </w:r>
    </w:p>
    <w:p w14:paraId="507A67CB">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4.5响应报价表 …………………………………………………………………（页码）</w:t>
      </w:r>
    </w:p>
    <w:p w14:paraId="34AD16A8">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4.6响应服务技术资料表 ………………………………………………………（页码）</w:t>
      </w:r>
    </w:p>
    <w:p w14:paraId="63FFFF72">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4.7商务条款偏离表 ……………………………………………………………（页码）</w:t>
      </w:r>
    </w:p>
    <w:p w14:paraId="539A7C3C">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4.8成交供应商澄清函（如有请提供） ………………………………………（页码）</w:t>
      </w:r>
    </w:p>
    <w:p w14:paraId="2684E6B7">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4.9其他与本合同相关的资料（如有请提供） ………………………………（页码）</w:t>
      </w:r>
    </w:p>
    <w:p w14:paraId="6DCA1617">
      <w:pPr>
        <w:snapToGrid w:val="0"/>
        <w:spacing w:line="360" w:lineRule="auto"/>
        <w:rPr>
          <w:rFonts w:ascii="仿宋_GB2312" w:hAnsi="仿宋" w:eastAsia="仿宋_GB2312" w:cs="仿宋_GB2312"/>
          <w:color w:val="auto"/>
          <w:kern w:val="0"/>
          <w:sz w:val="24"/>
          <w:highlight w:val="none"/>
        </w:rPr>
      </w:pPr>
    </w:p>
    <w:p w14:paraId="0B7E390B">
      <w:pPr>
        <w:ind w:firstLine="1126" w:firstLineChars="352"/>
        <w:rPr>
          <w:rFonts w:ascii="仿宋_GB2312" w:eastAsia="仿宋_GB2312"/>
          <w:color w:val="auto"/>
          <w:kern w:val="0"/>
          <w:sz w:val="32"/>
          <w:szCs w:val="20"/>
          <w:highlight w:val="none"/>
        </w:rPr>
        <w:sectPr>
          <w:pgSz w:w="11906" w:h="16838"/>
          <w:pgMar w:top="1134" w:right="1134" w:bottom="1134" w:left="1134" w:header="720" w:footer="720" w:gutter="0"/>
          <w:cols w:space="720" w:num="1"/>
          <w:docGrid w:type="lines" w:linePitch="331" w:charSpace="0"/>
        </w:sectPr>
      </w:pPr>
    </w:p>
    <w:p w14:paraId="67ADB615">
      <w:pPr>
        <w:autoSpaceDE w:val="0"/>
        <w:autoSpaceDN w:val="0"/>
        <w:adjustRightInd w:val="0"/>
        <w:snapToGrid w:val="0"/>
        <w:spacing w:line="360" w:lineRule="auto"/>
        <w:ind w:left="420" w:leftChars="200" w:firstLine="562" w:firstLineChars="200"/>
        <w:jc w:val="center"/>
        <w:outlineLvl w:val="1"/>
        <w:rPr>
          <w:rFonts w:ascii="仿宋_GB2312" w:hAnsi="楷体" w:eastAsia="仿宋_GB2312"/>
          <w:b/>
          <w:color w:val="auto"/>
          <w:sz w:val="28"/>
          <w:szCs w:val="28"/>
          <w:highlight w:val="none"/>
        </w:rPr>
      </w:pPr>
      <w:bookmarkStart w:id="74" w:name="_Toc213251796"/>
      <w:r>
        <w:rPr>
          <w:rFonts w:hint="eastAsia" w:ascii="仿宋_GB2312" w:hAnsi="楷体" w:eastAsia="仿宋_GB2312"/>
          <w:b/>
          <w:color w:val="auto"/>
          <w:sz w:val="28"/>
          <w:szCs w:val="28"/>
          <w:highlight w:val="none"/>
        </w:rPr>
        <w:t>第一部分 合同书</w:t>
      </w:r>
      <w:bookmarkEnd w:id="74"/>
    </w:p>
    <w:p w14:paraId="5CE2D86F">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lang w:val="zh-CN"/>
        </w:rPr>
        <w:t xml:space="preserve">     年    月    日</w:t>
      </w:r>
      <w:r>
        <w:rPr>
          <w:rFonts w:hint="eastAsia" w:ascii="仿宋_GB2312" w:hAnsi="楷体" w:eastAsia="仿宋_GB2312"/>
          <w:color w:val="auto"/>
          <w:sz w:val="24"/>
          <w:highlight w:val="none"/>
        </w:rPr>
        <w:t>，</w:t>
      </w:r>
      <w:r>
        <w:rPr>
          <w:rFonts w:hint="eastAsia" w:ascii="仿宋_GB2312" w:hAnsi="仿宋" w:eastAsia="仿宋_GB2312"/>
          <w:color w:val="auto"/>
          <w:sz w:val="24"/>
          <w:highlight w:val="none"/>
        </w:rPr>
        <w:t xml:space="preserve">  （采购人名称）  以   竞争性磋商方式  对        </w:t>
      </w:r>
      <w:r>
        <w:rPr>
          <w:rFonts w:hint="eastAsia" w:ascii="仿宋_GB2312" w:hAnsi="楷体" w:eastAsia="仿宋_GB2312"/>
          <w:color w:val="auto"/>
          <w:sz w:val="24"/>
          <w:highlight w:val="none"/>
        </w:rPr>
        <w:t>项目进行了采购。经 磋商小组 评定，   （供应商名称）为该项目成交供应商。现于成交通知书发出之日起25日内，按照采购文件确定的事项签订本合同。</w:t>
      </w:r>
    </w:p>
    <w:p w14:paraId="4394318D">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lang w:val="zh-CN"/>
        </w:rPr>
        <w:t>根据《中华人民共和国民法典》《中华人民共和国政府采购法》等相关法律法规之规定，按照平等、自愿、公平和诚实信用的原则，经</w:t>
      </w:r>
      <w:r>
        <w:rPr>
          <w:rFonts w:hint="eastAsia" w:ascii="仿宋_GB2312" w:hAnsi="楷体" w:eastAsia="仿宋_GB2312"/>
          <w:color w:val="auto"/>
          <w:sz w:val="24"/>
          <w:highlight w:val="none"/>
        </w:rPr>
        <w:t xml:space="preserve">   （采购人名称）   （</w:t>
      </w:r>
      <w:r>
        <w:rPr>
          <w:rFonts w:hint="eastAsia" w:ascii="仿宋_GB2312" w:hAnsi="楷体" w:eastAsia="仿宋_GB2312"/>
          <w:color w:val="auto"/>
          <w:sz w:val="24"/>
          <w:highlight w:val="none"/>
          <w:lang w:val="zh-CN"/>
        </w:rPr>
        <w:t>以下简称：甲方）和</w:t>
      </w:r>
      <w:r>
        <w:rPr>
          <w:rFonts w:hint="eastAsia" w:ascii="仿宋_GB2312" w:hAnsi="楷体" w:eastAsia="仿宋_GB2312"/>
          <w:color w:val="auto"/>
          <w:sz w:val="24"/>
          <w:highlight w:val="none"/>
        </w:rPr>
        <w:t xml:space="preserve">   （成交供应商名称）   （</w:t>
      </w:r>
      <w:r>
        <w:rPr>
          <w:rFonts w:hint="eastAsia" w:ascii="仿宋_GB2312" w:hAnsi="楷体" w:eastAsia="仿宋_GB2312"/>
          <w:color w:val="auto"/>
          <w:sz w:val="24"/>
          <w:highlight w:val="none"/>
          <w:lang w:val="zh-CN"/>
        </w:rPr>
        <w:t>以下简称：乙方）协商一致，约定以下合同</w:t>
      </w:r>
      <w:r>
        <w:rPr>
          <w:rFonts w:hint="eastAsia" w:ascii="仿宋_GB2312" w:hAnsi="楷体" w:eastAsia="仿宋_GB2312"/>
          <w:color w:val="auto"/>
          <w:sz w:val="24"/>
          <w:highlight w:val="none"/>
        </w:rPr>
        <w:t>条款，以兹共同遵守、全面履行。</w:t>
      </w:r>
    </w:p>
    <w:p w14:paraId="30A70892">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1.1 合同组成部分</w:t>
      </w:r>
    </w:p>
    <w:p w14:paraId="7ACF6FC0">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4614E995">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1.1.1 本合同及其补充合同、变更协议；</w:t>
      </w:r>
    </w:p>
    <w:p w14:paraId="46FF9E7D">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1.1.2 成交通知书；</w:t>
      </w:r>
    </w:p>
    <w:p w14:paraId="0EE49B87">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1.1.3 采购文件及“响应报价”（含澄清或者说明文件）；</w:t>
      </w:r>
    </w:p>
    <w:p w14:paraId="457BF7FA">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1.1.4 采购文件（含澄清或者修改文件）；</w:t>
      </w:r>
    </w:p>
    <w:p w14:paraId="77DF9D19">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1.1.5 其他相关采购文件。</w:t>
      </w:r>
    </w:p>
    <w:p w14:paraId="39F2EB62">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1.2 标的物</w:t>
      </w:r>
    </w:p>
    <w:p w14:paraId="1C224CC0">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1.2.1 标的物1信息</w:t>
      </w:r>
    </w:p>
    <w:p w14:paraId="48E151CB">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1.2.1.1名称：                                        ；</w:t>
      </w:r>
    </w:p>
    <w:p w14:paraId="0B120850">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1.2.1.2数量：                                        ；</w:t>
      </w:r>
    </w:p>
    <w:p w14:paraId="530E6321">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1.2.1.3质量：　                                      。</w:t>
      </w:r>
    </w:p>
    <w:p w14:paraId="013D06A5">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1.3 价款</w:t>
      </w:r>
    </w:p>
    <w:p w14:paraId="722C0808">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本合同总价为：</w:t>
      </w:r>
      <w:r>
        <w:rPr>
          <w:rFonts w:hint="eastAsia" w:ascii="仿宋_GB2312" w:eastAsia="仿宋_GB2312" w:cs="仿宋_GB2312"/>
          <w:color w:val="auto"/>
          <w:kern w:val="0"/>
          <w:sz w:val="24"/>
          <w:highlight w:val="none"/>
          <w:lang w:val="zh-CN"/>
        </w:rPr>
        <w:t>监测报告价格下浮系数报价为：</w:t>
      </w:r>
      <w:r>
        <w:rPr>
          <w:rFonts w:hint="eastAsia" w:ascii="仿宋_GB2312" w:eastAsia="仿宋_GB2312" w:cs="仿宋_GB2312"/>
          <w:color w:val="auto"/>
          <w:kern w:val="0"/>
          <w:sz w:val="24"/>
          <w:highlight w:val="none"/>
          <w:u w:val="single"/>
          <w:lang w:val="zh-CN"/>
        </w:rPr>
        <w:t xml:space="preserve">       </w:t>
      </w:r>
      <w:r>
        <w:rPr>
          <w:rFonts w:hint="eastAsia" w:ascii="仿宋_GB2312" w:eastAsia="仿宋_GB2312" w:cs="仿宋_GB2312"/>
          <w:color w:val="auto"/>
          <w:kern w:val="0"/>
          <w:sz w:val="24"/>
          <w:highlight w:val="none"/>
          <w:lang w:val="zh-CN"/>
        </w:rPr>
        <w:t>%</w:t>
      </w:r>
      <w:r>
        <w:rPr>
          <w:rFonts w:hint="eastAsia" w:ascii="仿宋_GB2312" w:eastAsia="仿宋_GB2312" w:cs="仿宋_GB2312"/>
          <w:color w:val="auto"/>
          <w:kern w:val="0"/>
          <w:sz w:val="24"/>
          <w:highlight w:val="none"/>
          <w:lang w:val="zh-CN" w:eastAsia="zh-CN"/>
        </w:rPr>
        <w:t>，</w:t>
      </w:r>
      <w:r>
        <w:rPr>
          <w:rFonts w:hint="eastAsia" w:ascii="仿宋_GB2312" w:eastAsia="仿宋_GB2312" w:cs="仿宋_GB2312"/>
          <w:color w:val="auto"/>
          <w:kern w:val="0"/>
          <w:sz w:val="24"/>
          <w:highlight w:val="none"/>
          <w:lang w:val="zh-CN"/>
        </w:rPr>
        <w:t>监测数据表价格下浮系数报价为</w:t>
      </w:r>
      <w:r>
        <w:rPr>
          <w:rFonts w:hint="eastAsia" w:ascii="仿宋_GB2312" w:eastAsia="仿宋_GB2312" w:cs="仿宋_GB2312"/>
          <w:color w:val="auto"/>
          <w:kern w:val="0"/>
          <w:sz w:val="24"/>
          <w:highlight w:val="none"/>
          <w:u w:val="single"/>
          <w:lang w:val="zh-CN"/>
        </w:rPr>
        <w:t xml:space="preserve">       </w:t>
      </w:r>
      <w:r>
        <w:rPr>
          <w:rFonts w:hint="eastAsia" w:ascii="仿宋_GB2312" w:eastAsia="仿宋_GB2312" w:cs="仿宋_GB2312"/>
          <w:color w:val="auto"/>
          <w:kern w:val="0"/>
          <w:sz w:val="24"/>
          <w:highlight w:val="none"/>
          <w:lang w:val="zh-CN"/>
        </w:rPr>
        <w:t>%</w:t>
      </w:r>
      <w:r>
        <w:rPr>
          <w:rFonts w:hint="eastAsia" w:ascii="仿宋_GB2312" w:hAnsi="楷体" w:eastAsia="仿宋_GB2312"/>
          <w:color w:val="auto"/>
          <w:sz w:val="24"/>
          <w:highlight w:val="none"/>
          <w:lang w:eastAsia="zh-CN"/>
        </w:rPr>
        <w:t>，以现行《广西壮族自治区环境监测收费标准》作为监测任务金额计算基础。项目结算总款达到</w:t>
      </w:r>
      <w:r>
        <w:rPr>
          <w:rFonts w:hint="eastAsia" w:ascii="仿宋_GB2312" w:hAnsi="楷体" w:eastAsia="仿宋_GB2312"/>
          <w:color w:val="auto"/>
          <w:sz w:val="24"/>
          <w:highlight w:val="none"/>
          <w:lang w:val="en-US" w:eastAsia="zh-CN"/>
        </w:rPr>
        <w:t>51万</w:t>
      </w:r>
      <w:r>
        <w:rPr>
          <w:rFonts w:hint="eastAsia" w:ascii="仿宋_GB2312" w:hAnsi="楷体" w:eastAsia="仿宋_GB2312"/>
          <w:color w:val="auto"/>
          <w:sz w:val="24"/>
          <w:highlight w:val="none"/>
          <w:lang w:eastAsia="zh-CN"/>
        </w:rPr>
        <w:t>元后，合同自动终止</w:t>
      </w:r>
      <w:r>
        <w:rPr>
          <w:rFonts w:hint="eastAsia" w:ascii="仿宋_GB2312" w:hAnsi="楷体" w:eastAsia="仿宋_GB2312"/>
          <w:color w:val="auto"/>
          <w:sz w:val="24"/>
          <w:highlight w:val="none"/>
        </w:rPr>
        <w:t>。</w:t>
      </w:r>
    </w:p>
    <w:p w14:paraId="5F0DCAA9">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分项价格：</w:t>
      </w:r>
    </w:p>
    <w:tbl>
      <w:tblPr>
        <w:tblStyle w:val="10"/>
        <w:tblW w:w="8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4087"/>
        <w:gridCol w:w="3067"/>
      </w:tblGrid>
      <w:tr w14:paraId="4F03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443" w:type="dxa"/>
            <w:noWrap w:val="0"/>
            <w:vAlign w:val="center"/>
          </w:tcPr>
          <w:p w14:paraId="1F275B7A">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序号</w:t>
            </w:r>
          </w:p>
        </w:tc>
        <w:tc>
          <w:tcPr>
            <w:tcW w:w="4087" w:type="dxa"/>
            <w:noWrap w:val="0"/>
            <w:vAlign w:val="center"/>
          </w:tcPr>
          <w:p w14:paraId="45BF7F67">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分项名称</w:t>
            </w:r>
          </w:p>
        </w:tc>
        <w:tc>
          <w:tcPr>
            <w:tcW w:w="3067" w:type="dxa"/>
            <w:noWrap w:val="0"/>
            <w:vAlign w:val="center"/>
          </w:tcPr>
          <w:p w14:paraId="2D591C05">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分项价格</w:t>
            </w:r>
          </w:p>
        </w:tc>
      </w:tr>
      <w:tr w14:paraId="595A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443" w:type="dxa"/>
            <w:noWrap w:val="0"/>
            <w:vAlign w:val="center"/>
          </w:tcPr>
          <w:p w14:paraId="1A839A6E">
            <w:pPr>
              <w:spacing w:line="360" w:lineRule="auto"/>
              <w:ind w:firstLine="480" w:firstLineChars="200"/>
              <w:rPr>
                <w:rFonts w:ascii="仿宋_GB2312" w:hAnsi="楷体" w:eastAsia="仿宋_GB2312"/>
                <w:color w:val="auto"/>
                <w:sz w:val="24"/>
                <w:highlight w:val="none"/>
              </w:rPr>
            </w:pPr>
          </w:p>
        </w:tc>
        <w:tc>
          <w:tcPr>
            <w:tcW w:w="4087" w:type="dxa"/>
            <w:noWrap w:val="0"/>
            <w:vAlign w:val="center"/>
          </w:tcPr>
          <w:p w14:paraId="660B3C69">
            <w:pPr>
              <w:spacing w:line="360" w:lineRule="auto"/>
              <w:ind w:firstLine="480" w:firstLineChars="200"/>
              <w:rPr>
                <w:rFonts w:ascii="仿宋_GB2312" w:hAnsi="楷体" w:eastAsia="仿宋_GB2312"/>
                <w:color w:val="auto"/>
                <w:sz w:val="24"/>
                <w:highlight w:val="none"/>
              </w:rPr>
            </w:pPr>
          </w:p>
        </w:tc>
        <w:tc>
          <w:tcPr>
            <w:tcW w:w="3067" w:type="dxa"/>
            <w:noWrap w:val="0"/>
            <w:vAlign w:val="center"/>
          </w:tcPr>
          <w:p w14:paraId="450DA952">
            <w:pPr>
              <w:spacing w:line="360" w:lineRule="auto"/>
              <w:ind w:firstLine="480" w:firstLineChars="200"/>
              <w:rPr>
                <w:rFonts w:ascii="仿宋_GB2312" w:hAnsi="楷体" w:eastAsia="仿宋_GB2312"/>
                <w:color w:val="auto"/>
                <w:sz w:val="24"/>
                <w:highlight w:val="none"/>
              </w:rPr>
            </w:pPr>
          </w:p>
        </w:tc>
      </w:tr>
      <w:tr w14:paraId="22606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443" w:type="dxa"/>
            <w:noWrap w:val="0"/>
            <w:vAlign w:val="center"/>
          </w:tcPr>
          <w:p w14:paraId="32F24DC8">
            <w:pPr>
              <w:spacing w:line="360" w:lineRule="auto"/>
              <w:ind w:firstLine="480" w:firstLineChars="200"/>
              <w:rPr>
                <w:rFonts w:ascii="仿宋_GB2312" w:hAnsi="楷体" w:eastAsia="仿宋_GB2312"/>
                <w:color w:val="auto"/>
                <w:sz w:val="24"/>
                <w:highlight w:val="none"/>
              </w:rPr>
            </w:pPr>
          </w:p>
        </w:tc>
        <w:tc>
          <w:tcPr>
            <w:tcW w:w="4087" w:type="dxa"/>
            <w:noWrap w:val="0"/>
            <w:vAlign w:val="center"/>
          </w:tcPr>
          <w:p w14:paraId="09C58C71">
            <w:pPr>
              <w:spacing w:line="360" w:lineRule="auto"/>
              <w:ind w:firstLine="480" w:firstLineChars="200"/>
              <w:rPr>
                <w:rFonts w:ascii="仿宋_GB2312" w:hAnsi="楷体" w:eastAsia="仿宋_GB2312"/>
                <w:color w:val="auto"/>
                <w:sz w:val="24"/>
                <w:highlight w:val="none"/>
              </w:rPr>
            </w:pPr>
          </w:p>
        </w:tc>
        <w:tc>
          <w:tcPr>
            <w:tcW w:w="3067" w:type="dxa"/>
            <w:noWrap w:val="0"/>
            <w:vAlign w:val="center"/>
          </w:tcPr>
          <w:p w14:paraId="089111C4">
            <w:pPr>
              <w:spacing w:line="360" w:lineRule="auto"/>
              <w:ind w:firstLine="480" w:firstLineChars="200"/>
              <w:rPr>
                <w:rFonts w:ascii="仿宋_GB2312" w:hAnsi="楷体" w:eastAsia="仿宋_GB2312"/>
                <w:color w:val="auto"/>
                <w:sz w:val="24"/>
                <w:highlight w:val="none"/>
              </w:rPr>
            </w:pPr>
          </w:p>
        </w:tc>
      </w:tr>
      <w:tr w14:paraId="5E4BE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443" w:type="dxa"/>
            <w:noWrap w:val="0"/>
            <w:vAlign w:val="center"/>
          </w:tcPr>
          <w:p w14:paraId="7B5DBCAD">
            <w:pPr>
              <w:spacing w:line="360" w:lineRule="auto"/>
              <w:ind w:firstLine="480" w:firstLineChars="200"/>
              <w:rPr>
                <w:rFonts w:ascii="仿宋_GB2312" w:hAnsi="楷体" w:eastAsia="仿宋_GB2312"/>
                <w:color w:val="auto"/>
                <w:sz w:val="24"/>
                <w:highlight w:val="none"/>
              </w:rPr>
            </w:pPr>
          </w:p>
        </w:tc>
        <w:tc>
          <w:tcPr>
            <w:tcW w:w="4087" w:type="dxa"/>
            <w:noWrap w:val="0"/>
            <w:vAlign w:val="center"/>
          </w:tcPr>
          <w:p w14:paraId="7E862B2D">
            <w:pPr>
              <w:spacing w:line="360" w:lineRule="auto"/>
              <w:ind w:firstLine="480" w:firstLineChars="200"/>
              <w:rPr>
                <w:rFonts w:ascii="仿宋_GB2312" w:hAnsi="楷体" w:eastAsia="仿宋_GB2312"/>
                <w:color w:val="auto"/>
                <w:sz w:val="24"/>
                <w:highlight w:val="none"/>
              </w:rPr>
            </w:pPr>
          </w:p>
        </w:tc>
        <w:tc>
          <w:tcPr>
            <w:tcW w:w="3067" w:type="dxa"/>
            <w:noWrap w:val="0"/>
            <w:vAlign w:val="center"/>
          </w:tcPr>
          <w:p w14:paraId="13F1CA1C">
            <w:pPr>
              <w:spacing w:line="360" w:lineRule="auto"/>
              <w:ind w:firstLine="480" w:firstLineChars="200"/>
              <w:rPr>
                <w:rFonts w:ascii="仿宋_GB2312" w:hAnsi="楷体" w:eastAsia="仿宋_GB2312"/>
                <w:color w:val="auto"/>
                <w:sz w:val="24"/>
                <w:highlight w:val="none"/>
              </w:rPr>
            </w:pPr>
          </w:p>
        </w:tc>
      </w:tr>
      <w:tr w14:paraId="27EB3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5530" w:type="dxa"/>
            <w:gridSpan w:val="2"/>
            <w:noWrap w:val="0"/>
            <w:vAlign w:val="center"/>
          </w:tcPr>
          <w:p w14:paraId="2ED38540">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总价</w:t>
            </w:r>
          </w:p>
        </w:tc>
        <w:tc>
          <w:tcPr>
            <w:tcW w:w="3067" w:type="dxa"/>
            <w:noWrap w:val="0"/>
            <w:vAlign w:val="center"/>
          </w:tcPr>
          <w:p w14:paraId="6A3A9F47">
            <w:pPr>
              <w:spacing w:line="360" w:lineRule="auto"/>
              <w:ind w:firstLine="480" w:firstLineChars="200"/>
              <w:rPr>
                <w:rFonts w:ascii="仿宋_GB2312" w:hAnsi="楷体" w:eastAsia="仿宋_GB2312"/>
                <w:color w:val="auto"/>
                <w:sz w:val="24"/>
                <w:highlight w:val="none"/>
              </w:rPr>
            </w:pPr>
          </w:p>
        </w:tc>
      </w:tr>
    </w:tbl>
    <w:p w14:paraId="5E9E998A">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1.4 付款方式和发票开具方式</w:t>
      </w:r>
    </w:p>
    <w:p w14:paraId="657D9307">
      <w:pPr>
        <w:spacing w:line="360" w:lineRule="auto"/>
        <w:ind w:firstLine="480" w:firstLineChars="200"/>
        <w:jc w:val="left"/>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1.4.1 付款方式：合同签订后10个工作日内，预付22万元。</w:t>
      </w:r>
    </w:p>
    <w:p w14:paraId="1BBACED3">
      <w:pPr>
        <w:spacing w:line="360" w:lineRule="auto"/>
        <w:ind w:firstLine="480" w:firstLineChars="200"/>
        <w:jc w:val="left"/>
        <w:rPr>
          <w:rFonts w:ascii="仿宋_GB2312" w:hAnsi="楷体" w:eastAsia="仿宋_GB2312"/>
          <w:color w:val="auto"/>
          <w:sz w:val="24"/>
          <w:highlight w:val="none"/>
        </w:rPr>
      </w:pPr>
      <w:r>
        <w:rPr>
          <w:rFonts w:hint="eastAsia" w:ascii="仿宋_GB2312" w:hAnsi="楷体" w:eastAsia="仿宋_GB2312"/>
          <w:color w:val="auto"/>
          <w:sz w:val="24"/>
          <w:highlight w:val="none"/>
        </w:rPr>
        <w:t xml:space="preserve">项目完成后，成交供应商向采购人提交正式检测报告，且项目通过采购人考核验收后，按照不定期考核的结果(最低分)支付剩余监测任务款项，考核结果为90分及以上，支付应付金额的100%，考核结果为80-89分，支付应付金额的80%，考核结果为70-79分，支付应付金额的60%，考核结果&lt;70分，不予支付资金。每次付款前，成交人需提供该支付金额的合法发票、请款函和项目进度报告。考核评分办法详见附表1:考核评分细则。                                               </w:t>
      </w:r>
    </w:p>
    <w:p w14:paraId="51CF7186">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1.4.2 发票开具方式：                                            。</w:t>
      </w:r>
    </w:p>
    <w:p w14:paraId="2EC64834">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1.5 标的物交付期限、地点、方式和服务期限</w:t>
      </w:r>
    </w:p>
    <w:p w14:paraId="4D3AF01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1.5.1 服务的时间或服务期限</w:t>
      </w:r>
      <w:r>
        <w:rPr>
          <w:rFonts w:hint="eastAsia" w:ascii="仿宋_GB2312" w:hAnsi="楷体" w:eastAsia="仿宋_GB2312"/>
          <w:color w:val="auto"/>
          <w:sz w:val="24"/>
          <w:highlight w:val="none"/>
        </w:rPr>
        <w:tab/>
      </w:r>
    </w:p>
    <w:p w14:paraId="50FBC84C">
      <w:pPr>
        <w:spacing w:line="360" w:lineRule="auto"/>
        <w:ind w:firstLine="480" w:firstLineChars="200"/>
        <w:jc w:val="left"/>
        <w:rPr>
          <w:rFonts w:ascii="仿宋_GB2312" w:hAnsi="楷体" w:eastAsia="仿宋_GB2312"/>
          <w:color w:val="auto"/>
          <w:sz w:val="24"/>
          <w:highlight w:val="none"/>
        </w:rPr>
      </w:pPr>
      <w:r>
        <w:rPr>
          <w:rFonts w:hint="eastAsia" w:ascii="仿宋_GB2312" w:hAnsi="楷体" w:eastAsia="仿宋_GB2312"/>
          <w:color w:val="auto"/>
          <w:sz w:val="24"/>
          <w:highlight w:val="none"/>
        </w:rPr>
        <w:t>以现行《广西壮族自治区环境监测收费标准》</w:t>
      </w:r>
      <w:r>
        <w:rPr>
          <w:rFonts w:hint="eastAsia" w:ascii="仿宋_GB2312" w:hAnsi="楷体" w:eastAsia="仿宋_GB2312"/>
          <w:color w:val="auto"/>
          <w:sz w:val="24"/>
          <w:highlight w:val="none"/>
          <w:lang w:eastAsia="zh-CN"/>
        </w:rPr>
        <w:t>作为</w:t>
      </w:r>
      <w:r>
        <w:rPr>
          <w:rFonts w:hint="eastAsia" w:ascii="仿宋_GB2312" w:hAnsi="楷体" w:eastAsia="仿宋_GB2312"/>
          <w:color w:val="auto"/>
          <w:sz w:val="24"/>
          <w:highlight w:val="none"/>
        </w:rPr>
        <w:t>监测任务金额计算基础</w:t>
      </w:r>
      <w:r>
        <w:rPr>
          <w:rFonts w:hint="eastAsia" w:ascii="仿宋_GB2312" w:hAnsi="楷体" w:eastAsia="仿宋_GB2312"/>
          <w:color w:val="auto"/>
          <w:sz w:val="24"/>
          <w:highlight w:val="none"/>
          <w:lang w:eastAsia="zh-CN"/>
        </w:rPr>
        <w:t>。</w:t>
      </w:r>
      <w:r>
        <w:rPr>
          <w:rFonts w:hint="eastAsia" w:ascii="仿宋_GB2312" w:hAnsi="楷体" w:eastAsia="仿宋_GB2312"/>
          <w:color w:val="auto"/>
          <w:sz w:val="24"/>
          <w:highlight w:val="none"/>
        </w:rPr>
        <w:t>项目结算总款达到</w:t>
      </w:r>
      <w:r>
        <w:rPr>
          <w:rFonts w:hint="eastAsia" w:ascii="仿宋_GB2312" w:hAnsi="楷体" w:eastAsia="仿宋_GB2312"/>
          <w:color w:val="auto"/>
          <w:sz w:val="24"/>
          <w:highlight w:val="none"/>
          <w:lang w:val="en-US" w:eastAsia="zh-CN"/>
        </w:rPr>
        <w:t>51万</w:t>
      </w:r>
      <w:r>
        <w:rPr>
          <w:rFonts w:hint="eastAsia" w:ascii="仿宋_GB2312" w:hAnsi="楷体" w:eastAsia="仿宋_GB2312"/>
          <w:color w:val="auto"/>
          <w:sz w:val="24"/>
          <w:highlight w:val="none"/>
        </w:rPr>
        <w:t>元后，合同自动终止</w:t>
      </w:r>
      <w:r>
        <w:rPr>
          <w:rFonts w:hint="eastAsia" w:ascii="仿宋_GB2312" w:hAnsi="楷体" w:eastAsia="仿宋_GB2312"/>
          <w:color w:val="auto"/>
          <w:sz w:val="24"/>
          <w:highlight w:val="none"/>
          <w:lang w:eastAsia="zh-CN"/>
        </w:rPr>
        <w:t>；</w:t>
      </w:r>
    </w:p>
    <w:p w14:paraId="2D66982F">
      <w:pPr>
        <w:spacing w:line="360" w:lineRule="auto"/>
        <w:ind w:firstLine="480" w:firstLineChars="200"/>
        <w:jc w:val="left"/>
        <w:rPr>
          <w:rFonts w:ascii="仿宋_GB2312" w:hAnsi="楷体" w:eastAsia="仿宋_GB2312"/>
          <w:color w:val="auto"/>
          <w:sz w:val="24"/>
          <w:highlight w:val="none"/>
        </w:rPr>
      </w:pPr>
      <w:r>
        <w:rPr>
          <w:rFonts w:hint="eastAsia" w:ascii="仿宋_GB2312" w:hAnsi="楷体" w:eastAsia="仿宋_GB2312"/>
          <w:color w:val="auto"/>
          <w:sz w:val="24"/>
          <w:highlight w:val="none"/>
        </w:rPr>
        <w:t>1.5.2 交付地点：广西区内采购人指定地点 ；</w:t>
      </w:r>
    </w:p>
    <w:p w14:paraId="1445C246">
      <w:pPr>
        <w:spacing w:line="360" w:lineRule="auto"/>
        <w:ind w:firstLine="480" w:firstLineChars="200"/>
        <w:rPr>
          <w:rFonts w:hint="eastAsia" w:ascii="仿宋_GB2312" w:hAnsi="楷体" w:eastAsia="仿宋_GB2312"/>
          <w:color w:val="auto"/>
          <w:sz w:val="24"/>
          <w:highlight w:val="none"/>
          <w:lang w:eastAsia="zh-CN"/>
        </w:rPr>
      </w:pPr>
      <w:r>
        <w:rPr>
          <w:rFonts w:hint="eastAsia" w:ascii="仿宋_GB2312" w:hAnsi="楷体" w:eastAsia="仿宋_GB2312"/>
          <w:color w:val="auto"/>
          <w:sz w:val="24"/>
          <w:highlight w:val="none"/>
        </w:rPr>
        <w:t>1.5.3 交付方式：</w:t>
      </w:r>
      <w:r>
        <w:rPr>
          <w:rFonts w:hint="eastAsia" w:ascii="仿宋_GB2312" w:hAnsi="楷体" w:eastAsia="仿宋_GB2312"/>
          <w:color w:val="auto"/>
          <w:sz w:val="24"/>
          <w:highlight w:val="none"/>
          <w:lang w:eastAsia="zh-CN"/>
        </w:rPr>
        <w:t>合同签订后10个工作日内，预付</w:t>
      </w:r>
      <w:r>
        <w:rPr>
          <w:rFonts w:hint="eastAsia" w:ascii="仿宋_GB2312" w:hAnsi="楷体" w:eastAsia="仿宋_GB2312"/>
          <w:color w:val="auto"/>
          <w:sz w:val="24"/>
          <w:highlight w:val="none"/>
          <w:lang w:val="en-US" w:eastAsia="zh-CN"/>
        </w:rPr>
        <w:t>22万元</w:t>
      </w:r>
      <w:r>
        <w:rPr>
          <w:rFonts w:hint="eastAsia" w:ascii="仿宋_GB2312" w:hAnsi="楷体" w:eastAsia="仿宋_GB2312"/>
          <w:color w:val="auto"/>
          <w:sz w:val="24"/>
          <w:highlight w:val="none"/>
          <w:lang w:eastAsia="zh-CN"/>
        </w:rPr>
        <w:t>。</w:t>
      </w:r>
    </w:p>
    <w:p w14:paraId="0819FB64">
      <w:pPr>
        <w:spacing w:line="360" w:lineRule="auto"/>
        <w:ind w:firstLine="480" w:firstLineChars="200"/>
        <w:jc w:val="left"/>
        <w:rPr>
          <w:rFonts w:ascii="仿宋_GB2312" w:hAnsi="楷体" w:eastAsia="仿宋_GB2312"/>
          <w:color w:val="auto"/>
          <w:sz w:val="24"/>
          <w:highlight w:val="none"/>
        </w:rPr>
      </w:pPr>
      <w:r>
        <w:rPr>
          <w:rFonts w:hint="eastAsia" w:ascii="仿宋_GB2312" w:hAnsi="楷体" w:eastAsia="仿宋_GB2312"/>
          <w:color w:val="auto"/>
          <w:sz w:val="24"/>
          <w:highlight w:val="none"/>
          <w:lang w:eastAsia="zh-CN"/>
        </w:rPr>
        <w:t>合同服务期内组织1次阶段性考核，根据考核结果支付超出</w:t>
      </w:r>
      <w:r>
        <w:rPr>
          <w:rFonts w:hint="eastAsia" w:ascii="仿宋_GB2312" w:hAnsi="楷体" w:eastAsia="仿宋_GB2312"/>
          <w:color w:val="auto"/>
          <w:sz w:val="24"/>
          <w:highlight w:val="none"/>
          <w:lang w:val="en-US" w:eastAsia="zh-CN"/>
        </w:rPr>
        <w:t>22万元</w:t>
      </w:r>
      <w:r>
        <w:rPr>
          <w:rFonts w:hint="eastAsia" w:ascii="仿宋_GB2312" w:hAnsi="楷体" w:eastAsia="仿宋_GB2312"/>
          <w:color w:val="auto"/>
          <w:sz w:val="24"/>
          <w:highlight w:val="none"/>
          <w:lang w:eastAsia="zh-CN"/>
        </w:rPr>
        <w:t>部分的监测任务金额，阶段性考核结果为90分及以上，支付应付金额的100%，考核结果为80—89分，支付应付金额的80%，考核结果为70—79分，支付应付金额的60%，考核结果＜70分，不予支付资金；项目完成后，成交供应商向采购人提交正式检测报告，且</w:t>
      </w:r>
      <w:r>
        <w:rPr>
          <w:rFonts w:hint="eastAsia" w:ascii="仿宋_GB2312" w:hAnsi="楷体" w:eastAsia="仿宋_GB2312"/>
          <w:color w:val="auto"/>
          <w:sz w:val="24"/>
          <w:highlight w:val="none"/>
          <w:lang w:val="en-US" w:eastAsia="zh-CN"/>
        </w:rPr>
        <w:t>项目</w:t>
      </w:r>
      <w:r>
        <w:rPr>
          <w:rFonts w:hint="eastAsia" w:ascii="仿宋_GB2312" w:hAnsi="楷体" w:eastAsia="仿宋_GB2312"/>
          <w:color w:val="auto"/>
          <w:sz w:val="24"/>
          <w:highlight w:val="none"/>
          <w:lang w:eastAsia="zh-CN"/>
        </w:rPr>
        <w:t>通过采购人</w:t>
      </w:r>
      <w:r>
        <w:rPr>
          <w:rFonts w:hint="eastAsia" w:ascii="仿宋_GB2312" w:hAnsi="楷体" w:eastAsia="仿宋_GB2312"/>
          <w:color w:val="auto"/>
          <w:sz w:val="24"/>
          <w:highlight w:val="none"/>
          <w:lang w:val="en-US" w:eastAsia="zh-CN"/>
        </w:rPr>
        <w:t>考核</w:t>
      </w:r>
      <w:r>
        <w:rPr>
          <w:rFonts w:hint="eastAsia" w:ascii="仿宋_GB2312" w:hAnsi="楷体" w:eastAsia="仿宋_GB2312"/>
          <w:color w:val="auto"/>
          <w:sz w:val="24"/>
          <w:highlight w:val="none"/>
          <w:lang w:eastAsia="zh-CN"/>
        </w:rPr>
        <w:t>验收后，</w:t>
      </w:r>
      <w:r>
        <w:rPr>
          <w:rFonts w:hint="eastAsia" w:ascii="仿宋_GB2312" w:hAnsi="楷体" w:eastAsia="仿宋_GB2312"/>
          <w:color w:val="auto"/>
          <w:sz w:val="24"/>
          <w:highlight w:val="none"/>
          <w:lang w:val="en-US" w:eastAsia="zh-CN"/>
        </w:rPr>
        <w:t>按照考核结果</w:t>
      </w:r>
      <w:r>
        <w:rPr>
          <w:rFonts w:hint="eastAsia" w:ascii="仿宋_GB2312" w:hAnsi="楷体" w:eastAsia="仿宋_GB2312"/>
          <w:color w:val="auto"/>
          <w:sz w:val="24"/>
          <w:highlight w:val="none"/>
          <w:lang w:eastAsia="zh-CN"/>
        </w:rPr>
        <w:t>支付剩余监测任务款项，考核结果为90分及以上，支付应付金额的100%，考核结果为80—89分，支付应付金额的80%，考核结果为70—79分，支付应付金额的60%，考核结果＜70分，不予支付资金。每</w:t>
      </w:r>
      <w:r>
        <w:rPr>
          <w:rFonts w:hint="eastAsia" w:ascii="仿宋_GB2312" w:hAnsi="楷体" w:eastAsia="仿宋_GB2312" w:cs="Times New Roman"/>
          <w:color w:val="auto"/>
          <w:sz w:val="24"/>
          <w:highlight w:val="none"/>
          <w:lang w:eastAsia="zh-CN"/>
        </w:rPr>
        <w:t>次付款前，成交人需提供该支付金额的合法发票、请款函和项目进度报告。考核评分办法详见附表1：考核评分细则；</w:t>
      </w:r>
    </w:p>
    <w:p w14:paraId="6E21ABBF">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1.5.4 服务期限：                                           。</w:t>
      </w:r>
    </w:p>
    <w:p w14:paraId="69E31E82">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1.6 违约责任</w:t>
      </w:r>
    </w:p>
    <w:p w14:paraId="620D3EAE">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1.6.1 除不可抗力外，如果乙方没有按照本合同约定的期限、地点和方式交付标的物，甲方可要求乙方支付违约金，违约金按每迟延交付标的物一日的应交付而未交付标的物价格的万分之五计算，最高限额为本合同总价的 20 %；迟延超过【 】日的，甲方有权在要求乙方支付违约金的同时，书面通知乙方解除本合同，按合同总金额的 20 %向甲方支付违约金；</w:t>
      </w:r>
    </w:p>
    <w:p w14:paraId="2E65B259">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1.6.2 除不可抗力外，如果甲方没有按照本合同约定的付款方式付款，乙方可要求甲方支付违约金，违约金按每迟延付款一日的应付而未付款的万分之五计算，最高限额为合同总金额的20 %；迟延付款的违约金计算数额达到前述最高限额之日起，乙方有权在要求甲方支付违约金的同时，书面通知甲方解除本合同；</w:t>
      </w:r>
    </w:p>
    <w:p w14:paraId="461617DC">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C2DACFD">
      <w:pPr>
        <w:spacing w:line="360" w:lineRule="auto"/>
        <w:ind w:left="239" w:leftChars="114" w:firstLine="240" w:firstLineChars="100"/>
        <w:rPr>
          <w:rFonts w:ascii="仿宋" w:hAnsi="仿宋" w:eastAsia="仿宋" w:cs="仿宋"/>
          <w:color w:val="auto"/>
          <w:sz w:val="24"/>
          <w:highlight w:val="none"/>
        </w:rPr>
      </w:pPr>
      <w:r>
        <w:rPr>
          <w:rFonts w:hint="eastAsia" w:ascii="仿宋_GB2312" w:hAnsi="楷体" w:eastAsia="仿宋_GB2312"/>
          <w:color w:val="auto"/>
          <w:sz w:val="24"/>
          <w:highlight w:val="none"/>
        </w:rPr>
        <w:t>1.6.4乙方在质保期内未按承诺提供售后等服务的，每发生一次向甲方支付</w:t>
      </w:r>
      <w:r>
        <w:rPr>
          <w:rFonts w:hint="eastAsia" w:ascii="仿宋" w:hAnsi="仿宋" w:eastAsia="仿宋" w:cs="仿宋"/>
          <w:color w:val="auto"/>
          <w:sz w:val="24"/>
          <w:highlight w:val="none"/>
        </w:rPr>
        <w:t xml:space="preserve"> 2000</w:t>
      </w:r>
      <w:r>
        <w:rPr>
          <w:rFonts w:hint="eastAsia" w:ascii="仿宋_GB2312" w:hAnsi="楷体" w:eastAsia="仿宋_GB2312"/>
          <w:color w:val="auto"/>
          <w:sz w:val="24"/>
          <w:highlight w:val="none"/>
        </w:rPr>
        <w:t>元的违约金。</w:t>
      </w:r>
    </w:p>
    <w:p w14:paraId="14704BFC">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32021B1">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0D75686">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05D1DA8D">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1.7 合同争议的解决</w:t>
      </w:r>
    </w:p>
    <w:p w14:paraId="23271B63">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本合同履行过程中发生的任何争议，双方当事人均可通过和解或者调解解决；不愿和解、调解或者和解、调解不成的，可以选择下列第 1.7.1种方式解决：</w:t>
      </w:r>
    </w:p>
    <w:p w14:paraId="0E760DC2">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1.7.1 将争议提交南宁仲裁委员会依申请仲裁时其现行有效的仲裁规则裁决；</w:t>
      </w:r>
    </w:p>
    <w:p w14:paraId="076E42A5">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1.7.2 向   甲方所在地  人民法院起诉。</w:t>
      </w:r>
    </w:p>
    <w:p w14:paraId="597D586D">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1.8 合同生效</w:t>
      </w:r>
    </w:p>
    <w:p w14:paraId="6342346B">
      <w:pPr>
        <w:spacing w:line="360" w:lineRule="auto"/>
        <w:ind w:firstLine="480" w:firstLineChars="200"/>
        <w:rPr>
          <w:rFonts w:ascii="仿宋_GB2312" w:hAnsi="楷体" w:eastAsia="仿宋_GB2312"/>
          <w:b/>
          <w:color w:val="auto"/>
          <w:sz w:val="24"/>
          <w:highlight w:val="none"/>
        </w:rPr>
      </w:pPr>
      <w:r>
        <w:rPr>
          <w:rFonts w:hint="eastAsia" w:ascii="仿宋_GB2312" w:hAnsi="楷体" w:eastAsia="仿宋_GB2312"/>
          <w:color w:val="auto"/>
          <w:sz w:val="24"/>
          <w:highlight w:val="none"/>
        </w:rPr>
        <w:t>本合同自双方当事人加盖有效公章及对应签字或盖章生效。本合同一式伍份，甲方执叁份，乙方执贰份。</w:t>
      </w:r>
    </w:p>
    <w:p w14:paraId="7BA7423F">
      <w:pPr>
        <w:spacing w:line="360" w:lineRule="auto"/>
        <w:ind w:firstLine="200"/>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甲方：                                   乙方：</w:t>
      </w:r>
    </w:p>
    <w:p w14:paraId="5B5C3E5D">
      <w:pPr>
        <w:spacing w:line="360" w:lineRule="auto"/>
        <w:ind w:firstLine="200"/>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统一社会信用代码：                        统一社会信用代码或身份证号码：</w:t>
      </w:r>
    </w:p>
    <w:p w14:paraId="3507A0C7">
      <w:pPr>
        <w:spacing w:line="360" w:lineRule="auto"/>
        <w:ind w:firstLine="200"/>
        <w:rPr>
          <w:rFonts w:ascii="仿宋_GB2312" w:hAnsi="楷体" w:eastAsia="仿宋_GB2312"/>
          <w:color w:val="auto"/>
          <w:sz w:val="24"/>
          <w:highlight w:val="none"/>
          <w:lang w:val="zh-CN"/>
        </w:rPr>
      </w:pPr>
    </w:p>
    <w:p w14:paraId="31396976">
      <w:pPr>
        <w:spacing w:line="360" w:lineRule="auto"/>
        <w:ind w:firstLine="200"/>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住所：                                   住所：</w:t>
      </w:r>
    </w:p>
    <w:p w14:paraId="5A0A643D">
      <w:pPr>
        <w:spacing w:line="360" w:lineRule="auto"/>
        <w:ind w:firstLine="200"/>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法定代表人或                             法定代表人</w:t>
      </w:r>
    </w:p>
    <w:p w14:paraId="725E56C9">
      <w:pPr>
        <w:spacing w:line="360" w:lineRule="auto"/>
        <w:ind w:firstLine="200"/>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授权代表（签字或盖章）：                 或授权代表（签字或盖章）： </w:t>
      </w:r>
    </w:p>
    <w:p w14:paraId="2320BD27">
      <w:pPr>
        <w:spacing w:line="360" w:lineRule="auto"/>
        <w:ind w:firstLine="200"/>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联系人：                                 联系人：</w:t>
      </w:r>
    </w:p>
    <w:p w14:paraId="484756D4">
      <w:pPr>
        <w:spacing w:line="360" w:lineRule="auto"/>
        <w:ind w:firstLine="200"/>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约定送达地址：                           约定送达地址：</w:t>
      </w:r>
    </w:p>
    <w:p w14:paraId="4DF031F8">
      <w:pPr>
        <w:spacing w:line="360" w:lineRule="auto"/>
        <w:ind w:firstLine="200"/>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邮政编码：                               邮政编码：</w:t>
      </w:r>
    </w:p>
    <w:p w14:paraId="49854F86">
      <w:pPr>
        <w:spacing w:line="360" w:lineRule="auto"/>
        <w:ind w:firstLine="200"/>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电话：                                    电话： </w:t>
      </w:r>
    </w:p>
    <w:p w14:paraId="075E0B27">
      <w:pPr>
        <w:spacing w:line="360" w:lineRule="auto"/>
        <w:ind w:firstLine="200"/>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传真：                                    传真：</w:t>
      </w:r>
    </w:p>
    <w:p w14:paraId="5AF7B0F2">
      <w:pPr>
        <w:spacing w:line="360" w:lineRule="auto"/>
        <w:ind w:firstLine="200"/>
        <w:rPr>
          <w:rFonts w:ascii="仿宋_GB2312" w:hAnsi="楷体" w:eastAsia="仿宋_GB2312"/>
          <w:color w:val="auto"/>
          <w:sz w:val="24"/>
          <w:highlight w:val="none"/>
        </w:rPr>
      </w:pPr>
      <w:r>
        <w:rPr>
          <w:rFonts w:hint="eastAsia" w:ascii="仿宋_GB2312" w:hAnsi="楷体" w:eastAsia="仿宋_GB2312"/>
          <w:color w:val="auto"/>
          <w:sz w:val="24"/>
          <w:highlight w:val="none"/>
          <w:lang w:val="zh-CN"/>
        </w:rPr>
        <w:t>电子邮箱：                               电子邮箱：</w:t>
      </w:r>
    </w:p>
    <w:p w14:paraId="0346827F">
      <w:pPr>
        <w:spacing w:line="360" w:lineRule="auto"/>
        <w:ind w:firstLine="200"/>
        <w:rPr>
          <w:rFonts w:ascii="仿宋_GB2312" w:hAnsi="楷体" w:eastAsia="仿宋_GB2312"/>
          <w:color w:val="auto"/>
          <w:sz w:val="24"/>
          <w:highlight w:val="none"/>
        </w:rPr>
      </w:pPr>
      <w:r>
        <w:rPr>
          <w:rFonts w:hint="eastAsia" w:ascii="仿宋_GB2312" w:hAnsi="楷体" w:eastAsia="仿宋_GB2312"/>
          <w:color w:val="auto"/>
          <w:sz w:val="24"/>
          <w:highlight w:val="none"/>
        </w:rPr>
        <w:t xml:space="preserve">开户银行：                               开户银行： </w:t>
      </w:r>
    </w:p>
    <w:p w14:paraId="0AFAA5CE">
      <w:pPr>
        <w:spacing w:line="360" w:lineRule="auto"/>
        <w:ind w:firstLine="200"/>
        <w:rPr>
          <w:rFonts w:ascii="仿宋_GB2312" w:hAnsi="楷体" w:eastAsia="仿宋_GB2312"/>
          <w:color w:val="auto"/>
          <w:sz w:val="24"/>
          <w:highlight w:val="none"/>
        </w:rPr>
      </w:pPr>
      <w:r>
        <w:rPr>
          <w:rFonts w:hint="eastAsia" w:ascii="仿宋_GB2312" w:hAnsi="楷体" w:eastAsia="仿宋_GB2312"/>
          <w:color w:val="auto"/>
          <w:sz w:val="24"/>
          <w:highlight w:val="none"/>
        </w:rPr>
        <w:t xml:space="preserve">开户名称：                               开户名称： </w:t>
      </w:r>
    </w:p>
    <w:p w14:paraId="40964317">
      <w:pPr>
        <w:spacing w:line="360" w:lineRule="auto"/>
        <w:ind w:firstLine="200"/>
        <w:rPr>
          <w:rFonts w:ascii="仿宋_GB2312" w:hAnsi="楷体" w:eastAsia="仿宋_GB2312"/>
          <w:color w:val="auto"/>
          <w:sz w:val="24"/>
          <w:highlight w:val="none"/>
        </w:rPr>
      </w:pPr>
      <w:r>
        <w:rPr>
          <w:rFonts w:hint="eastAsia" w:ascii="仿宋_GB2312" w:hAnsi="楷体" w:eastAsia="仿宋_GB2312"/>
          <w:color w:val="auto"/>
          <w:sz w:val="24"/>
          <w:highlight w:val="none"/>
        </w:rPr>
        <w:t>开户账号：                               开户账号：</w:t>
      </w:r>
    </w:p>
    <w:p w14:paraId="209D03F6">
      <w:pPr>
        <w:widowControl/>
        <w:jc w:val="left"/>
        <w:rPr>
          <w:rFonts w:ascii="仿宋_GB2312" w:hAnsi="楷体" w:eastAsia="仿宋_GB2312"/>
          <w:b/>
          <w:color w:val="auto"/>
          <w:sz w:val="28"/>
          <w:szCs w:val="28"/>
          <w:highlight w:val="none"/>
        </w:rPr>
      </w:pPr>
      <w:r>
        <w:rPr>
          <w:rFonts w:hint="eastAsia" w:ascii="仿宋_GB2312" w:hAnsi="楷体" w:eastAsia="仿宋_GB2312"/>
          <w:b/>
          <w:color w:val="auto"/>
          <w:sz w:val="28"/>
          <w:szCs w:val="28"/>
          <w:highlight w:val="none"/>
        </w:rPr>
        <w:br w:type="page"/>
      </w:r>
    </w:p>
    <w:p w14:paraId="30608BC9">
      <w:pPr>
        <w:spacing w:line="360" w:lineRule="auto"/>
        <w:ind w:firstLine="200"/>
        <w:jc w:val="center"/>
        <w:rPr>
          <w:rFonts w:ascii="仿宋_GB2312" w:hAnsi="楷体" w:eastAsia="仿宋_GB2312"/>
          <w:b/>
          <w:color w:val="auto"/>
          <w:sz w:val="28"/>
          <w:szCs w:val="28"/>
          <w:highlight w:val="none"/>
        </w:rPr>
      </w:pPr>
      <w:r>
        <w:rPr>
          <w:rFonts w:hint="eastAsia" w:ascii="仿宋_GB2312" w:hAnsi="楷体" w:eastAsia="仿宋_GB2312"/>
          <w:b/>
          <w:color w:val="auto"/>
          <w:sz w:val="28"/>
          <w:szCs w:val="28"/>
          <w:highlight w:val="none"/>
        </w:rPr>
        <w:t>第二部分 合同一般条款</w:t>
      </w:r>
    </w:p>
    <w:p w14:paraId="3D3993A6">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2.1 定义</w:t>
      </w:r>
    </w:p>
    <w:p w14:paraId="57D23F11">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本合同中的下列词语应按以下内容进行解释：</w:t>
      </w:r>
    </w:p>
    <w:p w14:paraId="4C3C071F">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2.1.1 “合同”系指采购人和成交供应商签订的载明双方当事人所达成的协议，并包括所有的附件、附录和构成合同的其他文件。</w:t>
      </w:r>
    </w:p>
    <w:p w14:paraId="1BA72C35">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2.1.2 “合同价”系指根据合同约定，成交供应商在完全履行合同义务后，采购人应支付给成交供应商的价格。</w:t>
      </w:r>
    </w:p>
    <w:p w14:paraId="2684B007">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2.1.3 “标的物”系指成交供应商根据合同约定应向采购人交付的一切各种形态和种类的货物、服务和工程，包括但不限于原材料、燃料、设备、机械、仪表、备件、计算机软件、信息化系统、信息化维保、物业服务、产品等，并包括工具、手册等其他相关资料。</w:t>
      </w:r>
    </w:p>
    <w:p w14:paraId="35D10F8B">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2.1.4 “甲方”系指与成交供应商签署合同的采购人；采购人委托采购机构代表其与乙方签订合同的，采购人的授权委托书作为合同附件。</w:t>
      </w:r>
    </w:p>
    <w:p w14:paraId="154CDF7C">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2.1.5 “乙方”系指根据合同约定交付标的物的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5C82AE81">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2.1.6 “现场”系指合同约定标的物将要运至或者实施或者安装的地点。</w:t>
      </w:r>
    </w:p>
    <w:p w14:paraId="47D0DB84">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2.2 技术规范</w:t>
      </w:r>
    </w:p>
    <w:p w14:paraId="40EB4511">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2DA25CE4">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2.3 知识产权</w:t>
      </w:r>
    </w:p>
    <w:p w14:paraId="52B2BF2C">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0007FB56">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2.3.2具有知识产权的计算机软件等标的物的知识产权归属，详见</w:t>
      </w:r>
      <w:r>
        <w:rPr>
          <w:rFonts w:hint="eastAsia" w:ascii="仿宋_GB2312" w:hAnsi="楷体" w:eastAsia="仿宋_GB2312"/>
          <w:b/>
          <w:i/>
          <w:color w:val="auto"/>
          <w:sz w:val="24"/>
          <w:highlight w:val="none"/>
        </w:rPr>
        <w:t>合同专用条款</w:t>
      </w:r>
      <w:r>
        <w:rPr>
          <w:rFonts w:hint="eastAsia" w:ascii="仿宋_GB2312" w:hAnsi="楷体" w:eastAsia="仿宋_GB2312"/>
          <w:color w:val="auto"/>
          <w:sz w:val="24"/>
          <w:highlight w:val="none"/>
        </w:rPr>
        <w:t>。</w:t>
      </w:r>
    </w:p>
    <w:p w14:paraId="386483AD">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2.4 包装和装运</w:t>
      </w:r>
    </w:p>
    <w:p w14:paraId="43BB1621">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2.4.1除</w:t>
      </w:r>
      <w:r>
        <w:rPr>
          <w:rFonts w:hint="eastAsia" w:ascii="仿宋_GB2312" w:hAnsi="楷体" w:eastAsia="仿宋_GB2312"/>
          <w:b/>
          <w:i/>
          <w:color w:val="auto"/>
          <w:sz w:val="24"/>
          <w:highlight w:val="none"/>
        </w:rPr>
        <w:t>合同专用条款</w:t>
      </w:r>
      <w:r>
        <w:rPr>
          <w:rFonts w:hint="eastAsia" w:ascii="仿宋_GB2312" w:hAnsi="楷体" w:eastAsia="仿宋_GB2312"/>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71D751ED">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2.4.2 装运标的物的要求和通知，详见</w:t>
      </w:r>
      <w:r>
        <w:rPr>
          <w:rFonts w:hint="eastAsia" w:ascii="仿宋_GB2312" w:hAnsi="楷体" w:eastAsia="仿宋_GB2312"/>
          <w:b/>
          <w:i/>
          <w:color w:val="auto"/>
          <w:sz w:val="24"/>
          <w:highlight w:val="none"/>
        </w:rPr>
        <w:t>合同专用条款</w:t>
      </w:r>
      <w:r>
        <w:rPr>
          <w:rFonts w:hint="eastAsia" w:ascii="仿宋_GB2312" w:hAnsi="楷体" w:eastAsia="仿宋_GB2312"/>
          <w:color w:val="auto"/>
          <w:sz w:val="24"/>
          <w:highlight w:val="none"/>
        </w:rPr>
        <w:t>。</w:t>
      </w:r>
    </w:p>
    <w:p w14:paraId="4AC90DFA">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2.5 履约检查和问题反馈</w:t>
      </w:r>
    </w:p>
    <w:p w14:paraId="3DA5282C">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2.5.1甲方有权在其认为必要时，对乙方是否能够按照合同约定交付标的物进行履约检查，以确保乙方所交付的标的物能够依约满足甲方之项目需求，但不得因履约检查妨碍乙方的正常工作，乙方应予积极配合；</w:t>
      </w:r>
    </w:p>
    <w:p w14:paraId="446897FC">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2.5.2 合同履行期间，甲方有权将履行过程中出现的问题反馈给乙方，双方当事人应以书面形式约定需要完善和改进的内容。</w:t>
      </w:r>
    </w:p>
    <w:p w14:paraId="2454177B">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2.6 结算方式和付款条件</w:t>
      </w:r>
    </w:p>
    <w:p w14:paraId="2E41731F">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详见</w:t>
      </w:r>
      <w:r>
        <w:rPr>
          <w:rFonts w:hint="eastAsia" w:ascii="仿宋_GB2312" w:hAnsi="楷体" w:eastAsia="仿宋_GB2312"/>
          <w:b/>
          <w:i/>
          <w:color w:val="auto"/>
          <w:sz w:val="24"/>
          <w:highlight w:val="none"/>
        </w:rPr>
        <w:t>合同专用条款</w:t>
      </w:r>
      <w:r>
        <w:rPr>
          <w:rFonts w:hint="eastAsia" w:ascii="仿宋_GB2312" w:hAnsi="楷体" w:eastAsia="仿宋_GB2312"/>
          <w:color w:val="auto"/>
          <w:sz w:val="24"/>
          <w:highlight w:val="none"/>
        </w:rPr>
        <w:t>。</w:t>
      </w:r>
    </w:p>
    <w:p w14:paraId="05BC364B">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2.7 技术资料和保密义务</w:t>
      </w:r>
    </w:p>
    <w:p w14:paraId="3EB69F81">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2.7.1 乙方有权依据合同约定和项目需要，向甲方了解有关情况，调阅有关资料等，甲方应予积极配合；</w:t>
      </w:r>
    </w:p>
    <w:p w14:paraId="099CB456">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2.7.2 乙方有义务妥善保管和保护由甲方提供的前款信息和资料等；</w:t>
      </w:r>
    </w:p>
    <w:p w14:paraId="7C6F53F1">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0CA0055F">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2.8 质量保证</w:t>
      </w:r>
    </w:p>
    <w:p w14:paraId="6513CA59">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2.8.1 乙方应建立和完善履行合同的内部质量保证体系，并提供相关内部规章制度给甲方，以便甲方进行监督检查；</w:t>
      </w:r>
    </w:p>
    <w:p w14:paraId="00425ECE">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2.8.2 乙方应保证履行合同的人员数量和素质、软件和硬件设备的配置、场地、环境和设施等满足全面履行合同的要求，并应接受甲方的监督检查。</w:t>
      </w:r>
    </w:p>
    <w:p w14:paraId="190A8FC1">
      <w:pPr>
        <w:spacing w:line="360" w:lineRule="auto"/>
        <w:ind w:firstLine="480" w:firstLineChars="200"/>
        <w:rPr>
          <w:rFonts w:ascii="仿宋_GB2312" w:hAnsi="仿宋" w:eastAsia="仿宋_GB2312" w:cs="仿宋_GB2312"/>
          <w:color w:val="auto"/>
          <w:kern w:val="0"/>
          <w:sz w:val="24"/>
          <w:highlight w:val="none"/>
        </w:rPr>
      </w:pPr>
      <w:r>
        <w:rPr>
          <w:rFonts w:hint="eastAsia" w:ascii="仿宋_GB2312" w:hAnsi="仿宋" w:eastAsia="仿宋_GB2312"/>
          <w:color w:val="auto"/>
          <w:sz w:val="24"/>
          <w:highlight w:val="none"/>
        </w:rPr>
        <w:t>2.8.3乙方应确保项目技术人员的数量和水平与响应文件一致。未经甲方书面同意，乙方不得擅自更换响应文件中注明的项目经理和技术负责人。否则</w:t>
      </w:r>
      <w:r>
        <w:rPr>
          <w:rFonts w:hint="eastAsia" w:ascii="仿宋_GB2312" w:hAnsi="仿宋" w:eastAsia="仿宋_GB2312" w:cs="仿宋_GB2312"/>
          <w:color w:val="auto"/>
          <w:kern w:val="0"/>
          <w:sz w:val="24"/>
          <w:highlight w:val="none"/>
        </w:rPr>
        <w:t>甲方有权放弃或终止合同。</w:t>
      </w:r>
    </w:p>
    <w:p w14:paraId="5FF7AB5D">
      <w:pPr>
        <w:spacing w:line="360" w:lineRule="auto"/>
        <w:ind w:firstLine="480" w:firstLineChars="200"/>
        <w:rPr>
          <w:rFonts w:ascii="仿宋_GB2312" w:hAnsi="楷体" w:eastAsia="仿宋_GB2312"/>
          <w:color w:val="auto"/>
          <w:sz w:val="24"/>
          <w:highlight w:val="none"/>
        </w:rPr>
      </w:pPr>
      <w:r>
        <w:rPr>
          <w:rFonts w:hint="eastAsia" w:ascii="仿宋_GB2312" w:hAnsi="仿宋" w:eastAsia="仿宋_GB2312"/>
          <w:color w:val="auto"/>
          <w:sz w:val="24"/>
          <w:highlight w:val="none"/>
        </w:rPr>
        <w:t>2.8.4因乙方原因造成甲方其他系统不能正常运行，酿成重大事故（工作日系统中断一天以上）的，乙方应承担全部法律责任，并赔偿经济损失，赔偿金额为项目总价的30%。</w:t>
      </w:r>
    </w:p>
    <w:p w14:paraId="6415FE43">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2.9 标的物的风险负担</w:t>
      </w:r>
    </w:p>
    <w:p w14:paraId="63992809">
      <w:pPr>
        <w:spacing w:line="360" w:lineRule="auto"/>
        <w:ind w:firstLine="480" w:firstLineChars="200"/>
        <w:rPr>
          <w:rFonts w:ascii="仿宋_GB2312" w:hAnsi="楷体" w:eastAsia="仿宋_GB2312"/>
          <w:b/>
          <w:color w:val="auto"/>
          <w:sz w:val="24"/>
          <w:highlight w:val="none"/>
        </w:rPr>
      </w:pPr>
      <w:r>
        <w:rPr>
          <w:rFonts w:hint="eastAsia" w:ascii="仿宋_GB2312" w:hAnsi="楷体" w:eastAsia="仿宋_GB2312"/>
          <w:color w:val="auto"/>
          <w:sz w:val="24"/>
          <w:highlight w:val="none"/>
        </w:rPr>
        <w:t>标的物或者在途标的物或者交付给第一承运人后的标的物毁损、灭失的风险负担详见</w:t>
      </w:r>
      <w:r>
        <w:rPr>
          <w:rFonts w:hint="eastAsia" w:ascii="仿宋_GB2312" w:hAnsi="楷体" w:eastAsia="仿宋_GB2312"/>
          <w:b/>
          <w:i/>
          <w:color w:val="auto"/>
          <w:sz w:val="24"/>
          <w:highlight w:val="none"/>
        </w:rPr>
        <w:t>合同专用条款</w:t>
      </w:r>
      <w:r>
        <w:rPr>
          <w:rFonts w:hint="eastAsia" w:ascii="仿宋_GB2312" w:hAnsi="楷体" w:eastAsia="仿宋_GB2312"/>
          <w:color w:val="auto"/>
          <w:sz w:val="24"/>
          <w:highlight w:val="none"/>
        </w:rPr>
        <w:t>。</w:t>
      </w:r>
    </w:p>
    <w:p w14:paraId="2B93913E">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2.10 延迟交货/交付</w:t>
      </w:r>
    </w:p>
    <w:p w14:paraId="343BB09B">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7133793B">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2.11 合同变更</w:t>
      </w:r>
    </w:p>
    <w:p w14:paraId="19B7DCA2">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3160316E">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2.11.2 合同继续履行将损害国家利益和社会公共利益的，双方当事人应当以书面形式变更合同。有过错的一方应当承担赔偿责任，双方当事人都有过错的，各自承担相应的责任。</w:t>
      </w:r>
    </w:p>
    <w:p w14:paraId="3C02A608">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2.12 合同转让和分包</w:t>
      </w:r>
    </w:p>
    <w:p w14:paraId="11C502B8">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40A62DA1">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2.13 不可抗力</w:t>
      </w:r>
    </w:p>
    <w:p w14:paraId="786E008C">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2.13.1如果任何一方遭遇法律规定的不可抗力，致使合同履行受阻时，履行合同的期限应予延长，延长的期限应相当于不可抗力所影响的时间；</w:t>
      </w:r>
    </w:p>
    <w:p w14:paraId="21E73C0E">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2.13.2受不可抗力影响的一方在不可抗力发生后，应在</w:t>
      </w:r>
      <w:r>
        <w:rPr>
          <w:rFonts w:hint="eastAsia" w:ascii="仿宋_GB2312" w:hAnsi="楷体" w:eastAsia="仿宋_GB2312"/>
          <w:b/>
          <w:i/>
          <w:color w:val="auto"/>
          <w:sz w:val="24"/>
          <w:highlight w:val="none"/>
        </w:rPr>
        <w:t>合同专用条款</w:t>
      </w:r>
      <w:r>
        <w:rPr>
          <w:rFonts w:hint="eastAsia" w:ascii="仿宋_GB2312" w:hAnsi="楷体" w:eastAsia="仿宋_GB2312"/>
          <w:color w:val="auto"/>
          <w:sz w:val="24"/>
          <w:highlight w:val="none"/>
        </w:rPr>
        <w:t>约定时间内以书面形式通知对方当事人，并在</w:t>
      </w:r>
      <w:r>
        <w:rPr>
          <w:rFonts w:hint="eastAsia" w:ascii="仿宋_GB2312" w:hAnsi="楷体" w:eastAsia="仿宋_GB2312"/>
          <w:b/>
          <w:i/>
          <w:color w:val="auto"/>
          <w:sz w:val="24"/>
          <w:highlight w:val="none"/>
        </w:rPr>
        <w:t>合同专用条款</w:t>
      </w:r>
      <w:r>
        <w:rPr>
          <w:rFonts w:hint="eastAsia" w:ascii="仿宋_GB2312" w:hAnsi="楷体" w:eastAsia="仿宋_GB2312"/>
          <w:color w:val="auto"/>
          <w:sz w:val="24"/>
          <w:highlight w:val="none"/>
        </w:rPr>
        <w:t>约定时间内，将有关部门出具的证明文件送达对方当事人。</w:t>
      </w:r>
    </w:p>
    <w:p w14:paraId="298D41AE">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2.13.3 因不可抗力致使不能实现合同目的的，当事人可以解除合同；</w:t>
      </w:r>
    </w:p>
    <w:p w14:paraId="79DF513A">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2.13.4 因不可抗力致使合同有变更必要的，双方当事人应在</w:t>
      </w:r>
      <w:r>
        <w:rPr>
          <w:rFonts w:hint="eastAsia" w:ascii="仿宋_GB2312" w:hAnsi="楷体" w:eastAsia="仿宋_GB2312"/>
          <w:b/>
          <w:i/>
          <w:color w:val="auto"/>
          <w:sz w:val="24"/>
          <w:highlight w:val="none"/>
        </w:rPr>
        <w:t>合同专用条款</w:t>
      </w:r>
      <w:r>
        <w:rPr>
          <w:rFonts w:hint="eastAsia" w:ascii="仿宋_GB2312" w:hAnsi="楷体" w:eastAsia="仿宋_GB2312"/>
          <w:color w:val="auto"/>
          <w:sz w:val="24"/>
          <w:highlight w:val="none"/>
        </w:rPr>
        <w:t>约定时间内以书面形式变更合同；</w:t>
      </w:r>
    </w:p>
    <w:p w14:paraId="2A7A4BAE">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2.14 税费</w:t>
      </w:r>
    </w:p>
    <w:p w14:paraId="3ECF83C5">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与合同有关的一切税费，均按照中华人民共和国法律的相关规定执行。</w:t>
      </w:r>
    </w:p>
    <w:p w14:paraId="5843A785">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2.15 乙方破产</w:t>
      </w:r>
    </w:p>
    <w:p w14:paraId="7A6F276A">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B1D2592">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2.16 合同中止、终止</w:t>
      </w:r>
    </w:p>
    <w:p w14:paraId="38EF7D06">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2.16.1 双方当事人不得擅自中止或者终止合同；</w:t>
      </w:r>
    </w:p>
    <w:p w14:paraId="4A0CEFFB">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54C5CB3D">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2.17 检验和验收</w:t>
      </w:r>
    </w:p>
    <w:p w14:paraId="2ACC8356">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b/>
          <w:i/>
          <w:color w:val="auto"/>
          <w:sz w:val="24"/>
          <w:highlight w:val="none"/>
        </w:rPr>
        <w:t>合同专用条款</w:t>
      </w:r>
      <w:r>
        <w:rPr>
          <w:rFonts w:hint="eastAsia" w:ascii="仿宋_GB2312" w:hAnsi="楷体" w:eastAsia="仿宋_GB2312"/>
          <w:color w:val="auto"/>
          <w:sz w:val="24"/>
          <w:highlight w:val="none"/>
        </w:rPr>
        <w:t>约定时间内组织验收，并可依法邀请相关方参加，验收应出具验收书。</w:t>
      </w:r>
    </w:p>
    <w:p w14:paraId="0632F8D9">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59C49443">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2.17.3 检验和验收标准、程序等具体内容以及前述验收书的效力详见</w:t>
      </w:r>
      <w:r>
        <w:rPr>
          <w:rFonts w:hint="eastAsia" w:ascii="仿宋_GB2312" w:hAnsi="楷体" w:eastAsia="仿宋_GB2312"/>
          <w:b/>
          <w:i/>
          <w:color w:val="auto"/>
          <w:sz w:val="24"/>
          <w:highlight w:val="none"/>
        </w:rPr>
        <w:t>合同专用条款</w:t>
      </w:r>
      <w:r>
        <w:rPr>
          <w:rFonts w:hint="eastAsia" w:ascii="仿宋_GB2312" w:hAnsi="楷体" w:eastAsia="仿宋_GB2312"/>
          <w:i/>
          <w:color w:val="auto"/>
          <w:sz w:val="24"/>
          <w:highlight w:val="none"/>
        </w:rPr>
        <w:t>。</w:t>
      </w:r>
    </w:p>
    <w:p w14:paraId="4CD754BF">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2.18 通知和送达</w:t>
      </w:r>
    </w:p>
    <w:p w14:paraId="521A784E">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2.18.1 任何一方因履行合同而以合同第一部分尾部所列明的“约定送达地址”为收件地址的所有通知、文件、材料，均视为已向对方当事人送达；任何一方变更上述送达方式或者地址的，应于 5个工作日内书面通知对方当事人，在对方当事人收到有关变更通知之前，变更前的约定送达方式或者地址仍视为有效。</w:t>
      </w:r>
    </w:p>
    <w:p w14:paraId="5F625D39">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14:paraId="5336000E">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2.19 计量单位</w:t>
      </w:r>
    </w:p>
    <w:p w14:paraId="75AB2411">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除技术规范中另有规定外，合同的计量单位均使用国家法定计量单位。</w:t>
      </w:r>
    </w:p>
    <w:p w14:paraId="1EF3F660">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2.20 合同使用的文字和适用的法律</w:t>
      </w:r>
    </w:p>
    <w:p w14:paraId="2FE35A89">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2.20.1 合同使用汉语书就、变更和解释；</w:t>
      </w:r>
    </w:p>
    <w:p w14:paraId="63677917">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2.20.2 合同适用中华人民共和国法律。</w:t>
      </w:r>
    </w:p>
    <w:p w14:paraId="1D8824AA">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2.21 履约保证金</w:t>
      </w:r>
    </w:p>
    <w:p w14:paraId="5F75F482">
      <w:pPr>
        <w:spacing w:line="360" w:lineRule="auto"/>
        <w:ind w:firstLine="480" w:firstLineChars="200"/>
        <w:rPr>
          <w:rFonts w:ascii="仿宋_GB2312" w:hAnsi="仿宋" w:eastAsia="仿宋_GB2312" w:cs="Arial"/>
          <w:color w:val="auto"/>
          <w:kern w:val="0"/>
          <w:sz w:val="24"/>
          <w:highlight w:val="none"/>
        </w:rPr>
      </w:pPr>
      <w:r>
        <w:rPr>
          <w:rFonts w:hint="eastAsia" w:ascii="仿宋_GB2312" w:hAnsi="楷体" w:eastAsia="仿宋_GB2312"/>
          <w:color w:val="auto"/>
          <w:sz w:val="24"/>
          <w:highlight w:val="none"/>
        </w:rPr>
        <w:t>本项目不收取履约保证金</w:t>
      </w:r>
    </w:p>
    <w:p w14:paraId="790068BA">
      <w:pPr>
        <w:spacing w:line="360" w:lineRule="auto"/>
        <w:ind w:firstLine="482" w:firstLineChars="200"/>
        <w:rPr>
          <w:rFonts w:ascii="仿宋_GB2312" w:hAnsi="仿宋" w:eastAsia="仿宋_GB2312"/>
          <w:color w:val="auto"/>
          <w:kern w:val="0"/>
          <w:sz w:val="24"/>
          <w:highlight w:val="none"/>
          <w:lang w:val="zh-CN"/>
        </w:rPr>
      </w:pPr>
      <w:r>
        <w:rPr>
          <w:rFonts w:hint="eastAsia" w:ascii="仿宋_GB2312" w:hAnsi="楷体" w:eastAsia="仿宋_GB2312"/>
          <w:b/>
          <w:color w:val="auto"/>
          <w:sz w:val="24"/>
          <w:highlight w:val="none"/>
        </w:rPr>
        <w:t>2.22 中小企业政策</w:t>
      </w:r>
    </w:p>
    <w:p w14:paraId="6068934E">
      <w:pPr>
        <w:spacing w:line="360" w:lineRule="auto"/>
        <w:ind w:firstLine="480" w:firstLineChars="200"/>
        <w:rPr>
          <w:rFonts w:ascii="仿宋_GB2312" w:hAnsi="仿宋" w:eastAsia="仿宋_GB2312"/>
          <w:color w:val="auto"/>
          <w:kern w:val="0"/>
          <w:sz w:val="24"/>
          <w:highlight w:val="none"/>
          <w:lang w:val="zh-CN"/>
        </w:rPr>
      </w:pPr>
      <w:r>
        <w:rPr>
          <w:rFonts w:hint="eastAsia" w:ascii="仿宋_GB2312" w:hAnsi="仿宋" w:eastAsia="仿宋_GB2312"/>
          <w:color w:val="auto"/>
          <w:kern w:val="0"/>
          <w:sz w:val="24"/>
          <w:highlight w:val="none"/>
          <w:lang w:val="zh-CN"/>
        </w:rPr>
        <w:t>2.22.1本合同（□是  □否）为中小企业“政采贷”可融资合同，关于中小企业信用融资事项见采购文件“供应商须知正文”。</w:t>
      </w:r>
    </w:p>
    <w:p w14:paraId="7364FB29">
      <w:pPr>
        <w:spacing w:line="360" w:lineRule="auto"/>
        <w:ind w:firstLine="480" w:firstLineChars="200"/>
        <w:rPr>
          <w:rFonts w:ascii="仿宋_GB2312" w:hAnsi="仿宋" w:eastAsia="仿宋_GB2312"/>
          <w:color w:val="auto"/>
          <w:kern w:val="0"/>
          <w:sz w:val="24"/>
          <w:highlight w:val="none"/>
          <w:lang w:val="zh-CN"/>
        </w:rPr>
      </w:pPr>
      <w:r>
        <w:rPr>
          <w:rFonts w:hint="eastAsia" w:ascii="仿宋_GB2312" w:hAnsi="仿宋" w:eastAsia="仿宋_GB2312"/>
          <w:color w:val="auto"/>
          <w:kern w:val="0"/>
          <w:sz w:val="24"/>
          <w:highlight w:val="none"/>
          <w:lang w:val="zh-CN"/>
        </w:rPr>
        <w:t>2.22.2本合同（□是  □否）为中小企业预留合同。</w:t>
      </w:r>
    </w:p>
    <w:p w14:paraId="2F0C8CCF">
      <w:pPr>
        <w:spacing w:line="360" w:lineRule="auto"/>
        <w:ind w:firstLine="482" w:firstLineChars="200"/>
        <w:rPr>
          <w:rFonts w:ascii="仿宋_GB2312" w:hAnsi="楷体" w:eastAsia="仿宋_GB2312"/>
          <w:b/>
          <w:color w:val="auto"/>
          <w:sz w:val="24"/>
          <w:highlight w:val="none"/>
        </w:rPr>
      </w:pPr>
      <w:r>
        <w:rPr>
          <w:rFonts w:hint="eastAsia" w:ascii="仿宋_GB2312" w:hAnsi="楷体" w:eastAsia="仿宋_GB2312"/>
          <w:b/>
          <w:color w:val="auto"/>
          <w:sz w:val="24"/>
          <w:highlight w:val="none"/>
        </w:rPr>
        <w:t>2.23 合同份数</w:t>
      </w:r>
    </w:p>
    <w:p w14:paraId="1BCCE01C">
      <w:pPr>
        <w:spacing w:line="360" w:lineRule="auto"/>
        <w:ind w:firstLine="480" w:firstLineChars="200"/>
        <w:rPr>
          <w:rFonts w:ascii="仿宋_GB2312" w:hAnsi="楷体" w:eastAsia="仿宋_GB2312"/>
          <w:color w:val="auto"/>
          <w:sz w:val="24"/>
          <w:highlight w:val="none"/>
        </w:rPr>
      </w:pPr>
      <w:r>
        <w:rPr>
          <w:rFonts w:hint="eastAsia" w:ascii="仿宋_GB2312" w:hAnsi="宋体" w:eastAsia="仿宋_GB2312"/>
          <w:color w:val="auto"/>
          <w:sz w:val="24"/>
          <w:highlight w:val="none"/>
        </w:rPr>
        <w:t>本合同壹式 5份，甲方执 3份，乙方执</w:t>
      </w:r>
      <w:r>
        <w:rPr>
          <w:rFonts w:hint="eastAsia" w:ascii="仿宋_GB2312" w:hAnsi="仿宋" w:eastAsia="仿宋_GB2312"/>
          <w:color w:val="auto"/>
          <w:sz w:val="24"/>
          <w:highlight w:val="none"/>
        </w:rPr>
        <w:t xml:space="preserve"> 2</w:t>
      </w:r>
      <w:r>
        <w:rPr>
          <w:rFonts w:hint="eastAsia" w:ascii="仿宋_GB2312" w:hAnsi="宋体" w:eastAsia="仿宋_GB2312"/>
          <w:color w:val="auto"/>
          <w:sz w:val="24"/>
          <w:highlight w:val="none"/>
        </w:rPr>
        <w:t xml:space="preserve"> 份。</w:t>
      </w:r>
      <w:r>
        <w:rPr>
          <w:rFonts w:hint="eastAsia" w:ascii="仿宋_GB2312" w:hAnsi="楷体" w:eastAsia="仿宋_GB2312"/>
          <w:color w:val="auto"/>
          <w:sz w:val="24"/>
          <w:highlight w:val="none"/>
        </w:rPr>
        <w:t>每份均具有同等法律效力。</w:t>
      </w:r>
    </w:p>
    <w:p w14:paraId="6A9045AC">
      <w:pPr>
        <w:autoSpaceDE w:val="0"/>
        <w:autoSpaceDN w:val="0"/>
        <w:adjustRightInd w:val="0"/>
        <w:snapToGrid w:val="0"/>
        <w:spacing w:line="360" w:lineRule="auto"/>
        <w:ind w:left="420" w:leftChars="200" w:firstLine="480" w:firstLineChars="200"/>
        <w:jc w:val="center"/>
        <w:outlineLvl w:val="1"/>
        <w:rPr>
          <w:rFonts w:ascii="仿宋_GB2312" w:hAnsi="楷体" w:eastAsia="仿宋_GB2312"/>
          <w:b/>
          <w:color w:val="auto"/>
          <w:sz w:val="28"/>
          <w:szCs w:val="28"/>
          <w:highlight w:val="none"/>
        </w:rPr>
      </w:pPr>
      <w:r>
        <w:rPr>
          <w:rFonts w:hint="eastAsia" w:ascii="仿宋_GB2312" w:hAnsi="楷体" w:eastAsia="仿宋_GB2312"/>
          <w:color w:val="auto"/>
          <w:sz w:val="24"/>
          <w:szCs w:val="21"/>
          <w:highlight w:val="none"/>
        </w:rPr>
        <w:br w:type="page"/>
      </w:r>
      <w:bookmarkStart w:id="75" w:name="_Toc213251797"/>
      <w:r>
        <w:rPr>
          <w:rFonts w:hint="eastAsia" w:ascii="仿宋_GB2312" w:hAnsi="楷体" w:eastAsia="仿宋_GB2312"/>
          <w:b/>
          <w:color w:val="auto"/>
          <w:sz w:val="28"/>
          <w:szCs w:val="28"/>
          <w:highlight w:val="none"/>
        </w:rPr>
        <w:t>第三部分  合同专用条款</w:t>
      </w:r>
      <w:bookmarkEnd w:id="75"/>
    </w:p>
    <w:p w14:paraId="22C9E16B">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41D05D2E">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2.3.2具有知识产权的标的物知识产权归属：</w:t>
      </w:r>
    </w:p>
    <w:p w14:paraId="6DD2571B">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 xml:space="preserve">    甲方                                                                        </w:t>
      </w:r>
    </w:p>
    <w:p w14:paraId="5C050BD4">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2.4.1包装和装运专用条款（如果有）：</w:t>
      </w:r>
    </w:p>
    <w:p w14:paraId="7AD7E5F6">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 xml:space="preserve">     /                                                                </w:t>
      </w:r>
    </w:p>
    <w:p w14:paraId="40A34FA4">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2.4.2装运标的物的要求和通知：</w:t>
      </w:r>
    </w:p>
    <w:p w14:paraId="49DABA80">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 xml:space="preserve">       /                                                             </w:t>
      </w:r>
    </w:p>
    <w:p w14:paraId="0A906467">
      <w:pPr>
        <w:spacing w:line="360" w:lineRule="auto"/>
        <w:ind w:firstLine="480" w:firstLineChars="200"/>
        <w:rPr>
          <w:rFonts w:ascii="仿宋_GB2312" w:hAnsi="楷体" w:eastAsia="仿宋_GB2312"/>
          <w:b/>
          <w:color w:val="auto"/>
          <w:sz w:val="24"/>
          <w:highlight w:val="none"/>
        </w:rPr>
      </w:pPr>
      <w:r>
        <w:rPr>
          <w:rFonts w:hint="eastAsia" w:ascii="仿宋_GB2312" w:hAnsi="楷体" w:eastAsia="仿宋_GB2312"/>
          <w:color w:val="auto"/>
          <w:sz w:val="24"/>
          <w:highlight w:val="none"/>
        </w:rPr>
        <w:t>2.6</w:t>
      </w:r>
      <w:r>
        <w:rPr>
          <w:rFonts w:hint="eastAsia" w:ascii="仿宋_GB2312" w:hAnsi="楷体" w:eastAsia="仿宋_GB2312"/>
          <w:b/>
          <w:color w:val="auto"/>
          <w:sz w:val="24"/>
          <w:highlight w:val="none"/>
        </w:rPr>
        <w:t>结算方式和付款条件</w:t>
      </w:r>
    </w:p>
    <w:p w14:paraId="33394CEB">
      <w:pPr>
        <w:spacing w:line="360" w:lineRule="auto"/>
        <w:ind w:firstLine="480" w:firstLineChars="200"/>
        <w:rPr>
          <w:rFonts w:ascii="仿宋_GB2312" w:eastAsia="仿宋_GB2312" w:cs="仿宋_GB2312"/>
          <w:color w:val="auto"/>
          <w:kern w:val="0"/>
          <w:sz w:val="24"/>
          <w:highlight w:val="none"/>
          <w:lang w:val="zh-CN"/>
        </w:rPr>
      </w:pPr>
      <w:r>
        <w:rPr>
          <w:rFonts w:hint="eastAsia" w:ascii="仿宋_GB2312" w:eastAsia="仿宋_GB2312" w:cs="仿宋_GB2312"/>
          <w:color w:val="auto"/>
          <w:kern w:val="0"/>
          <w:sz w:val="24"/>
          <w:highlight w:val="none"/>
          <w:lang w:val="zh-CN"/>
        </w:rPr>
        <w:t>本次项目监测报告价格下浮系数报价为：</w:t>
      </w:r>
      <w:r>
        <w:rPr>
          <w:rFonts w:hint="eastAsia" w:ascii="仿宋_GB2312" w:eastAsia="仿宋_GB2312" w:cs="仿宋_GB2312"/>
          <w:color w:val="auto"/>
          <w:kern w:val="0"/>
          <w:sz w:val="24"/>
          <w:highlight w:val="none"/>
          <w:u w:val="single"/>
          <w:lang w:val="zh-CN"/>
        </w:rPr>
        <w:t xml:space="preserve">       </w:t>
      </w:r>
      <w:r>
        <w:rPr>
          <w:rFonts w:hint="eastAsia" w:ascii="仿宋_GB2312" w:eastAsia="仿宋_GB2312" w:cs="仿宋_GB2312"/>
          <w:color w:val="auto"/>
          <w:kern w:val="0"/>
          <w:sz w:val="24"/>
          <w:highlight w:val="none"/>
          <w:lang w:val="zh-CN"/>
        </w:rPr>
        <w:t>%</w:t>
      </w:r>
      <w:r>
        <w:rPr>
          <w:rFonts w:hint="eastAsia" w:ascii="仿宋_GB2312" w:eastAsia="仿宋_GB2312" w:cs="仿宋_GB2312"/>
          <w:color w:val="auto"/>
          <w:kern w:val="0"/>
          <w:sz w:val="24"/>
          <w:highlight w:val="none"/>
          <w:lang w:val="zh-CN" w:eastAsia="zh-CN"/>
        </w:rPr>
        <w:t>，</w:t>
      </w:r>
      <w:r>
        <w:rPr>
          <w:rFonts w:hint="eastAsia" w:ascii="仿宋_GB2312" w:eastAsia="仿宋_GB2312" w:cs="仿宋_GB2312"/>
          <w:color w:val="auto"/>
          <w:kern w:val="0"/>
          <w:sz w:val="24"/>
          <w:highlight w:val="none"/>
          <w:lang w:val="zh-CN"/>
        </w:rPr>
        <w:t>监测数据表价格下浮系数报价为</w:t>
      </w:r>
      <w:r>
        <w:rPr>
          <w:rFonts w:hint="eastAsia" w:ascii="仿宋_GB2312" w:eastAsia="仿宋_GB2312" w:cs="仿宋_GB2312"/>
          <w:color w:val="auto"/>
          <w:kern w:val="0"/>
          <w:sz w:val="24"/>
          <w:highlight w:val="none"/>
          <w:u w:val="single"/>
          <w:lang w:val="zh-CN"/>
        </w:rPr>
        <w:t xml:space="preserve">       </w:t>
      </w:r>
      <w:r>
        <w:rPr>
          <w:rFonts w:hint="eastAsia" w:ascii="仿宋_GB2312" w:eastAsia="仿宋_GB2312" w:cs="仿宋_GB2312"/>
          <w:color w:val="auto"/>
          <w:kern w:val="0"/>
          <w:sz w:val="24"/>
          <w:highlight w:val="none"/>
          <w:lang w:val="zh-CN"/>
        </w:rPr>
        <w:t>%</w:t>
      </w:r>
      <w:r>
        <w:rPr>
          <w:rFonts w:hint="eastAsia" w:ascii="仿宋_GB2312" w:eastAsia="仿宋_GB2312" w:cs="仿宋_GB2312"/>
          <w:color w:val="auto"/>
          <w:kern w:val="0"/>
          <w:sz w:val="24"/>
          <w:highlight w:val="none"/>
          <w:lang w:val="zh-CN" w:eastAsia="zh-CN"/>
        </w:rPr>
        <w:t xml:space="preserve"> </w:t>
      </w:r>
      <w:r>
        <w:rPr>
          <w:rFonts w:hint="eastAsia" w:ascii="仿宋_GB2312" w:eastAsia="仿宋_GB2312" w:cs="仿宋_GB2312"/>
          <w:color w:val="auto"/>
          <w:kern w:val="0"/>
          <w:sz w:val="24"/>
          <w:highlight w:val="none"/>
          <w:lang w:val="zh-CN"/>
        </w:rPr>
        <w:t>。本项目采用以下勾选结算方式进行支付：</w:t>
      </w:r>
    </w:p>
    <w:p w14:paraId="64412949">
      <w:pPr>
        <w:spacing w:line="360" w:lineRule="auto"/>
        <w:ind w:firstLine="480" w:firstLineChars="200"/>
        <w:rPr>
          <w:rFonts w:ascii="仿宋_GB2312" w:eastAsia="仿宋_GB2312" w:cs="仿宋_GB2312"/>
          <w:color w:val="auto"/>
          <w:kern w:val="0"/>
          <w:sz w:val="24"/>
          <w:highlight w:val="none"/>
          <w:lang w:val="zh-CN"/>
        </w:rPr>
      </w:pPr>
      <w:r>
        <w:rPr>
          <w:rFonts w:hint="eastAsia" w:ascii="仿宋_GB2312" w:eastAsia="仿宋_GB2312" w:cs="仿宋_GB2312"/>
          <w:color w:val="auto"/>
          <w:kern w:val="0"/>
          <w:sz w:val="24"/>
          <w:highlight w:val="none"/>
          <w:lang w:val="zh-CN"/>
        </w:rPr>
        <w:t>□采用一次性支付方式，付款条件为：</w:t>
      </w:r>
    </w:p>
    <w:p w14:paraId="5EF6828C">
      <w:pPr>
        <w:spacing w:line="360" w:lineRule="auto"/>
        <w:ind w:firstLine="480" w:firstLineChars="200"/>
        <w:rPr>
          <w:rFonts w:hint="eastAsia" w:ascii="仿宋_GB2312" w:eastAsia="仿宋_GB2312" w:cs="仿宋_GB2312"/>
          <w:color w:val="auto"/>
          <w:kern w:val="0"/>
          <w:sz w:val="24"/>
          <w:highlight w:val="none"/>
          <w:lang w:eastAsia="zh-CN"/>
        </w:rPr>
      </w:pPr>
      <w:r>
        <w:rPr>
          <w:rFonts w:hint="eastAsia" w:ascii="仿宋_GB2312" w:eastAsia="仿宋_GB2312" w:cs="仿宋_GB2312"/>
          <w:color w:val="auto"/>
          <w:kern w:val="0"/>
          <w:sz w:val="24"/>
          <w:highlight w:val="none"/>
          <w:lang w:val="zh-CN"/>
        </w:rPr>
        <w:t>☑采用分期付款方式，付款条件为</w:t>
      </w:r>
      <w:r>
        <w:rPr>
          <w:rFonts w:hint="eastAsia" w:ascii="仿宋_GB2312" w:eastAsia="仿宋_GB2312" w:cs="仿宋_GB2312"/>
          <w:color w:val="auto"/>
          <w:kern w:val="0"/>
          <w:sz w:val="24"/>
          <w:highlight w:val="none"/>
        </w:rPr>
        <w:t>：</w:t>
      </w:r>
      <w:r>
        <w:rPr>
          <w:rFonts w:hint="eastAsia" w:ascii="仿宋_GB2312" w:eastAsia="仿宋_GB2312" w:cs="仿宋_GB2312"/>
          <w:color w:val="auto"/>
          <w:kern w:val="0"/>
          <w:sz w:val="24"/>
          <w:highlight w:val="none"/>
          <w:lang w:eastAsia="zh-CN"/>
        </w:rPr>
        <w:t>合同签订后10个工作日内，预付</w:t>
      </w:r>
      <w:r>
        <w:rPr>
          <w:rFonts w:hint="eastAsia" w:ascii="仿宋_GB2312" w:eastAsia="仿宋_GB2312" w:cs="仿宋_GB2312"/>
          <w:color w:val="auto"/>
          <w:kern w:val="0"/>
          <w:sz w:val="24"/>
          <w:highlight w:val="none"/>
          <w:lang w:val="en-US" w:eastAsia="zh-CN"/>
        </w:rPr>
        <w:t>22万元</w:t>
      </w:r>
      <w:r>
        <w:rPr>
          <w:rFonts w:hint="eastAsia" w:ascii="仿宋_GB2312" w:eastAsia="仿宋_GB2312" w:cs="仿宋_GB2312"/>
          <w:color w:val="auto"/>
          <w:kern w:val="0"/>
          <w:sz w:val="24"/>
          <w:highlight w:val="none"/>
          <w:lang w:eastAsia="zh-CN"/>
        </w:rPr>
        <w:t>。</w:t>
      </w:r>
    </w:p>
    <w:p w14:paraId="12A6643C">
      <w:pPr>
        <w:spacing w:line="360" w:lineRule="auto"/>
        <w:ind w:firstLine="480" w:firstLineChars="200"/>
        <w:rPr>
          <w:rFonts w:ascii="仿宋_GB2312" w:eastAsia="仿宋_GB2312" w:cs="仿宋_GB2312"/>
          <w:color w:val="auto"/>
          <w:kern w:val="0"/>
          <w:sz w:val="24"/>
          <w:highlight w:val="none"/>
        </w:rPr>
      </w:pPr>
      <w:r>
        <w:rPr>
          <w:rFonts w:hint="eastAsia" w:ascii="仿宋_GB2312" w:eastAsia="仿宋_GB2312" w:cs="仿宋_GB2312"/>
          <w:color w:val="auto"/>
          <w:kern w:val="0"/>
          <w:sz w:val="24"/>
          <w:highlight w:val="none"/>
          <w:lang w:eastAsia="zh-CN"/>
        </w:rPr>
        <w:t>合同服务期内组织1次阶段性考核，根据考核结果支付超出</w:t>
      </w:r>
      <w:r>
        <w:rPr>
          <w:rFonts w:hint="eastAsia" w:ascii="仿宋_GB2312" w:eastAsia="仿宋_GB2312" w:cs="仿宋_GB2312"/>
          <w:color w:val="auto"/>
          <w:kern w:val="0"/>
          <w:sz w:val="24"/>
          <w:highlight w:val="none"/>
          <w:lang w:val="en-US" w:eastAsia="zh-CN"/>
        </w:rPr>
        <w:t>22万元</w:t>
      </w:r>
      <w:r>
        <w:rPr>
          <w:rFonts w:hint="eastAsia" w:ascii="仿宋_GB2312" w:eastAsia="仿宋_GB2312" w:cs="仿宋_GB2312"/>
          <w:color w:val="auto"/>
          <w:kern w:val="0"/>
          <w:sz w:val="24"/>
          <w:highlight w:val="none"/>
          <w:lang w:eastAsia="zh-CN"/>
        </w:rPr>
        <w:t>部分的监测任务金额，阶段性考核结果为90分及以上，支付应付金额的100%，考核结果为80—89分，支付应付金额的80%，考核结果为70—79分，支付应付金额的60%，考核结果＜70分，不予支付资金；项目完成后，成交供应商向采购人提交正式检测报告，且</w:t>
      </w:r>
      <w:r>
        <w:rPr>
          <w:rFonts w:hint="eastAsia" w:ascii="仿宋_GB2312" w:eastAsia="仿宋_GB2312" w:cs="仿宋_GB2312"/>
          <w:color w:val="auto"/>
          <w:kern w:val="0"/>
          <w:sz w:val="24"/>
          <w:highlight w:val="none"/>
          <w:lang w:val="en-US" w:eastAsia="zh-CN"/>
        </w:rPr>
        <w:t>项目</w:t>
      </w:r>
      <w:r>
        <w:rPr>
          <w:rFonts w:hint="eastAsia" w:ascii="仿宋_GB2312" w:eastAsia="仿宋_GB2312" w:cs="仿宋_GB2312"/>
          <w:color w:val="auto"/>
          <w:kern w:val="0"/>
          <w:sz w:val="24"/>
          <w:highlight w:val="none"/>
          <w:lang w:eastAsia="zh-CN"/>
        </w:rPr>
        <w:t>通过采购人</w:t>
      </w:r>
      <w:r>
        <w:rPr>
          <w:rFonts w:hint="eastAsia" w:ascii="仿宋_GB2312" w:eastAsia="仿宋_GB2312" w:cs="仿宋_GB2312"/>
          <w:color w:val="auto"/>
          <w:kern w:val="0"/>
          <w:sz w:val="24"/>
          <w:highlight w:val="none"/>
          <w:lang w:val="en-US" w:eastAsia="zh-CN"/>
        </w:rPr>
        <w:t>考核</w:t>
      </w:r>
      <w:r>
        <w:rPr>
          <w:rFonts w:hint="eastAsia" w:ascii="仿宋_GB2312" w:eastAsia="仿宋_GB2312" w:cs="仿宋_GB2312"/>
          <w:color w:val="auto"/>
          <w:kern w:val="0"/>
          <w:sz w:val="24"/>
          <w:highlight w:val="none"/>
          <w:lang w:eastAsia="zh-CN"/>
        </w:rPr>
        <w:t>验收后，</w:t>
      </w:r>
      <w:r>
        <w:rPr>
          <w:rFonts w:hint="eastAsia" w:ascii="仿宋_GB2312" w:eastAsia="仿宋_GB2312" w:cs="仿宋_GB2312"/>
          <w:color w:val="auto"/>
          <w:kern w:val="0"/>
          <w:sz w:val="24"/>
          <w:highlight w:val="none"/>
          <w:lang w:val="en-US" w:eastAsia="zh-CN"/>
        </w:rPr>
        <w:t>按照考核结果</w:t>
      </w:r>
      <w:r>
        <w:rPr>
          <w:rFonts w:hint="eastAsia" w:ascii="仿宋_GB2312" w:eastAsia="仿宋_GB2312" w:cs="仿宋_GB2312"/>
          <w:color w:val="auto"/>
          <w:kern w:val="0"/>
          <w:sz w:val="24"/>
          <w:highlight w:val="none"/>
          <w:lang w:eastAsia="zh-CN"/>
        </w:rPr>
        <w:t>支付剩余监测任务款项，考核结果为90分及以上，支付应付金额的100%，考核结果为80—89分，支付应付金额的80%，考核结果为70—79分，支付应付金额的60%，考核结果＜70分，不予支付资金。每次付款前，成交人需提供该支付金额的合法发票、请款函和项目进度报告。考核评分办法详见附表1：考核评分细则。</w:t>
      </w:r>
    </w:p>
    <w:p w14:paraId="2F7861CF">
      <w:pPr>
        <w:spacing w:line="360" w:lineRule="auto"/>
        <w:ind w:firstLine="480" w:firstLineChars="200"/>
        <w:rPr>
          <w:rFonts w:ascii="仿宋_GB2312" w:hAnsi="楷体" w:eastAsia="仿宋_GB2312"/>
          <w:b/>
          <w:color w:val="auto"/>
          <w:sz w:val="24"/>
          <w:highlight w:val="none"/>
        </w:rPr>
      </w:pPr>
      <w:r>
        <w:rPr>
          <w:rFonts w:hint="eastAsia" w:ascii="仿宋_GB2312" w:hAnsi="楷体" w:eastAsia="仿宋_GB2312"/>
          <w:color w:val="auto"/>
          <w:sz w:val="24"/>
          <w:highlight w:val="none"/>
        </w:rPr>
        <w:t>2.9</w:t>
      </w:r>
      <w:r>
        <w:rPr>
          <w:rFonts w:hint="eastAsia" w:ascii="仿宋_GB2312" w:hAnsi="楷体" w:eastAsia="仿宋_GB2312"/>
          <w:b/>
          <w:color w:val="auto"/>
          <w:sz w:val="24"/>
          <w:highlight w:val="none"/>
        </w:rPr>
        <w:t>标的物的风险负担</w:t>
      </w:r>
    </w:p>
    <w:p w14:paraId="26148D27">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标的物或者在途标的物或者交付给第一承运人后的标的物毁损、灭失的风险负担：</w:t>
      </w:r>
    </w:p>
    <w:p w14:paraId="5058A3E6">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 xml:space="preserve">乙方                                                                       </w:t>
      </w:r>
    </w:p>
    <w:p w14:paraId="0C568E5B">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2.13.2受不可抗力影响的一方在不可抗力发生后，应在 15 日内以书面形式通知对方当事人，并在 15 日内，将有关部门出具的证明文件送达对方当事人。</w:t>
      </w:r>
    </w:p>
    <w:p w14:paraId="753D5FC5">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2.13.4因不可抗力致使合同有变更必要的，双方当事人应在  15  日内以书面形式变更合同；</w:t>
      </w:r>
    </w:p>
    <w:p w14:paraId="10D2A613">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2.17.1标的物交付前，乙方应对标的物的质量、数量等方面进行详细、全面的检验，并向甲方出具证明标的物符合合同约定的文件；标的物交付时，乙方在  15 日内发起验收，并可依法邀请相关方参加，验收应出具验收书。</w:t>
      </w:r>
    </w:p>
    <w:p w14:paraId="48582BED">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 xml:space="preserve">2.17.3 检验和验收标准、程序等具体内容以及前述验收书的效力：        </w:t>
      </w:r>
    </w:p>
    <w:p w14:paraId="0BBE2BA2">
      <w:pPr>
        <w:spacing w:line="360" w:lineRule="auto"/>
        <w:ind w:firstLine="480" w:firstLineChars="200"/>
        <w:rPr>
          <w:rFonts w:ascii="仿宋_GB2312" w:hAnsi="楷体" w:eastAsia="仿宋_GB2312"/>
          <w:color w:val="auto"/>
          <w:sz w:val="24"/>
          <w:highlight w:val="none"/>
        </w:rPr>
      </w:pPr>
    </w:p>
    <w:p w14:paraId="6DC59565">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3.1 其他：</w:t>
      </w:r>
    </w:p>
    <w:p w14:paraId="160C526F">
      <w:pP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项目验收：</w:t>
      </w:r>
    </w:p>
    <w:p w14:paraId="5D36671E">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246F7E96">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2534BE49">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62D4424F">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4.验收产生的费用验收费用由乙方支付。</w:t>
      </w:r>
    </w:p>
    <w:p w14:paraId="10F20EC0">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5.验收内容及资料要求：</w:t>
      </w:r>
    </w:p>
    <w:p w14:paraId="7D9D6F1A">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根据采购文件确定的技术指标或者服务要求确定验收指标和标准。未进行相应约定的，应当符合国家强制性规定、政策要求、安全标准、行业或企业有关标准等。</w:t>
      </w:r>
    </w:p>
    <w:p w14:paraId="24D6CAC9">
      <w:pPr>
        <w:tabs>
          <w:tab w:val="left" w:pos="904"/>
        </w:tabs>
        <w:snapToGrid w:val="0"/>
        <w:spacing w:line="360" w:lineRule="auto"/>
        <w:ind w:firstLine="480" w:firstLineChars="200"/>
        <w:jc w:val="left"/>
        <w:rPr>
          <w:rFonts w:ascii="仿宋_GB2312" w:hAnsi="楷体" w:eastAsia="仿宋_GB2312"/>
          <w:color w:val="auto"/>
          <w:sz w:val="24"/>
          <w:highlight w:val="none"/>
        </w:rPr>
      </w:pPr>
      <w:r>
        <w:rPr>
          <w:rFonts w:hint="eastAsia" w:ascii="仿宋_GB2312" w:hAnsi="楷体" w:eastAsia="仿宋_GB2312"/>
          <w:color w:val="auto"/>
          <w:sz w:val="24"/>
          <w:highlight w:val="none"/>
        </w:rPr>
        <w:t>5.1验收内容</w:t>
      </w:r>
    </w:p>
    <w:tbl>
      <w:tblPr>
        <w:tblStyle w:val="10"/>
        <w:tblW w:w="8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861"/>
        <w:gridCol w:w="5764"/>
      </w:tblGrid>
      <w:tr w14:paraId="079F8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54" w:type="dxa"/>
            <w:noWrap w:val="0"/>
            <w:vAlign w:val="center"/>
          </w:tcPr>
          <w:p w14:paraId="286808EF">
            <w:pPr>
              <w:widowControl/>
              <w:spacing w:line="360" w:lineRule="auto"/>
              <w:ind w:firstLine="200"/>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序号</w:t>
            </w:r>
          </w:p>
        </w:tc>
        <w:tc>
          <w:tcPr>
            <w:tcW w:w="1861" w:type="dxa"/>
            <w:noWrap w:val="0"/>
            <w:vAlign w:val="center"/>
          </w:tcPr>
          <w:p w14:paraId="1294BAF7">
            <w:pPr>
              <w:widowControl/>
              <w:spacing w:line="360" w:lineRule="auto"/>
              <w:ind w:firstLine="200"/>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验收内容</w:t>
            </w:r>
          </w:p>
        </w:tc>
        <w:tc>
          <w:tcPr>
            <w:tcW w:w="5764" w:type="dxa"/>
            <w:noWrap w:val="0"/>
            <w:vAlign w:val="center"/>
          </w:tcPr>
          <w:p w14:paraId="5D1847A5">
            <w:pPr>
              <w:widowControl/>
              <w:spacing w:line="360" w:lineRule="auto"/>
              <w:ind w:firstLine="200"/>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 xml:space="preserve"> 验收标准</w:t>
            </w:r>
          </w:p>
        </w:tc>
      </w:tr>
      <w:tr w14:paraId="3F23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654" w:type="dxa"/>
            <w:noWrap w:val="0"/>
            <w:vAlign w:val="center"/>
          </w:tcPr>
          <w:p w14:paraId="4FA7BCC6">
            <w:pPr>
              <w:widowControl/>
              <w:spacing w:line="360" w:lineRule="auto"/>
              <w:ind w:firstLine="200"/>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1</w:t>
            </w:r>
          </w:p>
        </w:tc>
        <w:tc>
          <w:tcPr>
            <w:tcW w:w="1861" w:type="dxa"/>
            <w:noWrap w:val="0"/>
            <w:vAlign w:val="center"/>
          </w:tcPr>
          <w:p w14:paraId="07224F21">
            <w:pPr>
              <w:widowControl/>
              <w:spacing w:line="360" w:lineRule="auto"/>
              <w:ind w:firstLine="200"/>
              <w:jc w:val="center"/>
              <w:rPr>
                <w:rFonts w:ascii="仿宋" w:hAnsi="仿宋" w:eastAsia="仿宋" w:cs="仿宋"/>
                <w:bCs/>
                <w:color w:val="auto"/>
                <w:kern w:val="0"/>
                <w:sz w:val="24"/>
                <w:highlight w:val="none"/>
              </w:rPr>
            </w:pPr>
          </w:p>
        </w:tc>
        <w:tc>
          <w:tcPr>
            <w:tcW w:w="5764" w:type="dxa"/>
            <w:noWrap w:val="0"/>
            <w:vAlign w:val="center"/>
          </w:tcPr>
          <w:p w14:paraId="58045561">
            <w:pPr>
              <w:widowControl/>
              <w:spacing w:line="360" w:lineRule="auto"/>
              <w:ind w:firstLine="200"/>
              <w:jc w:val="center"/>
              <w:rPr>
                <w:rFonts w:ascii="仿宋" w:hAnsi="仿宋" w:eastAsia="仿宋" w:cs="仿宋"/>
                <w:color w:val="auto"/>
                <w:kern w:val="0"/>
                <w:sz w:val="24"/>
                <w:highlight w:val="none"/>
              </w:rPr>
            </w:pPr>
          </w:p>
        </w:tc>
      </w:tr>
      <w:tr w14:paraId="0486C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54" w:type="dxa"/>
            <w:noWrap w:val="0"/>
            <w:vAlign w:val="center"/>
          </w:tcPr>
          <w:p w14:paraId="12AC1DEE">
            <w:pPr>
              <w:widowControl/>
              <w:spacing w:line="360" w:lineRule="auto"/>
              <w:ind w:firstLine="200"/>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2</w:t>
            </w:r>
          </w:p>
        </w:tc>
        <w:tc>
          <w:tcPr>
            <w:tcW w:w="1861" w:type="dxa"/>
            <w:noWrap w:val="0"/>
            <w:vAlign w:val="center"/>
          </w:tcPr>
          <w:p w14:paraId="219E4EEB">
            <w:pPr>
              <w:widowControl/>
              <w:spacing w:line="360" w:lineRule="auto"/>
              <w:ind w:firstLine="200"/>
              <w:jc w:val="center"/>
              <w:rPr>
                <w:rFonts w:ascii="仿宋" w:hAnsi="仿宋" w:eastAsia="仿宋" w:cs="仿宋"/>
                <w:bCs/>
                <w:color w:val="auto"/>
                <w:kern w:val="0"/>
                <w:sz w:val="24"/>
                <w:highlight w:val="none"/>
              </w:rPr>
            </w:pPr>
          </w:p>
        </w:tc>
        <w:tc>
          <w:tcPr>
            <w:tcW w:w="5764" w:type="dxa"/>
            <w:noWrap w:val="0"/>
            <w:vAlign w:val="center"/>
          </w:tcPr>
          <w:p w14:paraId="285780BA">
            <w:pPr>
              <w:widowControl/>
              <w:spacing w:line="360" w:lineRule="auto"/>
              <w:ind w:firstLine="200"/>
              <w:jc w:val="center"/>
              <w:rPr>
                <w:rFonts w:ascii="仿宋" w:hAnsi="仿宋" w:eastAsia="仿宋" w:cs="仿宋"/>
                <w:color w:val="auto"/>
                <w:kern w:val="0"/>
                <w:sz w:val="24"/>
                <w:highlight w:val="none"/>
              </w:rPr>
            </w:pPr>
          </w:p>
        </w:tc>
      </w:tr>
      <w:tr w14:paraId="37614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54" w:type="dxa"/>
            <w:noWrap w:val="0"/>
            <w:vAlign w:val="center"/>
          </w:tcPr>
          <w:p w14:paraId="170B91C8">
            <w:pPr>
              <w:widowControl/>
              <w:spacing w:line="360" w:lineRule="auto"/>
              <w:ind w:firstLine="200"/>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4</w:t>
            </w:r>
          </w:p>
        </w:tc>
        <w:tc>
          <w:tcPr>
            <w:tcW w:w="1861" w:type="dxa"/>
            <w:noWrap w:val="0"/>
            <w:vAlign w:val="center"/>
          </w:tcPr>
          <w:p w14:paraId="6350F795">
            <w:pPr>
              <w:spacing w:line="360" w:lineRule="auto"/>
              <w:ind w:firstLine="200"/>
              <w:jc w:val="center"/>
              <w:rPr>
                <w:rFonts w:ascii="仿宋" w:hAnsi="仿宋" w:eastAsia="仿宋" w:cs="仿宋"/>
                <w:bCs/>
                <w:color w:val="auto"/>
                <w:kern w:val="0"/>
                <w:sz w:val="24"/>
                <w:highlight w:val="none"/>
              </w:rPr>
            </w:pPr>
          </w:p>
        </w:tc>
        <w:tc>
          <w:tcPr>
            <w:tcW w:w="5764" w:type="dxa"/>
            <w:noWrap w:val="0"/>
            <w:vAlign w:val="center"/>
          </w:tcPr>
          <w:p w14:paraId="07BF28FE">
            <w:pPr>
              <w:spacing w:line="360" w:lineRule="auto"/>
              <w:ind w:firstLine="200"/>
              <w:jc w:val="left"/>
              <w:rPr>
                <w:rFonts w:ascii="仿宋" w:hAnsi="仿宋" w:eastAsia="仿宋" w:cs="仿宋"/>
                <w:color w:val="auto"/>
                <w:highlight w:val="none"/>
              </w:rPr>
            </w:pPr>
          </w:p>
        </w:tc>
      </w:tr>
      <w:tr w14:paraId="6EE28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54" w:type="dxa"/>
            <w:noWrap w:val="0"/>
            <w:vAlign w:val="center"/>
          </w:tcPr>
          <w:p w14:paraId="66A60945">
            <w:pPr>
              <w:widowControl/>
              <w:spacing w:line="360" w:lineRule="auto"/>
              <w:ind w:firstLine="200"/>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1861" w:type="dxa"/>
            <w:noWrap w:val="0"/>
            <w:vAlign w:val="center"/>
          </w:tcPr>
          <w:p w14:paraId="38294B1F">
            <w:pPr>
              <w:widowControl/>
              <w:spacing w:line="360" w:lineRule="auto"/>
              <w:ind w:firstLine="200"/>
              <w:jc w:val="center"/>
              <w:rPr>
                <w:rFonts w:ascii="仿宋" w:hAnsi="仿宋" w:eastAsia="仿宋" w:cs="仿宋"/>
                <w:bCs/>
                <w:color w:val="auto"/>
                <w:kern w:val="0"/>
                <w:sz w:val="24"/>
                <w:highlight w:val="none"/>
              </w:rPr>
            </w:pPr>
          </w:p>
        </w:tc>
        <w:tc>
          <w:tcPr>
            <w:tcW w:w="5764" w:type="dxa"/>
            <w:noWrap w:val="0"/>
            <w:vAlign w:val="center"/>
          </w:tcPr>
          <w:p w14:paraId="29FC85E1">
            <w:pPr>
              <w:widowControl/>
              <w:spacing w:line="360" w:lineRule="auto"/>
              <w:ind w:firstLine="200"/>
              <w:jc w:val="center"/>
              <w:rPr>
                <w:rFonts w:ascii="仿宋" w:hAnsi="仿宋" w:eastAsia="仿宋" w:cs="仿宋"/>
                <w:color w:val="auto"/>
                <w:kern w:val="0"/>
                <w:sz w:val="24"/>
                <w:highlight w:val="none"/>
              </w:rPr>
            </w:pPr>
          </w:p>
        </w:tc>
      </w:tr>
      <w:tr w14:paraId="34C8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54" w:type="dxa"/>
            <w:noWrap w:val="0"/>
            <w:vAlign w:val="center"/>
          </w:tcPr>
          <w:p w14:paraId="774C094F">
            <w:pPr>
              <w:widowControl/>
              <w:spacing w:line="360" w:lineRule="auto"/>
              <w:ind w:firstLine="200"/>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6</w:t>
            </w:r>
          </w:p>
        </w:tc>
        <w:tc>
          <w:tcPr>
            <w:tcW w:w="1861" w:type="dxa"/>
            <w:noWrap w:val="0"/>
            <w:vAlign w:val="center"/>
          </w:tcPr>
          <w:p w14:paraId="228FAD05">
            <w:pPr>
              <w:widowControl/>
              <w:spacing w:line="360" w:lineRule="auto"/>
              <w:ind w:firstLine="200"/>
              <w:jc w:val="center"/>
              <w:rPr>
                <w:rFonts w:ascii="仿宋" w:hAnsi="仿宋" w:eastAsia="仿宋" w:cs="仿宋"/>
                <w:bCs/>
                <w:color w:val="auto"/>
                <w:kern w:val="0"/>
                <w:sz w:val="24"/>
                <w:highlight w:val="none"/>
              </w:rPr>
            </w:pPr>
          </w:p>
        </w:tc>
        <w:tc>
          <w:tcPr>
            <w:tcW w:w="5764" w:type="dxa"/>
            <w:noWrap w:val="0"/>
            <w:vAlign w:val="center"/>
          </w:tcPr>
          <w:p w14:paraId="5F9E49BD">
            <w:pPr>
              <w:widowControl/>
              <w:spacing w:line="360" w:lineRule="auto"/>
              <w:ind w:firstLine="200"/>
              <w:jc w:val="left"/>
              <w:rPr>
                <w:rFonts w:ascii="仿宋" w:hAnsi="仿宋" w:eastAsia="仿宋" w:cs="仿宋"/>
                <w:color w:val="auto"/>
                <w:kern w:val="0"/>
                <w:sz w:val="24"/>
                <w:highlight w:val="none"/>
              </w:rPr>
            </w:pPr>
          </w:p>
        </w:tc>
      </w:tr>
    </w:tbl>
    <w:p w14:paraId="6AC74729">
      <w:pPr>
        <w:tabs>
          <w:tab w:val="left" w:pos="904"/>
        </w:tabs>
        <w:snapToGrid w:val="0"/>
        <w:spacing w:line="360" w:lineRule="auto"/>
        <w:ind w:firstLine="480" w:firstLineChars="200"/>
        <w:jc w:val="left"/>
        <w:rPr>
          <w:rFonts w:ascii="仿宋" w:hAnsi="仿宋" w:eastAsia="仿宋" w:cs="仿宋"/>
          <w:color w:val="auto"/>
          <w:sz w:val="24"/>
          <w:highlight w:val="none"/>
        </w:rPr>
      </w:pPr>
    </w:p>
    <w:p w14:paraId="1B58385D">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5.2验收资料要求</w:t>
      </w:r>
    </w:p>
    <w:p w14:paraId="1E88B07A">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验收资料要求包括（不限于）以下内容：</w:t>
      </w:r>
    </w:p>
    <w:p w14:paraId="445664EE">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（1）采购文件；</w:t>
      </w:r>
    </w:p>
    <w:p w14:paraId="427028FA">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（2）响应文件；</w:t>
      </w:r>
    </w:p>
    <w:p w14:paraId="7B46EC22">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（3）采购合同；</w:t>
      </w:r>
    </w:p>
    <w:p w14:paraId="1EB1684A">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（4）成果文件；</w:t>
      </w:r>
    </w:p>
    <w:p w14:paraId="1EDBA9B2">
      <w:pPr>
        <w:spacing w:line="360" w:lineRule="auto"/>
        <w:ind w:firstLine="480" w:firstLineChars="200"/>
        <w:rPr>
          <w:rFonts w:ascii="仿宋_GB2312" w:hAnsi="楷体" w:eastAsia="仿宋_GB2312"/>
          <w:color w:val="auto"/>
          <w:sz w:val="24"/>
          <w:highlight w:val="none"/>
        </w:rPr>
      </w:pPr>
      <w:r>
        <w:rPr>
          <w:rFonts w:hint="eastAsia" w:ascii="仿宋_GB2312" w:hAnsi="楷体" w:eastAsia="仿宋_GB2312"/>
          <w:color w:val="auto"/>
          <w:sz w:val="24"/>
          <w:highlight w:val="none"/>
        </w:rPr>
        <w:t>（5）其他需提供的相关材料。</w:t>
      </w:r>
    </w:p>
    <w:p w14:paraId="35964A1E">
      <w:pPr>
        <w:widowControl/>
        <w:ind w:firstLine="720" w:firstLineChars="300"/>
        <w:jc w:val="left"/>
        <w:rPr>
          <w:rFonts w:ascii="仿宋" w:hAnsi="仿宋" w:eastAsia="仿宋"/>
          <w:bCs/>
          <w:color w:val="auto"/>
          <w:sz w:val="24"/>
          <w:highlight w:val="none"/>
        </w:rPr>
      </w:pPr>
    </w:p>
    <w:p w14:paraId="5F6BD5E2">
      <w:pPr>
        <w:spacing w:line="360" w:lineRule="auto"/>
        <w:ind w:firstLine="480" w:firstLineChars="200"/>
        <w:rPr>
          <w:rFonts w:ascii="仿宋_GB2312" w:hAnsi="楷体" w:eastAsia="仿宋_GB2312"/>
          <w:color w:val="auto"/>
          <w:sz w:val="24"/>
          <w:highlight w:val="none"/>
        </w:rPr>
      </w:pPr>
    </w:p>
    <w:p w14:paraId="00779951">
      <w:pPr>
        <w:snapToGrid w:val="0"/>
        <w:spacing w:line="400" w:lineRule="exact"/>
        <w:rPr>
          <w:rFonts w:ascii="宋体" w:hAnsi="宋体" w:cs="宋体"/>
          <w:b/>
          <w:color w:val="auto"/>
          <w:sz w:val="18"/>
          <w:szCs w:val="18"/>
          <w:highlight w:val="none"/>
        </w:rPr>
      </w:pPr>
      <w:r>
        <w:rPr>
          <w:rFonts w:hint="eastAsia" w:ascii="宋体" w:hAnsi="宋体" w:cs="仿宋_GB2312"/>
          <w:b/>
          <w:color w:val="auto"/>
          <w:szCs w:val="21"/>
          <w:highlight w:val="none"/>
        </w:rPr>
        <w:t>注：1.</w:t>
      </w:r>
      <w:r>
        <w:rPr>
          <w:rFonts w:hint="eastAsia" w:ascii="宋体" w:hAnsi="宋体" w:cs="宋体"/>
          <w:b/>
          <w:color w:val="auto"/>
          <w:sz w:val="18"/>
          <w:szCs w:val="18"/>
          <w:highlight w:val="none"/>
        </w:rPr>
        <w:t>本合同书供签订正式合同时参考用，正式合同书应包括此参考格式之内容。</w:t>
      </w:r>
    </w:p>
    <w:p w14:paraId="71991B0A">
      <w:pPr>
        <w:widowControl/>
        <w:jc w:val="left"/>
        <w:rPr>
          <w:color w:val="auto"/>
          <w:highlight w:val="none"/>
        </w:rPr>
      </w:pPr>
      <w:r>
        <w:rPr>
          <w:rFonts w:hint="eastAsia" w:ascii="宋体" w:hAnsi="宋体"/>
          <w:b/>
          <w:color w:val="auto"/>
          <w:sz w:val="18"/>
          <w:szCs w:val="18"/>
          <w:highlight w:val="none"/>
        </w:rPr>
        <w:t>2.合同签订双方可根据项目的具体要求进行修订，但合同条款不得与采购文件和成交供应商响应文件有实质性偏离。</w:t>
      </w:r>
    </w:p>
    <w:p w14:paraId="314860C6">
      <w:pPr>
        <w:tabs>
          <w:tab w:val="left" w:pos="7380"/>
        </w:tabs>
        <w:spacing w:line="360" w:lineRule="auto"/>
        <w:jc w:val="center"/>
        <w:rPr>
          <w:rFonts w:ascii="宋体" w:hAnsi="宋体" w:cs="仿宋_GB2312"/>
          <w:b/>
          <w:color w:val="auto"/>
          <w:sz w:val="44"/>
          <w:szCs w:val="44"/>
          <w:highlight w:val="none"/>
        </w:rPr>
      </w:pPr>
    </w:p>
    <w:p w14:paraId="63AE8DD0">
      <w:pPr>
        <w:tabs>
          <w:tab w:val="left" w:pos="3261"/>
        </w:tabs>
        <w:spacing w:line="360" w:lineRule="auto"/>
        <w:contextualSpacing/>
        <w:jc w:val="center"/>
        <w:rPr>
          <w:rFonts w:ascii="宋体" w:hAnsi="宋体" w:cs="仿宋_GB2312"/>
          <w:b/>
          <w:color w:val="auto"/>
          <w:sz w:val="44"/>
          <w:szCs w:val="44"/>
          <w:highlight w:val="none"/>
        </w:rPr>
      </w:pPr>
    </w:p>
    <w:p w14:paraId="09022FD0">
      <w:pPr>
        <w:spacing w:line="360" w:lineRule="auto"/>
        <w:jc w:val="center"/>
        <w:rPr>
          <w:rFonts w:ascii="宋体" w:hAnsi="宋体"/>
          <w:b/>
          <w:bCs/>
          <w:color w:val="auto"/>
          <w:sz w:val="44"/>
          <w:szCs w:val="44"/>
          <w:highlight w:val="none"/>
        </w:rPr>
        <w:sectPr>
          <w:pgSz w:w="11910" w:h="16840"/>
          <w:pgMar w:top="1340" w:right="1500" w:bottom="280" w:left="1680" w:header="720" w:footer="720" w:gutter="0"/>
          <w:cols w:space="720" w:num="1"/>
          <w:docGrid w:linePitch="285" w:charSpace="0"/>
        </w:sectPr>
      </w:pPr>
    </w:p>
    <w:p w14:paraId="379CB745">
      <w:pPr>
        <w:tabs>
          <w:tab w:val="left" w:pos="3261"/>
        </w:tabs>
        <w:spacing w:line="360" w:lineRule="auto"/>
        <w:contextualSpacing/>
        <w:jc w:val="center"/>
        <w:rPr>
          <w:rFonts w:ascii="宋体" w:hAnsi="宋体" w:cs="仿宋_GB2312"/>
          <w:b/>
          <w:color w:val="auto"/>
          <w:sz w:val="44"/>
          <w:szCs w:val="44"/>
          <w:highlight w:val="none"/>
        </w:rPr>
      </w:pPr>
    </w:p>
    <w:p w14:paraId="4B2C246B">
      <w:pPr>
        <w:tabs>
          <w:tab w:val="left" w:pos="3261"/>
        </w:tabs>
        <w:spacing w:line="360" w:lineRule="auto"/>
        <w:contextualSpacing/>
        <w:jc w:val="center"/>
        <w:rPr>
          <w:rFonts w:ascii="宋体" w:hAnsi="宋体" w:cs="仿宋_GB2312"/>
          <w:b/>
          <w:color w:val="auto"/>
          <w:sz w:val="44"/>
          <w:szCs w:val="44"/>
          <w:highlight w:val="none"/>
        </w:rPr>
      </w:pPr>
    </w:p>
    <w:p w14:paraId="65D8FB0C">
      <w:pPr>
        <w:tabs>
          <w:tab w:val="left" w:pos="3261"/>
        </w:tabs>
        <w:spacing w:line="360" w:lineRule="auto"/>
        <w:contextualSpacing/>
        <w:jc w:val="center"/>
        <w:rPr>
          <w:rFonts w:ascii="宋体" w:hAnsi="宋体" w:cs="仿宋_GB2312"/>
          <w:b/>
          <w:color w:val="auto"/>
          <w:sz w:val="44"/>
          <w:szCs w:val="44"/>
          <w:highlight w:val="none"/>
        </w:rPr>
      </w:pPr>
    </w:p>
    <w:p w14:paraId="3BC6E759">
      <w:pPr>
        <w:tabs>
          <w:tab w:val="left" w:pos="3261"/>
        </w:tabs>
        <w:spacing w:line="360" w:lineRule="auto"/>
        <w:contextualSpacing/>
        <w:jc w:val="center"/>
        <w:rPr>
          <w:rFonts w:ascii="宋体" w:hAnsi="宋体" w:cs="仿宋_GB2312"/>
          <w:b/>
          <w:color w:val="auto"/>
          <w:sz w:val="44"/>
          <w:szCs w:val="44"/>
          <w:highlight w:val="none"/>
        </w:rPr>
      </w:pPr>
    </w:p>
    <w:p w14:paraId="5D287D46">
      <w:pPr>
        <w:tabs>
          <w:tab w:val="left" w:pos="3261"/>
        </w:tabs>
        <w:spacing w:line="360" w:lineRule="auto"/>
        <w:contextualSpacing/>
        <w:jc w:val="center"/>
        <w:rPr>
          <w:rFonts w:ascii="宋体" w:hAnsi="宋体" w:cs="仿宋_GB2312"/>
          <w:b/>
          <w:color w:val="auto"/>
          <w:sz w:val="44"/>
          <w:szCs w:val="44"/>
          <w:highlight w:val="none"/>
        </w:rPr>
      </w:pPr>
    </w:p>
    <w:p w14:paraId="1427A021">
      <w:pPr>
        <w:keepNext/>
        <w:keepLines/>
        <w:spacing w:before="340" w:after="330" w:line="578" w:lineRule="auto"/>
        <w:jc w:val="center"/>
        <w:outlineLvl w:val="0"/>
        <w:rPr>
          <w:rFonts w:ascii="宋体" w:hAnsi="宋体" w:cs="仿宋_GB2312"/>
          <w:b/>
          <w:bCs/>
          <w:color w:val="auto"/>
          <w:kern w:val="44"/>
          <w:sz w:val="44"/>
          <w:szCs w:val="44"/>
          <w:highlight w:val="none"/>
        </w:rPr>
        <w:sectPr>
          <w:pgSz w:w="11910" w:h="16840"/>
          <w:pgMar w:top="1340" w:right="1500" w:bottom="280" w:left="1680" w:header="720" w:footer="720" w:gutter="0"/>
          <w:cols w:space="720" w:num="1"/>
          <w:docGrid w:linePitch="285" w:charSpace="0"/>
        </w:sectPr>
      </w:pPr>
      <w:bookmarkStart w:id="76" w:name="_Toc213251798"/>
      <w:r>
        <w:rPr>
          <w:rFonts w:hint="eastAsia" w:ascii="宋体" w:hAnsi="宋体" w:cs="仿宋_GB2312"/>
          <w:bCs/>
          <w:color w:val="auto"/>
          <w:kern w:val="44"/>
          <w:sz w:val="44"/>
          <w:szCs w:val="44"/>
          <w:highlight w:val="none"/>
        </w:rPr>
        <w:t>第七章 质疑、投诉材料格式</w:t>
      </w:r>
      <w:bookmarkEnd w:id="76"/>
    </w:p>
    <w:p w14:paraId="04564AE2">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质疑函（格式）</w:t>
      </w:r>
    </w:p>
    <w:p w14:paraId="51A0D87E">
      <w:pPr>
        <w:spacing w:line="360" w:lineRule="auto"/>
        <w:ind w:firstLine="482" w:firstLineChars="200"/>
        <w:contextualSpacing/>
        <w:rPr>
          <w:rFonts w:ascii="宋体" w:hAnsi="宋体"/>
          <w:b/>
          <w:bCs/>
          <w:color w:val="auto"/>
          <w:kern w:val="0"/>
          <w:sz w:val="24"/>
          <w:highlight w:val="none"/>
        </w:rPr>
      </w:pPr>
      <w:r>
        <w:rPr>
          <w:rFonts w:hint="eastAsia" w:ascii="宋体" w:hAnsi="宋体"/>
          <w:b/>
          <w:bCs/>
          <w:color w:val="auto"/>
          <w:kern w:val="0"/>
          <w:sz w:val="24"/>
          <w:highlight w:val="none"/>
        </w:rPr>
        <w:t>一、质疑供应商基本信息：</w:t>
      </w:r>
    </w:p>
    <w:p w14:paraId="19855331">
      <w:pPr>
        <w:spacing w:line="360" w:lineRule="auto"/>
        <w:ind w:firstLine="480" w:firstLineChars="200"/>
        <w:contextualSpacing/>
        <w:rPr>
          <w:rFonts w:ascii="宋体" w:hAnsi="宋体"/>
          <w:bCs/>
          <w:color w:val="auto"/>
          <w:kern w:val="0"/>
          <w:sz w:val="24"/>
          <w:highlight w:val="none"/>
        </w:rPr>
      </w:pPr>
      <w:r>
        <w:rPr>
          <w:rFonts w:hint="eastAsia" w:ascii="宋体" w:hAnsi="宋体"/>
          <w:bCs/>
          <w:color w:val="auto"/>
          <w:kern w:val="0"/>
          <w:sz w:val="24"/>
          <w:highlight w:val="none"/>
        </w:rPr>
        <w:t xml:space="preserve">质疑供应商：                                                        </w:t>
      </w:r>
    </w:p>
    <w:p w14:paraId="3DA3C13C">
      <w:pPr>
        <w:spacing w:line="360" w:lineRule="auto"/>
        <w:ind w:firstLine="480" w:firstLineChars="200"/>
        <w:contextualSpacing/>
        <w:rPr>
          <w:rFonts w:ascii="宋体" w:hAnsi="宋体"/>
          <w:bCs/>
          <w:color w:val="auto"/>
          <w:kern w:val="0"/>
          <w:sz w:val="24"/>
          <w:highlight w:val="none"/>
        </w:rPr>
      </w:pPr>
      <w:r>
        <w:rPr>
          <w:rFonts w:ascii="宋体" w:hAnsi="宋体"/>
          <w:bCs/>
          <w:color w:val="auto"/>
          <w:kern w:val="0"/>
          <w:sz w:val="24"/>
          <w:highlight w:val="none"/>
        </w:rPr>
        <w:t>地址</w:t>
      </w:r>
      <w:r>
        <w:rPr>
          <w:rFonts w:hint="eastAsia" w:ascii="宋体" w:hAnsi="宋体"/>
          <w:bCs/>
          <w:color w:val="auto"/>
          <w:kern w:val="0"/>
          <w:sz w:val="24"/>
          <w:highlight w:val="none"/>
        </w:rPr>
        <w:t xml:space="preserve">：                                          </w:t>
      </w:r>
      <w:r>
        <w:rPr>
          <w:rFonts w:ascii="宋体" w:hAnsi="宋体"/>
          <w:bCs/>
          <w:color w:val="auto"/>
          <w:kern w:val="0"/>
          <w:sz w:val="24"/>
          <w:highlight w:val="none"/>
        </w:rPr>
        <w:t>邮编</w:t>
      </w:r>
      <w:r>
        <w:rPr>
          <w:rFonts w:hint="eastAsia" w:ascii="宋体" w:hAnsi="宋体"/>
          <w:bCs/>
          <w:color w:val="auto"/>
          <w:kern w:val="0"/>
          <w:sz w:val="24"/>
          <w:highlight w:val="none"/>
        </w:rPr>
        <w:t xml:space="preserve">：                                   </w:t>
      </w:r>
    </w:p>
    <w:p w14:paraId="0D1F2824">
      <w:pPr>
        <w:spacing w:line="360" w:lineRule="auto"/>
        <w:ind w:firstLine="480" w:firstLineChars="200"/>
        <w:contextualSpacing/>
        <w:rPr>
          <w:rFonts w:ascii="宋体" w:hAnsi="宋体"/>
          <w:bCs/>
          <w:color w:val="auto"/>
          <w:kern w:val="0"/>
          <w:sz w:val="24"/>
          <w:highlight w:val="none"/>
        </w:rPr>
      </w:pPr>
      <w:r>
        <w:rPr>
          <w:rFonts w:ascii="宋体" w:hAnsi="宋体"/>
          <w:bCs/>
          <w:color w:val="auto"/>
          <w:kern w:val="0"/>
          <w:sz w:val="24"/>
          <w:highlight w:val="none"/>
        </w:rPr>
        <w:t>联系人</w:t>
      </w:r>
      <w:r>
        <w:rPr>
          <w:rFonts w:hint="eastAsia" w:ascii="宋体" w:hAnsi="宋体"/>
          <w:bCs/>
          <w:color w:val="auto"/>
          <w:kern w:val="0"/>
          <w:sz w:val="24"/>
          <w:highlight w:val="none"/>
        </w:rPr>
        <w:t xml:space="preserve">：                     </w:t>
      </w:r>
      <w:r>
        <w:rPr>
          <w:rFonts w:ascii="宋体" w:hAnsi="宋体"/>
          <w:bCs/>
          <w:color w:val="auto"/>
          <w:kern w:val="0"/>
          <w:sz w:val="24"/>
          <w:highlight w:val="none"/>
        </w:rPr>
        <w:t>联系电话</w:t>
      </w:r>
      <w:r>
        <w:rPr>
          <w:rFonts w:hint="eastAsia" w:ascii="宋体" w:hAnsi="宋体"/>
          <w:bCs/>
          <w:color w:val="auto"/>
          <w:kern w:val="0"/>
          <w:sz w:val="24"/>
          <w:highlight w:val="none"/>
        </w:rPr>
        <w:t xml:space="preserve">：                 </w:t>
      </w:r>
    </w:p>
    <w:p w14:paraId="2CA3D1DD">
      <w:pPr>
        <w:spacing w:line="360" w:lineRule="auto"/>
        <w:ind w:firstLine="480" w:firstLineChars="200"/>
        <w:contextualSpacing/>
        <w:rPr>
          <w:rFonts w:ascii="宋体" w:hAnsi="宋体"/>
          <w:bCs/>
          <w:color w:val="auto"/>
          <w:kern w:val="0"/>
          <w:sz w:val="24"/>
          <w:highlight w:val="none"/>
        </w:rPr>
      </w:pPr>
      <w:r>
        <w:rPr>
          <w:rFonts w:hint="eastAsia" w:ascii="宋体" w:hAnsi="宋体"/>
          <w:bCs/>
          <w:color w:val="auto"/>
          <w:kern w:val="0"/>
          <w:sz w:val="24"/>
          <w:highlight w:val="none"/>
        </w:rPr>
        <w:t xml:space="preserve">授权代表：                      </w:t>
      </w:r>
    </w:p>
    <w:p w14:paraId="15039513">
      <w:pPr>
        <w:spacing w:line="360" w:lineRule="auto"/>
        <w:ind w:firstLine="480" w:firstLineChars="200"/>
        <w:contextualSpacing/>
        <w:rPr>
          <w:rFonts w:ascii="宋体" w:hAnsi="宋体"/>
          <w:bCs/>
          <w:color w:val="auto"/>
          <w:kern w:val="0"/>
          <w:sz w:val="24"/>
          <w:highlight w:val="none"/>
        </w:rPr>
      </w:pPr>
      <w:r>
        <w:rPr>
          <w:rFonts w:ascii="宋体" w:hAnsi="宋体"/>
          <w:bCs/>
          <w:color w:val="auto"/>
          <w:kern w:val="0"/>
          <w:sz w:val="24"/>
          <w:highlight w:val="none"/>
        </w:rPr>
        <w:t>联系</w:t>
      </w:r>
      <w:r>
        <w:rPr>
          <w:rFonts w:hint="eastAsia" w:ascii="宋体" w:hAnsi="宋体"/>
          <w:bCs/>
          <w:color w:val="auto"/>
          <w:kern w:val="0"/>
          <w:sz w:val="24"/>
          <w:highlight w:val="none"/>
        </w:rPr>
        <w:t xml:space="preserve">电话：                      </w:t>
      </w:r>
    </w:p>
    <w:p w14:paraId="7F40C20A">
      <w:pPr>
        <w:spacing w:line="360" w:lineRule="auto"/>
        <w:ind w:firstLine="480" w:firstLineChars="200"/>
        <w:contextualSpacing/>
        <w:rPr>
          <w:rFonts w:ascii="宋体" w:hAnsi="宋体"/>
          <w:bCs/>
          <w:color w:val="auto"/>
          <w:kern w:val="0"/>
          <w:sz w:val="24"/>
          <w:highlight w:val="none"/>
        </w:rPr>
      </w:pPr>
      <w:r>
        <w:rPr>
          <w:rFonts w:ascii="宋体" w:hAnsi="宋体"/>
          <w:bCs/>
          <w:color w:val="auto"/>
          <w:kern w:val="0"/>
          <w:sz w:val="24"/>
          <w:highlight w:val="none"/>
        </w:rPr>
        <w:t>地址</w:t>
      </w:r>
      <w:r>
        <w:rPr>
          <w:rFonts w:hint="eastAsia" w:ascii="宋体" w:hAnsi="宋体"/>
          <w:bCs/>
          <w:color w:val="auto"/>
          <w:kern w:val="0"/>
          <w:sz w:val="24"/>
          <w:highlight w:val="none"/>
        </w:rPr>
        <w:t xml:space="preserve">：                 </w:t>
      </w:r>
      <w:r>
        <w:rPr>
          <w:rFonts w:ascii="宋体" w:hAnsi="宋体"/>
          <w:bCs/>
          <w:color w:val="auto"/>
          <w:kern w:val="0"/>
          <w:sz w:val="24"/>
          <w:highlight w:val="none"/>
        </w:rPr>
        <w:t>邮编</w:t>
      </w:r>
      <w:r>
        <w:rPr>
          <w:rFonts w:hint="eastAsia" w:ascii="宋体" w:hAnsi="宋体"/>
          <w:bCs/>
          <w:color w:val="auto"/>
          <w:kern w:val="0"/>
          <w:sz w:val="24"/>
          <w:highlight w:val="none"/>
        </w:rPr>
        <w:t xml:space="preserve">：                       </w:t>
      </w:r>
    </w:p>
    <w:p w14:paraId="6E2DEB5B">
      <w:pPr>
        <w:spacing w:line="360" w:lineRule="auto"/>
        <w:ind w:firstLine="482" w:firstLineChars="200"/>
        <w:contextualSpacing/>
        <w:rPr>
          <w:rFonts w:ascii="宋体" w:hAnsi="宋体"/>
          <w:b/>
          <w:bCs/>
          <w:color w:val="auto"/>
          <w:kern w:val="0"/>
          <w:sz w:val="24"/>
          <w:highlight w:val="none"/>
        </w:rPr>
      </w:pPr>
      <w:r>
        <w:rPr>
          <w:rFonts w:hint="eastAsia" w:ascii="宋体" w:hAnsi="宋体"/>
          <w:b/>
          <w:bCs/>
          <w:color w:val="auto"/>
          <w:kern w:val="0"/>
          <w:sz w:val="24"/>
          <w:highlight w:val="none"/>
        </w:rPr>
        <w:t>二、质疑项目基本情况：</w:t>
      </w:r>
    </w:p>
    <w:p w14:paraId="6E7044EE">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bCs/>
          <w:color w:val="auto"/>
          <w:kern w:val="0"/>
          <w:sz w:val="24"/>
          <w:highlight w:val="none"/>
        </w:rPr>
        <w:t>质疑</w:t>
      </w:r>
      <w:r>
        <w:rPr>
          <w:rFonts w:hint="eastAsia" w:ascii="宋体" w:hAnsi="宋体"/>
          <w:color w:val="auto"/>
          <w:kern w:val="0"/>
          <w:sz w:val="24"/>
          <w:highlight w:val="none"/>
        </w:rPr>
        <w:t>项目的名称：</w:t>
      </w:r>
    </w:p>
    <w:p w14:paraId="653EC7E7">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bCs/>
          <w:color w:val="auto"/>
          <w:kern w:val="0"/>
          <w:sz w:val="24"/>
          <w:highlight w:val="none"/>
        </w:rPr>
        <w:t>质疑</w:t>
      </w:r>
      <w:r>
        <w:rPr>
          <w:rFonts w:hint="eastAsia" w:ascii="宋体" w:hAnsi="宋体"/>
          <w:color w:val="auto"/>
          <w:kern w:val="0"/>
          <w:sz w:val="24"/>
          <w:highlight w:val="none"/>
        </w:rPr>
        <w:t>项目的编号：</w:t>
      </w:r>
    </w:p>
    <w:p w14:paraId="17848A46">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采购人名称：</w:t>
      </w:r>
    </w:p>
    <w:p w14:paraId="71945094">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质疑事项：</w:t>
      </w:r>
    </w:p>
    <w:p w14:paraId="1F2A6947">
      <w:pPr>
        <w:spacing w:line="360" w:lineRule="auto"/>
        <w:ind w:left="25" w:leftChars="12" w:firstLine="352" w:firstLineChars="147"/>
        <w:contextualSpacing/>
        <w:rPr>
          <w:rFonts w:ascii="宋体" w:hAnsi="宋体"/>
          <w:color w:val="auto"/>
          <w:kern w:val="0"/>
          <w:sz w:val="24"/>
          <w:highlight w:val="none"/>
        </w:rPr>
      </w:pPr>
      <w:r>
        <w:rPr>
          <w:rFonts w:hint="eastAsia" w:ascii="宋体" w:hAnsi="宋体"/>
          <w:color w:val="auto"/>
          <w:kern w:val="0"/>
          <w:sz w:val="24"/>
          <w:highlight w:val="none"/>
        </w:rPr>
        <w:t>□采购文件   采购文件获取日期：</w:t>
      </w:r>
    </w:p>
    <w:p w14:paraId="447D96DC">
      <w:pPr>
        <w:spacing w:line="360" w:lineRule="auto"/>
        <w:ind w:left="25" w:leftChars="12" w:firstLine="352" w:firstLineChars="147"/>
        <w:contextualSpacing/>
        <w:rPr>
          <w:rFonts w:ascii="宋体" w:hAnsi="宋体"/>
          <w:color w:val="auto"/>
          <w:kern w:val="0"/>
          <w:sz w:val="24"/>
          <w:highlight w:val="none"/>
        </w:rPr>
      </w:pPr>
      <w:r>
        <w:rPr>
          <w:rFonts w:hint="eastAsia" w:ascii="宋体" w:hAnsi="宋体"/>
          <w:color w:val="auto"/>
          <w:kern w:val="0"/>
          <w:sz w:val="24"/>
          <w:highlight w:val="none"/>
        </w:rPr>
        <w:t xml:space="preserve">□采购过程   </w:t>
      </w:r>
    </w:p>
    <w:p w14:paraId="44DED545">
      <w:pPr>
        <w:spacing w:line="360" w:lineRule="auto"/>
        <w:ind w:left="25" w:leftChars="12" w:firstLine="352" w:firstLineChars="147"/>
        <w:contextualSpacing/>
        <w:rPr>
          <w:rFonts w:ascii="宋体" w:hAnsi="宋体"/>
          <w:bCs/>
          <w:color w:val="auto"/>
          <w:kern w:val="0"/>
          <w:sz w:val="24"/>
          <w:highlight w:val="none"/>
        </w:rPr>
      </w:pPr>
      <w:r>
        <w:rPr>
          <w:rFonts w:hint="eastAsia" w:ascii="宋体" w:hAnsi="宋体"/>
          <w:color w:val="auto"/>
          <w:kern w:val="0"/>
          <w:sz w:val="24"/>
          <w:highlight w:val="none"/>
        </w:rPr>
        <w:t xml:space="preserve">□成交结果   </w:t>
      </w:r>
    </w:p>
    <w:p w14:paraId="3661DF9F">
      <w:pPr>
        <w:spacing w:line="360" w:lineRule="auto"/>
        <w:ind w:left="25" w:leftChars="12" w:firstLine="472" w:firstLineChars="196"/>
        <w:contextualSpacing/>
        <w:rPr>
          <w:rFonts w:ascii="宋体" w:hAnsi="宋体"/>
          <w:b/>
          <w:color w:val="auto"/>
          <w:kern w:val="0"/>
          <w:sz w:val="24"/>
          <w:highlight w:val="none"/>
        </w:rPr>
      </w:pPr>
      <w:r>
        <w:rPr>
          <w:rFonts w:hint="eastAsia" w:ascii="宋体" w:hAnsi="宋体"/>
          <w:b/>
          <w:color w:val="auto"/>
          <w:kern w:val="0"/>
          <w:sz w:val="24"/>
          <w:highlight w:val="none"/>
        </w:rPr>
        <w:t>三、质疑事项具体内容</w:t>
      </w:r>
    </w:p>
    <w:p w14:paraId="33C8B4F4">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质疑事项1：</w:t>
      </w:r>
    </w:p>
    <w:p w14:paraId="0C0D5236">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事实依据：</w:t>
      </w:r>
    </w:p>
    <w:p w14:paraId="1D986269">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 xml:space="preserve">法律依据：                                                        </w:t>
      </w:r>
    </w:p>
    <w:p w14:paraId="051FFECB">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质疑事项2</w:t>
      </w:r>
    </w:p>
    <w:p w14:paraId="7196363E">
      <w:pPr>
        <w:spacing w:line="360" w:lineRule="auto"/>
        <w:ind w:left="25" w:leftChars="12" w:firstLine="472" w:firstLineChars="197"/>
        <w:contextualSpacing/>
        <w:rPr>
          <w:rFonts w:ascii="宋体" w:hAnsi="宋体"/>
          <w:color w:val="auto"/>
          <w:kern w:val="0"/>
          <w:sz w:val="24"/>
          <w:highlight w:val="none"/>
        </w:rPr>
      </w:pPr>
      <w:r>
        <w:rPr>
          <w:rFonts w:ascii="宋体" w:hAnsi="宋体"/>
          <w:color w:val="auto"/>
          <w:kern w:val="0"/>
          <w:sz w:val="24"/>
          <w:highlight w:val="none"/>
        </w:rPr>
        <w:t>……</w:t>
      </w:r>
    </w:p>
    <w:p w14:paraId="726A8FAC">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四、与质疑事项相关的质疑请求：</w:t>
      </w:r>
    </w:p>
    <w:p w14:paraId="375E4442">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请求：</w:t>
      </w:r>
    </w:p>
    <w:p w14:paraId="73E00C85">
      <w:pPr>
        <w:spacing w:line="360" w:lineRule="auto"/>
        <w:ind w:left="25" w:leftChars="12" w:firstLine="352" w:firstLineChars="147"/>
        <w:contextualSpacing/>
        <w:rPr>
          <w:rFonts w:ascii="宋体" w:hAnsi="宋体"/>
          <w:color w:val="auto"/>
          <w:kern w:val="0"/>
          <w:sz w:val="24"/>
          <w:highlight w:val="none"/>
        </w:rPr>
      </w:pPr>
    </w:p>
    <w:p w14:paraId="32562806">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签字（签章）：                                       公章：</w:t>
      </w:r>
    </w:p>
    <w:p w14:paraId="0036661C">
      <w:pPr>
        <w:spacing w:line="360" w:lineRule="auto"/>
        <w:ind w:left="25" w:leftChars="12" w:firstLine="352" w:firstLineChars="147"/>
        <w:contextualSpacing/>
        <w:rPr>
          <w:rFonts w:ascii="宋体" w:hAnsi="宋体"/>
          <w:color w:val="auto"/>
          <w:kern w:val="0"/>
          <w:sz w:val="24"/>
          <w:highlight w:val="none"/>
        </w:rPr>
      </w:pPr>
    </w:p>
    <w:p w14:paraId="26888BD3">
      <w:pPr>
        <w:spacing w:line="360" w:lineRule="auto"/>
        <w:ind w:left="25" w:leftChars="12" w:firstLine="472" w:firstLineChars="197"/>
        <w:contextualSpacing/>
        <w:rPr>
          <w:rFonts w:ascii="宋体" w:hAnsi="宋体"/>
          <w:color w:val="auto"/>
          <w:kern w:val="0"/>
          <w:sz w:val="24"/>
          <w:highlight w:val="none"/>
        </w:rPr>
      </w:pPr>
      <w:r>
        <w:rPr>
          <w:rFonts w:hint="eastAsia" w:ascii="宋体" w:hAnsi="宋体"/>
          <w:color w:val="auto"/>
          <w:kern w:val="0"/>
          <w:sz w:val="24"/>
          <w:highlight w:val="none"/>
        </w:rPr>
        <w:t>日期：</w:t>
      </w:r>
    </w:p>
    <w:p w14:paraId="00AD2CEE">
      <w:pPr>
        <w:spacing w:line="360" w:lineRule="auto"/>
        <w:contextualSpacing/>
        <w:rPr>
          <w:rFonts w:ascii="宋体" w:hAnsi="宋体"/>
          <w:b/>
          <w:color w:val="auto"/>
          <w:kern w:val="0"/>
          <w:sz w:val="24"/>
          <w:highlight w:val="none"/>
        </w:rPr>
      </w:pPr>
    </w:p>
    <w:p w14:paraId="237B87ED">
      <w:pPr>
        <w:spacing w:line="360" w:lineRule="auto"/>
        <w:contextualSpacing/>
        <w:rPr>
          <w:rFonts w:ascii="宋体" w:hAnsi="宋体"/>
          <w:b/>
          <w:color w:val="auto"/>
          <w:kern w:val="0"/>
          <w:sz w:val="24"/>
          <w:highlight w:val="none"/>
        </w:rPr>
      </w:pPr>
    </w:p>
    <w:p w14:paraId="2B5202BE">
      <w:pPr>
        <w:spacing w:line="360" w:lineRule="auto"/>
        <w:contextualSpacing/>
        <w:rPr>
          <w:rFonts w:ascii="宋体" w:hAnsi="宋体"/>
          <w:b/>
          <w:color w:val="auto"/>
          <w:kern w:val="0"/>
          <w:sz w:val="24"/>
          <w:highlight w:val="none"/>
        </w:rPr>
      </w:pPr>
      <w:r>
        <w:rPr>
          <w:rFonts w:hint="eastAsia" w:ascii="宋体" w:hAnsi="宋体"/>
          <w:b/>
          <w:color w:val="auto"/>
          <w:kern w:val="0"/>
          <w:sz w:val="24"/>
          <w:highlight w:val="none"/>
        </w:rPr>
        <w:t>说明：</w:t>
      </w:r>
    </w:p>
    <w:p w14:paraId="7430FEE1">
      <w:pPr>
        <w:spacing w:line="360" w:lineRule="auto"/>
        <w:ind w:left="25" w:leftChars="12" w:firstLine="354" w:firstLineChars="147"/>
        <w:contextualSpacing/>
        <w:rPr>
          <w:rFonts w:ascii="宋体" w:hAnsi="宋体"/>
          <w:b/>
          <w:bCs/>
          <w:color w:val="auto"/>
          <w:kern w:val="0"/>
          <w:sz w:val="24"/>
          <w:highlight w:val="none"/>
        </w:rPr>
      </w:pPr>
      <w:r>
        <w:rPr>
          <w:rFonts w:hint="eastAsia" w:ascii="宋体" w:hAnsi="宋体"/>
          <w:b/>
          <w:color w:val="auto"/>
          <w:kern w:val="0"/>
          <w:sz w:val="24"/>
          <w:highlight w:val="none"/>
        </w:rPr>
        <w:t>1.供应商提出质疑时，应提交质疑函和必要的证明材料</w:t>
      </w:r>
      <w:r>
        <w:rPr>
          <w:rFonts w:hint="eastAsia" w:ascii="宋体" w:hAnsi="宋体"/>
          <w:b/>
          <w:bCs/>
          <w:color w:val="auto"/>
          <w:kern w:val="0"/>
          <w:sz w:val="24"/>
          <w:highlight w:val="none"/>
        </w:rPr>
        <w:t>。</w:t>
      </w:r>
    </w:p>
    <w:p w14:paraId="793A7558">
      <w:pPr>
        <w:spacing w:line="360" w:lineRule="auto"/>
        <w:ind w:left="25" w:leftChars="12" w:firstLine="354" w:firstLineChars="147"/>
        <w:contextualSpacing/>
        <w:rPr>
          <w:rFonts w:ascii="宋体" w:hAnsi="宋体"/>
          <w:b/>
          <w:color w:val="auto"/>
          <w:kern w:val="0"/>
          <w:sz w:val="24"/>
          <w:highlight w:val="none"/>
        </w:rPr>
      </w:pPr>
      <w:r>
        <w:rPr>
          <w:rFonts w:hint="eastAsia" w:ascii="宋体" w:hAnsi="宋体"/>
          <w:b/>
          <w:color w:val="auto"/>
          <w:kern w:val="0"/>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F025C9B">
      <w:pPr>
        <w:spacing w:line="360" w:lineRule="auto"/>
        <w:ind w:left="25" w:leftChars="12" w:firstLine="354" w:firstLineChars="147"/>
        <w:contextualSpacing/>
        <w:rPr>
          <w:rFonts w:ascii="宋体" w:hAnsi="宋体"/>
          <w:b/>
          <w:color w:val="auto"/>
          <w:kern w:val="0"/>
          <w:sz w:val="24"/>
          <w:highlight w:val="none"/>
        </w:rPr>
      </w:pPr>
      <w:r>
        <w:rPr>
          <w:rFonts w:hint="eastAsia" w:ascii="宋体" w:hAnsi="宋体"/>
          <w:b/>
          <w:color w:val="auto"/>
          <w:kern w:val="0"/>
          <w:sz w:val="24"/>
          <w:highlight w:val="none"/>
        </w:rPr>
        <w:t>3.质疑函的质疑事项应具体、明确，并有必要的事实依据和法律依据。</w:t>
      </w:r>
    </w:p>
    <w:p w14:paraId="7ACBC795">
      <w:pPr>
        <w:spacing w:line="360" w:lineRule="auto"/>
        <w:ind w:left="25" w:leftChars="12" w:firstLine="354" w:firstLineChars="147"/>
        <w:contextualSpacing/>
        <w:rPr>
          <w:rFonts w:ascii="宋体" w:hAnsi="宋体"/>
          <w:b/>
          <w:color w:val="auto"/>
          <w:kern w:val="0"/>
          <w:sz w:val="24"/>
          <w:highlight w:val="none"/>
        </w:rPr>
      </w:pPr>
      <w:r>
        <w:rPr>
          <w:rFonts w:hint="eastAsia" w:ascii="宋体" w:hAnsi="宋体"/>
          <w:b/>
          <w:color w:val="auto"/>
          <w:kern w:val="0"/>
          <w:sz w:val="24"/>
          <w:highlight w:val="none"/>
        </w:rPr>
        <w:t>4.质疑函的质疑请求应与质疑事项相关。</w:t>
      </w:r>
    </w:p>
    <w:p w14:paraId="08CDC98C">
      <w:pPr>
        <w:spacing w:line="360" w:lineRule="auto"/>
        <w:ind w:left="25" w:leftChars="12" w:firstLine="354" w:firstLineChars="147"/>
        <w:contextualSpacing/>
        <w:rPr>
          <w:rFonts w:ascii="宋体" w:hAnsi="宋体"/>
          <w:b/>
          <w:color w:val="auto"/>
          <w:kern w:val="0"/>
          <w:sz w:val="20"/>
          <w:szCs w:val="21"/>
          <w:highlight w:val="none"/>
        </w:rPr>
      </w:pPr>
      <w:r>
        <w:rPr>
          <w:rFonts w:hint="eastAsia" w:ascii="宋体" w:hAnsi="宋体"/>
          <w:b/>
          <w:color w:val="auto"/>
          <w:kern w:val="0"/>
          <w:sz w:val="24"/>
          <w:highlight w:val="none"/>
        </w:rPr>
        <w:t>5.质疑供应商为法人或者其他组织的，质疑函应由法定代表人、主要负责人，或者其授权代表签字或者盖章，并加盖公章。</w:t>
      </w:r>
    </w:p>
    <w:p w14:paraId="0879E46C">
      <w:pPr>
        <w:snapToGrid w:val="0"/>
        <w:rPr>
          <w:rFonts w:ascii="宋体" w:hAnsi="Courier New"/>
          <w:b/>
          <w:color w:val="auto"/>
          <w:kern w:val="0"/>
          <w:sz w:val="24"/>
          <w:highlight w:val="none"/>
        </w:rPr>
      </w:pPr>
    </w:p>
    <w:p w14:paraId="485D4CA1">
      <w:pPr>
        <w:spacing w:line="460" w:lineRule="exact"/>
        <w:jc w:val="center"/>
        <w:rPr>
          <w:rFonts w:eastAsia="隶书"/>
          <w:color w:val="auto"/>
          <w:sz w:val="44"/>
          <w:highlight w:val="none"/>
        </w:rPr>
      </w:pPr>
      <w:r>
        <w:rPr>
          <w:rFonts w:eastAsia="隶书"/>
          <w:color w:val="auto"/>
          <w:sz w:val="44"/>
          <w:highlight w:val="none"/>
        </w:rPr>
        <w:br w:type="page"/>
      </w:r>
    </w:p>
    <w:p w14:paraId="3D7C489D">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投诉书（格式）</w:t>
      </w:r>
    </w:p>
    <w:p w14:paraId="41F10FCC">
      <w:pPr>
        <w:snapToGrid w:val="0"/>
        <w:spacing w:line="360"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一、投诉相关主体基本情况：</w:t>
      </w:r>
    </w:p>
    <w:p w14:paraId="46B4A856">
      <w:pPr>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 xml:space="preserve">供应商：                                                                                         </w:t>
      </w:r>
    </w:p>
    <w:p w14:paraId="413C6DF7">
      <w:pPr>
        <w:snapToGrid w:val="0"/>
        <w:spacing w:line="360" w:lineRule="auto"/>
        <w:ind w:firstLine="480" w:firstLineChars="200"/>
        <w:rPr>
          <w:rFonts w:ascii="宋体" w:hAnsi="宋体"/>
          <w:bCs/>
          <w:color w:val="auto"/>
          <w:kern w:val="0"/>
          <w:sz w:val="24"/>
          <w:highlight w:val="none"/>
        </w:rPr>
      </w:pPr>
      <w:r>
        <w:rPr>
          <w:rFonts w:ascii="宋体" w:hAnsi="宋体"/>
          <w:bCs/>
          <w:color w:val="auto"/>
          <w:kern w:val="0"/>
          <w:sz w:val="24"/>
          <w:highlight w:val="none"/>
        </w:rPr>
        <w:t>地址</w:t>
      </w:r>
      <w:r>
        <w:rPr>
          <w:rFonts w:hint="eastAsia" w:ascii="宋体" w:hAnsi="宋体"/>
          <w:bCs/>
          <w:color w:val="auto"/>
          <w:kern w:val="0"/>
          <w:sz w:val="24"/>
          <w:highlight w:val="none"/>
        </w:rPr>
        <w:t xml:space="preserve">：                                          </w:t>
      </w:r>
      <w:r>
        <w:rPr>
          <w:rFonts w:ascii="宋体" w:hAnsi="宋体"/>
          <w:bCs/>
          <w:color w:val="auto"/>
          <w:kern w:val="0"/>
          <w:sz w:val="24"/>
          <w:highlight w:val="none"/>
        </w:rPr>
        <w:t>邮编</w:t>
      </w:r>
      <w:r>
        <w:rPr>
          <w:rFonts w:hint="eastAsia" w:ascii="宋体" w:hAnsi="宋体"/>
          <w:bCs/>
          <w:color w:val="auto"/>
          <w:kern w:val="0"/>
          <w:sz w:val="24"/>
          <w:highlight w:val="none"/>
        </w:rPr>
        <w:t xml:space="preserve">：                                           </w:t>
      </w:r>
    </w:p>
    <w:p w14:paraId="662CCB93">
      <w:pPr>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 xml:space="preserve">法定代表人/主要负责人：                                                         </w:t>
      </w:r>
    </w:p>
    <w:p w14:paraId="1B1BF859">
      <w:pPr>
        <w:snapToGrid w:val="0"/>
        <w:spacing w:line="360" w:lineRule="auto"/>
        <w:ind w:firstLine="480" w:firstLineChars="200"/>
        <w:rPr>
          <w:rFonts w:ascii="宋体" w:hAnsi="宋体"/>
          <w:bCs/>
          <w:color w:val="auto"/>
          <w:kern w:val="0"/>
          <w:sz w:val="24"/>
          <w:highlight w:val="none"/>
        </w:rPr>
      </w:pPr>
      <w:r>
        <w:rPr>
          <w:rFonts w:ascii="宋体" w:hAnsi="宋体"/>
          <w:bCs/>
          <w:color w:val="auto"/>
          <w:kern w:val="0"/>
          <w:sz w:val="24"/>
          <w:highlight w:val="none"/>
        </w:rPr>
        <w:t>联系电话</w:t>
      </w:r>
      <w:r>
        <w:rPr>
          <w:rFonts w:hint="eastAsia" w:ascii="宋体" w:hAnsi="宋体"/>
          <w:bCs/>
          <w:color w:val="auto"/>
          <w:kern w:val="0"/>
          <w:sz w:val="24"/>
          <w:highlight w:val="none"/>
        </w:rPr>
        <w:t xml:space="preserve">：                                         </w:t>
      </w:r>
    </w:p>
    <w:p w14:paraId="48E17E27">
      <w:pPr>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 xml:space="preserve">授权代表：                                         </w:t>
      </w:r>
      <w:r>
        <w:rPr>
          <w:rFonts w:ascii="宋体" w:hAnsi="宋体"/>
          <w:bCs/>
          <w:color w:val="auto"/>
          <w:kern w:val="0"/>
          <w:sz w:val="24"/>
          <w:highlight w:val="none"/>
        </w:rPr>
        <w:t>联系</w:t>
      </w:r>
      <w:r>
        <w:rPr>
          <w:rFonts w:hint="eastAsia" w:ascii="宋体" w:hAnsi="宋体"/>
          <w:bCs/>
          <w:color w:val="auto"/>
          <w:kern w:val="0"/>
          <w:sz w:val="24"/>
          <w:highlight w:val="none"/>
        </w:rPr>
        <w:t xml:space="preserve">电话：                   </w:t>
      </w:r>
    </w:p>
    <w:p w14:paraId="014875FA">
      <w:pPr>
        <w:snapToGrid w:val="0"/>
        <w:spacing w:line="360" w:lineRule="auto"/>
        <w:ind w:firstLine="480" w:firstLineChars="200"/>
        <w:rPr>
          <w:rFonts w:ascii="宋体" w:hAnsi="宋体"/>
          <w:bCs/>
          <w:color w:val="auto"/>
          <w:kern w:val="0"/>
          <w:sz w:val="24"/>
          <w:highlight w:val="none"/>
        </w:rPr>
      </w:pPr>
      <w:r>
        <w:rPr>
          <w:rFonts w:ascii="宋体" w:hAnsi="宋体"/>
          <w:bCs/>
          <w:color w:val="auto"/>
          <w:kern w:val="0"/>
          <w:sz w:val="24"/>
          <w:highlight w:val="none"/>
        </w:rPr>
        <w:t>地址</w:t>
      </w:r>
      <w:r>
        <w:rPr>
          <w:rFonts w:hint="eastAsia" w:ascii="宋体" w:hAnsi="宋体"/>
          <w:bCs/>
          <w:color w:val="auto"/>
          <w:kern w:val="0"/>
          <w:sz w:val="24"/>
          <w:highlight w:val="none"/>
        </w:rPr>
        <w:t xml:space="preserve">：                                                            </w:t>
      </w:r>
    </w:p>
    <w:p w14:paraId="5CE76408">
      <w:pPr>
        <w:snapToGrid w:val="0"/>
        <w:spacing w:line="360" w:lineRule="auto"/>
        <w:ind w:firstLine="480" w:firstLineChars="200"/>
        <w:rPr>
          <w:rFonts w:ascii="宋体" w:hAnsi="宋体"/>
          <w:bCs/>
          <w:color w:val="auto"/>
          <w:kern w:val="0"/>
          <w:sz w:val="24"/>
          <w:highlight w:val="none"/>
        </w:rPr>
      </w:pPr>
      <w:r>
        <w:rPr>
          <w:rFonts w:ascii="宋体" w:hAnsi="宋体"/>
          <w:bCs/>
          <w:color w:val="auto"/>
          <w:kern w:val="0"/>
          <w:sz w:val="24"/>
          <w:highlight w:val="none"/>
        </w:rPr>
        <w:t>邮编</w:t>
      </w:r>
      <w:r>
        <w:rPr>
          <w:rFonts w:hint="eastAsia" w:ascii="宋体" w:hAnsi="宋体"/>
          <w:bCs/>
          <w:color w:val="auto"/>
          <w:kern w:val="0"/>
          <w:sz w:val="24"/>
          <w:highlight w:val="none"/>
        </w:rPr>
        <w:t xml:space="preserve">：            </w:t>
      </w:r>
    </w:p>
    <w:p w14:paraId="082C3E18">
      <w:pPr>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被投诉人1：</w:t>
      </w:r>
    </w:p>
    <w:p w14:paraId="692EE74F">
      <w:pPr>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 xml:space="preserve">地址：                                                            </w:t>
      </w:r>
    </w:p>
    <w:p w14:paraId="14851055">
      <w:pPr>
        <w:snapToGrid w:val="0"/>
        <w:spacing w:line="360" w:lineRule="auto"/>
        <w:ind w:firstLine="480" w:firstLineChars="200"/>
        <w:rPr>
          <w:rFonts w:ascii="宋体" w:hAnsi="宋体"/>
          <w:bCs/>
          <w:color w:val="auto"/>
          <w:kern w:val="0"/>
          <w:sz w:val="24"/>
          <w:highlight w:val="none"/>
        </w:rPr>
      </w:pPr>
      <w:r>
        <w:rPr>
          <w:rFonts w:ascii="宋体" w:hAnsi="宋体"/>
          <w:bCs/>
          <w:color w:val="auto"/>
          <w:kern w:val="0"/>
          <w:sz w:val="24"/>
          <w:highlight w:val="none"/>
        </w:rPr>
        <w:t>邮编</w:t>
      </w:r>
      <w:r>
        <w:rPr>
          <w:rFonts w:hint="eastAsia" w:ascii="宋体" w:hAnsi="宋体"/>
          <w:bCs/>
          <w:color w:val="auto"/>
          <w:kern w:val="0"/>
          <w:sz w:val="24"/>
          <w:highlight w:val="none"/>
        </w:rPr>
        <w:t xml:space="preserve">：           </w:t>
      </w:r>
    </w:p>
    <w:p w14:paraId="23EF3DE4">
      <w:pPr>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 xml:space="preserve">联系人：                                                </w:t>
      </w:r>
      <w:r>
        <w:rPr>
          <w:rFonts w:ascii="宋体" w:hAnsi="宋体"/>
          <w:bCs/>
          <w:color w:val="auto"/>
          <w:kern w:val="0"/>
          <w:sz w:val="24"/>
          <w:highlight w:val="none"/>
        </w:rPr>
        <w:t>联系</w:t>
      </w:r>
      <w:r>
        <w:rPr>
          <w:rFonts w:hint="eastAsia" w:ascii="宋体" w:hAnsi="宋体"/>
          <w:bCs/>
          <w:color w:val="auto"/>
          <w:kern w:val="0"/>
          <w:sz w:val="24"/>
          <w:highlight w:val="none"/>
        </w:rPr>
        <w:t xml:space="preserve">电话：                </w:t>
      </w:r>
    </w:p>
    <w:p w14:paraId="1CF6657B">
      <w:pPr>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被投诉人2：</w:t>
      </w:r>
    </w:p>
    <w:p w14:paraId="377DE8FC">
      <w:pPr>
        <w:snapToGrid w:val="0"/>
        <w:spacing w:line="360" w:lineRule="auto"/>
        <w:ind w:firstLine="480" w:firstLineChars="200"/>
        <w:rPr>
          <w:rFonts w:ascii="宋体" w:hAnsi="宋体"/>
          <w:bCs/>
          <w:color w:val="auto"/>
          <w:kern w:val="0"/>
          <w:sz w:val="24"/>
          <w:highlight w:val="none"/>
        </w:rPr>
      </w:pPr>
      <w:r>
        <w:rPr>
          <w:rFonts w:ascii="宋体" w:hAnsi="宋体"/>
          <w:bCs/>
          <w:color w:val="auto"/>
          <w:kern w:val="0"/>
          <w:sz w:val="24"/>
          <w:highlight w:val="none"/>
        </w:rPr>
        <w:t>……</w:t>
      </w:r>
    </w:p>
    <w:p w14:paraId="6015315C">
      <w:pPr>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 xml:space="preserve">相关供应商：                                                                       </w:t>
      </w:r>
    </w:p>
    <w:p w14:paraId="5B6E4FDD">
      <w:pPr>
        <w:snapToGrid w:val="0"/>
        <w:spacing w:line="360" w:lineRule="auto"/>
        <w:ind w:firstLine="480" w:firstLineChars="200"/>
        <w:rPr>
          <w:rFonts w:ascii="宋体" w:hAnsi="宋体"/>
          <w:bCs/>
          <w:color w:val="auto"/>
          <w:kern w:val="0"/>
          <w:sz w:val="24"/>
          <w:highlight w:val="none"/>
        </w:rPr>
      </w:pPr>
      <w:r>
        <w:rPr>
          <w:rFonts w:ascii="宋体" w:hAnsi="宋体"/>
          <w:bCs/>
          <w:color w:val="auto"/>
          <w:kern w:val="0"/>
          <w:sz w:val="24"/>
          <w:highlight w:val="none"/>
        </w:rPr>
        <w:t>地址</w:t>
      </w:r>
      <w:r>
        <w:rPr>
          <w:rFonts w:hint="eastAsia" w:ascii="宋体" w:hAnsi="宋体"/>
          <w:bCs/>
          <w:color w:val="auto"/>
          <w:kern w:val="0"/>
          <w:sz w:val="24"/>
          <w:highlight w:val="none"/>
        </w:rPr>
        <w:t xml:space="preserve">：                                              </w:t>
      </w:r>
      <w:r>
        <w:rPr>
          <w:rFonts w:ascii="宋体" w:hAnsi="宋体"/>
          <w:bCs/>
          <w:color w:val="auto"/>
          <w:kern w:val="0"/>
          <w:sz w:val="24"/>
          <w:highlight w:val="none"/>
        </w:rPr>
        <w:t>邮编</w:t>
      </w:r>
      <w:r>
        <w:rPr>
          <w:rFonts w:hint="eastAsia" w:ascii="宋体" w:hAnsi="宋体"/>
          <w:bCs/>
          <w:color w:val="auto"/>
          <w:kern w:val="0"/>
          <w:sz w:val="24"/>
          <w:highlight w:val="none"/>
        </w:rPr>
        <w:t xml:space="preserve">：                         </w:t>
      </w:r>
    </w:p>
    <w:p w14:paraId="49446A1C">
      <w:pPr>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 xml:space="preserve">联系人：                                            </w:t>
      </w:r>
      <w:r>
        <w:rPr>
          <w:rFonts w:ascii="宋体" w:hAnsi="宋体"/>
          <w:bCs/>
          <w:color w:val="auto"/>
          <w:kern w:val="0"/>
          <w:sz w:val="24"/>
          <w:highlight w:val="none"/>
        </w:rPr>
        <w:t>联系</w:t>
      </w:r>
      <w:r>
        <w:rPr>
          <w:rFonts w:hint="eastAsia" w:ascii="宋体" w:hAnsi="宋体"/>
          <w:bCs/>
          <w:color w:val="auto"/>
          <w:kern w:val="0"/>
          <w:sz w:val="24"/>
          <w:highlight w:val="none"/>
        </w:rPr>
        <w:t xml:space="preserve">电话：                                     </w:t>
      </w:r>
    </w:p>
    <w:p w14:paraId="4DCE2AFC">
      <w:pPr>
        <w:snapToGrid w:val="0"/>
        <w:spacing w:line="360"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二、投诉项目基本情况：</w:t>
      </w:r>
    </w:p>
    <w:p w14:paraId="3A084583">
      <w:pPr>
        <w:spacing w:line="360" w:lineRule="auto"/>
        <w:ind w:left="25" w:leftChars="12" w:firstLine="472" w:firstLineChars="197"/>
        <w:rPr>
          <w:rFonts w:ascii="宋体" w:hAnsi="宋体"/>
          <w:color w:val="auto"/>
          <w:kern w:val="0"/>
          <w:sz w:val="24"/>
          <w:highlight w:val="none"/>
        </w:rPr>
      </w:pPr>
      <w:r>
        <w:rPr>
          <w:rFonts w:hint="eastAsia" w:ascii="宋体" w:hAnsi="宋体"/>
          <w:bCs/>
          <w:color w:val="auto"/>
          <w:kern w:val="0"/>
          <w:sz w:val="24"/>
          <w:highlight w:val="none"/>
        </w:rPr>
        <w:t>采购</w:t>
      </w:r>
      <w:r>
        <w:rPr>
          <w:rFonts w:hint="eastAsia" w:ascii="宋体" w:hAnsi="宋体"/>
          <w:color w:val="auto"/>
          <w:kern w:val="0"/>
          <w:sz w:val="24"/>
          <w:highlight w:val="none"/>
        </w:rPr>
        <w:t>项目的名称：</w:t>
      </w:r>
    </w:p>
    <w:p w14:paraId="0B76E63E">
      <w:pPr>
        <w:spacing w:line="360" w:lineRule="auto"/>
        <w:ind w:left="25" w:leftChars="12" w:firstLine="472" w:firstLineChars="197"/>
        <w:rPr>
          <w:rFonts w:ascii="宋体" w:hAnsi="宋体"/>
          <w:color w:val="auto"/>
          <w:kern w:val="0"/>
          <w:sz w:val="24"/>
          <w:highlight w:val="none"/>
        </w:rPr>
      </w:pPr>
      <w:r>
        <w:rPr>
          <w:rFonts w:hint="eastAsia" w:ascii="宋体" w:hAnsi="宋体"/>
          <w:bCs/>
          <w:color w:val="auto"/>
          <w:kern w:val="0"/>
          <w:sz w:val="24"/>
          <w:highlight w:val="none"/>
        </w:rPr>
        <w:t>采购</w:t>
      </w:r>
      <w:r>
        <w:rPr>
          <w:rFonts w:hint="eastAsia" w:ascii="宋体" w:hAnsi="宋体"/>
          <w:color w:val="auto"/>
          <w:kern w:val="0"/>
          <w:sz w:val="24"/>
          <w:highlight w:val="none"/>
        </w:rPr>
        <w:t>项目的编号：</w:t>
      </w:r>
    </w:p>
    <w:p w14:paraId="33C082DE">
      <w:pPr>
        <w:spacing w:line="360" w:lineRule="auto"/>
        <w:ind w:left="25" w:leftChars="12" w:firstLine="472" w:firstLineChars="197"/>
        <w:rPr>
          <w:rFonts w:ascii="宋体" w:hAnsi="宋体"/>
          <w:bCs/>
          <w:color w:val="auto"/>
          <w:kern w:val="0"/>
          <w:sz w:val="24"/>
          <w:highlight w:val="none"/>
        </w:rPr>
      </w:pPr>
      <w:r>
        <w:rPr>
          <w:rFonts w:hint="eastAsia" w:ascii="宋体" w:hAnsi="宋体"/>
          <w:color w:val="auto"/>
          <w:kern w:val="0"/>
          <w:sz w:val="24"/>
          <w:highlight w:val="none"/>
        </w:rPr>
        <w:t>采购人名称：</w:t>
      </w:r>
    </w:p>
    <w:p w14:paraId="0749DC7E">
      <w:pPr>
        <w:spacing w:line="360" w:lineRule="auto"/>
        <w:ind w:left="25" w:leftChars="12" w:firstLine="472" w:firstLineChars="197"/>
        <w:rPr>
          <w:rFonts w:ascii="宋体" w:hAnsi="宋体"/>
          <w:bCs/>
          <w:color w:val="auto"/>
          <w:kern w:val="0"/>
          <w:sz w:val="24"/>
          <w:highlight w:val="none"/>
        </w:rPr>
      </w:pPr>
      <w:r>
        <w:rPr>
          <w:rFonts w:hint="eastAsia" w:ascii="宋体" w:hAnsi="宋体"/>
          <w:color w:val="auto"/>
          <w:kern w:val="0"/>
          <w:sz w:val="24"/>
          <w:highlight w:val="none"/>
        </w:rPr>
        <w:t>代理机构名称：</w:t>
      </w:r>
    </w:p>
    <w:p w14:paraId="66A8128A">
      <w:pPr>
        <w:spacing w:line="360" w:lineRule="auto"/>
        <w:ind w:left="25" w:leftChars="12" w:firstLine="472" w:firstLineChars="197"/>
        <w:rPr>
          <w:rFonts w:ascii="宋体" w:hAnsi="宋体"/>
          <w:bCs/>
          <w:color w:val="auto"/>
          <w:kern w:val="0"/>
          <w:sz w:val="24"/>
          <w:highlight w:val="none"/>
        </w:rPr>
      </w:pPr>
      <w:r>
        <w:rPr>
          <w:rFonts w:hint="eastAsia" w:ascii="宋体" w:hAnsi="宋体"/>
          <w:bCs/>
          <w:color w:val="auto"/>
          <w:kern w:val="0"/>
          <w:sz w:val="24"/>
          <w:highlight w:val="none"/>
        </w:rPr>
        <w:t xml:space="preserve">招标文件公告：是/否公告期限：                                                       </w:t>
      </w:r>
    </w:p>
    <w:p w14:paraId="424800C4">
      <w:pPr>
        <w:spacing w:line="360" w:lineRule="auto"/>
        <w:ind w:left="25" w:leftChars="12" w:firstLine="472" w:firstLineChars="197"/>
        <w:rPr>
          <w:rFonts w:ascii="宋体" w:hAnsi="宋体"/>
          <w:b/>
          <w:color w:val="auto"/>
          <w:kern w:val="0"/>
          <w:sz w:val="24"/>
          <w:highlight w:val="none"/>
        </w:rPr>
      </w:pPr>
      <w:r>
        <w:rPr>
          <w:rFonts w:hint="eastAsia" w:ascii="宋体" w:hAnsi="宋体"/>
          <w:bCs/>
          <w:color w:val="auto"/>
          <w:kern w:val="0"/>
          <w:sz w:val="24"/>
          <w:highlight w:val="none"/>
        </w:rPr>
        <w:t xml:space="preserve">采购结果公告：是/否公告期限：                                                       </w:t>
      </w:r>
    </w:p>
    <w:p w14:paraId="1A3A83F1">
      <w:pPr>
        <w:spacing w:line="360" w:lineRule="auto"/>
        <w:ind w:left="25" w:leftChars="12" w:firstLine="472" w:firstLineChars="196"/>
        <w:rPr>
          <w:rFonts w:ascii="宋体" w:hAnsi="宋体"/>
          <w:b/>
          <w:color w:val="auto"/>
          <w:kern w:val="0"/>
          <w:sz w:val="24"/>
          <w:highlight w:val="none"/>
        </w:rPr>
      </w:pPr>
      <w:r>
        <w:rPr>
          <w:rFonts w:hint="eastAsia" w:ascii="宋体" w:hAnsi="宋体"/>
          <w:b/>
          <w:color w:val="auto"/>
          <w:kern w:val="0"/>
          <w:sz w:val="24"/>
          <w:highlight w:val="none"/>
        </w:rPr>
        <w:t>三、质疑基本情况</w:t>
      </w:r>
    </w:p>
    <w:p w14:paraId="292CA969">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投诉人于      年   月   日，向                                提出质疑，质疑事项为：</w:t>
      </w:r>
    </w:p>
    <w:p w14:paraId="4AA3AABC">
      <w:pPr>
        <w:spacing w:line="360" w:lineRule="auto"/>
        <w:ind w:firstLine="241"/>
        <w:rPr>
          <w:rFonts w:ascii="宋体" w:hAnsi="宋体"/>
          <w:bCs/>
          <w:color w:val="auto"/>
          <w:kern w:val="0"/>
          <w:sz w:val="24"/>
          <w:highlight w:val="none"/>
        </w:rPr>
      </w:pPr>
    </w:p>
    <w:p w14:paraId="13EC4D8D">
      <w:pPr>
        <w:spacing w:line="360" w:lineRule="auto"/>
        <w:ind w:firstLine="241"/>
        <w:rPr>
          <w:rFonts w:ascii="宋体" w:hAnsi="宋体"/>
          <w:bCs/>
          <w:color w:val="auto"/>
          <w:kern w:val="0"/>
          <w:sz w:val="24"/>
          <w:highlight w:val="none"/>
        </w:rPr>
      </w:pPr>
    </w:p>
    <w:p w14:paraId="05609FD2">
      <w:pPr>
        <w:spacing w:line="360" w:lineRule="auto"/>
        <w:ind w:firstLine="480" w:firstLineChars="200"/>
        <w:rPr>
          <w:rFonts w:ascii="宋体" w:hAnsi="宋体"/>
          <w:color w:val="auto"/>
          <w:kern w:val="0"/>
          <w:sz w:val="24"/>
          <w:highlight w:val="none"/>
        </w:rPr>
      </w:pPr>
      <w:r>
        <w:rPr>
          <w:rFonts w:hint="eastAsia" w:ascii="宋体" w:hAnsi="宋体"/>
          <w:bCs/>
          <w:color w:val="auto"/>
          <w:kern w:val="0"/>
          <w:sz w:val="24"/>
          <w:highlight w:val="none"/>
        </w:rPr>
        <w:t>采购人/代理机构于</w:t>
      </w:r>
      <w:r>
        <w:rPr>
          <w:rFonts w:hint="eastAsia" w:ascii="宋体" w:hAnsi="宋体"/>
          <w:color w:val="auto"/>
          <w:kern w:val="0"/>
          <w:sz w:val="24"/>
          <w:highlight w:val="none"/>
        </w:rPr>
        <w:t xml:space="preserve">      年   月   日，</w:t>
      </w:r>
      <w:r>
        <w:rPr>
          <w:rFonts w:hint="eastAsia" w:ascii="宋体" w:hAnsi="宋体"/>
          <w:bCs/>
          <w:color w:val="auto"/>
          <w:kern w:val="0"/>
          <w:sz w:val="24"/>
          <w:highlight w:val="none"/>
        </w:rPr>
        <w:t xml:space="preserve">就质疑事项作出了答复/没有在法定期限内作出答复。                                                                                             </w:t>
      </w:r>
    </w:p>
    <w:p w14:paraId="507F58C2">
      <w:pPr>
        <w:spacing w:line="360" w:lineRule="auto"/>
        <w:ind w:left="25" w:leftChars="12" w:firstLine="472" w:firstLineChars="196"/>
        <w:rPr>
          <w:rFonts w:ascii="宋体" w:hAnsi="宋体"/>
          <w:b/>
          <w:color w:val="auto"/>
          <w:kern w:val="0"/>
          <w:sz w:val="24"/>
          <w:highlight w:val="none"/>
        </w:rPr>
      </w:pPr>
      <w:r>
        <w:rPr>
          <w:rFonts w:hint="eastAsia" w:ascii="宋体" w:hAnsi="宋体"/>
          <w:b/>
          <w:color w:val="auto"/>
          <w:kern w:val="0"/>
          <w:sz w:val="24"/>
          <w:highlight w:val="none"/>
        </w:rPr>
        <w:t>四、投诉事项具体内容</w:t>
      </w:r>
    </w:p>
    <w:p w14:paraId="157A88E6">
      <w:pPr>
        <w:spacing w:line="360" w:lineRule="auto"/>
        <w:ind w:left="25" w:leftChars="12" w:firstLine="472" w:firstLineChars="197"/>
        <w:rPr>
          <w:rFonts w:ascii="宋体" w:hAnsi="宋体"/>
          <w:bCs/>
          <w:color w:val="auto"/>
          <w:kern w:val="0"/>
          <w:sz w:val="24"/>
          <w:highlight w:val="none"/>
        </w:rPr>
      </w:pPr>
      <w:r>
        <w:rPr>
          <w:rFonts w:hint="eastAsia" w:ascii="宋体" w:hAnsi="宋体"/>
          <w:color w:val="auto"/>
          <w:kern w:val="0"/>
          <w:sz w:val="24"/>
          <w:highlight w:val="none"/>
        </w:rPr>
        <w:t>投诉事项1：</w:t>
      </w:r>
    </w:p>
    <w:p w14:paraId="68A8951B">
      <w:pPr>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事实依据：</w:t>
      </w:r>
    </w:p>
    <w:p w14:paraId="11A92482">
      <w:pPr>
        <w:spacing w:line="360" w:lineRule="auto"/>
        <w:ind w:left="25" w:leftChars="12" w:firstLine="472" w:firstLineChars="197"/>
        <w:rPr>
          <w:rFonts w:ascii="宋体" w:hAnsi="宋体"/>
          <w:color w:val="auto"/>
          <w:kern w:val="0"/>
          <w:sz w:val="24"/>
          <w:highlight w:val="none"/>
        </w:rPr>
      </w:pPr>
    </w:p>
    <w:p w14:paraId="2FDD41E9">
      <w:pPr>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法律依据：</w:t>
      </w:r>
    </w:p>
    <w:p w14:paraId="420067AD">
      <w:pPr>
        <w:spacing w:line="360" w:lineRule="auto"/>
        <w:ind w:left="25" w:leftChars="12" w:firstLine="352" w:firstLineChars="147"/>
        <w:rPr>
          <w:rFonts w:ascii="宋体" w:hAnsi="宋体"/>
          <w:bCs/>
          <w:color w:val="auto"/>
          <w:kern w:val="0"/>
          <w:sz w:val="24"/>
          <w:highlight w:val="none"/>
        </w:rPr>
      </w:pPr>
    </w:p>
    <w:p w14:paraId="299C3529">
      <w:pPr>
        <w:spacing w:line="360" w:lineRule="auto"/>
        <w:ind w:left="25" w:leftChars="12" w:firstLine="472" w:firstLineChars="197"/>
        <w:rPr>
          <w:rFonts w:ascii="宋体" w:hAnsi="宋体"/>
          <w:bCs/>
          <w:color w:val="auto"/>
          <w:kern w:val="0"/>
          <w:sz w:val="24"/>
          <w:highlight w:val="none"/>
        </w:rPr>
      </w:pPr>
      <w:r>
        <w:rPr>
          <w:rFonts w:hint="eastAsia" w:ascii="宋体" w:hAnsi="宋体"/>
          <w:color w:val="auto"/>
          <w:kern w:val="0"/>
          <w:sz w:val="24"/>
          <w:highlight w:val="none"/>
        </w:rPr>
        <w:t xml:space="preserve">投诉事项2  </w:t>
      </w:r>
    </w:p>
    <w:p w14:paraId="0EB02E30">
      <w:pPr>
        <w:spacing w:line="360" w:lineRule="auto"/>
        <w:ind w:left="25" w:leftChars="12" w:firstLine="472" w:firstLineChars="197"/>
        <w:rPr>
          <w:rFonts w:ascii="宋体" w:hAnsi="宋体"/>
          <w:bCs/>
          <w:color w:val="auto"/>
          <w:kern w:val="0"/>
          <w:sz w:val="24"/>
          <w:highlight w:val="none"/>
        </w:rPr>
      </w:pPr>
      <w:r>
        <w:rPr>
          <w:rFonts w:ascii="宋体" w:hAnsi="宋体"/>
          <w:bCs/>
          <w:color w:val="auto"/>
          <w:kern w:val="0"/>
          <w:sz w:val="24"/>
          <w:highlight w:val="none"/>
        </w:rPr>
        <w:t>……</w:t>
      </w:r>
    </w:p>
    <w:p w14:paraId="35476630">
      <w:pPr>
        <w:spacing w:line="360" w:lineRule="auto"/>
        <w:ind w:left="25" w:leftChars="12" w:firstLine="472" w:firstLineChars="196"/>
        <w:rPr>
          <w:rFonts w:ascii="宋体" w:hAnsi="宋体"/>
          <w:b/>
          <w:color w:val="auto"/>
          <w:kern w:val="0"/>
          <w:sz w:val="24"/>
          <w:highlight w:val="none"/>
        </w:rPr>
      </w:pPr>
      <w:r>
        <w:rPr>
          <w:rFonts w:hint="eastAsia" w:ascii="宋体" w:hAnsi="宋体"/>
          <w:b/>
          <w:color w:val="auto"/>
          <w:kern w:val="0"/>
          <w:sz w:val="24"/>
          <w:highlight w:val="none"/>
        </w:rPr>
        <w:t>五、与投诉事项相关的投诉请求：</w:t>
      </w:r>
    </w:p>
    <w:p w14:paraId="7A3BED24">
      <w:pPr>
        <w:spacing w:line="360" w:lineRule="auto"/>
        <w:ind w:left="25" w:leftChars="12" w:firstLine="472" w:firstLineChars="197"/>
        <w:rPr>
          <w:rFonts w:ascii="宋体" w:hAnsi="宋体"/>
          <w:color w:val="auto"/>
          <w:kern w:val="0"/>
          <w:sz w:val="24"/>
          <w:highlight w:val="none"/>
        </w:rPr>
      </w:pPr>
      <w:r>
        <w:rPr>
          <w:rFonts w:hint="eastAsia" w:ascii="宋体" w:hAnsi="宋体"/>
          <w:color w:val="auto"/>
          <w:kern w:val="0"/>
          <w:sz w:val="24"/>
          <w:highlight w:val="none"/>
        </w:rPr>
        <w:t>请求：</w:t>
      </w:r>
    </w:p>
    <w:p w14:paraId="3BB9B05C">
      <w:pPr>
        <w:spacing w:line="360" w:lineRule="auto"/>
        <w:ind w:left="25" w:leftChars="12" w:firstLine="352" w:firstLineChars="147"/>
        <w:rPr>
          <w:rFonts w:ascii="宋体" w:hAnsi="宋体"/>
          <w:color w:val="auto"/>
          <w:kern w:val="0"/>
          <w:sz w:val="24"/>
          <w:highlight w:val="none"/>
        </w:rPr>
      </w:pPr>
    </w:p>
    <w:p w14:paraId="31185CF2">
      <w:pPr>
        <w:spacing w:line="360" w:lineRule="auto"/>
        <w:ind w:left="25" w:leftChars="12" w:firstLine="472" w:firstLineChars="197"/>
        <w:rPr>
          <w:rFonts w:ascii="宋体" w:hAnsi="宋体"/>
          <w:color w:val="auto"/>
          <w:kern w:val="0"/>
          <w:sz w:val="24"/>
          <w:highlight w:val="none"/>
        </w:rPr>
      </w:pPr>
      <w:r>
        <w:rPr>
          <w:rFonts w:hint="eastAsia" w:ascii="宋体" w:hAnsi="宋体"/>
          <w:color w:val="auto"/>
          <w:kern w:val="0"/>
          <w:sz w:val="24"/>
          <w:highlight w:val="none"/>
        </w:rPr>
        <w:t>签字（签章）：                                       公章：</w:t>
      </w:r>
    </w:p>
    <w:p w14:paraId="54D53E1B">
      <w:pPr>
        <w:spacing w:line="360" w:lineRule="auto"/>
        <w:ind w:left="25" w:leftChars="12" w:firstLine="352" w:firstLineChars="147"/>
        <w:rPr>
          <w:rFonts w:ascii="宋体" w:hAnsi="宋体"/>
          <w:color w:val="auto"/>
          <w:kern w:val="0"/>
          <w:sz w:val="24"/>
          <w:highlight w:val="none"/>
        </w:rPr>
      </w:pPr>
    </w:p>
    <w:p w14:paraId="7100C23D">
      <w:pPr>
        <w:spacing w:line="360" w:lineRule="auto"/>
        <w:ind w:left="25" w:leftChars="12" w:firstLine="472" w:firstLineChars="197"/>
        <w:rPr>
          <w:rFonts w:ascii="宋体" w:hAnsi="宋体"/>
          <w:color w:val="auto"/>
          <w:kern w:val="0"/>
          <w:sz w:val="24"/>
          <w:highlight w:val="none"/>
        </w:rPr>
      </w:pPr>
      <w:r>
        <w:rPr>
          <w:rFonts w:hint="eastAsia" w:ascii="宋体" w:hAnsi="宋体"/>
          <w:color w:val="auto"/>
          <w:kern w:val="0"/>
          <w:sz w:val="24"/>
          <w:highlight w:val="none"/>
        </w:rPr>
        <w:t>日期：</w:t>
      </w:r>
    </w:p>
    <w:p w14:paraId="184AA287">
      <w:pPr>
        <w:spacing w:line="360" w:lineRule="auto"/>
        <w:ind w:left="25" w:leftChars="12" w:firstLine="472" w:firstLineChars="197"/>
        <w:rPr>
          <w:rFonts w:ascii="宋体" w:hAnsi="宋体"/>
          <w:color w:val="auto"/>
          <w:kern w:val="0"/>
          <w:sz w:val="24"/>
          <w:highlight w:val="none"/>
        </w:rPr>
      </w:pPr>
    </w:p>
    <w:p w14:paraId="07162D18">
      <w:pPr>
        <w:snapToGrid w:val="0"/>
        <w:spacing w:line="360" w:lineRule="auto"/>
        <w:rPr>
          <w:rFonts w:ascii="宋体" w:hAnsi="宋体"/>
          <w:b/>
          <w:color w:val="auto"/>
          <w:kern w:val="0"/>
          <w:sz w:val="24"/>
          <w:highlight w:val="none"/>
        </w:rPr>
      </w:pPr>
    </w:p>
    <w:p w14:paraId="0CE3BE62">
      <w:pPr>
        <w:snapToGrid w:val="0"/>
        <w:spacing w:line="360" w:lineRule="auto"/>
        <w:rPr>
          <w:rFonts w:ascii="宋体" w:hAnsi="宋体"/>
          <w:b/>
          <w:color w:val="auto"/>
          <w:kern w:val="0"/>
          <w:sz w:val="24"/>
          <w:highlight w:val="none"/>
        </w:rPr>
      </w:pPr>
      <w:r>
        <w:rPr>
          <w:rFonts w:hint="eastAsia" w:ascii="宋体" w:hAnsi="宋体"/>
          <w:b/>
          <w:color w:val="auto"/>
          <w:kern w:val="0"/>
          <w:sz w:val="24"/>
          <w:highlight w:val="none"/>
        </w:rPr>
        <w:t>说明：</w:t>
      </w:r>
    </w:p>
    <w:p w14:paraId="7BB9FD7A">
      <w:pPr>
        <w:spacing w:line="360" w:lineRule="auto"/>
        <w:ind w:left="25" w:leftChars="12" w:firstLine="354" w:firstLineChars="147"/>
        <w:rPr>
          <w:rFonts w:ascii="宋体" w:hAnsi="宋体"/>
          <w:b/>
          <w:bCs/>
          <w:color w:val="auto"/>
          <w:kern w:val="0"/>
          <w:sz w:val="24"/>
          <w:highlight w:val="none"/>
        </w:rPr>
      </w:pPr>
      <w:r>
        <w:rPr>
          <w:rFonts w:hint="eastAsia" w:ascii="宋体" w:hAnsi="宋体"/>
          <w:b/>
          <w:color w:val="auto"/>
          <w:kern w:val="0"/>
          <w:sz w:val="24"/>
          <w:highlight w:val="none"/>
        </w:rPr>
        <w:t>1.投诉人提起投诉时，应当提交投诉书和必要的证明材料，并按照被投诉人和与投诉事项有关的供应商数量提供投诉书副本</w:t>
      </w:r>
      <w:r>
        <w:rPr>
          <w:rFonts w:hint="eastAsia" w:ascii="宋体" w:hAnsi="宋体"/>
          <w:b/>
          <w:bCs/>
          <w:color w:val="auto"/>
          <w:kern w:val="0"/>
          <w:sz w:val="24"/>
          <w:highlight w:val="none"/>
        </w:rPr>
        <w:t>。</w:t>
      </w:r>
    </w:p>
    <w:p w14:paraId="33327919">
      <w:pPr>
        <w:spacing w:line="360" w:lineRule="auto"/>
        <w:ind w:left="25" w:leftChars="12" w:firstLine="354" w:firstLineChars="147"/>
        <w:rPr>
          <w:rFonts w:ascii="宋体" w:hAnsi="宋体"/>
          <w:b/>
          <w:color w:val="auto"/>
          <w:kern w:val="0"/>
          <w:sz w:val="24"/>
          <w:highlight w:val="none"/>
        </w:rPr>
      </w:pPr>
      <w:r>
        <w:rPr>
          <w:rFonts w:hint="eastAsia" w:ascii="宋体" w:hAnsi="宋体"/>
          <w:b/>
          <w:color w:val="auto"/>
          <w:kern w:val="0"/>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3D9BBD5">
      <w:pPr>
        <w:spacing w:line="360" w:lineRule="auto"/>
        <w:ind w:left="25" w:leftChars="12" w:firstLine="354" w:firstLineChars="147"/>
        <w:rPr>
          <w:rFonts w:ascii="宋体" w:hAnsi="宋体"/>
          <w:b/>
          <w:color w:val="auto"/>
          <w:kern w:val="0"/>
          <w:sz w:val="24"/>
          <w:highlight w:val="none"/>
        </w:rPr>
      </w:pPr>
      <w:r>
        <w:rPr>
          <w:rFonts w:hint="eastAsia" w:ascii="宋体" w:hAnsi="宋体"/>
          <w:b/>
          <w:color w:val="auto"/>
          <w:kern w:val="0"/>
          <w:sz w:val="24"/>
          <w:highlight w:val="none"/>
        </w:rPr>
        <w:t>3.投诉书应简要列明质疑事项，质疑函、质疑答复等作为附件材料提供。</w:t>
      </w:r>
    </w:p>
    <w:p w14:paraId="57314A75">
      <w:pPr>
        <w:spacing w:line="360" w:lineRule="auto"/>
        <w:ind w:left="25" w:leftChars="12" w:firstLine="354" w:firstLineChars="147"/>
        <w:rPr>
          <w:rFonts w:ascii="宋体" w:hAnsi="宋体"/>
          <w:b/>
          <w:color w:val="auto"/>
          <w:kern w:val="0"/>
          <w:sz w:val="24"/>
          <w:highlight w:val="none"/>
        </w:rPr>
      </w:pPr>
      <w:r>
        <w:rPr>
          <w:rFonts w:hint="eastAsia" w:ascii="宋体" w:hAnsi="宋体"/>
          <w:b/>
          <w:color w:val="auto"/>
          <w:kern w:val="0"/>
          <w:sz w:val="24"/>
          <w:highlight w:val="none"/>
        </w:rPr>
        <w:t>4.投诉书的投诉事项应具体、明确，并有必要的事实依据和法律依据。</w:t>
      </w:r>
    </w:p>
    <w:p w14:paraId="74AA6661">
      <w:pPr>
        <w:spacing w:line="360" w:lineRule="auto"/>
        <w:ind w:left="25" w:leftChars="12" w:firstLine="354" w:firstLineChars="147"/>
        <w:rPr>
          <w:rFonts w:ascii="宋体" w:hAnsi="宋体"/>
          <w:b/>
          <w:color w:val="auto"/>
          <w:kern w:val="0"/>
          <w:sz w:val="24"/>
          <w:highlight w:val="none"/>
        </w:rPr>
      </w:pPr>
      <w:r>
        <w:rPr>
          <w:rFonts w:hint="eastAsia" w:ascii="宋体" w:hAnsi="宋体"/>
          <w:b/>
          <w:color w:val="auto"/>
          <w:kern w:val="0"/>
          <w:sz w:val="24"/>
          <w:highlight w:val="none"/>
        </w:rPr>
        <w:t>5.投诉书的投诉请求应与投诉事项相关。</w:t>
      </w:r>
    </w:p>
    <w:p w14:paraId="0A57B6FB">
      <w:pPr>
        <w:spacing w:line="360" w:lineRule="auto"/>
        <w:ind w:left="25" w:leftChars="12" w:firstLine="354" w:firstLineChars="147"/>
        <w:rPr>
          <w:rFonts w:ascii="宋体" w:hAnsi="Courier New"/>
          <w:color w:val="auto"/>
          <w:kern w:val="0"/>
          <w:sz w:val="20"/>
          <w:szCs w:val="21"/>
          <w:highlight w:val="none"/>
        </w:rPr>
      </w:pPr>
      <w:r>
        <w:rPr>
          <w:rFonts w:hint="eastAsia" w:ascii="宋体" w:hAnsi="宋体"/>
          <w:b/>
          <w:color w:val="auto"/>
          <w:kern w:val="0"/>
          <w:sz w:val="24"/>
          <w:highlight w:val="none"/>
        </w:rPr>
        <w:t>6.投诉人为法人或者其他组织的，投诉书应由法定代表人、主要负责人，或者其授权代表签字或者盖章，并加盖公章。</w:t>
      </w:r>
    </w:p>
    <w:p w14:paraId="2072BD50">
      <w:pPr>
        <w:rPr>
          <w:rFonts w:hint="eastAsia"/>
          <w:color w:val="auto"/>
          <w:highlight w:val="none"/>
        </w:rPr>
      </w:pPr>
    </w:p>
    <w:p w14:paraId="2ECE207E">
      <w:pPr>
        <w:rPr>
          <w:color w:val="auto"/>
          <w:highlight w:val="none"/>
        </w:rPr>
      </w:pPr>
    </w:p>
    <w:sectPr>
      <w:footerReference r:id="rId15" w:type="first"/>
      <w:footerReference r:id="rId14"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script"/>
    <w:pitch w:val="default"/>
    <w:sig w:usb0="00000000" w:usb1="00000000" w:usb2="00000000" w:usb3="00000000" w:csb0="00040000" w:csb1="00000000"/>
  </w:font>
  <w:font w:name="新宋体′....">
    <w:altName w:val="黑体"/>
    <w:panose1 w:val="00000000000000000000"/>
    <w:charset w:val="86"/>
    <w:family w:val="modern"/>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Emoji">
    <w:panose1 w:val="020B0502040204020203"/>
    <w:charset w:val="00"/>
    <w:family w:val="swiss"/>
    <w:pitch w:val="default"/>
    <w:sig w:usb0="00000001" w:usb1="02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TimesNewRomanPSMT">
    <w:altName w:val="Times New Roman"/>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隶书">
    <w:altName w:val="微软雅黑"/>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EA3AA">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29C82">
    <w:pPr>
      <w:pStyle w:val="7"/>
      <w:jc w:val="center"/>
    </w:pPr>
    <w:r>
      <w:fldChar w:fldCharType="begin"/>
    </w:r>
    <w:r>
      <w:instrText xml:space="preserve">PAGE   \* MERGEFORMAT</w:instrText>
    </w:r>
    <w:r>
      <w:fldChar w:fldCharType="separate"/>
    </w:r>
    <w:r>
      <w:rPr>
        <w:lang w:val="zh-CN"/>
      </w:rPr>
      <w:t>11</w:t>
    </w:r>
    <w:r>
      <w:fldChar w:fldCharType="end"/>
    </w:r>
  </w:p>
  <w:p w14:paraId="735CE75B">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DF5B">
    <w:pPr>
      <w:pStyle w:val="7"/>
      <w:jc w:val="center"/>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DC720">
    <w:pPr>
      <w:pStyle w:val="7"/>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300" cy="131445"/>
              <wp:effectExtent l="0" t="0" r="0" b="0"/>
              <wp:wrapNone/>
              <wp:docPr id="2" name="矩形 2"/>
              <wp:cNvGraphicFramePr/>
              <a:graphic xmlns:a="http://schemas.openxmlformats.org/drawingml/2006/main">
                <a:graphicData uri="http://schemas.microsoft.com/office/word/2010/wordprocessingShape">
                  <wps:wsp>
                    <wps:cNvSpPr/>
                    <wps:spPr>
                      <a:xfrm>
                        <a:off x="0" y="0"/>
                        <a:ext cx="114300" cy="131433"/>
                      </a:xfrm>
                      <a:prstGeom prst="rect">
                        <a:avLst/>
                      </a:prstGeom>
                      <a:noFill/>
                      <a:ln w="6350" cap="flat" cmpd="sng">
                        <a:noFill/>
                        <a:prstDash val="solid"/>
                        <a:miter/>
                      </a:ln>
                      <a:effectLst/>
                    </wps:spPr>
                    <wps:txbx>
                      <w:txbxContent>
                        <w:p w14:paraId="2BE6DCED">
                          <w:pPr>
                            <w:pStyle w:val="7"/>
                            <w:jc w:val="center"/>
                          </w:pPr>
                          <w:r>
                            <w:rPr>
                              <w:lang w:val="en-US"/>
                            </w:rPr>
                            <w:fldChar w:fldCharType="begin"/>
                          </w:r>
                          <w:r>
                            <w:instrText xml:space="preserve">PAGE   \* MERGEFORMAT</w:instrText>
                          </w:r>
                          <w:r>
                            <w:rPr>
                              <w:lang w:val="en-US"/>
                            </w:rPr>
                            <w:fldChar w:fldCharType="separate"/>
                          </w:r>
                          <w:r>
                            <w:rPr>
                              <w:lang w:val="zh-CN"/>
                            </w:rPr>
                            <w:t>1</w:t>
                          </w:r>
                          <w:r>
                            <w:rPr>
                              <w:lang w:val="zh-CN"/>
                            </w:rP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0.35pt;width:9pt;mso-position-horizontal:center;mso-position-horizontal-relative:margin;mso-wrap-style:none;z-index:251663360;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XRSXJ1QAAAAMBAAAPAAAAAAAAAAEAIAAAACIAAABkcnMvZG93&#10;bnJldi54bWxQSwECFAAUAAAACACHTuJAVKS4TQMCAAD/AwAADgAAAAAAAAABACAAAAAkAQAAZHJz&#10;L2Uyb0RvYy54bWxQSwUGAAAAAAYABgBZAQAAmQUAAAAA&#10;">
              <v:fill on="f" focussize="0,0"/>
              <v:stroke on="f" weight="0.5pt" joinstyle="miter"/>
              <v:imagedata o:title=""/>
              <o:lock v:ext="edit" aspectratio="f"/>
              <v:textbox inset="0mm,0mm,0mm,0mm" style="mso-fit-shape-to-text:t;">
                <w:txbxContent>
                  <w:p w14:paraId="2BE6DCED">
                    <w:pPr>
                      <w:pStyle w:val="7"/>
                      <w:jc w:val="center"/>
                    </w:pPr>
                    <w:r>
                      <w:rPr>
                        <w:lang w:val="en-US"/>
                      </w:rPr>
                      <w:fldChar w:fldCharType="begin"/>
                    </w:r>
                    <w:r>
                      <w:instrText xml:space="preserve">PAGE   \* MERGEFORMAT</w:instrText>
                    </w:r>
                    <w:r>
                      <w:rPr>
                        <w:lang w:val="en-US"/>
                      </w:rPr>
                      <w:fldChar w:fldCharType="separate"/>
                    </w:r>
                    <w:r>
                      <w:rPr>
                        <w:lang w:val="zh-CN"/>
                      </w:rPr>
                      <w:t>1</w:t>
                    </w:r>
                    <w:r>
                      <w:rPr>
                        <w:lang w:val="zh-CN"/>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08B87">
    <w:pPr>
      <w:pStyle w:val="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矩形 3"/>
              <wp:cNvGraphicFramePr/>
              <a:graphic xmlns:a="http://schemas.openxmlformats.org/drawingml/2006/main">
                <a:graphicData uri="http://schemas.microsoft.com/office/word/2010/wordprocessingShape">
                  <wps:wsp>
                    <wps:cNvSpPr/>
                    <wps:spPr>
                      <a:xfrm>
                        <a:off x="0" y="0"/>
                        <a:ext cx="114935" cy="131445"/>
                      </a:xfrm>
                      <a:prstGeom prst="rect">
                        <a:avLst/>
                      </a:prstGeom>
                      <a:noFill/>
                      <a:ln w="9525" cap="flat" cmpd="sng">
                        <a:noFill/>
                        <a:prstDash val="solid"/>
                        <a:miter/>
                      </a:ln>
                      <a:effectLst/>
                    </wps:spPr>
                    <wps:txbx>
                      <w:txbxContent>
                        <w:p w14:paraId="07ECB4B4">
                          <w:pPr>
                            <w:pStyle w:val="7"/>
                            <w:jc w:val="center"/>
                          </w:pPr>
                          <w:r>
                            <w:fldChar w:fldCharType="begin"/>
                          </w:r>
                          <w:r>
                            <w:instrText xml:space="preserve"> PAGE  \* MERGEFORMAT </w:instrText>
                          </w:r>
                          <w:r>
                            <w:fldChar w:fldCharType="separate"/>
                          </w:r>
                          <w:r>
                            <w:t>83</w:t>
                          </w:r>
                          <w:r>
                            <w:fldChar w:fldCharType="end"/>
                          </w:r>
                        </w:p>
                      </w:txbxContent>
                    </wps:txbx>
                    <wps:bodyPr vert="horz" wrap="square" lIns="0" tIns="0" rIns="0" bIns="0" anchor="t" anchorCtr="0" upright="1">
                      <a:noAutofit/>
                    </wps:bodyPr>
                  </wps:wsp>
                </a:graphicData>
              </a:graphic>
            </wp:anchor>
          </w:drawing>
        </mc:Choice>
        <mc:Fallback>
          <w:pict>
            <v:rect id="_x0000_s1026" o:spid="_x0000_s1026" o:spt="1" style="position:absolute;left:0pt;margin-top:0pt;height:10.35pt;width:9.05pt;mso-position-horizontal:center;mso-position-horizontal-relative:margin;z-index:251661312;mso-width-relative:page;mso-height-relative:page;" filled="f" stroked="f" coordsize="21600,21600" o:gfxdata="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7NEEzUAAAAAwEAAA8AAAAAAAAAAQAgAAAAIgAAAGRycy9k&#10;b3ducmV2LnhtbFBLAQIUABQAAAAIAIdO4kA67f5OBgIAAAEEAAAOAAAAAAAAAAEAIAAAACMBAABk&#10;cnMvZTJvRG9jLnhtbFBLBQYAAAAABgAGAFkBAACbBQAAAAA=&#10;">
              <v:fill on="f" focussize="0,0"/>
              <v:stroke on="f" joinstyle="miter"/>
              <v:imagedata o:title=""/>
              <o:lock v:ext="edit" aspectratio="f"/>
              <v:textbox inset="0mm,0mm,0mm,0mm">
                <w:txbxContent>
                  <w:p w14:paraId="07ECB4B4">
                    <w:pPr>
                      <w:pStyle w:val="7"/>
                      <w:jc w:val="center"/>
                    </w:pPr>
                    <w:r>
                      <w:fldChar w:fldCharType="begin"/>
                    </w:r>
                    <w:r>
                      <w:instrText xml:space="preserve"> PAGE  \* MERGEFORMAT </w:instrText>
                    </w:r>
                    <w:r>
                      <w:fldChar w:fldCharType="separate"/>
                    </w:r>
                    <w:r>
                      <w:t>83</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2C609">
    <w:pPr>
      <w:pStyle w:val="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cap="flat" cmpd="sng">
                        <a:noFill/>
                        <a:prstDash val="solid"/>
                        <a:miter/>
                      </a:ln>
                      <a:effectLst/>
                    </wps:spPr>
                    <wps:txbx>
                      <w:txbxContent>
                        <w:p w14:paraId="4E886783">
                          <w:pPr>
                            <w:pStyle w:val="7"/>
                          </w:pPr>
                          <w:r>
                            <w:fldChar w:fldCharType="begin"/>
                          </w:r>
                          <w:r>
                            <w:instrText xml:space="preserve"> PAGE  \* MERGEFORMAT </w:instrText>
                          </w:r>
                          <w:r>
                            <w:fldChar w:fldCharType="separate"/>
                          </w:r>
                          <w:r>
                            <w:t>63</w:t>
                          </w:r>
                          <w:r>
                            <w:fldChar w:fldCharType="end"/>
                          </w:r>
                        </w:p>
                      </w:txbxContent>
                    </wps:txbx>
                    <wps:bodyPr vert="horz" wrap="square" lIns="91440" tIns="45720" rIns="91440" bIns="45720" anchor="t" anchorCtr="0" upright="1">
                      <a:noAutofit/>
                    </wps:bodyPr>
                  </wps:wsp>
                </a:graphicData>
              </a:graphic>
            </wp:anchor>
          </w:drawing>
        </mc:Choice>
        <mc:Fallback>
          <w:pict>
            <v:rect id="_x0000_s1026" o:spid="_x0000_s1026" o:spt="1"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2MbPBNMAAAAFAQAADwAAAAAAAAABACAAAAAiAAAA&#10;ZHJzL2Rvd25yZXYueG1sUEsBAhQAFAAAAAgAh07iQEdzRAIMAgAAEwQAAA4AAAAAAAAAAQAgAAAA&#10;IgEAAGRycy9lMm9Eb2MueG1sUEsFBgAAAAAGAAYAWQEAAKAFAAAAAA==&#10;">
              <v:fill on="f" focussize="0,0"/>
              <v:stroke on="f" joinstyle="miter"/>
              <v:imagedata o:title=""/>
              <o:lock v:ext="edit" aspectratio="f"/>
              <v:textbox>
                <w:txbxContent>
                  <w:p w14:paraId="4E886783">
                    <w:pPr>
                      <w:pStyle w:val="7"/>
                    </w:pPr>
                    <w:r>
                      <w:fldChar w:fldCharType="begin"/>
                    </w:r>
                    <w:r>
                      <w:instrText xml:space="preserve"> PAGE  \* MERGEFORMAT </w:instrText>
                    </w:r>
                    <w:r>
                      <w:fldChar w:fldCharType="separate"/>
                    </w:r>
                    <w:r>
                      <w:t>63</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01BD0">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1757F7">
                          <w:pPr>
                            <w:pStyle w:val="7"/>
                            <w:jc w:val="center"/>
                          </w:pPr>
                          <w:r>
                            <w:fldChar w:fldCharType="begin"/>
                          </w:r>
                          <w:r>
                            <w:instrText xml:space="preserve"> PAGE  \* MERGEFORMAT </w:instrText>
                          </w:r>
                          <w:r>
                            <w:fldChar w:fldCharType="separate"/>
                          </w:r>
                          <w:r>
                            <w:t>90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6D1757F7">
                    <w:pPr>
                      <w:pStyle w:val="7"/>
                      <w:jc w:val="center"/>
                    </w:pPr>
                    <w:r>
                      <w:fldChar w:fldCharType="begin"/>
                    </w:r>
                    <w:r>
                      <w:instrText xml:space="preserve"> PAGE  \* MERGEFORMAT </w:instrText>
                    </w:r>
                    <w:r>
                      <w:fldChar w:fldCharType="separate"/>
                    </w:r>
                    <w:r>
                      <w:t>90</w:t>
                    </w:r>
                    <w:r>
                      <w:fldChar w:fldCharType="end"/>
                    </w:r>
                  </w:p>
                </w:txbxContent>
              </v:textbox>
            </v:shape>
          </w:pict>
        </mc:Fallback>
      </mc:AlternateContent>
    </w:r>
  </w:p>
  <w:p w14:paraId="45887C60">
    <w:pPr>
      <w:pStyle w:val="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84414">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A10354">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79A10354">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8E245">
    <w:pPr>
      <w:pStyle w:val="8"/>
    </w:pPr>
    <w:r>
      <w:rPr>
        <w:rFonts w:hint="eastAsia"/>
      </w:rPr>
      <w:t>南宁市政府采购竞争性磋商采购文件（项目编号：</w:t>
    </w:r>
    <w:bookmarkStart w:id="77" w:name="PO_3000001920_PM001"/>
    <w:r>
      <w:rPr>
        <w:rFonts w:hint="eastAsia"/>
      </w:rPr>
      <w:t>[项目采购-项目编号]</w:t>
    </w:r>
    <w:bookmarkEnd w:id="77"/>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5266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2270E">
    <w:pPr>
      <w:pStyle w:val="8"/>
      <w:pBdr>
        <w:bottom w:val="none" w:color="auto" w:sz="0" w:space="1"/>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4EE62">
    <w:pPr>
      <w:pStyle w:val="8"/>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AA9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A34B1"/>
    <w:multiLevelType w:val="singleLevel"/>
    <w:tmpl w:val="F7FA34B1"/>
    <w:lvl w:ilvl="0" w:tentative="0">
      <w:start w:val="1"/>
      <w:numFmt w:val="chineseCounting"/>
      <w:suff w:val="space"/>
      <w:lvlText w:val="（%1）"/>
      <w:lvlJc w:val="left"/>
      <w:rPr>
        <w:rFonts w:hint="eastAsia"/>
      </w:rPr>
    </w:lvl>
  </w:abstractNum>
  <w:abstractNum w:abstractNumId="1">
    <w:nsid w:val="00000002"/>
    <w:multiLevelType w:val="multilevel"/>
    <w:tmpl w:val="00000002"/>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6D69142A"/>
    <w:multiLevelType w:val="multilevel"/>
    <w:tmpl w:val="6D69142A"/>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3Y2MwMGM3Y2U2MjI1YWY0Yjc2ZTUwYWVhZjM1MDMifQ=="/>
  </w:docVars>
  <w:rsids>
    <w:rsidRoot w:val="79A62CBA"/>
    <w:rsid w:val="00977B14"/>
    <w:rsid w:val="03DE5A5A"/>
    <w:rsid w:val="088C1F29"/>
    <w:rsid w:val="0D4A511A"/>
    <w:rsid w:val="0EA94B23"/>
    <w:rsid w:val="123A47A4"/>
    <w:rsid w:val="12A8561D"/>
    <w:rsid w:val="13870505"/>
    <w:rsid w:val="15075A0D"/>
    <w:rsid w:val="15115C90"/>
    <w:rsid w:val="1582093B"/>
    <w:rsid w:val="18955686"/>
    <w:rsid w:val="1AC612CA"/>
    <w:rsid w:val="1D516351"/>
    <w:rsid w:val="206F2720"/>
    <w:rsid w:val="21A67605"/>
    <w:rsid w:val="29C2554C"/>
    <w:rsid w:val="33FD54FF"/>
    <w:rsid w:val="39B76556"/>
    <w:rsid w:val="3D0C6BB9"/>
    <w:rsid w:val="3D1E68EC"/>
    <w:rsid w:val="3E9F011E"/>
    <w:rsid w:val="3F6D02BA"/>
    <w:rsid w:val="3FD634AE"/>
    <w:rsid w:val="3FDD483D"/>
    <w:rsid w:val="40A51889"/>
    <w:rsid w:val="476D20B2"/>
    <w:rsid w:val="4A4842C3"/>
    <w:rsid w:val="4AC55409"/>
    <w:rsid w:val="4F7340E7"/>
    <w:rsid w:val="51F04DC2"/>
    <w:rsid w:val="54D77655"/>
    <w:rsid w:val="55B03527"/>
    <w:rsid w:val="562C1124"/>
    <w:rsid w:val="59011A0B"/>
    <w:rsid w:val="5AB26B9A"/>
    <w:rsid w:val="5ACA4331"/>
    <w:rsid w:val="5B8F0B10"/>
    <w:rsid w:val="5DA70990"/>
    <w:rsid w:val="645760BC"/>
    <w:rsid w:val="683F6E19"/>
    <w:rsid w:val="68533942"/>
    <w:rsid w:val="68F4037D"/>
    <w:rsid w:val="6AEC6311"/>
    <w:rsid w:val="6E492F1A"/>
    <w:rsid w:val="6E6021DE"/>
    <w:rsid w:val="6ECD58F9"/>
    <w:rsid w:val="76427223"/>
    <w:rsid w:val="774D0E49"/>
    <w:rsid w:val="788D099E"/>
    <w:rsid w:val="79A62CBA"/>
    <w:rsid w:val="7C1A5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Normal Indent"/>
    <w:basedOn w:val="1"/>
    <w:next w:val="1"/>
    <w:qFormat/>
    <w:uiPriority w:val="0"/>
    <w:pPr>
      <w:ind w:firstLine="420"/>
    </w:pPr>
    <w:rPr>
      <w:szCs w:val="20"/>
    </w:rPr>
  </w:style>
  <w:style w:type="paragraph" w:styleId="4">
    <w:name w:val="annotation text"/>
    <w:basedOn w:val="1"/>
    <w:qFormat/>
    <w:uiPriority w:val="0"/>
    <w:pPr>
      <w:jc w:val="left"/>
    </w:pPr>
  </w:style>
  <w:style w:type="paragraph" w:styleId="5">
    <w:name w:val="Body Text Indent"/>
    <w:basedOn w:val="1"/>
    <w:qFormat/>
    <w:uiPriority w:val="0"/>
    <w:pPr>
      <w:ind w:firstLine="830" w:firstLineChars="352"/>
    </w:pPr>
    <w:rPr>
      <w:rFonts w:ascii="仿宋_GB2312" w:eastAsia="仿宋_GB2312"/>
      <w:kern w:val="0"/>
      <w:sz w:val="32"/>
      <w:szCs w:val="20"/>
    </w:rPr>
  </w:style>
  <w:style w:type="paragraph" w:styleId="6">
    <w:name w:val="Plain Text"/>
    <w:basedOn w:val="1"/>
    <w:qFormat/>
    <w:uiPriority w:val="0"/>
    <w:rPr>
      <w:rFonts w:ascii="宋体" w:hAnsi="Courier New"/>
      <w:szCs w:val="20"/>
    </w:rPr>
  </w:style>
  <w:style w:type="paragraph" w:styleId="7">
    <w:name w:val="footer"/>
    <w:basedOn w:val="1"/>
    <w:unhideWhenUsed/>
    <w:qFormat/>
    <w:uiPriority w:val="0"/>
    <w:pPr>
      <w:tabs>
        <w:tab w:val="center" w:pos="4153"/>
        <w:tab w:val="right" w:pos="8306"/>
      </w:tabs>
      <w:snapToGrid w:val="0"/>
      <w:jc w:val="left"/>
    </w:pPr>
    <w:rPr>
      <w:kern w:val="0"/>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Title"/>
    <w:basedOn w:val="1"/>
    <w:next w:val="1"/>
    <w:qFormat/>
    <w:uiPriority w:val="0"/>
    <w:pPr>
      <w:spacing w:line="600" w:lineRule="exact"/>
      <w:jc w:val="center"/>
      <w:outlineLvl w:val="0"/>
    </w:pPr>
    <w:rPr>
      <w:rFonts w:ascii="方正小标宋简体" w:hAnsi="方正小标宋简体" w:eastAsia="方正小标宋简体" w:cs="方正小标宋简体"/>
      <w:bCs/>
      <w:sz w:val="44"/>
      <w:szCs w:val="44"/>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Default"/>
    <w:qFormat/>
    <w:uiPriority w:val="99"/>
    <w:pPr>
      <w:widowControl w:val="0"/>
      <w:autoSpaceDE w:val="0"/>
      <w:autoSpaceDN w:val="0"/>
      <w:adjustRightInd w:val="0"/>
    </w:pPr>
    <w:rPr>
      <w:rFonts w:ascii="新宋体′...." w:hAnsi="Calibri" w:eastAsia="新宋体′...." w:cs="新宋体′...."/>
      <w:color w:val="000000"/>
      <w:sz w:val="24"/>
      <w:szCs w:val="24"/>
      <w:lang w:val="en-US" w:eastAsia="zh-CN" w:bidi="ar-SA"/>
    </w:rPr>
  </w:style>
  <w:style w:type="paragraph" w:styleId="15">
    <w:name w:val="List Paragraph"/>
    <w:basedOn w:val="1"/>
    <w:qFormat/>
    <w:uiPriority w:val="34"/>
    <w:pPr>
      <w:ind w:firstLine="420" w:firstLineChars="200"/>
    </w:pPr>
    <w:rPr>
      <w:rFonts w:ascii="Calibri" w:hAnsi="Calibri"/>
      <w:kern w:val="0"/>
      <w:sz w:val="20"/>
      <w:szCs w:val="20"/>
    </w:rPr>
  </w:style>
  <w:style w:type="paragraph" w:customStyle="1" w:styleId="16">
    <w:name w:val="段"/>
    <w:basedOn w:val="1"/>
    <w:qFormat/>
    <w:uiPriority w:val="0"/>
    <w:pPr>
      <w:widowControl/>
      <w:autoSpaceDE w:val="0"/>
      <w:autoSpaceDN w:val="0"/>
      <w:ind w:firstLine="420" w:firstLineChars="200"/>
    </w:pPr>
    <w:rPr>
      <w:rFonts w:ascii="宋体" w:hAnsi="Times New Roman" w:eastAsia="宋体" w:cs="Times New Roman"/>
      <w:kern w:val="0"/>
      <w:szCs w:val="21"/>
    </w:rPr>
  </w:style>
  <w:style w:type="paragraph" w:customStyle="1" w:styleId="17">
    <w:name w:val="标准文件_表格"/>
    <w:basedOn w:val="1"/>
    <w:qFormat/>
    <w:uiPriority w:val="0"/>
    <w:pPr>
      <w:widowControl/>
      <w:autoSpaceDE w:val="0"/>
      <w:autoSpaceDN w:val="0"/>
      <w:jc w:val="center"/>
    </w:pPr>
    <w:rPr>
      <w:rFonts w:ascii="宋体" w:hAnsi="Times New Roman" w:eastAsia="宋体" w:cs="Times New Roman"/>
      <w:kern w:val="0"/>
      <w:sz w:val="18"/>
      <w:szCs w:val="20"/>
    </w:rPr>
  </w:style>
  <w:style w:type="paragraph" w:customStyle="1" w:styleId="18">
    <w:name w:val="列出段落1"/>
    <w:basedOn w:val="1"/>
    <w:qFormat/>
    <w:uiPriority w:val="34"/>
    <w:pPr>
      <w:ind w:firstLine="420" w:firstLineChars="200"/>
    </w:pPr>
  </w:style>
  <w:style w:type="paragraph" w:customStyle="1" w:styleId="19">
    <w:name w:val="Table Paragraph"/>
    <w:basedOn w:val="1"/>
    <w:qFormat/>
    <w:uiPriority w:val="1"/>
    <w:pPr>
      <w:autoSpaceDE w:val="0"/>
      <w:autoSpaceDN w:val="0"/>
      <w:ind w:left="103"/>
      <w:jc w:val="center"/>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99</Pages>
  <Words>889</Words>
  <Characters>1047</Characters>
  <Lines>0</Lines>
  <Paragraphs>0</Paragraphs>
  <TotalTime>1</TotalTime>
  <ScaleCrop>false</ScaleCrop>
  <LinksUpToDate>false</LinksUpToDate>
  <CharactersWithSpaces>1078</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2026-03-29T07:04:00Z</dcterms:created>
  <dc:creator>陆</dc:creator>
  <cp:lastModifiedBy>奉云</cp:lastModifiedBy>
  <dcterms:modified xsi:type="dcterms:W3CDTF">2026-05-06T09:33:39Z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944D44EF9915465C9B8347DA7386B489_13</vt:lpwstr>
  </property>
  <property fmtid="{D5CDD505-2E9C-101B-9397-08002B2CF9AE}" pid="4" name="KSOTemplateDocerSaveRecord">
    <vt:lpwstr>eyJoZGlkIjoiZjYyMThmOTExNWMyZjFkNWE5NDUwMTJiNDgwYTM0ZWUiLCJ1c2VySWQiOiI3MTE5ODQ3NDkifQ==</vt:lpwstr>
  </property>
</Properties>
</file>